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D845F75" w:rsidR="00B327EC" w:rsidRPr="002C519F" w:rsidRDefault="000E1341" w:rsidP="00B327EC">
      <w:pPr>
        <w:widowControl w:val="0"/>
        <w:tabs>
          <w:tab w:val="center" w:pos="4513"/>
        </w:tabs>
        <w:spacing w:before="120" w:after="120"/>
        <w:jc w:val="center"/>
        <w:rPr>
          <w:b/>
          <w:bCs/>
          <w:sz w:val="36"/>
          <w:szCs w:val="36"/>
        </w:rPr>
      </w:pPr>
      <w:r w:rsidRPr="000E1341">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19C1E9D5" w:rsidR="00B327EC" w:rsidRPr="000E1341" w:rsidRDefault="000E1341" w:rsidP="00B327EC">
      <w:pPr>
        <w:widowControl w:val="0"/>
        <w:tabs>
          <w:tab w:val="center" w:pos="4513"/>
        </w:tabs>
        <w:spacing w:before="120" w:after="120"/>
        <w:jc w:val="center"/>
        <w:rPr>
          <w:b/>
          <w:bCs/>
          <w:sz w:val="36"/>
          <w:szCs w:val="36"/>
        </w:rPr>
      </w:pPr>
      <w:r w:rsidRPr="000E1341">
        <w:rPr>
          <w:b/>
          <w:bCs/>
          <w:sz w:val="36"/>
          <w:szCs w:val="36"/>
        </w:rPr>
        <w:t>UNIVERSITY OF LEEDS</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2263C46A"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w:t>
      </w:r>
      <w:r w:rsidR="00BC4CC4">
        <w:rPr>
          <w:b/>
          <w:bCs/>
          <w:sz w:val="36"/>
          <w:szCs w:val="36"/>
        </w:rPr>
        <w:t>TTACHMENT 5</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0E1341">
      <w:pPr>
        <w:widowControl w:val="0"/>
        <w:tabs>
          <w:tab w:val="center" w:pos="4513"/>
        </w:tabs>
        <w:spacing w:before="120" w:after="120"/>
        <w:jc w:val="center"/>
        <w:rPr>
          <w:b/>
          <w:bCs/>
          <w:sz w:val="36"/>
          <w:szCs w:val="36"/>
        </w:rPr>
      </w:pPr>
    </w:p>
    <w:p w14:paraId="73DF4AFC" w14:textId="4C457657" w:rsidR="00B327EC" w:rsidRPr="000E1341" w:rsidRDefault="000E1341" w:rsidP="00B327EC">
      <w:pPr>
        <w:widowControl w:val="0"/>
        <w:tabs>
          <w:tab w:val="center" w:pos="4513"/>
        </w:tabs>
        <w:spacing w:before="120" w:after="120"/>
        <w:jc w:val="center"/>
        <w:rPr>
          <w:b/>
          <w:bCs/>
          <w:sz w:val="36"/>
          <w:szCs w:val="36"/>
        </w:rPr>
      </w:pPr>
      <w:r w:rsidRPr="000E1341">
        <w:rPr>
          <w:b/>
          <w:bCs/>
          <w:sz w:val="36"/>
          <w:szCs w:val="36"/>
        </w:rPr>
        <w:t>THE PROVISION OF A SYSTEMATIC REVIEW OF THE EVIDENCE OF THE LIVED EXPERIENCE OF DISABLED PEOPLE IN THE UK</w:t>
      </w:r>
    </w:p>
    <w:p w14:paraId="1FD9D1A2" w14:textId="77777777" w:rsidR="000E1341" w:rsidRPr="000E1341" w:rsidRDefault="000E1341" w:rsidP="00B327EC">
      <w:pPr>
        <w:widowControl w:val="0"/>
        <w:tabs>
          <w:tab w:val="center" w:pos="4513"/>
        </w:tabs>
        <w:spacing w:before="120" w:after="120"/>
        <w:jc w:val="center"/>
        <w:rPr>
          <w:b/>
          <w:bCs/>
          <w:sz w:val="36"/>
          <w:szCs w:val="36"/>
        </w:rPr>
      </w:pPr>
    </w:p>
    <w:p w14:paraId="584C9CC2" w14:textId="5134A2FA" w:rsidR="00F42D71" w:rsidRPr="002C519F" w:rsidRDefault="000E1341" w:rsidP="00B327EC">
      <w:pPr>
        <w:widowControl w:val="0"/>
        <w:tabs>
          <w:tab w:val="center" w:pos="4513"/>
        </w:tabs>
        <w:spacing w:before="120" w:after="120"/>
        <w:jc w:val="center"/>
        <w:rPr>
          <w:b/>
          <w:bCs/>
          <w:sz w:val="36"/>
          <w:szCs w:val="36"/>
        </w:rPr>
      </w:pPr>
      <w:r w:rsidRPr="000E1341">
        <w:rPr>
          <w:b/>
          <w:bCs/>
          <w:sz w:val="36"/>
          <w:szCs w:val="36"/>
        </w:rPr>
        <w:t>CCZZ21A07</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FA078B">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FA078B">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FA078B">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FA078B">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FA078B">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FA078B">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FA078B">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FA078B">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FA078B">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FA078B">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FA078B">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FA078B">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FA078B">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FA078B">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FA078B">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FA078B">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FA078B">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FA078B">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FA078B">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FA078B">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FA078B">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FA078B">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FA078B">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FA078B">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FA078B">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FA078B">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FA078B">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FA078B">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EF4E2F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1A265A" w:rsidRPr="001A265A">
        <w:rPr>
          <w:b w:val="0"/>
          <w:u w:val="none"/>
        </w:rPr>
        <w:t>2</w:t>
      </w:r>
      <w:r w:rsidRPr="001A265A">
        <w:rPr>
          <w:b w:val="0"/>
          <w:u w:val="none"/>
        </w:rPr>
        <w:t xml:space="preserve"> </w:t>
      </w:r>
      <w:r w:rsidRPr="006E4A65">
        <w:rPr>
          <w:b w:val="0"/>
          <w:u w:val="none"/>
        </w:rPr>
        <w:t>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lastRenderedPageBreak/>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00E33C8F" w:rsidRPr="007350A9">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w:t>
      </w:r>
      <w:r w:rsidRPr="006E4A65">
        <w:rPr>
          <w:rFonts w:cs="Arial"/>
          <w:b w:val="0"/>
          <w:u w:val="none"/>
        </w:rPr>
        <w:lastRenderedPageBreak/>
        <w:t>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w:t>
      </w:r>
      <w:r w:rsidRPr="006E4A65">
        <w:rPr>
          <w:rFonts w:cs="Arial"/>
          <w:b w:val="0"/>
          <w:u w:val="none"/>
        </w:rPr>
        <w:lastRenderedPageBreak/>
        <w:t>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w:t>
      </w:r>
      <w:r w:rsidRPr="006E4A65">
        <w:rPr>
          <w:rFonts w:cs="Arial"/>
          <w:b w:val="0"/>
          <w:u w:val="none"/>
        </w:rPr>
        <w:lastRenderedPageBreak/>
        <w:t xml:space="preserve">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 xml:space="preserve">including any modifications to or derivative versions of any such intellectual property </w:t>
      </w:r>
      <w:r w:rsidRPr="006E4A65">
        <w:rPr>
          <w:rFonts w:cs="Arial"/>
          <w:sz w:val="22"/>
          <w:szCs w:val="22"/>
        </w:rPr>
        <w:lastRenderedPageBreak/>
        <w:t>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lastRenderedPageBreak/>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w:t>
      </w:r>
      <w:r w:rsidRPr="006E4A65">
        <w:rPr>
          <w:rFonts w:cs="Arial"/>
          <w:b w:val="0"/>
          <w:u w:val="none"/>
        </w:rPr>
        <w:lastRenderedPageBreak/>
        <w:t>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w:t>
      </w:r>
      <w:r w:rsidRPr="006E4A65">
        <w:rPr>
          <w:rFonts w:cs="Arial"/>
          <w:b w:val="0"/>
          <w:u w:val="none"/>
        </w:rPr>
        <w:lastRenderedPageBreak/>
        <w:t>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7350A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6"/>
          <w:footerReference w:type="default" r:id="rId17"/>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17CAF8F9"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19851D47" w14:textId="77777777" w:rsidR="00CA7FF0" w:rsidRDefault="00CA7FF0" w:rsidP="00CA7FF0">
      <w:pPr>
        <w:pBdr>
          <w:top w:val="nil"/>
          <w:left w:val="nil"/>
          <w:bottom w:val="nil"/>
          <w:right w:val="nil"/>
          <w:between w:val="nil"/>
        </w:pBdr>
        <w:spacing w:before="100" w:after="300"/>
        <w:jc w:val="center"/>
        <w:rPr>
          <w:b/>
          <w:color w:val="000000"/>
        </w:rPr>
      </w:pPr>
      <w:r>
        <w:rPr>
          <w:b/>
          <w:color w:val="000000"/>
        </w:rPr>
        <w:t xml:space="preserve">FOR THE AVOIDANCE OF DOUBT, THIS CONTRACT SHALL NOT EXCEED </w:t>
      </w:r>
    </w:p>
    <w:p w14:paraId="60BE1796" w14:textId="2EDAC35A" w:rsidR="00CA7FF0" w:rsidRPr="00CA7FF0" w:rsidRDefault="00CA7FF0" w:rsidP="00CA7FF0">
      <w:pPr>
        <w:pBdr>
          <w:top w:val="nil"/>
          <w:left w:val="nil"/>
          <w:bottom w:val="nil"/>
          <w:right w:val="nil"/>
          <w:between w:val="nil"/>
        </w:pBdr>
        <w:spacing w:before="100" w:after="300"/>
        <w:jc w:val="center"/>
        <w:rPr>
          <w:b/>
          <w:color w:val="000000"/>
        </w:rPr>
      </w:pPr>
      <w:r>
        <w:rPr>
          <w:b/>
          <w:color w:val="000000"/>
        </w:rPr>
        <w:t>£29,980.00 (EXCLUDING VAT)</w:t>
      </w:r>
    </w:p>
    <w:p w14:paraId="1E81A845" w14:textId="3B4DAD45" w:rsidR="005D023F" w:rsidRDefault="005D023F" w:rsidP="005D023F">
      <w:pPr>
        <w:pStyle w:val="ScheduleLevel1"/>
        <w:numPr>
          <w:ilvl w:val="0"/>
          <w:numId w:val="0"/>
        </w:numPr>
        <w:spacing w:after="120"/>
        <w:rPr>
          <w:rFonts w:cs="Arial"/>
          <w:b/>
          <w:szCs w:val="22"/>
          <w:shd w:val="clear" w:color="auto" w:fill="FFFF99"/>
        </w:rPr>
      </w:pPr>
    </w:p>
    <w:p w14:paraId="2DFD009E" w14:textId="1EC3D71A" w:rsidR="005D023F" w:rsidRPr="00913679" w:rsidRDefault="00D7088D" w:rsidP="005D023F">
      <w:pPr>
        <w:pStyle w:val="ScheduleLevel1"/>
        <w:numPr>
          <w:ilvl w:val="0"/>
          <w:numId w:val="0"/>
        </w:numPr>
        <w:spacing w:after="120"/>
        <w:rPr>
          <w:rFonts w:cs="Arial"/>
          <w:b/>
          <w:szCs w:val="22"/>
        </w:rPr>
      </w:pPr>
      <w:r>
        <w:rPr>
          <w:rFonts w:cs="Arial"/>
          <w:b/>
          <w:szCs w:val="22"/>
        </w:rPr>
        <w:t>REDACTED TEXT</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lastRenderedPageBreak/>
        <w:t>ANNEX 3 – STATEMENT OF REQUIREMENT</w:t>
      </w:r>
      <w:bookmarkEnd w:id="109"/>
      <w:r w:rsidR="00E33C8F">
        <w:rPr>
          <w:rFonts w:eastAsia="Times New Roman"/>
          <w:b/>
          <w:szCs w:val="22"/>
          <w:lang w:eastAsia="en-US"/>
        </w:rPr>
        <w:t>S</w:t>
      </w:r>
    </w:p>
    <w:p w14:paraId="0D42C387" w14:textId="6BC82FE9" w:rsidR="001F6118" w:rsidRPr="001F6118" w:rsidRDefault="001F6118" w:rsidP="001F6118">
      <w:pPr>
        <w:pStyle w:val="ScheduleLevel1"/>
        <w:numPr>
          <w:ilvl w:val="0"/>
          <w:numId w:val="0"/>
        </w:numPr>
        <w:spacing w:after="120"/>
        <w:rPr>
          <w:rFonts w:cs="Arial"/>
          <w:b/>
          <w:szCs w:val="22"/>
          <w:shd w:val="clear" w:color="auto" w:fill="FFFF99"/>
        </w:rPr>
      </w:pPr>
    </w:p>
    <w:p w14:paraId="18C2D268" w14:textId="77777777" w:rsidR="001F6118" w:rsidRPr="001F6118" w:rsidRDefault="001F6118" w:rsidP="001F6118">
      <w:pPr>
        <w:pStyle w:val="Heading1"/>
        <w:numPr>
          <w:ilvl w:val="0"/>
          <w:numId w:val="44"/>
        </w:numPr>
        <w:tabs>
          <w:tab w:val="clear" w:pos="720"/>
        </w:tabs>
        <w:overflowPunct w:val="0"/>
        <w:autoSpaceDE w:val="0"/>
        <w:autoSpaceDN w:val="0"/>
        <w:spacing w:after="120"/>
        <w:textAlignment w:val="baseline"/>
        <w:rPr>
          <w:szCs w:val="22"/>
        </w:rPr>
      </w:pPr>
      <w:bookmarkStart w:id="110" w:name="_Toc368573027"/>
      <w:bookmarkStart w:id="111" w:name="_Toc65758984"/>
      <w:r w:rsidRPr="001F6118">
        <w:rPr>
          <w:caps w:val="0"/>
          <w:szCs w:val="22"/>
        </w:rPr>
        <w:t>PURPOSE</w:t>
      </w:r>
      <w:bookmarkEnd w:id="110"/>
      <w:bookmarkEnd w:id="111"/>
    </w:p>
    <w:p w14:paraId="050EA65E" w14:textId="77777777" w:rsidR="001F6118" w:rsidRPr="001F6118" w:rsidRDefault="001F6118" w:rsidP="001F6118">
      <w:pPr>
        <w:numPr>
          <w:ilvl w:val="1"/>
          <w:numId w:val="45"/>
        </w:numPr>
        <w:spacing w:after="120"/>
        <w:ind w:left="709"/>
        <w:rPr>
          <w:szCs w:val="22"/>
        </w:rPr>
      </w:pPr>
      <w:bookmarkStart w:id="112" w:name="_Toc368573028"/>
      <w:bookmarkStart w:id="113" w:name="_Toc297554773"/>
      <w:bookmarkStart w:id="114" w:name="_Toc296415805"/>
      <w:bookmarkStart w:id="115" w:name="_Toc296415793"/>
      <w:r w:rsidRPr="001F6118">
        <w:rPr>
          <w:szCs w:val="22"/>
        </w:rPr>
        <w:t>The Cabinet Office’s Disability Unit would like to procure a systematic review of the evidence based on the lived experience of disabled people in the UK. This systematic review will synthesise the full breadth of research in this area, as well as developing criteria to test its robustness and identify gaps. The final output of the review will be a unique resource, which will support the National Strategy for Disabled People, and effective policy making for disabled people cross-government. This resource will be publicly available and easily accessible by stakeholders.</w:t>
      </w:r>
    </w:p>
    <w:p w14:paraId="1E111BAC" w14:textId="77777777" w:rsidR="001F6118" w:rsidRPr="001F6118" w:rsidRDefault="001F6118" w:rsidP="001F6118">
      <w:pPr>
        <w:pStyle w:val="Heading1"/>
        <w:tabs>
          <w:tab w:val="clear" w:pos="720"/>
        </w:tabs>
        <w:overflowPunct w:val="0"/>
        <w:autoSpaceDE w:val="0"/>
        <w:autoSpaceDN w:val="0"/>
        <w:spacing w:after="120"/>
        <w:jc w:val="left"/>
        <w:textAlignment w:val="baseline"/>
        <w:rPr>
          <w:szCs w:val="22"/>
        </w:rPr>
      </w:pPr>
      <w:bookmarkStart w:id="116" w:name="_Toc65758985"/>
      <w:r w:rsidRPr="001F6118">
        <w:rPr>
          <w:szCs w:val="22"/>
        </w:rPr>
        <w:t>BACKGROUND TO THE CONTRACTING aUTHORIT</w:t>
      </w:r>
      <w:bookmarkEnd w:id="112"/>
      <w:r w:rsidRPr="001F6118">
        <w:rPr>
          <w:szCs w:val="22"/>
        </w:rPr>
        <w:t>y</w:t>
      </w:r>
      <w:bookmarkEnd w:id="116"/>
    </w:p>
    <w:p w14:paraId="115F5FD1" w14:textId="77777777" w:rsidR="001F6118" w:rsidRPr="001F6118" w:rsidRDefault="001F6118" w:rsidP="001F6118">
      <w:pPr>
        <w:pStyle w:val="Heading2"/>
        <w:jc w:val="left"/>
        <w:rPr>
          <w:szCs w:val="22"/>
        </w:rPr>
      </w:pPr>
      <w:r w:rsidRPr="001F6118">
        <w:rPr>
          <w:szCs w:val="22"/>
        </w:rPr>
        <w:t xml:space="preserve">The </w:t>
      </w:r>
      <w:hyperlink r:id="rId18">
        <w:r w:rsidRPr="001F6118">
          <w:rPr>
            <w:szCs w:val="22"/>
          </w:rPr>
          <w:t>Disability Unit</w:t>
        </w:r>
      </w:hyperlink>
      <w:r w:rsidRPr="001F6118">
        <w:rPr>
          <w:szCs w:val="22"/>
        </w:rPr>
        <w:t xml:space="preserve"> is a team based in the Cabinet Office. The Unit’s aim is to break down the barriers faced by disabled people in the UK. The Unit are creating an evidence-based National Strategy for Disabled People (NSfDP) that has the lived experience of disabled people at its core. They are responsible for bringing the views, insights and lived experience of disabled people to the centre of policy making, and helping government departments to develop and monitor policies that remove barriers faced by disabled people. </w:t>
      </w:r>
    </w:p>
    <w:p w14:paraId="12EB8F99" w14:textId="77777777" w:rsidR="001F6118" w:rsidRPr="001F6118" w:rsidRDefault="001F6118" w:rsidP="001F6118">
      <w:pPr>
        <w:pStyle w:val="Heading1"/>
        <w:tabs>
          <w:tab w:val="clear" w:pos="720"/>
        </w:tabs>
        <w:overflowPunct w:val="0"/>
        <w:autoSpaceDE w:val="0"/>
        <w:autoSpaceDN w:val="0"/>
        <w:spacing w:after="120"/>
        <w:jc w:val="left"/>
        <w:textAlignment w:val="baseline"/>
        <w:rPr>
          <w:szCs w:val="22"/>
        </w:rPr>
      </w:pPr>
      <w:bookmarkStart w:id="117" w:name="_Toc368573029"/>
      <w:bookmarkStart w:id="118" w:name="_Toc65758986"/>
      <w:r w:rsidRPr="001F6118">
        <w:rPr>
          <w:szCs w:val="22"/>
        </w:rPr>
        <w:t>Background to requirement/OVERVIEW</w:t>
      </w:r>
      <w:bookmarkEnd w:id="113"/>
      <w:r w:rsidRPr="001F6118">
        <w:rPr>
          <w:szCs w:val="22"/>
        </w:rPr>
        <w:t xml:space="preserve"> of requirement</w:t>
      </w:r>
      <w:bookmarkEnd w:id="117"/>
      <w:bookmarkEnd w:id="118"/>
    </w:p>
    <w:p w14:paraId="71F09CAC" w14:textId="77777777" w:rsidR="001F6118" w:rsidRPr="001F6118" w:rsidRDefault="001F6118" w:rsidP="001F6118">
      <w:pPr>
        <w:pStyle w:val="Heading2"/>
        <w:jc w:val="left"/>
        <w:rPr>
          <w:szCs w:val="22"/>
        </w:rPr>
      </w:pPr>
      <w:bookmarkStart w:id="119" w:name="_Toc297554774"/>
      <w:bookmarkEnd w:id="114"/>
      <w:r w:rsidRPr="001F6118">
        <w:rPr>
          <w:szCs w:val="22"/>
        </w:rPr>
        <w:t xml:space="preserve">It is one of Disability Unit’s </w:t>
      </w:r>
      <w:hyperlink r:id="rId19">
        <w:r w:rsidRPr="001F6118">
          <w:rPr>
            <w:color w:val="0000FF"/>
            <w:szCs w:val="22"/>
            <w:u w:val="single"/>
          </w:rPr>
          <w:t>stated priorities</w:t>
        </w:r>
      </w:hyperlink>
      <w:r w:rsidRPr="001F6118">
        <w:rPr>
          <w:szCs w:val="22"/>
        </w:rPr>
        <w:t xml:space="preserve"> for 2019-20 to improve the quality of evidence and data and to use it to support policies and how they are to be delivered. The NSfDP furthermore needs to be underpinned by a robust, cross-government evidence base. This evidence will inform policy development and underpin the assessment of service delivery to remove barriers preventing disabled people from participating fully in society. </w:t>
      </w:r>
    </w:p>
    <w:p w14:paraId="36B76640" w14:textId="77777777" w:rsidR="001F6118" w:rsidRPr="001F6118" w:rsidRDefault="001F6118" w:rsidP="001F6118">
      <w:pPr>
        <w:pStyle w:val="Heading2"/>
        <w:jc w:val="left"/>
        <w:rPr>
          <w:szCs w:val="22"/>
        </w:rPr>
      </w:pPr>
      <w:r w:rsidRPr="001F6118">
        <w:rPr>
          <w:szCs w:val="22"/>
        </w:rPr>
        <w:t>A key part of Disability Unit’s evidence approach involves undertaking a systematic review of existing evidence on the lived experience of disabled people. Part of this review will involve devising and applying criteria to test for robustness of the evidence, as well as understand where there are gaps in the evidence.</w:t>
      </w:r>
    </w:p>
    <w:p w14:paraId="34DA7127" w14:textId="77777777" w:rsidR="001F6118" w:rsidRPr="001F6118" w:rsidRDefault="001F6118" w:rsidP="001F6118">
      <w:pPr>
        <w:pStyle w:val="Heading2"/>
        <w:jc w:val="left"/>
        <w:rPr>
          <w:szCs w:val="22"/>
        </w:rPr>
      </w:pPr>
      <w:r w:rsidRPr="001F6118">
        <w:rPr>
          <w:szCs w:val="22"/>
        </w:rPr>
        <w:t>The focus on lived experience is crucial to ensuring the strategy meets its aims of improving day-to-day lives, removing barriers and extending opportunities for disabled people. The government’s evidence base is currently focused on government department’s requirements, primarily administering support provisions, reasonable adjustments, and other services to disabled people. Such evidence does not adequately consider the lived experience and needs of disabled people, or how services impact disabled people’s lives. For this reason, a systematic review is required, of published and grey evidence on the lived experience of disabled people.</w:t>
      </w:r>
    </w:p>
    <w:p w14:paraId="3B33BF15" w14:textId="77777777" w:rsidR="001F6118" w:rsidRPr="001F6118" w:rsidRDefault="001F6118" w:rsidP="001F6118">
      <w:pPr>
        <w:pStyle w:val="Heading1"/>
        <w:tabs>
          <w:tab w:val="clear" w:pos="720"/>
        </w:tabs>
        <w:overflowPunct w:val="0"/>
        <w:autoSpaceDE w:val="0"/>
        <w:autoSpaceDN w:val="0"/>
        <w:spacing w:after="120"/>
        <w:textAlignment w:val="baseline"/>
        <w:rPr>
          <w:szCs w:val="22"/>
        </w:rPr>
      </w:pPr>
      <w:bookmarkStart w:id="120" w:name="_Toc65758987"/>
      <w:bookmarkStart w:id="121" w:name="_Toc368573030"/>
      <w:r w:rsidRPr="001F6118">
        <w:rPr>
          <w:szCs w:val="22"/>
        </w:rPr>
        <w:t>definitions</w:t>
      </w:r>
      <w:bookmarkEnd w:id="120"/>
      <w:r w:rsidRPr="001F6118">
        <w:rPr>
          <w:szCs w:val="22"/>
        </w:rPr>
        <w:t xml:space="preserve"> </w:t>
      </w:r>
    </w:p>
    <w:tbl>
      <w:tblPr>
        <w:tblStyle w:val="TableGrid"/>
        <w:tblW w:w="0" w:type="auto"/>
        <w:tblInd w:w="137" w:type="dxa"/>
        <w:tblLook w:val="04A0" w:firstRow="1" w:lastRow="0" w:firstColumn="1" w:lastColumn="0" w:noHBand="0" w:noVBand="1"/>
      </w:tblPr>
      <w:tblGrid>
        <w:gridCol w:w="2694"/>
        <w:gridCol w:w="6188"/>
      </w:tblGrid>
      <w:tr w:rsidR="001F6118" w:rsidRPr="001F6118" w14:paraId="755BD6D7" w14:textId="77777777" w:rsidTr="00A70A59">
        <w:tc>
          <w:tcPr>
            <w:tcW w:w="2694" w:type="dxa"/>
            <w:shd w:val="clear" w:color="auto" w:fill="B8CCE4" w:themeFill="accent1" w:themeFillTint="66"/>
          </w:tcPr>
          <w:p w14:paraId="4B366145" w14:textId="77777777" w:rsidR="001F6118" w:rsidRPr="001F6118" w:rsidRDefault="001F6118" w:rsidP="00A70A59">
            <w:pPr>
              <w:pStyle w:val="Heading2"/>
              <w:numPr>
                <w:ilvl w:val="0"/>
                <w:numId w:val="0"/>
              </w:numPr>
              <w:spacing w:after="120"/>
              <w:ind w:left="18" w:hanging="18"/>
              <w:jc w:val="left"/>
              <w:outlineLvl w:val="1"/>
              <w:rPr>
                <w:b/>
                <w:szCs w:val="22"/>
                <w:highlight w:val="yellow"/>
              </w:rPr>
            </w:pPr>
            <w:r w:rsidRPr="001F6118">
              <w:rPr>
                <w:b/>
                <w:szCs w:val="22"/>
              </w:rPr>
              <w:t>Expression or Acronym</w:t>
            </w:r>
          </w:p>
        </w:tc>
        <w:tc>
          <w:tcPr>
            <w:tcW w:w="6188" w:type="dxa"/>
            <w:shd w:val="clear" w:color="auto" w:fill="B8CCE4" w:themeFill="accent1" w:themeFillTint="66"/>
          </w:tcPr>
          <w:p w14:paraId="003E6957" w14:textId="77777777" w:rsidR="001F6118" w:rsidRPr="001F6118" w:rsidRDefault="001F6118" w:rsidP="00A70A59">
            <w:pPr>
              <w:pStyle w:val="Heading2"/>
              <w:numPr>
                <w:ilvl w:val="0"/>
                <w:numId w:val="0"/>
              </w:numPr>
              <w:spacing w:after="120"/>
              <w:ind w:left="720" w:hanging="720"/>
              <w:outlineLvl w:val="1"/>
              <w:rPr>
                <w:b/>
                <w:szCs w:val="22"/>
                <w:highlight w:val="yellow"/>
              </w:rPr>
            </w:pPr>
            <w:r w:rsidRPr="001F6118">
              <w:rPr>
                <w:b/>
                <w:szCs w:val="22"/>
              </w:rPr>
              <w:t>Definition</w:t>
            </w:r>
          </w:p>
        </w:tc>
      </w:tr>
      <w:tr w:rsidR="001F6118" w:rsidRPr="001F6118" w14:paraId="5058F6C4" w14:textId="77777777" w:rsidTr="00A70A59">
        <w:tc>
          <w:tcPr>
            <w:tcW w:w="2694" w:type="dxa"/>
          </w:tcPr>
          <w:p w14:paraId="5F4DE4B3" w14:textId="77777777" w:rsidR="001F6118" w:rsidRPr="001F6118" w:rsidRDefault="001F6118" w:rsidP="00A70A59">
            <w:pPr>
              <w:pStyle w:val="Heading2"/>
              <w:numPr>
                <w:ilvl w:val="0"/>
                <w:numId w:val="0"/>
              </w:numPr>
              <w:spacing w:after="120"/>
              <w:ind w:left="720" w:hanging="720"/>
              <w:outlineLvl w:val="1"/>
              <w:rPr>
                <w:szCs w:val="22"/>
                <w:highlight w:val="yellow"/>
              </w:rPr>
            </w:pPr>
            <w:r w:rsidRPr="001F6118">
              <w:rPr>
                <w:color w:val="000000"/>
                <w:szCs w:val="22"/>
              </w:rPr>
              <w:t>NSfDP</w:t>
            </w:r>
          </w:p>
        </w:tc>
        <w:tc>
          <w:tcPr>
            <w:tcW w:w="6188" w:type="dxa"/>
          </w:tcPr>
          <w:p w14:paraId="4A4B9326" w14:textId="77777777" w:rsidR="001F6118" w:rsidRPr="001F6118" w:rsidRDefault="001F6118" w:rsidP="00A70A59">
            <w:pPr>
              <w:pStyle w:val="Heading2"/>
              <w:numPr>
                <w:ilvl w:val="0"/>
                <w:numId w:val="0"/>
              </w:numPr>
              <w:spacing w:after="120"/>
              <w:jc w:val="left"/>
              <w:outlineLvl w:val="1"/>
              <w:rPr>
                <w:szCs w:val="22"/>
                <w:highlight w:val="yellow"/>
              </w:rPr>
            </w:pPr>
            <w:r w:rsidRPr="001F6118">
              <w:rPr>
                <w:color w:val="000000"/>
                <w:szCs w:val="22"/>
              </w:rPr>
              <w:t>National Strategy for Disabled People</w:t>
            </w:r>
          </w:p>
        </w:tc>
      </w:tr>
      <w:tr w:rsidR="001F6118" w:rsidRPr="001F6118" w14:paraId="54DF1BF9" w14:textId="77777777" w:rsidTr="00A70A59">
        <w:tc>
          <w:tcPr>
            <w:tcW w:w="2694" w:type="dxa"/>
          </w:tcPr>
          <w:p w14:paraId="7FFF8E7F" w14:textId="77777777" w:rsidR="001F6118" w:rsidRPr="001F6118" w:rsidRDefault="001F6118" w:rsidP="00A70A59">
            <w:pPr>
              <w:pStyle w:val="Heading2"/>
              <w:numPr>
                <w:ilvl w:val="0"/>
                <w:numId w:val="0"/>
              </w:numPr>
              <w:spacing w:after="120"/>
              <w:ind w:left="720" w:hanging="720"/>
              <w:outlineLvl w:val="1"/>
              <w:rPr>
                <w:szCs w:val="22"/>
                <w:shd w:val="clear" w:color="auto" w:fill="FFFF99"/>
              </w:rPr>
            </w:pPr>
            <w:r w:rsidRPr="001F6118">
              <w:rPr>
                <w:color w:val="000000"/>
                <w:szCs w:val="22"/>
              </w:rPr>
              <w:lastRenderedPageBreak/>
              <w:t>Lived experience</w:t>
            </w:r>
          </w:p>
        </w:tc>
        <w:tc>
          <w:tcPr>
            <w:tcW w:w="6188" w:type="dxa"/>
          </w:tcPr>
          <w:p w14:paraId="0A0AA16A" w14:textId="77777777" w:rsidR="001F6118" w:rsidRPr="001F6118" w:rsidRDefault="001F6118" w:rsidP="00A70A59">
            <w:pPr>
              <w:pStyle w:val="Heading2"/>
              <w:numPr>
                <w:ilvl w:val="0"/>
                <w:numId w:val="0"/>
              </w:numPr>
              <w:spacing w:after="120"/>
              <w:jc w:val="left"/>
              <w:outlineLvl w:val="1"/>
              <w:rPr>
                <w:szCs w:val="22"/>
              </w:rPr>
            </w:pPr>
            <w:r w:rsidRPr="001F6118">
              <w:rPr>
                <w:color w:val="000000"/>
                <w:szCs w:val="22"/>
              </w:rPr>
              <w:t>Lived experience research is “personal knowledge about the world gained through direct, first-hand involvement in everyday events rather than through representations constructed by other people.”</w:t>
            </w:r>
            <w:r w:rsidRPr="001F6118">
              <w:rPr>
                <w:color w:val="000000"/>
                <w:szCs w:val="22"/>
                <w:vertAlign w:val="superscript"/>
              </w:rPr>
              <w:footnoteReference w:id="2"/>
            </w:r>
            <w:r w:rsidRPr="001F6118">
              <w:rPr>
                <w:color w:val="000000"/>
                <w:szCs w:val="22"/>
              </w:rPr>
              <w:t xml:space="preserve"> This focus on direct, first-hand knowledge often involves employing ethnographic methods. However, it could also consist of quantitative data, for example via surveys using questions generated from this immersion.</w:t>
            </w:r>
          </w:p>
        </w:tc>
      </w:tr>
      <w:tr w:rsidR="001F6118" w:rsidRPr="001F6118" w14:paraId="46D712DB" w14:textId="77777777" w:rsidTr="00A70A59">
        <w:tc>
          <w:tcPr>
            <w:tcW w:w="2694" w:type="dxa"/>
          </w:tcPr>
          <w:p w14:paraId="0E410FB4" w14:textId="77777777" w:rsidR="001F6118" w:rsidRPr="001F6118" w:rsidRDefault="001F6118" w:rsidP="00A70A59">
            <w:pPr>
              <w:pStyle w:val="Heading2"/>
              <w:numPr>
                <w:ilvl w:val="0"/>
                <w:numId w:val="0"/>
              </w:numPr>
              <w:spacing w:after="120"/>
              <w:ind w:left="720" w:hanging="720"/>
              <w:outlineLvl w:val="1"/>
              <w:rPr>
                <w:szCs w:val="22"/>
                <w:highlight w:val="yellow"/>
              </w:rPr>
            </w:pPr>
            <w:r w:rsidRPr="001F6118">
              <w:rPr>
                <w:color w:val="000000"/>
                <w:szCs w:val="22"/>
              </w:rPr>
              <w:t>Disability</w:t>
            </w:r>
          </w:p>
        </w:tc>
        <w:tc>
          <w:tcPr>
            <w:tcW w:w="6188" w:type="dxa"/>
          </w:tcPr>
          <w:p w14:paraId="7104239C" w14:textId="77777777" w:rsidR="001F6118" w:rsidRPr="001F6118" w:rsidRDefault="001F6118" w:rsidP="00A70A59">
            <w:pPr>
              <w:pStyle w:val="Heading2"/>
              <w:numPr>
                <w:ilvl w:val="0"/>
                <w:numId w:val="0"/>
              </w:numPr>
              <w:spacing w:after="120"/>
              <w:jc w:val="left"/>
              <w:outlineLvl w:val="1"/>
              <w:rPr>
                <w:szCs w:val="22"/>
                <w:highlight w:val="yellow"/>
              </w:rPr>
            </w:pPr>
            <w:r w:rsidRPr="001F6118">
              <w:rPr>
                <w:color w:val="000000"/>
                <w:szCs w:val="22"/>
              </w:rPr>
              <w:t>Disability is defined in line with the UK census, which asks the question: “Are your day-to-day activities limited because of a health problem or disability which has lasted, or is expected to last, at least 12 months?”</w:t>
            </w:r>
          </w:p>
        </w:tc>
      </w:tr>
      <w:tr w:rsidR="001F6118" w:rsidRPr="001F6118" w14:paraId="13AEB565" w14:textId="77777777" w:rsidTr="00A70A59">
        <w:tc>
          <w:tcPr>
            <w:tcW w:w="2694" w:type="dxa"/>
          </w:tcPr>
          <w:p w14:paraId="43FB26B6" w14:textId="77777777" w:rsidR="001F6118" w:rsidRPr="001F6118" w:rsidRDefault="001F6118" w:rsidP="00A70A59">
            <w:pPr>
              <w:pStyle w:val="Heading2"/>
              <w:numPr>
                <w:ilvl w:val="0"/>
                <w:numId w:val="0"/>
              </w:numPr>
              <w:spacing w:after="120"/>
              <w:ind w:left="720" w:hanging="720"/>
              <w:outlineLvl w:val="1"/>
              <w:rPr>
                <w:color w:val="000000"/>
                <w:szCs w:val="22"/>
              </w:rPr>
            </w:pPr>
            <w:r w:rsidRPr="001F6118">
              <w:rPr>
                <w:color w:val="000000"/>
                <w:szCs w:val="22"/>
              </w:rPr>
              <w:t>Grey literature</w:t>
            </w:r>
          </w:p>
        </w:tc>
        <w:tc>
          <w:tcPr>
            <w:tcW w:w="6188" w:type="dxa"/>
          </w:tcPr>
          <w:p w14:paraId="1508F514" w14:textId="77777777" w:rsidR="001F6118" w:rsidRPr="001F6118" w:rsidRDefault="001F6118" w:rsidP="00A70A59">
            <w:pPr>
              <w:pStyle w:val="Heading2"/>
              <w:numPr>
                <w:ilvl w:val="0"/>
                <w:numId w:val="0"/>
              </w:numPr>
              <w:spacing w:after="120"/>
              <w:jc w:val="left"/>
              <w:outlineLvl w:val="1"/>
              <w:rPr>
                <w:szCs w:val="22"/>
              </w:rPr>
            </w:pPr>
            <w:r w:rsidRPr="001F6118">
              <w:rPr>
                <w:color w:val="000000"/>
                <w:szCs w:val="22"/>
              </w:rPr>
              <w:t>Information which is not published through the normal channels, though still publicly accessible. This covers a wide range of literature, such as conference papers, unpublished Masters / Doctoral theses, working papers and research reports without an ISBN.</w:t>
            </w:r>
          </w:p>
        </w:tc>
      </w:tr>
      <w:tr w:rsidR="001F6118" w:rsidRPr="001F6118" w14:paraId="0B2C12C7" w14:textId="77777777" w:rsidTr="00A70A59">
        <w:tc>
          <w:tcPr>
            <w:tcW w:w="2694" w:type="dxa"/>
          </w:tcPr>
          <w:p w14:paraId="30718EDA" w14:textId="77777777" w:rsidR="001F6118" w:rsidRPr="001F6118" w:rsidRDefault="001F6118" w:rsidP="00A70A59">
            <w:pPr>
              <w:pStyle w:val="Heading2"/>
              <w:numPr>
                <w:ilvl w:val="0"/>
                <w:numId w:val="0"/>
              </w:numPr>
              <w:spacing w:after="120"/>
              <w:ind w:left="720" w:hanging="720"/>
              <w:outlineLvl w:val="1"/>
              <w:rPr>
                <w:color w:val="000000"/>
                <w:szCs w:val="22"/>
              </w:rPr>
            </w:pPr>
            <w:r w:rsidRPr="001F6118">
              <w:rPr>
                <w:color w:val="000000"/>
                <w:szCs w:val="22"/>
              </w:rPr>
              <w:t>EHRC</w:t>
            </w:r>
          </w:p>
        </w:tc>
        <w:tc>
          <w:tcPr>
            <w:tcW w:w="6188" w:type="dxa"/>
          </w:tcPr>
          <w:p w14:paraId="0F820CA7" w14:textId="77777777" w:rsidR="001F6118" w:rsidRPr="001F6118" w:rsidRDefault="001F6118" w:rsidP="00A70A59">
            <w:pPr>
              <w:pStyle w:val="Heading2"/>
              <w:numPr>
                <w:ilvl w:val="0"/>
                <w:numId w:val="0"/>
              </w:numPr>
              <w:spacing w:after="120"/>
              <w:jc w:val="left"/>
              <w:outlineLvl w:val="1"/>
              <w:rPr>
                <w:color w:val="000000"/>
                <w:szCs w:val="22"/>
              </w:rPr>
            </w:pPr>
            <w:r w:rsidRPr="001F6118">
              <w:rPr>
                <w:color w:val="000000"/>
                <w:szCs w:val="22"/>
              </w:rPr>
              <w:t>Equality and Human Rights Commission</w:t>
            </w:r>
          </w:p>
        </w:tc>
      </w:tr>
      <w:tr w:rsidR="001F6118" w:rsidRPr="001F6118" w14:paraId="676B7932" w14:textId="77777777" w:rsidTr="00A70A59">
        <w:tc>
          <w:tcPr>
            <w:tcW w:w="2694" w:type="dxa"/>
          </w:tcPr>
          <w:p w14:paraId="34D900EF" w14:textId="77777777" w:rsidR="001F6118" w:rsidRPr="001F6118" w:rsidRDefault="001F6118" w:rsidP="00A70A59">
            <w:pPr>
              <w:pStyle w:val="Heading2"/>
              <w:numPr>
                <w:ilvl w:val="0"/>
                <w:numId w:val="0"/>
              </w:numPr>
              <w:spacing w:after="120"/>
              <w:ind w:left="720" w:hanging="720"/>
              <w:outlineLvl w:val="1"/>
              <w:rPr>
                <w:color w:val="000000"/>
                <w:szCs w:val="22"/>
              </w:rPr>
            </w:pPr>
            <w:r w:rsidRPr="001F6118">
              <w:rPr>
                <w:color w:val="000000"/>
                <w:szCs w:val="22"/>
              </w:rPr>
              <w:t>ESRC</w:t>
            </w:r>
          </w:p>
        </w:tc>
        <w:tc>
          <w:tcPr>
            <w:tcW w:w="6188" w:type="dxa"/>
          </w:tcPr>
          <w:p w14:paraId="0405A3D9" w14:textId="77777777" w:rsidR="001F6118" w:rsidRPr="001F6118" w:rsidRDefault="001F6118" w:rsidP="00A70A59">
            <w:pPr>
              <w:pStyle w:val="Heading2"/>
              <w:numPr>
                <w:ilvl w:val="0"/>
                <w:numId w:val="0"/>
              </w:numPr>
              <w:spacing w:after="120"/>
              <w:jc w:val="left"/>
              <w:outlineLvl w:val="1"/>
              <w:rPr>
                <w:color w:val="000000"/>
                <w:szCs w:val="22"/>
              </w:rPr>
            </w:pPr>
            <w:r w:rsidRPr="001F6118">
              <w:rPr>
                <w:color w:val="000000"/>
                <w:szCs w:val="22"/>
              </w:rPr>
              <w:t>Economic and Social Research Council</w:t>
            </w:r>
          </w:p>
        </w:tc>
      </w:tr>
    </w:tbl>
    <w:p w14:paraId="21156A4D" w14:textId="77777777" w:rsidR="001F6118" w:rsidRPr="001F6118" w:rsidRDefault="001F6118" w:rsidP="001F6118">
      <w:pPr>
        <w:pStyle w:val="Heading1"/>
        <w:tabs>
          <w:tab w:val="clear" w:pos="720"/>
        </w:tabs>
        <w:overflowPunct w:val="0"/>
        <w:autoSpaceDE w:val="0"/>
        <w:autoSpaceDN w:val="0"/>
        <w:spacing w:before="240" w:after="120"/>
        <w:jc w:val="left"/>
        <w:textAlignment w:val="baseline"/>
        <w:rPr>
          <w:szCs w:val="22"/>
        </w:rPr>
      </w:pPr>
      <w:bookmarkStart w:id="122" w:name="_Toc65758988"/>
      <w:r w:rsidRPr="001F6118">
        <w:rPr>
          <w:szCs w:val="22"/>
        </w:rPr>
        <w:t>scope of requirement</w:t>
      </w:r>
      <w:bookmarkEnd w:id="115"/>
      <w:bookmarkEnd w:id="119"/>
      <w:bookmarkEnd w:id="121"/>
      <w:bookmarkEnd w:id="122"/>
    </w:p>
    <w:p w14:paraId="4D9BDE78" w14:textId="77777777" w:rsidR="001F6118" w:rsidRPr="001F6118" w:rsidRDefault="001F6118" w:rsidP="001F6118">
      <w:pPr>
        <w:pStyle w:val="Heading2"/>
        <w:rPr>
          <w:szCs w:val="22"/>
        </w:rPr>
      </w:pPr>
      <w:r w:rsidRPr="001F6118">
        <w:rPr>
          <w:szCs w:val="22"/>
        </w:rPr>
        <w:t>The systematic review needs to:</w:t>
      </w:r>
    </w:p>
    <w:p w14:paraId="6FB27AE8" w14:textId="77777777" w:rsidR="001F6118" w:rsidRPr="001F6118" w:rsidRDefault="001F6118" w:rsidP="001F6118">
      <w:pPr>
        <w:pStyle w:val="Heading3"/>
        <w:rPr>
          <w:szCs w:val="22"/>
        </w:rPr>
      </w:pPr>
      <w:r w:rsidRPr="001F6118">
        <w:rPr>
          <w:szCs w:val="22"/>
        </w:rPr>
        <w:t>Consider all research questions.</w:t>
      </w:r>
    </w:p>
    <w:p w14:paraId="2D2203E7" w14:textId="77777777" w:rsidR="001F6118" w:rsidRPr="001F6118" w:rsidRDefault="001F6118" w:rsidP="001F6118">
      <w:pPr>
        <w:pStyle w:val="Heading3"/>
        <w:ind w:left="1797" w:hanging="1077"/>
        <w:jc w:val="left"/>
        <w:rPr>
          <w:szCs w:val="22"/>
        </w:rPr>
      </w:pPr>
      <w:r w:rsidRPr="001F6118">
        <w:rPr>
          <w:szCs w:val="22"/>
        </w:rPr>
        <w:t>Use a systematic approach to searching and assessing the literature that is to be used. This should be transparent and well documented. Clear inclusion/exclusion criteria should also be used and documented at the outset of the review, to appraise studies, and should be included in the final report, along with a bibliography of research, and highlighted quality criteria. The key words used should also be documented in the methods section of the report.</w:t>
      </w:r>
    </w:p>
    <w:p w14:paraId="0CFC84DF" w14:textId="77777777" w:rsidR="001F6118" w:rsidRPr="001F6118" w:rsidRDefault="001F6118" w:rsidP="001F6118">
      <w:pPr>
        <w:pStyle w:val="Heading3"/>
        <w:ind w:left="1797" w:hanging="1077"/>
        <w:jc w:val="left"/>
        <w:rPr>
          <w:szCs w:val="22"/>
        </w:rPr>
      </w:pPr>
      <w:r w:rsidRPr="001F6118">
        <w:rPr>
          <w:szCs w:val="22"/>
        </w:rPr>
        <w:t>Develop and apply a clear set of criteria for testing robustness.</w:t>
      </w:r>
    </w:p>
    <w:p w14:paraId="4E820B38" w14:textId="77777777" w:rsidR="001F6118" w:rsidRPr="001F6118" w:rsidRDefault="001F6118" w:rsidP="001F6118">
      <w:pPr>
        <w:pStyle w:val="Heading3"/>
        <w:ind w:left="1797" w:hanging="1077"/>
        <w:jc w:val="left"/>
        <w:rPr>
          <w:szCs w:val="22"/>
        </w:rPr>
      </w:pPr>
      <w:r w:rsidRPr="001F6118">
        <w:rPr>
          <w:szCs w:val="22"/>
        </w:rPr>
        <w:t>Determine and apply a structure for the final report which is both true to the findings of the review and easily accessible by non-specialist users.</w:t>
      </w:r>
    </w:p>
    <w:p w14:paraId="6DF543A0" w14:textId="77777777" w:rsidR="001F6118" w:rsidRPr="001F6118" w:rsidRDefault="001F6118" w:rsidP="001F6118">
      <w:pPr>
        <w:pStyle w:val="Heading3"/>
        <w:ind w:left="1797" w:hanging="1077"/>
        <w:jc w:val="left"/>
        <w:rPr>
          <w:szCs w:val="22"/>
        </w:rPr>
      </w:pPr>
      <w:r w:rsidRPr="001F6118">
        <w:rPr>
          <w:szCs w:val="22"/>
        </w:rPr>
        <w:t>Synthesise the available evidence for each of the areas of the final product.</w:t>
      </w:r>
    </w:p>
    <w:p w14:paraId="75303A9F" w14:textId="77777777" w:rsidR="001F6118" w:rsidRPr="001F6118" w:rsidRDefault="001F6118" w:rsidP="001F6118">
      <w:pPr>
        <w:pStyle w:val="Heading3"/>
        <w:ind w:left="1797" w:hanging="1077"/>
        <w:jc w:val="left"/>
        <w:rPr>
          <w:szCs w:val="22"/>
        </w:rPr>
      </w:pPr>
      <w:r w:rsidRPr="001F6118">
        <w:rPr>
          <w:szCs w:val="22"/>
        </w:rPr>
        <w:t>Identify and document any evidence gaps and/or limitations with the methodology employed.</w:t>
      </w:r>
    </w:p>
    <w:p w14:paraId="5645DC5F" w14:textId="77777777" w:rsidR="001F6118" w:rsidRPr="001F6118" w:rsidRDefault="001F6118" w:rsidP="001F6118">
      <w:pPr>
        <w:pStyle w:val="Heading3"/>
        <w:ind w:left="1797" w:hanging="1077"/>
        <w:jc w:val="left"/>
        <w:rPr>
          <w:szCs w:val="22"/>
        </w:rPr>
      </w:pPr>
      <w:r w:rsidRPr="001F6118">
        <w:rPr>
          <w:szCs w:val="22"/>
        </w:rPr>
        <w:lastRenderedPageBreak/>
        <w:t>Distil the findings and themes into headline findings, so as to be easily usable to inform policy development and further research.</w:t>
      </w:r>
    </w:p>
    <w:p w14:paraId="51241708" w14:textId="77777777" w:rsidR="001F6118" w:rsidRPr="001F6118" w:rsidRDefault="001F6118" w:rsidP="001F6118">
      <w:pPr>
        <w:pStyle w:val="Heading2"/>
        <w:jc w:val="left"/>
        <w:rPr>
          <w:szCs w:val="22"/>
        </w:rPr>
      </w:pPr>
      <w:r w:rsidRPr="001F6118">
        <w:rPr>
          <w:szCs w:val="22"/>
        </w:rPr>
        <w:t>At a minimum, we expect the outputs to be:</w:t>
      </w:r>
    </w:p>
    <w:p w14:paraId="709464AC" w14:textId="77777777" w:rsidR="001F6118" w:rsidRPr="001F6118" w:rsidRDefault="001F6118" w:rsidP="001F6118">
      <w:pPr>
        <w:pStyle w:val="Heading3"/>
        <w:ind w:left="1797" w:hanging="1077"/>
        <w:jc w:val="left"/>
        <w:rPr>
          <w:szCs w:val="22"/>
        </w:rPr>
      </w:pPr>
      <w:r w:rsidRPr="001F6118">
        <w:rPr>
          <w:szCs w:val="22"/>
        </w:rPr>
        <w:t>A final report, written and structured for publication on gov.uk. Disability Unit would expect to review and comment on at least two drafts of this prior to agreeing final versions and approving payment of related invoices. As a minimum, Disability Unit staff would require at least one working week to review and return comments on a draft report.</w:t>
      </w:r>
    </w:p>
    <w:p w14:paraId="07E7015D" w14:textId="77777777" w:rsidR="001F6118" w:rsidRPr="001F6118" w:rsidRDefault="001F6118" w:rsidP="001F6118">
      <w:pPr>
        <w:pStyle w:val="Heading3"/>
        <w:ind w:left="1797" w:hanging="1077"/>
        <w:jc w:val="left"/>
        <w:rPr>
          <w:szCs w:val="22"/>
        </w:rPr>
      </w:pPr>
      <w:r w:rsidRPr="001F6118">
        <w:rPr>
          <w:szCs w:val="22"/>
        </w:rPr>
        <w:t>Clear statement of methodology used.</w:t>
      </w:r>
    </w:p>
    <w:p w14:paraId="442C0F65" w14:textId="77777777" w:rsidR="001F6118" w:rsidRPr="001F6118" w:rsidRDefault="001F6118" w:rsidP="001F6118">
      <w:pPr>
        <w:pStyle w:val="Heading3"/>
        <w:ind w:left="1797" w:hanging="1077"/>
        <w:jc w:val="left"/>
        <w:rPr>
          <w:szCs w:val="22"/>
        </w:rPr>
      </w:pPr>
      <w:r w:rsidRPr="001F6118">
        <w:rPr>
          <w:szCs w:val="22"/>
        </w:rPr>
        <w:t>Presentation of findings to Disability Unit staff.</w:t>
      </w:r>
    </w:p>
    <w:p w14:paraId="695781E3" w14:textId="77777777" w:rsidR="001F6118" w:rsidRPr="001F6118" w:rsidRDefault="001F6118" w:rsidP="001F6118">
      <w:pPr>
        <w:pStyle w:val="Heading3"/>
        <w:ind w:left="1797" w:hanging="1077"/>
        <w:jc w:val="left"/>
        <w:rPr>
          <w:szCs w:val="22"/>
        </w:rPr>
      </w:pPr>
      <w:r w:rsidRPr="001F6118">
        <w:rPr>
          <w:szCs w:val="22"/>
        </w:rPr>
        <w:t>Any associated outputs e.g. database of sources identified.</w:t>
      </w:r>
    </w:p>
    <w:p w14:paraId="5D1EC664" w14:textId="77777777" w:rsidR="001F6118" w:rsidRPr="001F6118" w:rsidRDefault="001F6118" w:rsidP="001F6118">
      <w:pPr>
        <w:pStyle w:val="Heading3"/>
        <w:ind w:left="1797" w:hanging="1077"/>
        <w:jc w:val="left"/>
        <w:rPr>
          <w:szCs w:val="22"/>
        </w:rPr>
      </w:pPr>
      <w:r w:rsidRPr="001F6118">
        <w:rPr>
          <w:szCs w:val="22"/>
        </w:rPr>
        <w:t>Methods / process for continually updating the database.</w:t>
      </w:r>
    </w:p>
    <w:p w14:paraId="00ADDDDF" w14:textId="77777777" w:rsidR="001F6118" w:rsidRPr="001F6118" w:rsidRDefault="001F6118" w:rsidP="001F6118">
      <w:pPr>
        <w:pStyle w:val="Heading2"/>
        <w:jc w:val="left"/>
        <w:rPr>
          <w:szCs w:val="22"/>
        </w:rPr>
      </w:pPr>
      <w:r w:rsidRPr="001F6118">
        <w:rPr>
          <w:szCs w:val="22"/>
        </w:rPr>
        <w:t>The Contracting Authority will own the Intellectual Property Rights on all reports and outputs it has commissioned from any contract awarded via this tendering exercise, The Contracting Authority will have free and unencumbered usage of all such reports and outputs.</w:t>
      </w:r>
    </w:p>
    <w:p w14:paraId="29256AF0" w14:textId="77777777" w:rsidR="001F6118" w:rsidRPr="001F6118" w:rsidRDefault="001F6118" w:rsidP="001F6118">
      <w:pPr>
        <w:pStyle w:val="Heading1"/>
        <w:spacing w:after="120"/>
        <w:jc w:val="left"/>
        <w:rPr>
          <w:szCs w:val="22"/>
        </w:rPr>
      </w:pPr>
      <w:bookmarkStart w:id="123" w:name="_Toc368573031"/>
      <w:bookmarkStart w:id="124" w:name="_Toc65758989"/>
      <w:r w:rsidRPr="001F6118">
        <w:rPr>
          <w:szCs w:val="22"/>
        </w:rPr>
        <w:t>The requirement</w:t>
      </w:r>
      <w:bookmarkEnd w:id="123"/>
      <w:bookmarkEnd w:id="124"/>
    </w:p>
    <w:p w14:paraId="1B843223" w14:textId="77777777" w:rsidR="001F6118" w:rsidRPr="001F6118" w:rsidRDefault="001F6118" w:rsidP="001F6118">
      <w:pPr>
        <w:pStyle w:val="Heading2"/>
        <w:jc w:val="left"/>
        <w:rPr>
          <w:szCs w:val="22"/>
        </w:rPr>
      </w:pPr>
      <w:r w:rsidRPr="001F6118">
        <w:rPr>
          <w:szCs w:val="22"/>
        </w:rPr>
        <w:t xml:space="preserve">The Supplier is required to conduct a systematic review of the evidence on the lived experience of disabled people in the UK and its constituent countries. This systematic review should determine the extent and the quality/robustness of evidence on this topic. This is a necessarily broad topic, and the Unit would expect the review to comprehensively cover all life stages and all impairment types (where possible and meaningful to do so, the </w:t>
      </w:r>
      <w:hyperlink r:id="rId20">
        <w:r w:rsidRPr="001F6118">
          <w:rPr>
            <w:color w:val="1155CC"/>
            <w:szCs w:val="22"/>
            <w:u w:val="single"/>
          </w:rPr>
          <w:t>GSS harmonised standards</w:t>
        </w:r>
      </w:hyperlink>
      <w:r w:rsidRPr="001F6118">
        <w:rPr>
          <w:szCs w:val="22"/>
        </w:rPr>
        <w:t xml:space="preserve"> for impairments should be used, so as to increase comparability with government published data). The focus should be on the lived experience of disabled people, but evidence on this could be ascertained from other sources (e.g. friends, family, carers and community groups).</w:t>
      </w:r>
    </w:p>
    <w:p w14:paraId="3984297E" w14:textId="77777777" w:rsidR="001F6118" w:rsidRPr="001F6118" w:rsidRDefault="001F6118" w:rsidP="001F6118">
      <w:pPr>
        <w:pStyle w:val="Heading2"/>
        <w:jc w:val="left"/>
        <w:rPr>
          <w:szCs w:val="22"/>
        </w:rPr>
      </w:pPr>
      <w:r w:rsidRPr="001F6118">
        <w:rPr>
          <w:szCs w:val="22"/>
        </w:rPr>
        <w:t>To aid the research, it is suggested to minimally address the following primary questions (with secondary research questions included below each):</w:t>
      </w:r>
    </w:p>
    <w:p w14:paraId="1E388E85" w14:textId="77777777" w:rsidR="001F6118" w:rsidRPr="001F6118" w:rsidRDefault="001F6118" w:rsidP="001F6118">
      <w:pPr>
        <w:pStyle w:val="Heading3"/>
        <w:ind w:left="1797" w:hanging="1077"/>
        <w:jc w:val="left"/>
        <w:rPr>
          <w:szCs w:val="22"/>
        </w:rPr>
      </w:pPr>
      <w:r w:rsidRPr="001F6118">
        <w:rPr>
          <w:szCs w:val="22"/>
        </w:rPr>
        <w:t>What are disabled people’s experiences of accessing the built environment and transport?</w:t>
      </w:r>
    </w:p>
    <w:p w14:paraId="7AC047E6" w14:textId="77777777" w:rsidR="001F6118" w:rsidRPr="001F6118" w:rsidRDefault="001F6118" w:rsidP="001F6118">
      <w:pPr>
        <w:pStyle w:val="Heading4"/>
        <w:ind w:left="2874" w:hanging="1077"/>
        <w:jc w:val="left"/>
        <w:rPr>
          <w:szCs w:val="22"/>
        </w:rPr>
      </w:pPr>
      <w:r w:rsidRPr="001F6118">
        <w:rPr>
          <w:szCs w:val="22"/>
        </w:rPr>
        <w:t>What barriers do disabled people experience (e.g. in design, construction or socioeconomic factors)?</w:t>
      </w:r>
    </w:p>
    <w:p w14:paraId="3D933C9D" w14:textId="77777777" w:rsidR="001F6118" w:rsidRPr="001F6118" w:rsidRDefault="001F6118" w:rsidP="001F6118">
      <w:pPr>
        <w:pStyle w:val="Heading3"/>
        <w:ind w:left="1797" w:hanging="1077"/>
        <w:jc w:val="left"/>
        <w:rPr>
          <w:szCs w:val="22"/>
        </w:rPr>
      </w:pPr>
      <w:r w:rsidRPr="001F6118">
        <w:rPr>
          <w:szCs w:val="22"/>
        </w:rPr>
        <w:t>What are the impacts on disabled people’s lives of reduced access to the built environment and transport (e.g. on work, leisure etc.)?</w:t>
      </w:r>
    </w:p>
    <w:p w14:paraId="548928D4" w14:textId="77777777" w:rsidR="001F6118" w:rsidRPr="001F6118" w:rsidRDefault="001F6118" w:rsidP="001F6118">
      <w:pPr>
        <w:pStyle w:val="Heading4"/>
        <w:ind w:left="2874" w:hanging="1077"/>
        <w:jc w:val="left"/>
        <w:rPr>
          <w:szCs w:val="22"/>
        </w:rPr>
      </w:pPr>
      <w:r w:rsidRPr="001F6118">
        <w:rPr>
          <w:szCs w:val="22"/>
        </w:rPr>
        <w:t xml:space="preserve">How have disabled people’s lives and ability to live independently been improved by examples of good, inclusive </w:t>
      </w:r>
      <w:r w:rsidRPr="001F6118">
        <w:rPr>
          <w:szCs w:val="22"/>
        </w:rPr>
        <w:lastRenderedPageBreak/>
        <w:t>design in the built environment and transport (can include international as well as UK examples)?</w:t>
      </w:r>
    </w:p>
    <w:p w14:paraId="2CF02608" w14:textId="77777777" w:rsidR="001F6118" w:rsidRPr="001F6118" w:rsidRDefault="001F6118" w:rsidP="001F6118">
      <w:pPr>
        <w:pStyle w:val="Heading3"/>
        <w:ind w:left="1797" w:hanging="1077"/>
        <w:jc w:val="left"/>
        <w:rPr>
          <w:szCs w:val="22"/>
        </w:rPr>
      </w:pPr>
      <w:r w:rsidRPr="001F6118">
        <w:rPr>
          <w:szCs w:val="22"/>
        </w:rPr>
        <w:t>What are disabled people’s experiences of accessing services and products?</w:t>
      </w:r>
    </w:p>
    <w:p w14:paraId="13EFD2A8" w14:textId="77777777" w:rsidR="001F6118" w:rsidRPr="001F6118" w:rsidRDefault="001F6118" w:rsidP="001F6118">
      <w:pPr>
        <w:pStyle w:val="Heading4"/>
        <w:ind w:left="2874" w:hanging="1077"/>
        <w:jc w:val="left"/>
        <w:rPr>
          <w:szCs w:val="22"/>
        </w:rPr>
      </w:pPr>
      <w:r w:rsidRPr="001F6118">
        <w:rPr>
          <w:szCs w:val="22"/>
        </w:rPr>
        <w:t>What barriers do disabled people experience in accessing general services (e.g. shopping, banking, postal, health and leisure)?</w:t>
      </w:r>
    </w:p>
    <w:p w14:paraId="72713106" w14:textId="77777777" w:rsidR="001F6118" w:rsidRPr="001F6118" w:rsidRDefault="001F6118" w:rsidP="001F6118">
      <w:pPr>
        <w:pStyle w:val="Heading4"/>
        <w:ind w:left="2874" w:hanging="1077"/>
        <w:jc w:val="left"/>
        <w:rPr>
          <w:szCs w:val="22"/>
        </w:rPr>
      </w:pPr>
      <w:r w:rsidRPr="001F6118">
        <w:rPr>
          <w:szCs w:val="22"/>
        </w:rPr>
        <w:t>How do disabled people experience the transfer to digital services and digital transition?</w:t>
      </w:r>
    </w:p>
    <w:p w14:paraId="7B72A3A5" w14:textId="77777777" w:rsidR="001F6118" w:rsidRPr="001F6118" w:rsidRDefault="001F6118" w:rsidP="001F6118">
      <w:pPr>
        <w:pStyle w:val="Heading4"/>
        <w:ind w:left="2874" w:hanging="1077"/>
        <w:jc w:val="left"/>
        <w:rPr>
          <w:szCs w:val="22"/>
        </w:rPr>
      </w:pPr>
      <w:r w:rsidRPr="001F6118">
        <w:rPr>
          <w:szCs w:val="22"/>
        </w:rPr>
        <w:t>How have disabled people’s lives and ability to live independently been improved by examples of good, inclusive design in services and products (can include international as well as UK examples)?</w:t>
      </w:r>
    </w:p>
    <w:p w14:paraId="77FCE381" w14:textId="77777777" w:rsidR="001F6118" w:rsidRPr="001F6118" w:rsidRDefault="001F6118" w:rsidP="001F6118">
      <w:pPr>
        <w:pStyle w:val="Heading3"/>
        <w:ind w:left="1797" w:hanging="1077"/>
        <w:jc w:val="left"/>
        <w:rPr>
          <w:szCs w:val="22"/>
        </w:rPr>
      </w:pPr>
      <w:r w:rsidRPr="001F6118">
        <w:rPr>
          <w:szCs w:val="22"/>
        </w:rPr>
        <w:t>What are disabled people’s experiences of independent living?</w:t>
      </w:r>
    </w:p>
    <w:p w14:paraId="3BB0C1BA" w14:textId="77777777" w:rsidR="001F6118" w:rsidRPr="001F6118" w:rsidRDefault="001F6118" w:rsidP="001F6118">
      <w:pPr>
        <w:pStyle w:val="Heading4"/>
        <w:ind w:left="2874" w:hanging="1077"/>
        <w:jc w:val="left"/>
        <w:rPr>
          <w:szCs w:val="22"/>
        </w:rPr>
      </w:pPr>
      <w:r w:rsidRPr="001F6118">
        <w:rPr>
          <w:szCs w:val="22"/>
        </w:rPr>
        <w:t>How do disabled people experience the workplace? What choices are they offered and what choices do they make in order to facilitate independence in the workplace, and how do they access and negotiate the help available to them?</w:t>
      </w:r>
    </w:p>
    <w:p w14:paraId="0704CBC6" w14:textId="77777777" w:rsidR="001F6118" w:rsidRPr="001F6118" w:rsidRDefault="001F6118" w:rsidP="001F6118">
      <w:pPr>
        <w:pStyle w:val="Heading4"/>
        <w:ind w:left="2874" w:hanging="1077"/>
        <w:jc w:val="left"/>
        <w:rPr>
          <w:szCs w:val="22"/>
        </w:rPr>
      </w:pPr>
      <w:r w:rsidRPr="001F6118">
        <w:rPr>
          <w:szCs w:val="22"/>
        </w:rPr>
        <w:t>How do support options interact with educational choices in the experience of disabled students and their parents, and what is the impact on their independence?</w:t>
      </w:r>
    </w:p>
    <w:p w14:paraId="5E0A1E2E" w14:textId="77777777" w:rsidR="001F6118" w:rsidRPr="001F6118" w:rsidRDefault="001F6118" w:rsidP="001F6118">
      <w:pPr>
        <w:pStyle w:val="Heading4"/>
        <w:ind w:left="2874" w:hanging="1077"/>
        <w:jc w:val="left"/>
        <w:rPr>
          <w:szCs w:val="22"/>
        </w:rPr>
      </w:pPr>
      <w:r w:rsidRPr="001F6118">
        <w:rPr>
          <w:szCs w:val="22"/>
        </w:rPr>
        <w:t>What barriers to choice do disabled people experience in everyday life?</w:t>
      </w:r>
    </w:p>
    <w:p w14:paraId="4534ADD7" w14:textId="77777777" w:rsidR="001F6118" w:rsidRPr="001F6118" w:rsidRDefault="001F6118" w:rsidP="001F6118">
      <w:pPr>
        <w:pStyle w:val="Heading4"/>
        <w:ind w:left="2874" w:hanging="1077"/>
        <w:jc w:val="left"/>
        <w:rPr>
          <w:szCs w:val="22"/>
        </w:rPr>
      </w:pPr>
      <w:r w:rsidRPr="001F6118">
        <w:rPr>
          <w:szCs w:val="22"/>
        </w:rPr>
        <w:t>What are the impacts of barriers to independent living on disabled people?</w:t>
      </w:r>
    </w:p>
    <w:p w14:paraId="10FDF6DC" w14:textId="77777777" w:rsidR="001F6118" w:rsidRPr="001F6118" w:rsidRDefault="001F6118" w:rsidP="001F6118">
      <w:pPr>
        <w:pStyle w:val="Heading4"/>
        <w:ind w:left="2874" w:hanging="1077"/>
        <w:jc w:val="left"/>
        <w:rPr>
          <w:szCs w:val="22"/>
        </w:rPr>
      </w:pPr>
      <w:r w:rsidRPr="001F6118">
        <w:rPr>
          <w:szCs w:val="22"/>
        </w:rPr>
        <w:t>What inclusive schemes, designs, adaptations and services improve (or reduce the barriers to) independent living for disabled people (can include international as well as UK examples)?</w:t>
      </w:r>
    </w:p>
    <w:p w14:paraId="79F42305" w14:textId="77777777" w:rsidR="001F6118" w:rsidRPr="001F6118" w:rsidRDefault="001F6118" w:rsidP="001F6118">
      <w:pPr>
        <w:pStyle w:val="Heading3"/>
        <w:ind w:left="1797" w:hanging="1077"/>
        <w:jc w:val="left"/>
        <w:rPr>
          <w:szCs w:val="22"/>
        </w:rPr>
      </w:pPr>
      <w:r w:rsidRPr="001F6118">
        <w:rPr>
          <w:szCs w:val="22"/>
        </w:rPr>
        <w:t>What are the public perceptions of disabled people, and how do disabled people experience being perceived and/or discriminated against?</w:t>
      </w:r>
    </w:p>
    <w:p w14:paraId="25F07380" w14:textId="77777777" w:rsidR="001F6118" w:rsidRPr="001F6118" w:rsidRDefault="001F6118" w:rsidP="001F6118">
      <w:pPr>
        <w:pStyle w:val="Heading4"/>
        <w:ind w:left="2874" w:hanging="1077"/>
        <w:jc w:val="left"/>
        <w:rPr>
          <w:szCs w:val="22"/>
        </w:rPr>
      </w:pPr>
      <w:r w:rsidRPr="001F6118">
        <w:rPr>
          <w:szCs w:val="22"/>
        </w:rPr>
        <w:t>How do perceptions of disabled people intersect with other factors such as age, gender, ethnicity, social background and impairment type?</w:t>
      </w:r>
    </w:p>
    <w:p w14:paraId="148BB292" w14:textId="77777777" w:rsidR="001F6118" w:rsidRPr="001F6118" w:rsidRDefault="001F6118" w:rsidP="001F6118">
      <w:pPr>
        <w:pStyle w:val="Heading4"/>
        <w:ind w:left="2874" w:hanging="1077"/>
        <w:jc w:val="left"/>
        <w:rPr>
          <w:szCs w:val="22"/>
        </w:rPr>
      </w:pPr>
      <w:r w:rsidRPr="001F6118">
        <w:rPr>
          <w:szCs w:val="22"/>
        </w:rPr>
        <w:t>What are the impacts of discrimination (both direct and indirect) on disabled people, and what barriers does it create?</w:t>
      </w:r>
    </w:p>
    <w:p w14:paraId="4E4E3FF0" w14:textId="77777777" w:rsidR="001F6118" w:rsidRPr="001F6118" w:rsidRDefault="001F6118" w:rsidP="001F6118">
      <w:pPr>
        <w:pStyle w:val="Heading3"/>
        <w:ind w:left="1797" w:hanging="1077"/>
        <w:jc w:val="left"/>
        <w:rPr>
          <w:szCs w:val="22"/>
        </w:rPr>
      </w:pPr>
      <w:r w:rsidRPr="001F6118">
        <w:rPr>
          <w:szCs w:val="22"/>
        </w:rPr>
        <w:lastRenderedPageBreak/>
        <w:t>What are disabled people’s experiences of accessing and going through the justice system?</w:t>
      </w:r>
    </w:p>
    <w:p w14:paraId="2AF7BD2B" w14:textId="77777777" w:rsidR="001F6118" w:rsidRPr="001F6118" w:rsidRDefault="001F6118" w:rsidP="001F6118">
      <w:pPr>
        <w:pStyle w:val="Heading4"/>
        <w:ind w:left="2874" w:hanging="1077"/>
        <w:jc w:val="left"/>
        <w:rPr>
          <w:szCs w:val="22"/>
        </w:rPr>
      </w:pPr>
      <w:r w:rsidRPr="001F6118">
        <w:rPr>
          <w:szCs w:val="22"/>
        </w:rPr>
        <w:t>How do disabled victims, defendants, convicted criminals, witnesses, jury members and employees of the justice system experience the justice system?</w:t>
      </w:r>
    </w:p>
    <w:p w14:paraId="7D20F26F" w14:textId="77777777" w:rsidR="001F6118" w:rsidRPr="001F6118" w:rsidRDefault="001F6118" w:rsidP="001F6118">
      <w:pPr>
        <w:pStyle w:val="Heading2"/>
        <w:jc w:val="left"/>
        <w:rPr>
          <w:szCs w:val="22"/>
        </w:rPr>
      </w:pPr>
      <w:r w:rsidRPr="001F6118">
        <w:rPr>
          <w:szCs w:val="22"/>
        </w:rPr>
        <w:t>These research questions are not comprehensive, nor limiting, and suppliers are actively encouraged to expand or even critically review the proposed topics, based on the findings of the systematic review. The systematic review will therefore cover a wide array of topics, likely including (but not limited to): daily lives, finances/poverty, home, local environment, relationships, wellbeing, employment, education, health, social care, mobility and transport, perception and discrimination, Covid-19, identity, aspirations and (perceived lack of) safety.</w:t>
      </w:r>
    </w:p>
    <w:p w14:paraId="74018807" w14:textId="77777777" w:rsidR="001F6118" w:rsidRPr="001F6118" w:rsidRDefault="001F6118" w:rsidP="001F6118">
      <w:pPr>
        <w:pStyle w:val="Heading3"/>
        <w:ind w:left="1797" w:hanging="1077"/>
        <w:jc w:val="left"/>
        <w:rPr>
          <w:szCs w:val="22"/>
        </w:rPr>
      </w:pPr>
      <w:r w:rsidRPr="001F6118">
        <w:rPr>
          <w:szCs w:val="22"/>
        </w:rPr>
        <w:t>The systematic review should:</w:t>
      </w:r>
    </w:p>
    <w:p w14:paraId="79CC708C" w14:textId="77777777" w:rsidR="001F6118" w:rsidRPr="001F6118" w:rsidRDefault="001F6118" w:rsidP="001F6118">
      <w:pPr>
        <w:pStyle w:val="Heading4"/>
        <w:ind w:left="2874" w:hanging="1077"/>
        <w:jc w:val="left"/>
        <w:rPr>
          <w:szCs w:val="22"/>
        </w:rPr>
      </w:pPr>
      <w:r w:rsidRPr="001F6118">
        <w:rPr>
          <w:szCs w:val="22"/>
        </w:rPr>
        <w:t>Cover the full breadth of research in this area (including published work and grey literature). It is also expected to include a variety of evidence sources, including public bodies / agencies, e.g. Equality and Human Rights Commission (EHRC), research bodies, e.g. Economic and Social Research Council (ESRC), trade unions and academic sources.</w:t>
      </w:r>
    </w:p>
    <w:p w14:paraId="33069C60" w14:textId="77777777" w:rsidR="001F6118" w:rsidRPr="001F6118" w:rsidRDefault="001F6118" w:rsidP="001F6118">
      <w:pPr>
        <w:pStyle w:val="Heading4"/>
        <w:ind w:left="2874" w:hanging="1077"/>
        <w:jc w:val="left"/>
        <w:rPr>
          <w:szCs w:val="22"/>
        </w:rPr>
      </w:pPr>
      <w:r w:rsidRPr="001F6118">
        <w:rPr>
          <w:szCs w:val="22"/>
        </w:rPr>
        <w:t>Identify key findings and ‘take away’ insights from this body of evidence. This evidence base should be easily digestible, so key points must be clearly drawn out and well referenced.</w:t>
      </w:r>
    </w:p>
    <w:p w14:paraId="1FA9EFE9" w14:textId="77777777" w:rsidR="001F6118" w:rsidRPr="001F6118" w:rsidRDefault="001F6118" w:rsidP="001F6118">
      <w:pPr>
        <w:pStyle w:val="Heading4"/>
        <w:ind w:left="2874" w:hanging="1077"/>
        <w:jc w:val="left"/>
        <w:rPr>
          <w:szCs w:val="22"/>
        </w:rPr>
      </w:pPr>
      <w:r w:rsidRPr="001F6118">
        <w:rPr>
          <w:szCs w:val="22"/>
        </w:rPr>
        <w:t xml:space="preserve">Be written and structured so as to be easily accessible by stakeholders. Stakeholders include policy makers across government (many of whom will not be experts on disability), as well as academic and third sector organisations. It is the intention to publish the systematic review on gov.uk, so it needs to be clear, concise and well-organised, with content organised similarly to how it is on </w:t>
      </w:r>
      <w:hyperlink r:id="rId21">
        <w:r w:rsidRPr="001F6118">
          <w:rPr>
            <w:color w:val="1155CC"/>
            <w:szCs w:val="22"/>
            <w:u w:val="single"/>
          </w:rPr>
          <w:t>https://www.gov.uk/browse</w:t>
        </w:r>
      </w:hyperlink>
      <w:r w:rsidRPr="001F6118">
        <w:rPr>
          <w:color w:val="1155CC"/>
          <w:szCs w:val="22"/>
          <w:u w:val="single"/>
        </w:rPr>
        <w:t>.</w:t>
      </w:r>
    </w:p>
    <w:p w14:paraId="556579BC" w14:textId="77777777" w:rsidR="001F6118" w:rsidRPr="001F6118" w:rsidRDefault="001F6118" w:rsidP="001F6118">
      <w:pPr>
        <w:pStyle w:val="Heading4"/>
        <w:ind w:left="2874" w:hanging="1077"/>
        <w:jc w:val="left"/>
        <w:rPr>
          <w:szCs w:val="22"/>
        </w:rPr>
      </w:pPr>
      <w:r w:rsidRPr="001F6118">
        <w:rPr>
          <w:szCs w:val="22"/>
        </w:rPr>
        <w:t xml:space="preserve">Develop a clear list of criteria for testing the robustness of sources, and apply these tests to the evidence base in order to identify gaps. </w:t>
      </w:r>
    </w:p>
    <w:p w14:paraId="30FC1510" w14:textId="77777777" w:rsidR="001F6118" w:rsidRPr="001F6118" w:rsidRDefault="001F6118" w:rsidP="001F6118">
      <w:pPr>
        <w:pStyle w:val="Heading4"/>
        <w:ind w:left="2874" w:hanging="1077"/>
        <w:jc w:val="left"/>
        <w:rPr>
          <w:szCs w:val="22"/>
        </w:rPr>
      </w:pPr>
      <w:r w:rsidRPr="001F6118">
        <w:rPr>
          <w:szCs w:val="22"/>
        </w:rPr>
        <w:t>Develop a means by which new evidence can be added, and the evidence base updated and refreshed on an ongoing basis. This could, for example, be a process which individuals and organisations can use to summarise and submit their own evidence for inclusion. This will need to be developed in close collaboration with Disability Unit and their academic advisors and partners to ensure that it is feasible to implement.</w:t>
      </w:r>
    </w:p>
    <w:p w14:paraId="51C0D2A4" w14:textId="77777777" w:rsidR="001F6118" w:rsidRPr="001F6118" w:rsidRDefault="001F6118" w:rsidP="001F6118">
      <w:pPr>
        <w:pStyle w:val="Heading4"/>
        <w:ind w:left="2874" w:hanging="1077"/>
        <w:jc w:val="left"/>
        <w:rPr>
          <w:szCs w:val="22"/>
        </w:rPr>
      </w:pPr>
      <w:r w:rsidRPr="001F6118">
        <w:rPr>
          <w:szCs w:val="22"/>
        </w:rPr>
        <w:t xml:space="preserve">The Disability Unit would like to bring all of the evidence on disability into one place (also including, for example, Disability Unit’s own research and synthesis of government data on </w:t>
      </w:r>
      <w:r w:rsidRPr="001F6118">
        <w:rPr>
          <w:szCs w:val="22"/>
        </w:rPr>
        <w:lastRenderedPageBreak/>
        <w:t>disabled people). The Supplier is not expected to be familiar with this evidence or to synthesise it themselves, but they should be prepared to work with Disability Unit’s evidence &amp; insight team on the structure and format of the final report in order to allow Disability Unit analysts to synthesise all of the evidence into this ‘one stop shop’. This can happen through the drafting process set out in the milestones below.</w:t>
      </w:r>
    </w:p>
    <w:p w14:paraId="6D5DB085" w14:textId="77777777" w:rsidR="001F6118" w:rsidRPr="001F6118" w:rsidRDefault="001F6118" w:rsidP="001F6118">
      <w:pPr>
        <w:pStyle w:val="Heading4"/>
        <w:ind w:left="2874" w:hanging="1077"/>
        <w:jc w:val="left"/>
        <w:rPr>
          <w:szCs w:val="22"/>
        </w:rPr>
      </w:pPr>
      <w:r w:rsidRPr="001F6118">
        <w:rPr>
          <w:szCs w:val="22"/>
        </w:rPr>
        <w:t>Be focused on the lived experience of disabled people in the UK and its constituent countries, though can include material from other countries in relation to examples of positive experiences.</w:t>
      </w:r>
    </w:p>
    <w:p w14:paraId="3E49E171" w14:textId="77777777" w:rsidR="001F6118" w:rsidRPr="001F6118" w:rsidRDefault="001F6118" w:rsidP="001F6118">
      <w:pPr>
        <w:pStyle w:val="Heading3"/>
        <w:ind w:left="1797" w:hanging="1077"/>
        <w:jc w:val="left"/>
        <w:rPr>
          <w:szCs w:val="22"/>
        </w:rPr>
      </w:pPr>
      <w:r w:rsidRPr="001F6118">
        <w:rPr>
          <w:szCs w:val="22"/>
        </w:rPr>
        <w:t>The Unit welcomes collaborative teams, in which the Supplier is comprised of 2 or more different organisations which between them consist of the required expertise and skills.</w:t>
      </w:r>
    </w:p>
    <w:p w14:paraId="335A8118" w14:textId="77777777" w:rsidR="001F6118" w:rsidRPr="001F6118" w:rsidRDefault="001F6118" w:rsidP="001F6118">
      <w:pPr>
        <w:pStyle w:val="Heading1"/>
        <w:spacing w:after="120"/>
        <w:rPr>
          <w:szCs w:val="22"/>
        </w:rPr>
      </w:pPr>
      <w:bookmarkStart w:id="125" w:name="_Toc368573032"/>
      <w:bookmarkStart w:id="126" w:name="_Toc65758990"/>
      <w:r w:rsidRPr="001F6118">
        <w:rPr>
          <w:szCs w:val="22"/>
        </w:rPr>
        <w:t>key milestones</w:t>
      </w:r>
      <w:bookmarkEnd w:id="125"/>
      <w:r w:rsidRPr="001F6118">
        <w:rPr>
          <w:szCs w:val="22"/>
        </w:rPr>
        <w:t xml:space="preserve"> and Deliverables</w:t>
      </w:r>
      <w:bookmarkEnd w:id="126"/>
    </w:p>
    <w:p w14:paraId="321755C7" w14:textId="77777777" w:rsidR="001F6118" w:rsidRPr="001F6118" w:rsidRDefault="001F6118" w:rsidP="001F6118">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1F6118">
        <w:rPr>
          <w:rFonts w:cs="Arial"/>
          <w:szCs w:val="22"/>
        </w:rPr>
        <w:t>The following Contract milestones/deliverables shall apply:</w:t>
      </w:r>
    </w:p>
    <w:tbl>
      <w:tblPr>
        <w:tblStyle w:val="TableGrid"/>
        <w:tblW w:w="5000" w:type="pct"/>
        <w:tblLook w:val="04A0" w:firstRow="1" w:lastRow="0" w:firstColumn="1" w:lastColumn="0" w:noHBand="0" w:noVBand="1"/>
      </w:tblPr>
      <w:tblGrid>
        <w:gridCol w:w="2466"/>
        <w:gridCol w:w="4050"/>
        <w:gridCol w:w="2503"/>
      </w:tblGrid>
      <w:tr w:rsidR="001F6118" w:rsidRPr="001F6118" w14:paraId="2DE49F12" w14:textId="77777777" w:rsidTr="00A70A59">
        <w:tc>
          <w:tcPr>
            <w:tcW w:w="898" w:type="pct"/>
            <w:shd w:val="clear" w:color="auto" w:fill="B8CCE4" w:themeFill="accent1" w:themeFillTint="66"/>
            <w:vAlign w:val="center"/>
          </w:tcPr>
          <w:p w14:paraId="444287E3" w14:textId="77777777" w:rsidR="001F6118" w:rsidRPr="001F6118" w:rsidRDefault="001F6118" w:rsidP="00A70A59">
            <w:pPr>
              <w:pStyle w:val="Heading3"/>
              <w:numPr>
                <w:ilvl w:val="0"/>
                <w:numId w:val="0"/>
              </w:numPr>
              <w:spacing w:after="120"/>
              <w:jc w:val="center"/>
              <w:outlineLvl w:val="2"/>
              <w:rPr>
                <w:b/>
                <w:szCs w:val="22"/>
              </w:rPr>
            </w:pPr>
            <w:r w:rsidRPr="001F6118">
              <w:rPr>
                <w:b/>
                <w:szCs w:val="22"/>
              </w:rPr>
              <w:t>Milestone/Deliverable</w:t>
            </w:r>
          </w:p>
        </w:tc>
        <w:tc>
          <w:tcPr>
            <w:tcW w:w="2480" w:type="pct"/>
            <w:shd w:val="clear" w:color="auto" w:fill="B8CCE4" w:themeFill="accent1" w:themeFillTint="66"/>
            <w:vAlign w:val="center"/>
          </w:tcPr>
          <w:p w14:paraId="4763EC13" w14:textId="77777777" w:rsidR="001F6118" w:rsidRPr="001F6118" w:rsidRDefault="001F6118" w:rsidP="00A70A59">
            <w:pPr>
              <w:pStyle w:val="Heading3"/>
              <w:numPr>
                <w:ilvl w:val="0"/>
                <w:numId w:val="0"/>
              </w:numPr>
              <w:spacing w:after="120"/>
              <w:jc w:val="center"/>
              <w:outlineLvl w:val="2"/>
              <w:rPr>
                <w:b/>
                <w:szCs w:val="22"/>
              </w:rPr>
            </w:pPr>
            <w:r w:rsidRPr="001F6118">
              <w:rPr>
                <w:b/>
                <w:szCs w:val="22"/>
              </w:rPr>
              <w:t>Description</w:t>
            </w:r>
          </w:p>
        </w:tc>
        <w:tc>
          <w:tcPr>
            <w:tcW w:w="1622" w:type="pct"/>
            <w:shd w:val="clear" w:color="auto" w:fill="B8CCE4" w:themeFill="accent1" w:themeFillTint="66"/>
            <w:vAlign w:val="center"/>
          </w:tcPr>
          <w:p w14:paraId="5F648239" w14:textId="77777777" w:rsidR="001F6118" w:rsidRPr="001F6118" w:rsidRDefault="001F6118" w:rsidP="00A70A59">
            <w:pPr>
              <w:pStyle w:val="Heading3"/>
              <w:numPr>
                <w:ilvl w:val="0"/>
                <w:numId w:val="0"/>
              </w:numPr>
              <w:spacing w:after="120"/>
              <w:jc w:val="center"/>
              <w:outlineLvl w:val="2"/>
              <w:rPr>
                <w:b/>
                <w:szCs w:val="22"/>
              </w:rPr>
            </w:pPr>
            <w:r w:rsidRPr="001F6118">
              <w:rPr>
                <w:b/>
                <w:szCs w:val="22"/>
              </w:rPr>
              <w:t>Timeframe or Delivery Date</w:t>
            </w:r>
          </w:p>
        </w:tc>
      </w:tr>
      <w:tr w:rsidR="001F6118" w:rsidRPr="001F6118" w14:paraId="79A9F693" w14:textId="77777777" w:rsidTr="00A70A59">
        <w:tc>
          <w:tcPr>
            <w:tcW w:w="898" w:type="pct"/>
            <w:shd w:val="clear" w:color="auto" w:fill="auto"/>
            <w:vAlign w:val="center"/>
          </w:tcPr>
          <w:p w14:paraId="36B751A0"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1</w:t>
            </w:r>
          </w:p>
        </w:tc>
        <w:tc>
          <w:tcPr>
            <w:tcW w:w="2480" w:type="pct"/>
            <w:vAlign w:val="center"/>
          </w:tcPr>
          <w:p w14:paraId="31C34A08" w14:textId="77777777" w:rsidR="001F6118" w:rsidRPr="001F6118" w:rsidRDefault="001F6118" w:rsidP="00A70A59">
            <w:pPr>
              <w:pStyle w:val="Heading3"/>
              <w:numPr>
                <w:ilvl w:val="0"/>
                <w:numId w:val="0"/>
              </w:numPr>
              <w:spacing w:after="120"/>
              <w:jc w:val="left"/>
              <w:outlineLvl w:val="2"/>
              <w:rPr>
                <w:szCs w:val="22"/>
                <w:highlight w:val="yellow"/>
              </w:rPr>
            </w:pPr>
            <w:r w:rsidRPr="001F6118">
              <w:rPr>
                <w:color w:val="000000"/>
                <w:szCs w:val="22"/>
              </w:rPr>
              <w:t>Work commences</w:t>
            </w:r>
          </w:p>
        </w:tc>
        <w:tc>
          <w:tcPr>
            <w:tcW w:w="1622" w:type="pct"/>
            <w:vAlign w:val="center"/>
          </w:tcPr>
          <w:p w14:paraId="2BFBE5C1" w14:textId="77777777" w:rsidR="001F6118" w:rsidRPr="001F6118" w:rsidRDefault="001F6118" w:rsidP="00A70A59">
            <w:pPr>
              <w:pStyle w:val="Heading3"/>
              <w:numPr>
                <w:ilvl w:val="0"/>
                <w:numId w:val="0"/>
              </w:numPr>
              <w:spacing w:after="120"/>
              <w:jc w:val="center"/>
              <w:outlineLvl w:val="2"/>
              <w:rPr>
                <w:szCs w:val="22"/>
                <w:highlight w:val="yellow"/>
              </w:rPr>
            </w:pPr>
            <w:r w:rsidRPr="001F6118">
              <w:rPr>
                <w:color w:val="000000"/>
                <w:szCs w:val="22"/>
              </w:rPr>
              <w:t>By Week 1 of contract award</w:t>
            </w:r>
          </w:p>
        </w:tc>
      </w:tr>
      <w:tr w:rsidR="001F6118" w:rsidRPr="001F6118" w14:paraId="5C154CF2" w14:textId="77777777" w:rsidTr="00A70A59">
        <w:tc>
          <w:tcPr>
            <w:tcW w:w="898" w:type="pct"/>
            <w:shd w:val="clear" w:color="auto" w:fill="auto"/>
            <w:vAlign w:val="center"/>
          </w:tcPr>
          <w:p w14:paraId="086560F6"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2</w:t>
            </w:r>
          </w:p>
        </w:tc>
        <w:tc>
          <w:tcPr>
            <w:tcW w:w="2480" w:type="pct"/>
            <w:vAlign w:val="center"/>
          </w:tcPr>
          <w:p w14:paraId="34458513" w14:textId="77777777" w:rsidR="001F6118" w:rsidRPr="001F6118" w:rsidRDefault="001F6118" w:rsidP="00A70A59">
            <w:pPr>
              <w:pStyle w:val="Heading3"/>
              <w:numPr>
                <w:ilvl w:val="0"/>
                <w:numId w:val="0"/>
              </w:numPr>
              <w:spacing w:after="120"/>
              <w:jc w:val="left"/>
              <w:outlineLvl w:val="2"/>
              <w:rPr>
                <w:szCs w:val="22"/>
                <w:highlight w:val="yellow"/>
              </w:rPr>
            </w:pPr>
            <w:r w:rsidRPr="001F6118">
              <w:rPr>
                <w:color w:val="000000"/>
                <w:szCs w:val="22"/>
              </w:rPr>
              <w:t>Research Protocol developed and agreed</w:t>
            </w:r>
          </w:p>
        </w:tc>
        <w:tc>
          <w:tcPr>
            <w:tcW w:w="1622" w:type="pct"/>
            <w:vAlign w:val="center"/>
          </w:tcPr>
          <w:p w14:paraId="6A0EFD38" w14:textId="77777777" w:rsidR="001F6118" w:rsidRPr="001F6118" w:rsidRDefault="001F6118" w:rsidP="00A70A59">
            <w:pPr>
              <w:pStyle w:val="Heading3"/>
              <w:numPr>
                <w:ilvl w:val="0"/>
                <w:numId w:val="0"/>
              </w:numPr>
              <w:spacing w:after="120"/>
              <w:jc w:val="center"/>
              <w:outlineLvl w:val="2"/>
              <w:rPr>
                <w:szCs w:val="22"/>
                <w:highlight w:val="yellow"/>
              </w:rPr>
            </w:pPr>
            <w:r w:rsidRPr="001F6118">
              <w:rPr>
                <w:color w:val="000000"/>
                <w:szCs w:val="22"/>
              </w:rPr>
              <w:t>By week 4 of contract award</w:t>
            </w:r>
          </w:p>
        </w:tc>
      </w:tr>
      <w:tr w:rsidR="001F6118" w:rsidRPr="001F6118" w14:paraId="4265370C" w14:textId="77777777" w:rsidTr="00A70A59">
        <w:tc>
          <w:tcPr>
            <w:tcW w:w="898" w:type="pct"/>
            <w:shd w:val="clear" w:color="auto" w:fill="auto"/>
            <w:vAlign w:val="center"/>
          </w:tcPr>
          <w:p w14:paraId="3835C691"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3</w:t>
            </w:r>
          </w:p>
        </w:tc>
        <w:tc>
          <w:tcPr>
            <w:tcW w:w="2480" w:type="pct"/>
            <w:vAlign w:val="center"/>
          </w:tcPr>
          <w:p w14:paraId="020F7CAD" w14:textId="77777777" w:rsidR="001F6118" w:rsidRPr="001F6118" w:rsidRDefault="001F6118" w:rsidP="00A70A59">
            <w:pPr>
              <w:pStyle w:val="Heading3"/>
              <w:numPr>
                <w:ilvl w:val="0"/>
                <w:numId w:val="0"/>
              </w:numPr>
              <w:spacing w:after="120"/>
              <w:jc w:val="left"/>
              <w:outlineLvl w:val="2"/>
              <w:rPr>
                <w:szCs w:val="22"/>
                <w:highlight w:val="yellow"/>
              </w:rPr>
            </w:pPr>
            <w:r w:rsidRPr="001F6118">
              <w:rPr>
                <w:color w:val="000000"/>
                <w:szCs w:val="22"/>
              </w:rPr>
              <w:t>Literature Search and selection of evidence completed</w:t>
            </w:r>
          </w:p>
        </w:tc>
        <w:tc>
          <w:tcPr>
            <w:tcW w:w="1622" w:type="pct"/>
            <w:vAlign w:val="center"/>
          </w:tcPr>
          <w:p w14:paraId="272E9DB7" w14:textId="77777777" w:rsidR="001F6118" w:rsidRPr="001F6118" w:rsidRDefault="001F6118" w:rsidP="00A70A59">
            <w:pPr>
              <w:pStyle w:val="Heading3"/>
              <w:numPr>
                <w:ilvl w:val="0"/>
                <w:numId w:val="0"/>
              </w:numPr>
              <w:spacing w:after="120"/>
              <w:jc w:val="center"/>
              <w:outlineLvl w:val="2"/>
              <w:rPr>
                <w:szCs w:val="22"/>
                <w:highlight w:val="yellow"/>
              </w:rPr>
            </w:pPr>
            <w:r w:rsidRPr="001F6118">
              <w:rPr>
                <w:color w:val="000000"/>
                <w:szCs w:val="22"/>
              </w:rPr>
              <w:t>By week 8 of contract award</w:t>
            </w:r>
          </w:p>
        </w:tc>
      </w:tr>
      <w:tr w:rsidR="001F6118" w:rsidRPr="001F6118" w14:paraId="6C27A969" w14:textId="77777777" w:rsidTr="00A70A59">
        <w:tc>
          <w:tcPr>
            <w:tcW w:w="898" w:type="pct"/>
            <w:shd w:val="clear" w:color="auto" w:fill="auto"/>
            <w:vAlign w:val="center"/>
          </w:tcPr>
          <w:p w14:paraId="3FFD8F5E"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4</w:t>
            </w:r>
          </w:p>
        </w:tc>
        <w:tc>
          <w:tcPr>
            <w:tcW w:w="2480" w:type="pct"/>
            <w:vAlign w:val="center"/>
          </w:tcPr>
          <w:p w14:paraId="7D71D1FA" w14:textId="77777777" w:rsidR="001F6118" w:rsidRPr="001F6118" w:rsidRDefault="001F6118" w:rsidP="00A70A59">
            <w:pPr>
              <w:pStyle w:val="Heading3"/>
              <w:numPr>
                <w:ilvl w:val="0"/>
                <w:numId w:val="0"/>
              </w:numPr>
              <w:spacing w:after="120"/>
              <w:jc w:val="left"/>
              <w:outlineLvl w:val="2"/>
              <w:rPr>
                <w:szCs w:val="22"/>
                <w:highlight w:val="yellow"/>
              </w:rPr>
            </w:pPr>
            <w:r w:rsidRPr="001F6118">
              <w:rPr>
                <w:color w:val="000000"/>
                <w:szCs w:val="22"/>
              </w:rPr>
              <w:t>Development and application of criteria for testing robustness completed</w:t>
            </w:r>
          </w:p>
        </w:tc>
        <w:tc>
          <w:tcPr>
            <w:tcW w:w="1622" w:type="pct"/>
            <w:vAlign w:val="center"/>
          </w:tcPr>
          <w:p w14:paraId="129152F1" w14:textId="77777777" w:rsidR="001F6118" w:rsidRPr="001F6118" w:rsidRDefault="001F6118" w:rsidP="00A70A59">
            <w:pPr>
              <w:pStyle w:val="Heading3"/>
              <w:numPr>
                <w:ilvl w:val="0"/>
                <w:numId w:val="0"/>
              </w:numPr>
              <w:spacing w:after="120"/>
              <w:jc w:val="center"/>
              <w:outlineLvl w:val="2"/>
              <w:rPr>
                <w:szCs w:val="22"/>
              </w:rPr>
            </w:pPr>
            <w:r w:rsidRPr="001F6118">
              <w:rPr>
                <w:color w:val="000000"/>
                <w:szCs w:val="22"/>
              </w:rPr>
              <w:t>By week 10 of contract award</w:t>
            </w:r>
          </w:p>
        </w:tc>
      </w:tr>
      <w:tr w:rsidR="001F6118" w:rsidRPr="001F6118" w14:paraId="3D980B0B" w14:textId="77777777" w:rsidTr="00A70A59">
        <w:tc>
          <w:tcPr>
            <w:tcW w:w="898" w:type="pct"/>
            <w:shd w:val="clear" w:color="auto" w:fill="auto"/>
            <w:vAlign w:val="center"/>
          </w:tcPr>
          <w:p w14:paraId="489B1462"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5</w:t>
            </w:r>
          </w:p>
        </w:tc>
        <w:tc>
          <w:tcPr>
            <w:tcW w:w="2480" w:type="pct"/>
            <w:vAlign w:val="center"/>
          </w:tcPr>
          <w:p w14:paraId="0069DB88" w14:textId="77777777" w:rsidR="001F6118" w:rsidRPr="001F6118" w:rsidRDefault="001F6118" w:rsidP="00A70A59">
            <w:pPr>
              <w:pStyle w:val="Heading3"/>
              <w:numPr>
                <w:ilvl w:val="0"/>
                <w:numId w:val="0"/>
              </w:numPr>
              <w:spacing w:after="120"/>
              <w:jc w:val="left"/>
              <w:outlineLvl w:val="2"/>
              <w:rPr>
                <w:szCs w:val="22"/>
                <w:shd w:val="clear" w:color="auto" w:fill="FFFF99"/>
              </w:rPr>
            </w:pPr>
            <w:r w:rsidRPr="001F6118">
              <w:rPr>
                <w:color w:val="000000"/>
                <w:szCs w:val="22"/>
              </w:rPr>
              <w:t>Extraction and synthesis of data completed</w:t>
            </w:r>
          </w:p>
        </w:tc>
        <w:tc>
          <w:tcPr>
            <w:tcW w:w="1622" w:type="pct"/>
            <w:vAlign w:val="center"/>
          </w:tcPr>
          <w:p w14:paraId="7817A168" w14:textId="77777777" w:rsidR="001F6118" w:rsidRPr="001F6118" w:rsidRDefault="001F6118" w:rsidP="00A70A59">
            <w:pPr>
              <w:pStyle w:val="Heading3"/>
              <w:numPr>
                <w:ilvl w:val="0"/>
                <w:numId w:val="0"/>
              </w:numPr>
              <w:spacing w:after="120"/>
              <w:jc w:val="center"/>
              <w:outlineLvl w:val="2"/>
              <w:rPr>
                <w:szCs w:val="22"/>
                <w:shd w:val="clear" w:color="auto" w:fill="FFFF99"/>
              </w:rPr>
            </w:pPr>
            <w:r w:rsidRPr="001F6118">
              <w:rPr>
                <w:color w:val="000000"/>
                <w:szCs w:val="22"/>
              </w:rPr>
              <w:t>By Week 16 of contract award</w:t>
            </w:r>
          </w:p>
        </w:tc>
      </w:tr>
      <w:tr w:rsidR="001F6118" w:rsidRPr="001F6118" w14:paraId="548E7C74" w14:textId="77777777" w:rsidTr="00A70A59">
        <w:tc>
          <w:tcPr>
            <w:tcW w:w="898" w:type="pct"/>
            <w:shd w:val="clear" w:color="auto" w:fill="auto"/>
            <w:vAlign w:val="center"/>
          </w:tcPr>
          <w:p w14:paraId="0CEC7B64"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6</w:t>
            </w:r>
          </w:p>
        </w:tc>
        <w:tc>
          <w:tcPr>
            <w:tcW w:w="2480" w:type="pct"/>
            <w:vAlign w:val="center"/>
          </w:tcPr>
          <w:p w14:paraId="67466F5C" w14:textId="77777777" w:rsidR="001F6118" w:rsidRPr="001F6118" w:rsidRDefault="001F6118" w:rsidP="00A70A59">
            <w:pPr>
              <w:pStyle w:val="Heading3"/>
              <w:numPr>
                <w:ilvl w:val="0"/>
                <w:numId w:val="0"/>
              </w:numPr>
              <w:spacing w:after="120"/>
              <w:jc w:val="left"/>
              <w:outlineLvl w:val="2"/>
              <w:rPr>
                <w:szCs w:val="22"/>
                <w:shd w:val="clear" w:color="auto" w:fill="FFFF99"/>
              </w:rPr>
            </w:pPr>
            <w:r w:rsidRPr="001F6118">
              <w:rPr>
                <w:color w:val="000000"/>
                <w:szCs w:val="22"/>
              </w:rPr>
              <w:t>First draft of final report completed</w:t>
            </w:r>
          </w:p>
        </w:tc>
        <w:tc>
          <w:tcPr>
            <w:tcW w:w="1622" w:type="pct"/>
            <w:vAlign w:val="center"/>
          </w:tcPr>
          <w:p w14:paraId="142B19EE" w14:textId="77777777" w:rsidR="001F6118" w:rsidRPr="001F6118" w:rsidRDefault="001F6118" w:rsidP="00A70A59">
            <w:pPr>
              <w:pStyle w:val="Heading3"/>
              <w:numPr>
                <w:ilvl w:val="0"/>
                <w:numId w:val="0"/>
              </w:numPr>
              <w:spacing w:after="120"/>
              <w:jc w:val="center"/>
              <w:outlineLvl w:val="2"/>
              <w:rPr>
                <w:szCs w:val="22"/>
                <w:shd w:val="clear" w:color="auto" w:fill="FFFF99"/>
              </w:rPr>
            </w:pPr>
            <w:r w:rsidRPr="001F6118">
              <w:rPr>
                <w:color w:val="000000"/>
                <w:szCs w:val="22"/>
              </w:rPr>
              <w:t>By Week 20 of contract award</w:t>
            </w:r>
          </w:p>
        </w:tc>
      </w:tr>
      <w:tr w:rsidR="001F6118" w:rsidRPr="001F6118" w14:paraId="18A98C80" w14:textId="77777777" w:rsidTr="00A70A59">
        <w:tc>
          <w:tcPr>
            <w:tcW w:w="898" w:type="pct"/>
            <w:shd w:val="clear" w:color="auto" w:fill="auto"/>
            <w:vAlign w:val="center"/>
          </w:tcPr>
          <w:p w14:paraId="7949426F"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7</w:t>
            </w:r>
          </w:p>
        </w:tc>
        <w:tc>
          <w:tcPr>
            <w:tcW w:w="2480" w:type="pct"/>
            <w:vAlign w:val="center"/>
          </w:tcPr>
          <w:p w14:paraId="0A86836E" w14:textId="77777777" w:rsidR="001F6118" w:rsidRPr="001F6118" w:rsidRDefault="001F6118" w:rsidP="00A70A59">
            <w:pPr>
              <w:pStyle w:val="Heading3"/>
              <w:numPr>
                <w:ilvl w:val="0"/>
                <w:numId w:val="0"/>
              </w:numPr>
              <w:spacing w:after="120"/>
              <w:jc w:val="left"/>
              <w:outlineLvl w:val="2"/>
              <w:rPr>
                <w:szCs w:val="22"/>
                <w:shd w:val="clear" w:color="auto" w:fill="FFFF99"/>
              </w:rPr>
            </w:pPr>
            <w:r w:rsidRPr="001F6118">
              <w:rPr>
                <w:color w:val="000000"/>
                <w:szCs w:val="22"/>
              </w:rPr>
              <w:t>Second draft of final report completed</w:t>
            </w:r>
          </w:p>
        </w:tc>
        <w:tc>
          <w:tcPr>
            <w:tcW w:w="1622" w:type="pct"/>
            <w:vAlign w:val="center"/>
          </w:tcPr>
          <w:p w14:paraId="656CC409" w14:textId="77777777" w:rsidR="001F6118" w:rsidRPr="001F6118" w:rsidRDefault="001F6118" w:rsidP="00A70A59">
            <w:pPr>
              <w:pStyle w:val="Heading3"/>
              <w:numPr>
                <w:ilvl w:val="0"/>
                <w:numId w:val="0"/>
              </w:numPr>
              <w:spacing w:after="120"/>
              <w:jc w:val="center"/>
              <w:outlineLvl w:val="2"/>
              <w:rPr>
                <w:szCs w:val="22"/>
                <w:shd w:val="clear" w:color="auto" w:fill="FFFF99"/>
              </w:rPr>
            </w:pPr>
            <w:r w:rsidRPr="001F6118">
              <w:rPr>
                <w:color w:val="000000"/>
                <w:szCs w:val="22"/>
              </w:rPr>
              <w:t>By Week 22 of contract award</w:t>
            </w:r>
          </w:p>
        </w:tc>
      </w:tr>
      <w:tr w:rsidR="001F6118" w:rsidRPr="001F6118" w14:paraId="68218DAF" w14:textId="77777777" w:rsidTr="00A70A59">
        <w:tc>
          <w:tcPr>
            <w:tcW w:w="898" w:type="pct"/>
            <w:shd w:val="clear" w:color="auto" w:fill="auto"/>
            <w:vAlign w:val="center"/>
          </w:tcPr>
          <w:p w14:paraId="3B7FCE50"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8</w:t>
            </w:r>
          </w:p>
        </w:tc>
        <w:tc>
          <w:tcPr>
            <w:tcW w:w="2480" w:type="pct"/>
            <w:vAlign w:val="center"/>
          </w:tcPr>
          <w:p w14:paraId="311A954D" w14:textId="77777777" w:rsidR="001F6118" w:rsidRPr="001F6118" w:rsidRDefault="001F6118" w:rsidP="00A70A59">
            <w:pPr>
              <w:pStyle w:val="Heading3"/>
              <w:numPr>
                <w:ilvl w:val="0"/>
                <w:numId w:val="0"/>
              </w:numPr>
              <w:spacing w:after="120"/>
              <w:jc w:val="left"/>
              <w:outlineLvl w:val="2"/>
              <w:rPr>
                <w:szCs w:val="22"/>
                <w:shd w:val="clear" w:color="auto" w:fill="FFFF99"/>
              </w:rPr>
            </w:pPr>
            <w:r w:rsidRPr="001F6118">
              <w:rPr>
                <w:color w:val="000000"/>
                <w:szCs w:val="22"/>
              </w:rPr>
              <w:t>Third and final version of final report completed, plus final presentation of findings to the Disability Unit team</w:t>
            </w:r>
          </w:p>
        </w:tc>
        <w:tc>
          <w:tcPr>
            <w:tcW w:w="1622" w:type="pct"/>
            <w:vAlign w:val="center"/>
          </w:tcPr>
          <w:p w14:paraId="63DE7453" w14:textId="77777777" w:rsidR="001F6118" w:rsidRPr="001F6118" w:rsidRDefault="001F6118" w:rsidP="00A70A59">
            <w:pPr>
              <w:pStyle w:val="Heading3"/>
              <w:numPr>
                <w:ilvl w:val="0"/>
                <w:numId w:val="0"/>
              </w:numPr>
              <w:spacing w:after="120"/>
              <w:jc w:val="center"/>
              <w:outlineLvl w:val="2"/>
              <w:rPr>
                <w:szCs w:val="22"/>
                <w:shd w:val="clear" w:color="auto" w:fill="FFFF99"/>
              </w:rPr>
            </w:pPr>
            <w:r w:rsidRPr="001F6118">
              <w:rPr>
                <w:color w:val="000000"/>
                <w:szCs w:val="22"/>
              </w:rPr>
              <w:t>By Week 24 of contract award</w:t>
            </w:r>
          </w:p>
        </w:tc>
      </w:tr>
      <w:tr w:rsidR="001F6118" w:rsidRPr="001F6118" w14:paraId="19642A28" w14:textId="77777777" w:rsidTr="00A70A59">
        <w:tc>
          <w:tcPr>
            <w:tcW w:w="898" w:type="pct"/>
            <w:shd w:val="clear" w:color="auto" w:fill="auto"/>
            <w:vAlign w:val="center"/>
          </w:tcPr>
          <w:p w14:paraId="6A45643D" w14:textId="77777777" w:rsidR="001F6118" w:rsidRPr="001F6118" w:rsidRDefault="001F6118" w:rsidP="00A70A59">
            <w:pPr>
              <w:pStyle w:val="Heading3"/>
              <w:numPr>
                <w:ilvl w:val="0"/>
                <w:numId w:val="0"/>
              </w:numPr>
              <w:spacing w:after="120"/>
              <w:jc w:val="center"/>
              <w:outlineLvl w:val="2"/>
              <w:rPr>
                <w:color w:val="000000"/>
                <w:szCs w:val="22"/>
              </w:rPr>
            </w:pPr>
            <w:r w:rsidRPr="001F6118">
              <w:rPr>
                <w:color w:val="000000"/>
                <w:szCs w:val="22"/>
              </w:rPr>
              <w:t>9</w:t>
            </w:r>
          </w:p>
        </w:tc>
        <w:tc>
          <w:tcPr>
            <w:tcW w:w="2480" w:type="pct"/>
            <w:vAlign w:val="center"/>
          </w:tcPr>
          <w:p w14:paraId="0323670F" w14:textId="77777777" w:rsidR="001F6118" w:rsidRPr="001F6118" w:rsidRDefault="001F6118" w:rsidP="00A70A59">
            <w:pPr>
              <w:pStyle w:val="Heading3"/>
              <w:numPr>
                <w:ilvl w:val="0"/>
                <w:numId w:val="0"/>
              </w:numPr>
              <w:spacing w:after="120"/>
              <w:jc w:val="left"/>
              <w:outlineLvl w:val="2"/>
              <w:rPr>
                <w:szCs w:val="22"/>
                <w:shd w:val="clear" w:color="auto" w:fill="FFFF99"/>
              </w:rPr>
            </w:pPr>
            <w:r w:rsidRPr="001F6118">
              <w:rPr>
                <w:color w:val="000000"/>
                <w:szCs w:val="22"/>
              </w:rPr>
              <w:t>Development of process for ongoing updates and additions to the review</w:t>
            </w:r>
          </w:p>
        </w:tc>
        <w:tc>
          <w:tcPr>
            <w:tcW w:w="1622" w:type="pct"/>
            <w:vAlign w:val="center"/>
          </w:tcPr>
          <w:p w14:paraId="00355756" w14:textId="77777777" w:rsidR="001F6118" w:rsidRPr="001F6118" w:rsidRDefault="001F6118" w:rsidP="00A70A59">
            <w:pPr>
              <w:pStyle w:val="Heading3"/>
              <w:numPr>
                <w:ilvl w:val="0"/>
                <w:numId w:val="0"/>
              </w:numPr>
              <w:spacing w:after="120"/>
              <w:jc w:val="center"/>
              <w:outlineLvl w:val="2"/>
              <w:rPr>
                <w:szCs w:val="22"/>
                <w:shd w:val="clear" w:color="auto" w:fill="FFFF99"/>
              </w:rPr>
            </w:pPr>
            <w:r w:rsidRPr="001F6118">
              <w:rPr>
                <w:color w:val="000000"/>
                <w:szCs w:val="22"/>
              </w:rPr>
              <w:t>By Week 26 of contract award</w:t>
            </w:r>
          </w:p>
        </w:tc>
      </w:tr>
    </w:tbl>
    <w:p w14:paraId="32B1F593" w14:textId="77777777" w:rsidR="001F6118" w:rsidRPr="001F6118" w:rsidRDefault="001F6118" w:rsidP="001F6118">
      <w:pPr>
        <w:pStyle w:val="Heading1"/>
        <w:numPr>
          <w:ilvl w:val="0"/>
          <w:numId w:val="0"/>
        </w:numPr>
        <w:overflowPunct w:val="0"/>
        <w:autoSpaceDE w:val="0"/>
        <w:autoSpaceDN w:val="0"/>
        <w:spacing w:after="120"/>
        <w:textAlignment w:val="baseline"/>
        <w:rPr>
          <w:rFonts w:cs="Arial"/>
          <w:szCs w:val="22"/>
        </w:rPr>
      </w:pPr>
      <w:bookmarkStart w:id="127" w:name="_Toc302637211"/>
    </w:p>
    <w:p w14:paraId="7026E90F" w14:textId="77777777" w:rsidR="001F6118" w:rsidRPr="001F6118" w:rsidRDefault="001F6118" w:rsidP="001F6118">
      <w:pPr>
        <w:pStyle w:val="Heading1"/>
        <w:tabs>
          <w:tab w:val="clear" w:pos="720"/>
          <w:tab w:val="num" w:pos="0"/>
        </w:tabs>
        <w:overflowPunct w:val="0"/>
        <w:autoSpaceDE w:val="0"/>
        <w:autoSpaceDN w:val="0"/>
        <w:spacing w:after="120"/>
        <w:ind w:left="709" w:hanging="709"/>
        <w:textAlignment w:val="baseline"/>
        <w:rPr>
          <w:rFonts w:cs="Arial"/>
          <w:szCs w:val="22"/>
        </w:rPr>
      </w:pPr>
      <w:bookmarkStart w:id="128" w:name="_Toc368573033"/>
      <w:bookmarkStart w:id="129" w:name="_Toc65758991"/>
      <w:r w:rsidRPr="001F6118">
        <w:rPr>
          <w:rFonts w:cs="Arial"/>
          <w:szCs w:val="22"/>
        </w:rPr>
        <w:t>MANAGEMENT INFORMATION/reporting</w:t>
      </w:r>
      <w:bookmarkEnd w:id="128"/>
      <w:bookmarkEnd w:id="129"/>
    </w:p>
    <w:p w14:paraId="1FC7CA6E" w14:textId="77777777" w:rsidR="001F6118" w:rsidRPr="001F6118" w:rsidRDefault="001F6118" w:rsidP="001F6118">
      <w:pPr>
        <w:pStyle w:val="Heading2"/>
        <w:jc w:val="left"/>
        <w:rPr>
          <w:szCs w:val="22"/>
        </w:rPr>
      </w:pPr>
      <w:r w:rsidRPr="001F6118">
        <w:rPr>
          <w:szCs w:val="22"/>
        </w:rPr>
        <w:t xml:space="preserve">The Supplier should expect to update and share their work with Disability Unit at each of the milestones set out in section 7. In addition to this, fortnightly one-hour </w:t>
      </w:r>
      <w:r w:rsidRPr="001F6118">
        <w:rPr>
          <w:szCs w:val="22"/>
        </w:rPr>
        <w:lastRenderedPageBreak/>
        <w:t>meetings are required, to be kept up to date and to allow space for the Supplier to ask questions of Disability Unit and vice versa. The Supplier should have availability during normal working hours (9am-5.30pm, Mon-Fri) for these meetings, and should have some degree of flexibility around the availability of Disability Unit’s staff.</w:t>
      </w:r>
    </w:p>
    <w:p w14:paraId="4EAD99AE" w14:textId="77777777" w:rsidR="001F6118" w:rsidRPr="001F6118" w:rsidRDefault="001F6118" w:rsidP="001F6118">
      <w:pPr>
        <w:pStyle w:val="Heading2"/>
        <w:jc w:val="left"/>
        <w:rPr>
          <w:szCs w:val="22"/>
        </w:rPr>
      </w:pPr>
      <w:r w:rsidRPr="001F6118">
        <w:rPr>
          <w:szCs w:val="22"/>
        </w:rPr>
        <w:t>Disability Unit will want to engage their network of disability experts and advisors at some or all of these stages, and the Supplier would need to be prepared to have their work scrutinised, validated and challenged by this network.</w:t>
      </w:r>
    </w:p>
    <w:p w14:paraId="74ED7921" w14:textId="77777777" w:rsidR="001F6118" w:rsidRPr="001F6118" w:rsidRDefault="001F6118" w:rsidP="001F6118">
      <w:pPr>
        <w:pStyle w:val="Heading2"/>
        <w:jc w:val="left"/>
        <w:rPr>
          <w:szCs w:val="22"/>
        </w:rPr>
      </w:pPr>
      <w:r w:rsidRPr="001F6118">
        <w:rPr>
          <w:szCs w:val="22"/>
        </w:rPr>
        <w:t>Disability Unit will designate a primary point of contact for this work, and the Supplier should update this contact with any significant changes or developments in between regular meetings. Should any questions arise, the Supplier should make contact with Disability Unit’s primary contact as and when required.</w:t>
      </w:r>
    </w:p>
    <w:p w14:paraId="554CEDC9" w14:textId="77777777" w:rsidR="001F6118" w:rsidRPr="001F6118" w:rsidRDefault="001F6118" w:rsidP="001F6118">
      <w:pPr>
        <w:pStyle w:val="Heading1"/>
        <w:tabs>
          <w:tab w:val="clear" w:pos="720"/>
          <w:tab w:val="num" w:pos="0"/>
        </w:tabs>
        <w:overflowPunct w:val="0"/>
        <w:autoSpaceDE w:val="0"/>
        <w:autoSpaceDN w:val="0"/>
        <w:spacing w:after="120"/>
        <w:ind w:left="709" w:hanging="709"/>
        <w:textAlignment w:val="baseline"/>
        <w:rPr>
          <w:rFonts w:cs="Arial"/>
          <w:szCs w:val="22"/>
        </w:rPr>
      </w:pPr>
      <w:bookmarkStart w:id="130" w:name="_Toc368573034"/>
      <w:bookmarkStart w:id="131" w:name="_Toc65758992"/>
      <w:r w:rsidRPr="001F6118">
        <w:rPr>
          <w:rFonts w:cs="Arial"/>
          <w:szCs w:val="22"/>
        </w:rPr>
        <w:t>volumes</w:t>
      </w:r>
      <w:bookmarkEnd w:id="130"/>
      <w:bookmarkEnd w:id="131"/>
    </w:p>
    <w:p w14:paraId="034B092C" w14:textId="77777777" w:rsidR="001F6118" w:rsidRPr="001F6118" w:rsidRDefault="001F6118" w:rsidP="001F6118">
      <w:pPr>
        <w:pStyle w:val="Heading2"/>
        <w:rPr>
          <w:szCs w:val="22"/>
        </w:rPr>
      </w:pPr>
      <w:r w:rsidRPr="001F6118">
        <w:rPr>
          <w:szCs w:val="22"/>
        </w:rPr>
        <w:t>N/A.</w:t>
      </w:r>
    </w:p>
    <w:p w14:paraId="70AB8598" w14:textId="77777777" w:rsidR="001F6118" w:rsidRPr="001F6118" w:rsidRDefault="001F6118" w:rsidP="001F6118">
      <w:pPr>
        <w:pStyle w:val="Heading1"/>
        <w:numPr>
          <w:ilvl w:val="0"/>
          <w:numId w:val="0"/>
        </w:numPr>
        <w:overflowPunct w:val="0"/>
        <w:autoSpaceDE w:val="0"/>
        <w:autoSpaceDN w:val="0"/>
        <w:spacing w:after="120"/>
        <w:ind w:left="709"/>
        <w:textAlignment w:val="baseline"/>
        <w:rPr>
          <w:rFonts w:cs="Arial"/>
          <w:szCs w:val="22"/>
        </w:rPr>
      </w:pPr>
    </w:p>
    <w:p w14:paraId="7F31034A" w14:textId="77777777" w:rsidR="001F6118" w:rsidRPr="001F6118" w:rsidRDefault="001F6118" w:rsidP="001F6118">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132" w:name="_Toc368573035"/>
      <w:bookmarkStart w:id="133" w:name="_Toc65758993"/>
      <w:r w:rsidRPr="001F6118">
        <w:rPr>
          <w:rFonts w:cs="Arial"/>
          <w:szCs w:val="22"/>
        </w:rPr>
        <w:t>continuous improvement</w:t>
      </w:r>
      <w:bookmarkEnd w:id="132"/>
      <w:bookmarkEnd w:id="133"/>
    </w:p>
    <w:p w14:paraId="16583462" w14:textId="77777777" w:rsidR="001F6118" w:rsidRPr="001F6118" w:rsidRDefault="001F6118" w:rsidP="001F6118">
      <w:pPr>
        <w:pStyle w:val="Heading2"/>
        <w:tabs>
          <w:tab w:val="clear" w:pos="720"/>
          <w:tab w:val="num" w:pos="709"/>
        </w:tabs>
        <w:spacing w:after="120"/>
        <w:ind w:left="709" w:hanging="709"/>
        <w:jc w:val="left"/>
        <w:rPr>
          <w:szCs w:val="22"/>
        </w:rPr>
      </w:pPr>
      <w:r w:rsidRPr="001F6118">
        <w:rPr>
          <w:szCs w:val="22"/>
        </w:rPr>
        <w:t>The Supplier will be expected to continually improve the way in which the required Services are to be delivered throughout the Contract duration.</w:t>
      </w:r>
    </w:p>
    <w:p w14:paraId="50DE48E0" w14:textId="77777777" w:rsidR="001F6118" w:rsidRPr="001F6118" w:rsidRDefault="001F6118" w:rsidP="001F6118">
      <w:pPr>
        <w:pStyle w:val="Heading2"/>
        <w:tabs>
          <w:tab w:val="clear" w:pos="720"/>
          <w:tab w:val="num" w:pos="709"/>
        </w:tabs>
        <w:spacing w:after="120"/>
        <w:ind w:left="709" w:hanging="709"/>
        <w:jc w:val="left"/>
        <w:rPr>
          <w:szCs w:val="22"/>
        </w:rPr>
      </w:pPr>
      <w:r w:rsidRPr="001F6118">
        <w:rPr>
          <w:szCs w:val="22"/>
        </w:rPr>
        <w:t xml:space="preserve">The Supplier should present new ways of working to the Authority during quarterly Contract review meetings. </w:t>
      </w:r>
    </w:p>
    <w:p w14:paraId="7A9E98D5" w14:textId="77777777" w:rsidR="001F6118" w:rsidRPr="001F6118" w:rsidRDefault="001F6118" w:rsidP="001F6118">
      <w:pPr>
        <w:pStyle w:val="Heading2"/>
        <w:tabs>
          <w:tab w:val="clear" w:pos="720"/>
          <w:tab w:val="num" w:pos="709"/>
        </w:tabs>
        <w:spacing w:after="120"/>
        <w:ind w:left="709" w:hanging="709"/>
        <w:jc w:val="left"/>
        <w:rPr>
          <w:szCs w:val="22"/>
        </w:rPr>
      </w:pPr>
      <w:r w:rsidRPr="001F6118">
        <w:rPr>
          <w:szCs w:val="22"/>
        </w:rPr>
        <w:t>Changes to the way in which the Services are to be delivered must be brought to the Authority’s attention and agreed prior to any changes being implemented.</w:t>
      </w:r>
    </w:p>
    <w:p w14:paraId="315A0CF4" w14:textId="77777777" w:rsidR="001F6118" w:rsidRPr="001F6118" w:rsidRDefault="001F6118" w:rsidP="001F6118">
      <w:pPr>
        <w:pStyle w:val="Heading1"/>
        <w:rPr>
          <w:szCs w:val="22"/>
        </w:rPr>
      </w:pPr>
      <w:bookmarkStart w:id="134" w:name="_Toc65758994"/>
      <w:r w:rsidRPr="001F6118">
        <w:rPr>
          <w:szCs w:val="22"/>
        </w:rPr>
        <w:t>Sustainability</w:t>
      </w:r>
      <w:bookmarkEnd w:id="134"/>
    </w:p>
    <w:p w14:paraId="66AFC3EE" w14:textId="77777777" w:rsidR="001F6118" w:rsidRPr="001F6118" w:rsidRDefault="001F6118" w:rsidP="001F6118">
      <w:pPr>
        <w:pStyle w:val="Heading2"/>
        <w:jc w:val="left"/>
        <w:rPr>
          <w:szCs w:val="22"/>
        </w:rPr>
      </w:pPr>
      <w:r w:rsidRPr="001F6118">
        <w:rPr>
          <w:szCs w:val="22"/>
        </w:rPr>
        <w:t>Disability Unit would like this systematic review to be a ‘living’ database rather than a static one. As such, it is important that the Supplier indicates how they might leave Disability Unit with the tools, information and processes to update and refresh the database.</w:t>
      </w:r>
    </w:p>
    <w:p w14:paraId="7FFC72C0" w14:textId="77777777" w:rsidR="001F6118" w:rsidRPr="001F6118" w:rsidRDefault="001F6118" w:rsidP="001F6118">
      <w:pPr>
        <w:ind w:left="720"/>
        <w:rPr>
          <w:szCs w:val="22"/>
        </w:rPr>
      </w:pPr>
    </w:p>
    <w:p w14:paraId="12CB222B" w14:textId="77777777" w:rsidR="001F6118" w:rsidRPr="001F6118" w:rsidRDefault="001F6118" w:rsidP="001F6118">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135" w:name="_Toc368573036"/>
      <w:bookmarkStart w:id="136" w:name="_Toc65758995"/>
      <w:r w:rsidRPr="001F6118">
        <w:rPr>
          <w:rFonts w:cs="Arial"/>
          <w:szCs w:val="22"/>
        </w:rPr>
        <w:t>quality</w:t>
      </w:r>
      <w:bookmarkEnd w:id="135"/>
      <w:bookmarkEnd w:id="136"/>
    </w:p>
    <w:p w14:paraId="15EA8D30" w14:textId="77777777" w:rsidR="001F6118" w:rsidRPr="001F6118" w:rsidRDefault="001F6118" w:rsidP="001F6118">
      <w:pPr>
        <w:pStyle w:val="Heading2"/>
        <w:jc w:val="left"/>
        <w:rPr>
          <w:szCs w:val="22"/>
        </w:rPr>
      </w:pPr>
      <w:r w:rsidRPr="001F6118">
        <w:rPr>
          <w:szCs w:val="22"/>
        </w:rPr>
        <w:t xml:space="preserve">The systematic review should be completed to a high academic standard. </w:t>
      </w:r>
    </w:p>
    <w:p w14:paraId="62371B70" w14:textId="77777777" w:rsidR="001F6118" w:rsidRPr="001F6118" w:rsidRDefault="001F6118" w:rsidP="001F6118">
      <w:pPr>
        <w:pStyle w:val="Heading2"/>
        <w:jc w:val="left"/>
        <w:rPr>
          <w:szCs w:val="22"/>
        </w:rPr>
      </w:pPr>
      <w:r w:rsidRPr="001F6118">
        <w:rPr>
          <w:szCs w:val="22"/>
        </w:rPr>
        <w:t>The final output should be completed to a high standard in terms of the accessibility and ease of use to a wide range of non-specialist users.</w:t>
      </w:r>
    </w:p>
    <w:p w14:paraId="77248FF2" w14:textId="77777777" w:rsidR="001F6118" w:rsidRPr="001F6118" w:rsidRDefault="001F6118" w:rsidP="001F6118">
      <w:pPr>
        <w:pStyle w:val="Heading1"/>
        <w:tabs>
          <w:tab w:val="clear" w:pos="720"/>
          <w:tab w:val="num" w:pos="0"/>
        </w:tabs>
        <w:overflowPunct w:val="0"/>
        <w:autoSpaceDE w:val="0"/>
        <w:autoSpaceDN w:val="0"/>
        <w:spacing w:after="120"/>
        <w:ind w:left="709" w:hanging="709"/>
        <w:textAlignment w:val="baseline"/>
        <w:rPr>
          <w:rFonts w:cs="Arial"/>
          <w:szCs w:val="22"/>
        </w:rPr>
      </w:pPr>
      <w:bookmarkStart w:id="137" w:name="_Toc368573037"/>
      <w:bookmarkStart w:id="138" w:name="_Toc65758996"/>
      <w:r w:rsidRPr="001F6118">
        <w:rPr>
          <w:rFonts w:cs="Arial"/>
          <w:szCs w:val="22"/>
        </w:rPr>
        <w:t>PRICE</w:t>
      </w:r>
      <w:bookmarkEnd w:id="137"/>
      <w:bookmarkEnd w:id="138"/>
    </w:p>
    <w:p w14:paraId="50B32535" w14:textId="77777777" w:rsidR="001F6118" w:rsidRPr="001F6118" w:rsidRDefault="001F6118" w:rsidP="001F6118">
      <w:pPr>
        <w:pStyle w:val="Heading2"/>
        <w:jc w:val="left"/>
        <w:rPr>
          <w:szCs w:val="22"/>
        </w:rPr>
      </w:pPr>
      <w:r w:rsidRPr="001F6118">
        <w:rPr>
          <w:szCs w:val="22"/>
        </w:rPr>
        <w:t>The maximum budget for this work is capped at £30,000 (exclusive of VAT). In providing a price, the Supplier should make it clear how many person days will be devoted to completing this work. If applicable, this should be separated out between different individuals / roles, making clear the skill/experience level and cost of each individual.</w:t>
      </w:r>
    </w:p>
    <w:p w14:paraId="03A74A7C" w14:textId="77777777" w:rsidR="001F6118" w:rsidRPr="001F6118" w:rsidRDefault="001F6118" w:rsidP="001F6118">
      <w:pPr>
        <w:pStyle w:val="Heading2"/>
        <w:jc w:val="left"/>
        <w:rPr>
          <w:szCs w:val="22"/>
        </w:rPr>
      </w:pPr>
      <w:r w:rsidRPr="001F6118">
        <w:rPr>
          <w:szCs w:val="22"/>
        </w:rPr>
        <w:lastRenderedPageBreak/>
        <w:t>The Supplier will not be required to travel and can complete all work and meetings remotely. As such, it is not expected that travel and subsistence costs will be incurred.</w:t>
      </w:r>
    </w:p>
    <w:p w14:paraId="43E11D8F" w14:textId="77777777" w:rsidR="001F6118" w:rsidRPr="001F6118" w:rsidRDefault="001F6118" w:rsidP="001F6118">
      <w:pPr>
        <w:pStyle w:val="Heading2"/>
        <w:jc w:val="left"/>
        <w:rPr>
          <w:szCs w:val="22"/>
        </w:rPr>
      </w:pPr>
      <w:r w:rsidRPr="001F6118">
        <w:rPr>
          <w:szCs w:val="22"/>
        </w:rPr>
        <w:t>Prices should be quoted exclusive of VAT, but please note if the quote will attract VAT.</w:t>
      </w:r>
    </w:p>
    <w:p w14:paraId="2E37DEBA" w14:textId="77777777" w:rsidR="001F6118" w:rsidRPr="001F6118" w:rsidRDefault="001F6118" w:rsidP="001F6118">
      <w:pPr>
        <w:pStyle w:val="Heading2"/>
        <w:jc w:val="left"/>
        <w:rPr>
          <w:szCs w:val="22"/>
        </w:rPr>
      </w:pPr>
      <w:r w:rsidRPr="001F6118">
        <w:rPr>
          <w:szCs w:val="22"/>
        </w:rPr>
        <w:t>Prices are to be submitted via the e-Sourcing Suite Attachment 4 – Price Schedule excluding VAT and including all other expenses relating to Contract delivery.</w:t>
      </w:r>
    </w:p>
    <w:p w14:paraId="30684F00" w14:textId="77777777" w:rsidR="001F6118" w:rsidRPr="001F6118" w:rsidRDefault="001F6118" w:rsidP="001F6118">
      <w:pPr>
        <w:pStyle w:val="Heading1"/>
        <w:tabs>
          <w:tab w:val="clear" w:pos="720"/>
          <w:tab w:val="num" w:pos="0"/>
        </w:tabs>
        <w:overflowPunct w:val="0"/>
        <w:autoSpaceDE w:val="0"/>
        <w:autoSpaceDN w:val="0"/>
        <w:spacing w:after="120"/>
        <w:ind w:left="709" w:hanging="709"/>
        <w:textAlignment w:val="baseline"/>
        <w:rPr>
          <w:rFonts w:cs="Arial"/>
          <w:szCs w:val="22"/>
        </w:rPr>
      </w:pPr>
      <w:bookmarkStart w:id="139" w:name="_Toc368573038"/>
      <w:bookmarkStart w:id="140" w:name="_Toc65758997"/>
      <w:r w:rsidRPr="001F6118">
        <w:rPr>
          <w:rFonts w:cs="Arial"/>
          <w:szCs w:val="22"/>
        </w:rPr>
        <w:t>STAFF AND CUSTOMER SERVICE</w:t>
      </w:r>
      <w:bookmarkEnd w:id="139"/>
      <w:bookmarkEnd w:id="140"/>
    </w:p>
    <w:p w14:paraId="2CAB8D24" w14:textId="77777777" w:rsidR="001F6118" w:rsidRPr="001F6118" w:rsidRDefault="001F6118" w:rsidP="001F6118">
      <w:pPr>
        <w:pStyle w:val="Heading2"/>
        <w:jc w:val="left"/>
        <w:rPr>
          <w:szCs w:val="22"/>
        </w:rPr>
      </w:pPr>
      <w:r w:rsidRPr="001F6118">
        <w:rPr>
          <w:szCs w:val="22"/>
        </w:rPr>
        <w:t>The Supplier shall provide a sufficient level of resource throughout the duration of the Contract in order to consistently deliver a quality service.</w:t>
      </w:r>
    </w:p>
    <w:p w14:paraId="4C526542" w14:textId="77777777" w:rsidR="001F6118" w:rsidRPr="001F6118" w:rsidRDefault="001F6118" w:rsidP="001F6118">
      <w:pPr>
        <w:pStyle w:val="Heading2"/>
        <w:jc w:val="left"/>
        <w:rPr>
          <w:szCs w:val="22"/>
        </w:rPr>
      </w:pPr>
      <w:r w:rsidRPr="001F6118">
        <w:rPr>
          <w:szCs w:val="22"/>
        </w:rPr>
        <w:t xml:space="preserve">The Supplier’s staff assigned to the Contract shall have the relevant qualifications and experience to deliver the Contract to the required standard. </w:t>
      </w:r>
    </w:p>
    <w:p w14:paraId="10038440" w14:textId="77777777" w:rsidR="001F6118" w:rsidRPr="001F6118" w:rsidRDefault="001F6118" w:rsidP="001F6118">
      <w:pPr>
        <w:pStyle w:val="Heading2"/>
        <w:jc w:val="left"/>
        <w:rPr>
          <w:szCs w:val="22"/>
        </w:rPr>
      </w:pPr>
      <w:r w:rsidRPr="001F6118">
        <w:rPr>
          <w:szCs w:val="22"/>
        </w:rPr>
        <w:t xml:space="preserve">The Supplier shall ensure that staff understand the Authority’s vision and objectives and will provide excellent customer service to the Authority throughout the duration of the Contract.  </w:t>
      </w:r>
    </w:p>
    <w:p w14:paraId="71F5349C" w14:textId="77777777" w:rsidR="001F6118" w:rsidRPr="001F6118" w:rsidRDefault="001F6118" w:rsidP="001F6118">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141" w:name="_Toc368573039"/>
      <w:bookmarkStart w:id="142" w:name="_Toc65758998"/>
      <w:r w:rsidRPr="001F6118">
        <w:rPr>
          <w:rFonts w:cs="Arial"/>
          <w:szCs w:val="22"/>
        </w:rPr>
        <w:t>service levels and performance</w:t>
      </w:r>
      <w:bookmarkEnd w:id="141"/>
      <w:bookmarkEnd w:id="142"/>
    </w:p>
    <w:p w14:paraId="66F028B3" w14:textId="77777777" w:rsidR="001F6118" w:rsidRPr="001F6118" w:rsidRDefault="001F6118" w:rsidP="001F6118">
      <w:pPr>
        <w:pStyle w:val="Heading2"/>
        <w:tabs>
          <w:tab w:val="clear" w:pos="720"/>
          <w:tab w:val="num" w:pos="132"/>
          <w:tab w:val="num" w:pos="862"/>
        </w:tabs>
        <w:overflowPunct w:val="0"/>
        <w:autoSpaceDE w:val="0"/>
        <w:autoSpaceDN w:val="0"/>
        <w:spacing w:after="120"/>
        <w:ind w:left="709" w:hanging="709"/>
        <w:jc w:val="left"/>
        <w:textAlignment w:val="baseline"/>
        <w:rPr>
          <w:szCs w:val="22"/>
        </w:rPr>
      </w:pPr>
      <w:r w:rsidRPr="001F6118">
        <w:rPr>
          <w:szCs w:val="22"/>
        </w:rPr>
        <w:t>The Authority will measure the quality of the Supplier’s delivery by:</w:t>
      </w:r>
    </w:p>
    <w:p w14:paraId="265647C0" w14:textId="77777777" w:rsidR="001F6118" w:rsidRPr="001F6118" w:rsidRDefault="001F6118" w:rsidP="001F6118">
      <w:pPr>
        <w:pStyle w:val="Heading3"/>
        <w:ind w:left="1797" w:hanging="1077"/>
        <w:jc w:val="left"/>
        <w:rPr>
          <w:szCs w:val="22"/>
        </w:rPr>
      </w:pPr>
      <w:r w:rsidRPr="001F6118">
        <w:rPr>
          <w:szCs w:val="22"/>
        </w:rPr>
        <w:t>The Authority will measure the quality of the Supplier’s delivery by checking that the Supplier has met all of the requirements set out in 5.1, and delivered all of the outputs set out in 5.2.</w:t>
      </w:r>
    </w:p>
    <w:p w14:paraId="570B59BB" w14:textId="77777777" w:rsidR="001F6118" w:rsidRPr="001F6118" w:rsidRDefault="001F6118" w:rsidP="001F6118">
      <w:pPr>
        <w:pStyle w:val="Heading3"/>
        <w:ind w:left="1797" w:hanging="1077"/>
        <w:jc w:val="left"/>
        <w:rPr>
          <w:szCs w:val="22"/>
        </w:rPr>
      </w:pPr>
      <w:r w:rsidRPr="001F6118">
        <w:rPr>
          <w:szCs w:val="22"/>
        </w:rPr>
        <w:t>The Supplier will work closely with the Disability Unit through a Service Level Agreement to manage milestones within the specified timeframe. Disability Unit have the right to terminate the contract if the Supplier cannot fulfil the criteria and continues to miss milestones.</w:t>
      </w:r>
    </w:p>
    <w:p w14:paraId="697E31A0" w14:textId="77777777" w:rsidR="001F6118" w:rsidRPr="001F6118" w:rsidRDefault="001F6118" w:rsidP="001F6118">
      <w:pPr>
        <w:pStyle w:val="Heading3"/>
        <w:numPr>
          <w:ilvl w:val="0"/>
          <w:numId w:val="0"/>
        </w:numPr>
        <w:spacing w:after="120"/>
        <w:ind w:left="1418"/>
        <w:jc w:val="left"/>
        <w:rPr>
          <w:szCs w:val="22"/>
        </w:rPr>
      </w:pPr>
    </w:p>
    <w:p w14:paraId="2942A709" w14:textId="77777777" w:rsidR="001F6118" w:rsidRPr="001F6118" w:rsidRDefault="001F6118" w:rsidP="001F6118">
      <w:pPr>
        <w:pStyle w:val="Heading1"/>
        <w:spacing w:after="120"/>
        <w:jc w:val="left"/>
        <w:rPr>
          <w:szCs w:val="22"/>
        </w:rPr>
      </w:pPr>
      <w:bookmarkStart w:id="143" w:name="_Toc368573040"/>
      <w:bookmarkStart w:id="144" w:name="_Toc65758999"/>
      <w:r w:rsidRPr="001F6118">
        <w:rPr>
          <w:szCs w:val="22"/>
        </w:rPr>
        <w:t>Security and CONFIDENTIALITY requirements</w:t>
      </w:r>
      <w:bookmarkEnd w:id="143"/>
      <w:bookmarkEnd w:id="144"/>
    </w:p>
    <w:p w14:paraId="7D0ECAEC" w14:textId="77777777" w:rsidR="001F6118" w:rsidRPr="001F6118" w:rsidRDefault="001F6118" w:rsidP="001F6118">
      <w:pPr>
        <w:pStyle w:val="Heading2"/>
        <w:jc w:val="left"/>
        <w:rPr>
          <w:szCs w:val="22"/>
        </w:rPr>
      </w:pPr>
      <w:r w:rsidRPr="001F6118">
        <w:rPr>
          <w:szCs w:val="22"/>
        </w:rPr>
        <w:t>The Supplier will not be required to undertake security vetting.</w:t>
      </w:r>
    </w:p>
    <w:p w14:paraId="3B8BCAF4" w14:textId="77777777" w:rsidR="001F6118" w:rsidRPr="001F6118" w:rsidRDefault="001F6118" w:rsidP="001F6118">
      <w:pPr>
        <w:pStyle w:val="Heading2"/>
        <w:jc w:val="left"/>
        <w:rPr>
          <w:szCs w:val="22"/>
        </w:rPr>
      </w:pPr>
      <w:r w:rsidRPr="001F6118">
        <w:rPr>
          <w:szCs w:val="22"/>
        </w:rPr>
        <w:t>The Supplier will largely be working with information already accessible to them in the public domain. Any documents or information shared with the Supplier by Disability Unit should remain confidential and not be shared further.</w:t>
      </w:r>
    </w:p>
    <w:p w14:paraId="7CF5B8FF" w14:textId="77777777" w:rsidR="001F6118" w:rsidRPr="001F6118" w:rsidRDefault="001F6118" w:rsidP="001F6118">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145" w:name="_Toc65759000"/>
      <w:bookmarkStart w:id="146" w:name="_Toc368573042"/>
      <w:r w:rsidRPr="001F6118">
        <w:rPr>
          <w:rFonts w:cs="Arial"/>
          <w:szCs w:val="22"/>
        </w:rPr>
        <w:t>payment AND INVOICING</w:t>
      </w:r>
      <w:bookmarkEnd w:id="145"/>
      <w:r w:rsidRPr="001F6118">
        <w:rPr>
          <w:rFonts w:cs="Arial"/>
          <w:szCs w:val="22"/>
        </w:rPr>
        <w:t xml:space="preserve"> </w:t>
      </w:r>
    </w:p>
    <w:p w14:paraId="79C6FDFA" w14:textId="77777777" w:rsidR="001F6118" w:rsidRPr="001F6118" w:rsidRDefault="001F6118" w:rsidP="001F6118">
      <w:pPr>
        <w:pStyle w:val="Heading2"/>
        <w:jc w:val="left"/>
        <w:rPr>
          <w:szCs w:val="22"/>
        </w:rPr>
      </w:pPr>
      <w:r w:rsidRPr="001F6118">
        <w:rPr>
          <w:szCs w:val="22"/>
        </w:rPr>
        <w:t xml:space="preserve">Payment will be made by invoice, 30 days from completion of work.  The Disability Unit will provide the Supplier with a Purchase Order Number to enable invoicing. </w:t>
      </w:r>
    </w:p>
    <w:p w14:paraId="620A5D06" w14:textId="77777777" w:rsidR="001F6118" w:rsidRPr="001F6118" w:rsidRDefault="001F6118" w:rsidP="001F6118">
      <w:pPr>
        <w:pStyle w:val="Heading2"/>
        <w:jc w:val="left"/>
        <w:rPr>
          <w:szCs w:val="22"/>
        </w:rPr>
      </w:pPr>
      <w:r w:rsidRPr="001F6118">
        <w:rPr>
          <w:szCs w:val="22"/>
        </w:rPr>
        <w:t xml:space="preserve">Payment can only be made following satisfactory delivery of pre-agreed certified products and deliverables. </w:t>
      </w:r>
    </w:p>
    <w:p w14:paraId="429F9D1A" w14:textId="77777777" w:rsidR="001F6118" w:rsidRPr="001F6118" w:rsidRDefault="001F6118" w:rsidP="001F6118">
      <w:pPr>
        <w:pStyle w:val="Heading2"/>
        <w:jc w:val="left"/>
        <w:rPr>
          <w:szCs w:val="22"/>
        </w:rPr>
      </w:pPr>
      <w:r w:rsidRPr="001F6118">
        <w:rPr>
          <w:szCs w:val="22"/>
        </w:rPr>
        <w:lastRenderedPageBreak/>
        <w:t>Before payment can be considered, each invoice must include a detailed elemental breakdown of work completed and the associated costs.</w:t>
      </w:r>
    </w:p>
    <w:p w14:paraId="005AB3D5" w14:textId="77777777" w:rsidR="001F6118" w:rsidRPr="001F6118" w:rsidRDefault="001F6118" w:rsidP="001F6118">
      <w:pPr>
        <w:pStyle w:val="Heading2"/>
        <w:jc w:val="left"/>
        <w:rPr>
          <w:szCs w:val="22"/>
        </w:rPr>
      </w:pPr>
      <w:r w:rsidRPr="001F6118">
        <w:rPr>
          <w:szCs w:val="22"/>
        </w:rPr>
        <w:t xml:space="preserve">Invoices should be submitted to: </w:t>
      </w:r>
      <w:r w:rsidRPr="001F6118">
        <w:rPr>
          <w:color w:val="0B0C0C"/>
          <w:szCs w:val="22"/>
          <w:highlight w:val="white"/>
        </w:rPr>
        <w:t>The Disability Unit (Equality Hub), 10 Victoria Street, London, SW1H 0NB</w:t>
      </w:r>
    </w:p>
    <w:p w14:paraId="32B1AD80" w14:textId="77777777" w:rsidR="001F6118" w:rsidRPr="001F6118" w:rsidRDefault="001F6118" w:rsidP="001F6118">
      <w:pPr>
        <w:pStyle w:val="Heading1"/>
        <w:tabs>
          <w:tab w:val="clear" w:pos="720"/>
          <w:tab w:val="num" w:pos="0"/>
        </w:tabs>
        <w:overflowPunct w:val="0"/>
        <w:autoSpaceDE w:val="0"/>
        <w:autoSpaceDN w:val="0"/>
        <w:spacing w:after="120"/>
        <w:ind w:left="709" w:hanging="709"/>
        <w:jc w:val="left"/>
        <w:textAlignment w:val="baseline"/>
        <w:rPr>
          <w:rFonts w:cs="Arial"/>
          <w:szCs w:val="22"/>
        </w:rPr>
      </w:pPr>
      <w:bookmarkStart w:id="147" w:name="_Toc65759001"/>
      <w:bookmarkEnd w:id="146"/>
      <w:r w:rsidRPr="001F6118">
        <w:rPr>
          <w:rFonts w:cs="Arial"/>
          <w:szCs w:val="22"/>
        </w:rPr>
        <w:t>CONTRACT MANAGEMENT</w:t>
      </w:r>
      <w:bookmarkEnd w:id="147"/>
      <w:r w:rsidRPr="001F6118">
        <w:rPr>
          <w:rFonts w:cs="Arial"/>
          <w:szCs w:val="22"/>
        </w:rPr>
        <w:t xml:space="preserve"> </w:t>
      </w:r>
    </w:p>
    <w:p w14:paraId="6559C70A" w14:textId="77777777" w:rsidR="001F6118" w:rsidRPr="001F6118" w:rsidRDefault="001F6118" w:rsidP="001F6118">
      <w:pPr>
        <w:pStyle w:val="Heading2"/>
        <w:jc w:val="left"/>
        <w:rPr>
          <w:szCs w:val="22"/>
        </w:rPr>
      </w:pPr>
      <w:r w:rsidRPr="001F6118">
        <w:rPr>
          <w:szCs w:val="22"/>
        </w:rPr>
        <w:t>The contract will be managed through the meetings set out in Section 8.</w:t>
      </w:r>
    </w:p>
    <w:p w14:paraId="4035B40F" w14:textId="77777777" w:rsidR="001F6118" w:rsidRPr="001F6118" w:rsidRDefault="001F6118" w:rsidP="001F6118">
      <w:pPr>
        <w:pStyle w:val="Heading2"/>
        <w:jc w:val="left"/>
        <w:rPr>
          <w:szCs w:val="22"/>
        </w:rPr>
      </w:pPr>
      <w:r w:rsidRPr="001F6118">
        <w:rPr>
          <w:szCs w:val="22"/>
        </w:rPr>
        <w:t>All meetings shall be conducted remotely via Google Hangouts, so the Supplier shall not incur any travel expenses to attend these meetings.</w:t>
      </w:r>
    </w:p>
    <w:p w14:paraId="67496CBA" w14:textId="77777777" w:rsidR="001F6118" w:rsidRPr="001F6118" w:rsidRDefault="001F6118" w:rsidP="001F6118">
      <w:pPr>
        <w:pStyle w:val="Heading1"/>
        <w:spacing w:after="120"/>
        <w:rPr>
          <w:szCs w:val="22"/>
        </w:rPr>
      </w:pPr>
      <w:bookmarkStart w:id="148" w:name="_Toc368573043"/>
      <w:bookmarkStart w:id="149" w:name="_Toc65759002"/>
      <w:bookmarkEnd w:id="127"/>
      <w:r w:rsidRPr="001F6118">
        <w:rPr>
          <w:szCs w:val="22"/>
        </w:rPr>
        <w:t>Location</w:t>
      </w:r>
      <w:bookmarkEnd w:id="148"/>
      <w:bookmarkEnd w:id="149"/>
      <w:r w:rsidRPr="001F6118">
        <w:rPr>
          <w:szCs w:val="22"/>
        </w:rPr>
        <w:t xml:space="preserve"> </w:t>
      </w:r>
    </w:p>
    <w:p w14:paraId="06DD0E24" w14:textId="77777777" w:rsidR="001F6118" w:rsidRPr="001F6118" w:rsidRDefault="001F6118" w:rsidP="001F6118">
      <w:pPr>
        <w:pStyle w:val="Heading2"/>
        <w:tabs>
          <w:tab w:val="clear" w:pos="720"/>
          <w:tab w:val="num" w:pos="709"/>
        </w:tabs>
        <w:spacing w:after="120"/>
        <w:ind w:left="709" w:hanging="709"/>
        <w:jc w:val="left"/>
        <w:rPr>
          <w:szCs w:val="22"/>
        </w:rPr>
      </w:pPr>
      <w:r w:rsidRPr="001F6118">
        <w:rPr>
          <w:szCs w:val="22"/>
        </w:rPr>
        <w:t>The services will be carried out remotely at the Supplier’s chosen location.</w:t>
      </w:r>
    </w:p>
    <w:p w14:paraId="69742423" w14:textId="77777777" w:rsidR="001F6118" w:rsidRPr="001F6118" w:rsidRDefault="001F6118" w:rsidP="001F6118">
      <w:pPr>
        <w:pStyle w:val="Heading2"/>
        <w:numPr>
          <w:ilvl w:val="0"/>
          <w:numId w:val="0"/>
        </w:numPr>
        <w:spacing w:after="120"/>
        <w:rPr>
          <w:szCs w:val="22"/>
          <w:highlight w:val="yellow"/>
        </w:rPr>
      </w:pPr>
    </w:p>
    <w:p w14:paraId="279B413C" w14:textId="77777777" w:rsidR="001F6118" w:rsidRPr="001F6118" w:rsidRDefault="001F6118" w:rsidP="001F6118">
      <w:pPr>
        <w:pStyle w:val="Heading1"/>
        <w:numPr>
          <w:ilvl w:val="0"/>
          <w:numId w:val="0"/>
        </w:numPr>
        <w:spacing w:after="120"/>
        <w:ind w:left="720"/>
        <w:rPr>
          <w:szCs w:val="22"/>
        </w:rPr>
      </w:pPr>
    </w:p>
    <w:p w14:paraId="0A227191" w14:textId="77777777" w:rsidR="001F6118" w:rsidRPr="001F6118" w:rsidRDefault="001F6118" w:rsidP="001F6118">
      <w:pPr>
        <w:pStyle w:val="Heading2"/>
        <w:numPr>
          <w:ilvl w:val="0"/>
          <w:numId w:val="0"/>
        </w:numPr>
        <w:spacing w:after="120"/>
        <w:rPr>
          <w:szCs w:val="22"/>
        </w:rPr>
      </w:pPr>
    </w:p>
    <w:p w14:paraId="666B8830" w14:textId="77777777" w:rsidR="001F6118" w:rsidRPr="001F6118" w:rsidRDefault="001F6118" w:rsidP="001F6118">
      <w:pPr>
        <w:pStyle w:val="Heading1"/>
        <w:numPr>
          <w:ilvl w:val="0"/>
          <w:numId w:val="0"/>
        </w:numPr>
        <w:ind w:left="720" w:hanging="720"/>
        <w:rPr>
          <w:szCs w:val="22"/>
        </w:rPr>
      </w:pPr>
    </w:p>
    <w:p w14:paraId="46548256" w14:textId="77777777" w:rsidR="001F6118" w:rsidRPr="001F6118" w:rsidRDefault="001F6118" w:rsidP="001F6118">
      <w:pPr>
        <w:tabs>
          <w:tab w:val="left" w:pos="1392"/>
        </w:tabs>
        <w:rPr>
          <w:rFonts w:eastAsia="STZhongsong"/>
          <w:szCs w:val="22"/>
        </w:rPr>
      </w:pPr>
    </w:p>
    <w:p w14:paraId="79E2EF62" w14:textId="77777777" w:rsidR="001F6118" w:rsidRPr="001F6118" w:rsidRDefault="001F6118" w:rsidP="001F6118">
      <w:pPr>
        <w:pStyle w:val="ScheduleLevel1"/>
        <w:numPr>
          <w:ilvl w:val="0"/>
          <w:numId w:val="0"/>
        </w:numPr>
        <w:spacing w:after="120"/>
        <w:rPr>
          <w:rFonts w:cs="Arial"/>
          <w:b/>
          <w:szCs w:val="22"/>
        </w:rPr>
      </w:pPr>
    </w:p>
    <w:p w14:paraId="7FE12DAB" w14:textId="004818AC" w:rsidR="00A649DF" w:rsidRPr="001F6118" w:rsidRDefault="00A649DF">
      <w:pPr>
        <w:rPr>
          <w:rFonts w:eastAsia="Times New Roman" w:cs="Arial"/>
          <w:b/>
          <w:szCs w:val="22"/>
          <w:lang w:eastAsia="en-US"/>
        </w:rPr>
      </w:pPr>
      <w:r w:rsidRPr="001F6118">
        <w:rPr>
          <w:rFonts w:cs="Arial"/>
          <w:b/>
          <w:szCs w:val="22"/>
        </w:rPr>
        <w:br w:type="page"/>
      </w:r>
      <w:r w:rsidR="00F924EF">
        <w:rPr>
          <w:rFonts w:cs="Arial"/>
          <w:b/>
          <w:szCs w:val="22"/>
        </w:rPr>
        <w:lastRenderedPageBreak/>
        <w:t xml:space="preserve"> </w:t>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50" w:name="_Toc444688624"/>
      <w:r w:rsidRPr="001167A3">
        <w:rPr>
          <w:rFonts w:eastAsia="Times New Roman"/>
          <w:b/>
          <w:szCs w:val="22"/>
          <w:lang w:eastAsia="en-US"/>
        </w:rPr>
        <w:t>ANNEX 4 – SUPPLIERS RESPONSE</w:t>
      </w:r>
      <w:bookmarkEnd w:id="150"/>
    </w:p>
    <w:p w14:paraId="4D5AF130" w14:textId="63618A9D" w:rsidR="005F10EE" w:rsidRDefault="001F6118" w:rsidP="005F10EE">
      <w:pPr>
        <w:widowControl w:val="0"/>
        <w:tabs>
          <w:tab w:val="num" w:pos="540"/>
        </w:tabs>
        <w:spacing w:after="100" w:afterAutospacing="1"/>
        <w:ind w:left="851" w:hanging="851"/>
        <w:jc w:val="center"/>
        <w:outlineLvl w:val="0"/>
        <w:rPr>
          <w:rFonts w:eastAsia="Times New Roman"/>
          <w:szCs w:val="22"/>
          <w:lang w:eastAsia="en-US"/>
        </w:rPr>
      </w:pPr>
      <w:r>
        <w:rPr>
          <w:rFonts w:eastAsia="Times New Roman"/>
          <w:szCs w:val="22"/>
          <w:lang w:eastAsia="en-US"/>
        </w:rPr>
        <w:t>(From the Supplier’s Bid of 23/03/2021</w:t>
      </w:r>
      <w:r w:rsidR="005F10EE" w:rsidRPr="00336839">
        <w:rPr>
          <w:rFonts w:eastAsia="Times New Roman"/>
          <w:szCs w:val="22"/>
          <w:lang w:eastAsia="en-US"/>
        </w:rPr>
        <w:t>)</w:t>
      </w:r>
    </w:p>
    <w:p w14:paraId="4AF98556" w14:textId="6848529B" w:rsidR="001F6118" w:rsidRDefault="00147863" w:rsidP="001F6118">
      <w:pPr>
        <w:widowControl w:val="0"/>
        <w:tabs>
          <w:tab w:val="num" w:pos="540"/>
        </w:tabs>
        <w:spacing w:after="100" w:afterAutospacing="1"/>
        <w:ind w:left="851" w:hanging="851"/>
        <w:outlineLvl w:val="0"/>
        <w:rPr>
          <w:rFonts w:eastAsia="Times New Roman"/>
          <w:szCs w:val="22"/>
          <w:lang w:eastAsia="en-US"/>
        </w:rPr>
      </w:pPr>
      <w:r>
        <w:t>REDACTED TEXT</w:t>
      </w:r>
    </w:p>
    <w:p w14:paraId="0260322B" w14:textId="7BF5620F" w:rsidR="001F6118" w:rsidRDefault="001F6118" w:rsidP="001F6118">
      <w:pPr>
        <w:widowControl w:val="0"/>
        <w:tabs>
          <w:tab w:val="num" w:pos="540"/>
        </w:tabs>
        <w:spacing w:after="100" w:afterAutospacing="1"/>
        <w:ind w:left="851" w:hanging="851"/>
        <w:outlineLvl w:val="0"/>
        <w:rPr>
          <w:rFonts w:eastAsia="Times New Roman"/>
          <w:szCs w:val="22"/>
          <w:lang w:eastAsia="en-US"/>
        </w:rPr>
      </w:pPr>
    </w:p>
    <w:p w14:paraId="7962AC88" w14:textId="6401ED8C" w:rsidR="001F6118" w:rsidRDefault="001F6118" w:rsidP="001F6118">
      <w:pPr>
        <w:widowControl w:val="0"/>
        <w:tabs>
          <w:tab w:val="num" w:pos="540"/>
        </w:tabs>
        <w:spacing w:after="100" w:afterAutospacing="1"/>
        <w:ind w:left="851" w:hanging="851"/>
        <w:outlineLvl w:val="0"/>
        <w:rPr>
          <w:rFonts w:eastAsia="Times New Roman"/>
          <w:szCs w:val="22"/>
          <w:lang w:eastAsia="en-US"/>
        </w:rPr>
      </w:pPr>
    </w:p>
    <w:p w14:paraId="41842BCC" w14:textId="77777777" w:rsidR="00F924EF" w:rsidRDefault="00F924EF" w:rsidP="001F6118">
      <w:pPr>
        <w:widowControl w:val="0"/>
        <w:tabs>
          <w:tab w:val="num" w:pos="540"/>
        </w:tabs>
        <w:spacing w:after="100" w:afterAutospacing="1"/>
        <w:ind w:left="851" w:hanging="851"/>
        <w:outlineLvl w:val="0"/>
        <w:rPr>
          <w:rFonts w:eastAsia="Times New Roman"/>
          <w:szCs w:val="22"/>
          <w:lang w:eastAsia="en-US"/>
        </w:rPr>
      </w:pPr>
    </w:p>
    <w:p w14:paraId="0A31494E" w14:textId="6D206849" w:rsidR="00F924EF" w:rsidRDefault="00F924EF" w:rsidP="001F6118">
      <w:pPr>
        <w:widowControl w:val="0"/>
        <w:tabs>
          <w:tab w:val="num" w:pos="540"/>
        </w:tabs>
        <w:spacing w:after="100" w:afterAutospacing="1"/>
        <w:ind w:left="851" w:hanging="851"/>
        <w:outlineLvl w:val="0"/>
        <w:rPr>
          <w:rFonts w:eastAsia="Times New Roman"/>
          <w:szCs w:val="22"/>
          <w:lang w:eastAsia="en-US"/>
        </w:rPr>
      </w:pPr>
    </w:p>
    <w:p w14:paraId="72698B8D" w14:textId="4A711C0D" w:rsidR="001F6118" w:rsidRDefault="001F6118" w:rsidP="00F924EF">
      <w:pPr>
        <w:widowControl w:val="0"/>
        <w:tabs>
          <w:tab w:val="num" w:pos="540"/>
        </w:tabs>
        <w:spacing w:after="100" w:afterAutospacing="1"/>
        <w:outlineLvl w:val="0"/>
        <w:rPr>
          <w:rFonts w:eastAsia="Times New Roman"/>
          <w:szCs w:val="22"/>
          <w:lang w:eastAsia="en-US"/>
        </w:rPr>
      </w:pPr>
    </w:p>
    <w:p w14:paraId="2496BA51" w14:textId="77777777" w:rsidR="001F6118" w:rsidRDefault="001F6118" w:rsidP="001F6118">
      <w:pPr>
        <w:widowControl w:val="0"/>
        <w:tabs>
          <w:tab w:val="num" w:pos="540"/>
        </w:tabs>
        <w:spacing w:after="100" w:afterAutospacing="1"/>
        <w:ind w:left="851" w:hanging="851"/>
        <w:outlineLvl w:val="0"/>
        <w:rPr>
          <w:rFonts w:eastAsia="Times New Roman"/>
          <w:b/>
          <w:szCs w:val="22"/>
          <w:lang w:eastAsia="en-US"/>
        </w:rPr>
      </w:pPr>
    </w:p>
    <w:p w14:paraId="77E6C123" w14:textId="77777777" w:rsidR="001F6118" w:rsidRDefault="001F6118">
      <w:pPr>
        <w:rPr>
          <w:rFonts w:eastAsia="Times New Roman"/>
          <w:b/>
          <w:szCs w:val="22"/>
          <w:lang w:eastAsia="en-US"/>
        </w:rPr>
      </w:pPr>
      <w:bookmarkStart w:id="151" w:name="_Toc437243999"/>
    </w:p>
    <w:p w14:paraId="3901D31C" w14:textId="4EC85EB9" w:rsidR="00174DC0" w:rsidRDefault="00174DC0">
      <w:pPr>
        <w:rPr>
          <w:rFonts w:eastAsia="Times New Roman"/>
          <w:b/>
          <w:szCs w:val="22"/>
          <w:lang w:eastAsia="en-US"/>
        </w:rPr>
      </w:pPr>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1B352BEE"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52" w:name="_Toc444688625"/>
      <w:r w:rsidRPr="00506046">
        <w:rPr>
          <w:rFonts w:eastAsia="Times New Roman"/>
          <w:b/>
          <w:szCs w:val="22"/>
          <w:lang w:eastAsia="en-US"/>
        </w:rPr>
        <w:t>ANNEX 5 – CLARIFICATIONS</w:t>
      </w:r>
      <w:bookmarkEnd w:id="151"/>
      <w:bookmarkEnd w:id="152"/>
    </w:p>
    <w:p w14:paraId="61E2FFA2" w14:textId="7B812B65" w:rsidR="006A4381" w:rsidRDefault="006A4381" w:rsidP="00174DC0">
      <w:pPr>
        <w:widowControl w:val="0"/>
        <w:tabs>
          <w:tab w:val="num" w:pos="540"/>
        </w:tabs>
        <w:spacing w:after="100" w:afterAutospacing="1"/>
        <w:ind w:left="851" w:hanging="851"/>
        <w:jc w:val="center"/>
        <w:outlineLvl w:val="0"/>
        <w:rPr>
          <w:rFonts w:eastAsia="Times New Roman"/>
          <w:b/>
          <w:szCs w:val="22"/>
          <w:lang w:eastAsia="en-US"/>
        </w:rPr>
      </w:pPr>
    </w:p>
    <w:p w14:paraId="256ABE3A" w14:textId="6FD16882" w:rsidR="006A4381" w:rsidRPr="00506046" w:rsidRDefault="00147863" w:rsidP="00147863">
      <w:pPr>
        <w:widowControl w:val="0"/>
        <w:tabs>
          <w:tab w:val="num" w:pos="540"/>
        </w:tabs>
        <w:spacing w:after="100" w:afterAutospacing="1"/>
        <w:ind w:left="851" w:hanging="851"/>
        <w:outlineLvl w:val="0"/>
        <w:rPr>
          <w:rFonts w:eastAsia="Times New Roman"/>
          <w:b/>
          <w:szCs w:val="22"/>
          <w:lang w:eastAsia="en-US"/>
        </w:rPr>
      </w:pPr>
      <w:r>
        <w:t>REDACTED TEXT</w:t>
      </w:r>
    </w:p>
    <w:p w14:paraId="0A402FCF" w14:textId="14231A40" w:rsidR="006A4381" w:rsidRDefault="006A4381" w:rsidP="006A4381">
      <w:pPr>
        <w:pStyle w:val="ScheduleLevel1"/>
        <w:numPr>
          <w:ilvl w:val="0"/>
          <w:numId w:val="0"/>
        </w:numPr>
        <w:spacing w:after="120"/>
        <w:rPr>
          <w:rFonts w:cs="Arial"/>
          <w:b/>
          <w:szCs w:val="22"/>
          <w:shd w:val="clear" w:color="auto" w:fill="FFFF99"/>
        </w:rPr>
      </w:pPr>
    </w:p>
    <w:p w14:paraId="21B2CBDD" w14:textId="444584CF" w:rsidR="006A4381" w:rsidRPr="00913679" w:rsidRDefault="006A4381" w:rsidP="006A4381">
      <w:pPr>
        <w:pStyle w:val="ScheduleLevel1"/>
        <w:numPr>
          <w:ilvl w:val="0"/>
          <w:numId w:val="0"/>
        </w:numPr>
        <w:spacing w:after="120"/>
        <w:rPr>
          <w:rFonts w:cs="Arial"/>
          <w:b/>
          <w:szCs w:val="22"/>
        </w:rPr>
      </w:pP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54CB8A4A" w:rsidR="004B1AF8"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53" w:name="_Toc439318929"/>
      <w:bookmarkStart w:id="154" w:name="_Toc444688626"/>
      <w:r w:rsidRPr="000F5FE2">
        <w:rPr>
          <w:rFonts w:eastAsia="Times New Roman"/>
          <w:b/>
          <w:szCs w:val="22"/>
          <w:lang w:eastAsia="en-US"/>
        </w:rPr>
        <w:lastRenderedPageBreak/>
        <w:t>ANNEX 6 – ADDITIONAL TERMS &amp; CONDITIONS</w:t>
      </w:r>
      <w:bookmarkEnd w:id="153"/>
      <w:bookmarkEnd w:id="154"/>
    </w:p>
    <w:p w14:paraId="1F85175F" w14:textId="1EDDD04A" w:rsidR="006A4381" w:rsidRDefault="006A4381" w:rsidP="004B1AF8">
      <w:pPr>
        <w:widowControl w:val="0"/>
        <w:tabs>
          <w:tab w:val="num" w:pos="540"/>
        </w:tabs>
        <w:spacing w:after="100" w:afterAutospacing="1"/>
        <w:ind w:left="851" w:hanging="851"/>
        <w:jc w:val="center"/>
        <w:outlineLvl w:val="0"/>
        <w:rPr>
          <w:rFonts w:eastAsia="Times New Roman"/>
          <w:b/>
          <w:szCs w:val="22"/>
          <w:lang w:eastAsia="en-US"/>
        </w:rPr>
      </w:pPr>
    </w:p>
    <w:p w14:paraId="260B2F58" w14:textId="77777777" w:rsidR="006A4381" w:rsidRDefault="006A4381" w:rsidP="006A4381">
      <w:pPr>
        <w:widowControl w:val="0"/>
        <w:tabs>
          <w:tab w:val="num" w:pos="540"/>
        </w:tabs>
        <w:spacing w:after="100" w:afterAutospacing="1"/>
        <w:ind w:left="851" w:hanging="851"/>
        <w:outlineLvl w:val="0"/>
        <w:rPr>
          <w:rFonts w:eastAsia="Times New Roman"/>
          <w:b/>
          <w:szCs w:val="22"/>
          <w:lang w:eastAsia="en-US"/>
        </w:rPr>
      </w:pPr>
      <w:r>
        <w:rPr>
          <w:rFonts w:eastAsia="Times New Roman"/>
          <w:b/>
          <w:szCs w:val="22"/>
          <w:lang w:eastAsia="en-US"/>
        </w:rPr>
        <w:t>Data Protection</w:t>
      </w:r>
    </w:p>
    <w:p w14:paraId="162404FC" w14:textId="77777777" w:rsidR="006A4381" w:rsidRPr="008D0CB9" w:rsidRDefault="006A4381" w:rsidP="006A4381">
      <w:pPr>
        <w:widowControl w:val="0"/>
        <w:tabs>
          <w:tab w:val="num" w:pos="540"/>
        </w:tabs>
        <w:spacing w:after="100" w:afterAutospacing="1"/>
        <w:outlineLvl w:val="0"/>
        <w:rPr>
          <w:rFonts w:eastAsia="Times New Roman"/>
          <w:szCs w:val="22"/>
          <w:lang w:eastAsia="en-US"/>
        </w:rPr>
      </w:pPr>
      <w:r w:rsidRPr="008D0CB9">
        <w:rPr>
          <w:rFonts w:eastAsia="Times New Roman"/>
          <w:szCs w:val="22"/>
          <w:lang w:eastAsia="en-US"/>
        </w:rPr>
        <w:t>This requirement involves accessing</w:t>
      </w:r>
      <w:r>
        <w:rPr>
          <w:rFonts w:eastAsia="Times New Roman"/>
          <w:szCs w:val="22"/>
          <w:lang w:eastAsia="en-US"/>
        </w:rPr>
        <w:t xml:space="preserve"> and reviewing research which is readily available in the public domain. No sensitive or personal information will be either sent or received by either Disability Unit or the supplier. </w:t>
      </w:r>
    </w:p>
    <w:p w14:paraId="3E8C6EF7" w14:textId="77777777" w:rsidR="006A4381" w:rsidRPr="000F5FE2" w:rsidRDefault="006A4381" w:rsidP="004B1AF8">
      <w:pPr>
        <w:widowControl w:val="0"/>
        <w:tabs>
          <w:tab w:val="num" w:pos="540"/>
        </w:tabs>
        <w:spacing w:after="100" w:afterAutospacing="1"/>
        <w:ind w:left="851" w:hanging="851"/>
        <w:jc w:val="center"/>
        <w:outlineLvl w:val="0"/>
        <w:rPr>
          <w:rFonts w:eastAsia="Times New Roman"/>
          <w:b/>
          <w:szCs w:val="22"/>
          <w:lang w:eastAsia="en-US"/>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55" w:name="_Toc440457130"/>
      <w:bookmarkStart w:id="156" w:name="_Toc444688627"/>
      <w:r w:rsidRPr="00D66848">
        <w:rPr>
          <w:rFonts w:eastAsia="Times New Roman"/>
          <w:b/>
          <w:szCs w:val="22"/>
          <w:lang w:eastAsia="en-US"/>
        </w:rPr>
        <w:lastRenderedPageBreak/>
        <w:t>ANNEX 7 – CHANGE CONTROL FORMS</w:t>
      </w:r>
      <w:bookmarkEnd w:id="155"/>
      <w:bookmarkEnd w:id="156"/>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1F731A">
        <w:trPr>
          <w:trHeight w:val="721"/>
        </w:trPr>
        <w:tc>
          <w:tcPr>
            <w:tcW w:w="2524" w:type="dxa"/>
            <w:shd w:val="clear" w:color="auto" w:fill="8DB3E2" w:themeFill="text2" w:themeFillTint="66"/>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B50810">
              <w:rPr>
                <w:b/>
                <w:szCs w:val="22"/>
              </w:rPr>
              <w:t>Insert title of requirement</w:t>
            </w:r>
            <w:r w:rsidRPr="00C86C03">
              <w:t xml:space="preserve"> </w:t>
            </w:r>
            <w:r w:rsidRPr="009F0F97">
              <w:t>(The Contract)</w:t>
            </w:r>
          </w:p>
        </w:tc>
      </w:tr>
      <w:tr w:rsidR="00D25599" w:rsidRPr="00864179" w14:paraId="453CEFBD" w14:textId="77777777" w:rsidTr="00B50810">
        <w:trPr>
          <w:trHeight w:val="473"/>
        </w:trPr>
        <w:tc>
          <w:tcPr>
            <w:tcW w:w="2524" w:type="dxa"/>
            <w:shd w:val="clear" w:color="auto" w:fill="8DB3E2" w:themeFill="text2" w:themeFillTint="66"/>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auto"/>
          </w:tcPr>
          <w:p w14:paraId="0DA14729" w14:textId="77777777" w:rsidR="00B40533" w:rsidRPr="00A34FDD" w:rsidRDefault="00B40533" w:rsidP="00B40533"/>
        </w:tc>
        <w:tc>
          <w:tcPr>
            <w:tcW w:w="3119" w:type="dxa"/>
            <w:shd w:val="clear" w:color="auto" w:fill="8DB3E2" w:themeFill="text2" w:themeFillTint="66"/>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auto"/>
          </w:tcPr>
          <w:p w14:paraId="7A37AEE1" w14:textId="77777777" w:rsidR="00B40533" w:rsidRPr="00A34FDD" w:rsidRDefault="00B40533" w:rsidP="00B40533">
            <w:pPr>
              <w:rPr>
                <w:b/>
              </w:rPr>
            </w:pPr>
          </w:p>
        </w:tc>
      </w:tr>
      <w:tr w:rsidR="00D25599" w:rsidRPr="00864179" w14:paraId="7086563D" w14:textId="77777777" w:rsidTr="00B50810">
        <w:trPr>
          <w:trHeight w:val="513"/>
        </w:trPr>
        <w:tc>
          <w:tcPr>
            <w:tcW w:w="2524" w:type="dxa"/>
            <w:shd w:val="clear" w:color="auto" w:fill="8DB3E2" w:themeFill="text2" w:themeFillTint="66"/>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auto"/>
          </w:tcPr>
          <w:p w14:paraId="40C21958" w14:textId="77777777" w:rsidR="00B40533" w:rsidRPr="00A34FDD" w:rsidRDefault="00B40533" w:rsidP="00B40533">
            <w:pPr>
              <w:rPr>
                <w:iCs/>
              </w:rPr>
            </w:pPr>
          </w:p>
        </w:tc>
        <w:tc>
          <w:tcPr>
            <w:tcW w:w="3119" w:type="dxa"/>
            <w:shd w:val="clear" w:color="auto" w:fill="8DB3E2" w:themeFill="text2" w:themeFillTint="66"/>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auto"/>
          </w:tcPr>
          <w:p w14:paraId="1BCF0883" w14:textId="77777777" w:rsidR="00B40533" w:rsidRPr="00A34FDD" w:rsidRDefault="00B40533" w:rsidP="00B40533">
            <w:pPr>
              <w:rPr>
                <w:i/>
                <w:iCs/>
              </w:rPr>
            </w:pPr>
          </w:p>
        </w:tc>
      </w:tr>
      <w:tr w:rsidR="00B40533" w:rsidRPr="00864179" w14:paraId="4650D4D3" w14:textId="77777777" w:rsidTr="001F731A">
        <w:trPr>
          <w:trHeight w:val="4840"/>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B50810">
              <w:rPr>
                <w:rFonts w:ascii="Calibri" w:hAnsi="Calibri" w:cs="Arial"/>
                <w:b/>
                <w:iCs/>
              </w:rPr>
              <w:t>Inser</w:t>
            </w:r>
            <w:r w:rsidR="00383309" w:rsidRPr="00B50810">
              <w:rPr>
                <w:rFonts w:ascii="Calibri" w:hAnsi="Calibri" w:cs="Arial"/>
                <w:b/>
                <w:iCs/>
              </w:rPr>
              <w:t xml:space="preserve">t Name of Contracting </w:t>
            </w:r>
            <w:r w:rsidR="00336839" w:rsidRPr="00B50810">
              <w:rPr>
                <w:rFonts w:ascii="Calibri" w:hAnsi="Calibri" w:cs="Arial"/>
                <w:b/>
                <w:iCs/>
              </w:rPr>
              <w:t>Authority</w:t>
            </w:r>
            <w:r w:rsidRPr="00B50810">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B50810">
              <w:rPr>
                <w:rFonts w:ascii="Calibri" w:hAnsi="Calibri" w:cs="Arial"/>
                <w:b/>
                <w:iCs/>
              </w:rPr>
              <w:t xml:space="preserve">Insert </w:t>
            </w:r>
            <w:r w:rsidR="00C86C03" w:rsidRPr="00B50810">
              <w:rPr>
                <w:rFonts w:ascii="Calibri" w:hAnsi="Calibri" w:cs="Arial"/>
                <w:b/>
                <w:iCs/>
              </w:rPr>
              <w:t>name of Suppl</w:t>
            </w:r>
            <w:r w:rsidR="00336839" w:rsidRPr="00B50810">
              <w:rPr>
                <w:rFonts w:ascii="Calibri" w:hAnsi="Calibri" w:cs="Arial"/>
                <w:b/>
                <w:iCs/>
              </w:rPr>
              <w:t>i</w:t>
            </w:r>
            <w:r w:rsidR="00C86C03" w:rsidRPr="00B50810">
              <w:rPr>
                <w:rFonts w:ascii="Calibri" w:hAnsi="Calibri" w:cs="Arial"/>
                <w:b/>
                <w:iCs/>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B50810">
              <w:rPr>
                <w:rFonts w:ascii="Calibri" w:hAnsi="Calibri" w:cs="Arial"/>
                <w:b/>
                <w:iCs/>
              </w:rPr>
              <w:t>Insert</w:t>
            </w:r>
            <w:r w:rsidR="00B40533" w:rsidRPr="00B50810">
              <w:rPr>
                <w:rFonts w:ascii="Calibri" w:hAnsi="Calibri" w:cs="Arial"/>
                <w:b/>
                <w:iCs/>
              </w:rPr>
              <w:t xml:space="preserve"> details of changes</w:t>
            </w:r>
            <w:r w:rsidRPr="00B50810">
              <w:rPr>
                <w:rFonts w:ascii="Calibri" w:hAnsi="Calibri" w:cs="Arial"/>
                <w:b/>
                <w:iCs/>
              </w:rPr>
              <w:t xml:space="preserve"> to the </w:t>
            </w:r>
            <w:r w:rsidR="00B40533" w:rsidRPr="00B50810">
              <w:rPr>
                <w:rFonts w:ascii="Calibri" w:hAnsi="Calibri" w:cs="Arial"/>
                <w:b/>
                <w:iCs/>
              </w:rPr>
              <w:t>original contract</w:t>
            </w:r>
            <w:r w:rsidR="00336839" w:rsidRPr="00B50810">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61C46483" w14:textId="77777777" w:rsidR="00B40533" w:rsidRPr="00372E84" w:rsidRDefault="00B40533" w:rsidP="00B40533">
            <w:pPr>
              <w:rPr>
                <w:iCs/>
                <w:color w:val="FF0000"/>
              </w:rPr>
            </w:pPr>
          </w:p>
        </w:tc>
      </w:tr>
      <w:tr w:rsidR="00B40533" w:rsidRPr="00864179" w14:paraId="1607971B" w14:textId="77777777" w:rsidTr="001F731A">
        <w:trPr>
          <w:trHeight w:val="1975"/>
        </w:trPr>
        <w:tc>
          <w:tcPr>
            <w:tcW w:w="11058" w:type="dxa"/>
            <w:gridSpan w:val="4"/>
            <w:hideMark/>
          </w:tcPr>
          <w:p w14:paraId="26017753" w14:textId="30D93D52" w:rsidR="00B40533" w:rsidRPr="00864179" w:rsidRDefault="00B40533" w:rsidP="00B40533">
            <w:r w:rsidRPr="00864179">
              <w:t> </w:t>
            </w:r>
          </w:p>
          <w:p w14:paraId="214B685F" w14:textId="638C0CFC" w:rsidR="00B40533" w:rsidRPr="00AD540B" w:rsidRDefault="00A34FDD" w:rsidP="00B40533">
            <w:pPr>
              <w:ind w:left="147"/>
            </w:pPr>
            <w:r>
              <w:rPr>
                <w:noProof/>
                <w:lang w:eastAsia="en-GB"/>
              </w:rPr>
              <mc:AlternateContent>
                <mc:Choice Requires="wps">
                  <w:drawing>
                    <wp:anchor distT="45720" distB="45720" distL="114300" distR="114300" simplePos="0" relativeHeight="251662336" behindDoc="1" locked="0" layoutInCell="1" allowOverlap="1" wp14:anchorId="15FD2490" wp14:editId="659ACB44">
                      <wp:simplePos x="0" y="0"/>
                      <wp:positionH relativeFrom="column">
                        <wp:posOffset>153670</wp:posOffset>
                      </wp:positionH>
                      <wp:positionV relativeFrom="page">
                        <wp:posOffset>194310</wp:posOffset>
                      </wp:positionV>
                      <wp:extent cx="1237615" cy="463550"/>
                      <wp:effectExtent l="0" t="0" r="19685" b="12700"/>
                      <wp:wrapTight wrapText="bothSides">
                        <wp:wrapPolygon edited="0">
                          <wp:start x="0" y="0"/>
                          <wp:lineTo x="0" y="21304"/>
                          <wp:lineTo x="21611" y="21304"/>
                          <wp:lineTo x="21611"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463550"/>
                              </a:xfrm>
                              <a:prstGeom prst="rect">
                                <a:avLst/>
                              </a:prstGeom>
                              <a:solidFill>
                                <a:srgbClr val="FFFFFF"/>
                              </a:solidFill>
                              <a:ln w="9525">
                                <a:solidFill>
                                  <a:srgbClr val="000000"/>
                                </a:solidFill>
                                <a:miter lim="800000"/>
                                <a:headEnd/>
                                <a:tailEnd/>
                              </a:ln>
                            </wps:spPr>
                            <wps:txbx>
                              <w:txbxContent>
                                <w:p w14:paraId="0672C103"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D2490" id="_x0000_t202" coordsize="21600,21600" o:spt="202" path="m,l,21600r21600,l21600,xe">
                      <v:stroke joinstyle="miter"/>
                      <v:path gradientshapeok="t" o:connecttype="rect"/>
                    </v:shapetype>
                    <v:shape id="Text Box 2" o:spid="_x0000_s1026" type="#_x0000_t202" style="position:absolute;left:0;text-align:left;margin-left:12.1pt;margin-top:15.3pt;width:97.45pt;height:3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">
                      <v:textbox>
                        <w:txbxContent>
                          <w:p w14:paraId="0672C103" w14:textId="77777777" w:rsidR="000E1341" w:rsidRDefault="000E1341"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48473422">
                      <wp:simplePos x="0" y="0"/>
                      <wp:positionH relativeFrom="column">
                        <wp:posOffset>1436370</wp:posOffset>
                      </wp:positionH>
                      <wp:positionV relativeFrom="page">
                        <wp:posOffset>194310</wp:posOffset>
                      </wp:positionV>
                      <wp:extent cx="1792605" cy="463550"/>
                      <wp:effectExtent l="0" t="0" r="17145" b="12700"/>
                      <wp:wrapTight wrapText="bothSides">
                        <wp:wrapPolygon edited="0">
                          <wp:start x="0" y="0"/>
                          <wp:lineTo x="0" y="21304"/>
                          <wp:lineTo x="21577" y="21304"/>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463550"/>
                              </a:xfrm>
                              <a:prstGeom prst="rect">
                                <a:avLst/>
                              </a:prstGeom>
                              <a:solidFill>
                                <a:srgbClr val="FFFFFF"/>
                              </a:solidFill>
                              <a:ln w="9525">
                                <a:solidFill>
                                  <a:srgbClr val="000000"/>
                                </a:solidFill>
                                <a:miter lim="800000"/>
                                <a:headEnd/>
                                <a:tailEnd/>
                              </a:ln>
                            </wps:spPr>
                            <wps:txbx>
                              <w:txbxContent>
                                <w:p w14:paraId="07BD5BAD"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3.1pt;margin-top:15.3pt;width:141.15pt;height:3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D4JgIAAEs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">
                      <v:textbox>
                        <w:txbxContent>
                          <w:p w14:paraId="07BD5BAD" w14:textId="77777777" w:rsidR="000E1341" w:rsidRDefault="000E1341"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1312" behindDoc="1" locked="0" layoutInCell="1" allowOverlap="1" wp14:anchorId="617478C9" wp14:editId="7B053E7D">
                      <wp:simplePos x="0" y="0"/>
                      <wp:positionH relativeFrom="column">
                        <wp:posOffset>3493770</wp:posOffset>
                      </wp:positionH>
                      <wp:positionV relativeFrom="page">
                        <wp:posOffset>194310</wp:posOffset>
                      </wp:positionV>
                      <wp:extent cx="1671955" cy="463550"/>
                      <wp:effectExtent l="0" t="0" r="23495" b="12700"/>
                      <wp:wrapTight wrapText="bothSides">
                        <wp:wrapPolygon edited="0">
                          <wp:start x="0" y="0"/>
                          <wp:lineTo x="0" y="21304"/>
                          <wp:lineTo x="21657" y="21304"/>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3550"/>
                              </a:xfrm>
                              <a:prstGeom prst="rect">
                                <a:avLst/>
                              </a:prstGeom>
                              <a:solidFill>
                                <a:srgbClr val="FFFFFF"/>
                              </a:solidFill>
                              <a:ln w="9525">
                                <a:solidFill>
                                  <a:srgbClr val="000000"/>
                                </a:solidFill>
                                <a:miter lim="800000"/>
                                <a:headEnd/>
                                <a:tailEnd/>
                              </a:ln>
                            </wps:spPr>
                            <wps:txbx>
                              <w:txbxContent>
                                <w:p w14:paraId="73BBD3E8"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478C9" id="_x0000_s1028" type="#_x0000_t202" style="position:absolute;left:0;text-align:left;margin-left:275.1pt;margin-top:15.3pt;width:131.65pt;height:3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">
                      <v:textbox>
                        <w:txbxContent>
                          <w:p w14:paraId="73BBD3E8" w14:textId="77777777" w:rsidR="000E1341" w:rsidRDefault="000E1341" w:rsidP="00B40533"/>
                        </w:txbxContent>
                      </v:textbox>
                      <w10:wrap type="tight" anchory="page"/>
                    </v:shape>
                  </w:pict>
                </mc:Fallback>
              </mc:AlternateContent>
            </w:r>
            <w:r w:rsidR="00B40533" w:rsidRPr="006C397A">
              <w:rPr>
                <w:rFonts w:ascii="Calibri" w:hAnsi="Calibri" w:cs="Arial"/>
              </w:rPr>
              <w:t xml:space="preserve">Change authorised to proceed </w:t>
            </w:r>
            <w:r w:rsidR="00B40533">
              <w:rPr>
                <w:rFonts w:ascii="Calibri" w:hAnsi="Calibri" w:cs="Arial"/>
              </w:rPr>
              <w:t xml:space="preserve">by: </w:t>
            </w:r>
            <w:r w:rsidR="00B40533" w:rsidRPr="00AD540B">
              <w:rPr>
                <w:rFonts w:ascii="Calibri" w:hAnsi="Calibri" w:cs="Arial"/>
                <w:bCs/>
              </w:rPr>
              <w:t>(</w:t>
            </w:r>
            <w:r w:rsidR="000C212E">
              <w:rPr>
                <w:rFonts w:ascii="Calibri" w:hAnsi="Calibri" w:cs="Arial"/>
                <w:bCs/>
              </w:rPr>
              <w:t>Customer</w:t>
            </w:r>
            <w:r w:rsidR="00B40533" w:rsidRPr="00AD540B">
              <w:rPr>
                <w:rFonts w:ascii="Calibri" w:hAnsi="Calibri" w:cs="Arial"/>
                <w:bCs/>
              </w:rPr>
              <w:t>’s representative):</w:t>
            </w:r>
            <w:r w:rsidR="00B40533" w:rsidRPr="00AD540B">
              <w:t xml:space="preserve"> </w:t>
            </w:r>
          </w:p>
          <w:p w14:paraId="64EFC759" w14:textId="3DC13A1A" w:rsidR="00B40533" w:rsidRDefault="00B40533" w:rsidP="00B40533">
            <w:pPr>
              <w:ind w:left="2274"/>
            </w:pPr>
            <w:r>
              <w:t xml:space="preserve">                                                                </w:t>
            </w:r>
          </w:p>
          <w:p w14:paraId="5DBF7C12" w14:textId="703D22DF" w:rsidR="00B40533" w:rsidRPr="00864179" w:rsidRDefault="00A34FDD" w:rsidP="001F731A">
            <w:r>
              <w:t xml:space="preserve">        </w:t>
            </w:r>
            <w:r w:rsidR="00B40533">
              <w:t xml:space="preserve">Signature     </w:t>
            </w:r>
            <w:r w:rsidR="00336839">
              <w:t xml:space="preserve">               </w:t>
            </w:r>
            <w:r w:rsidR="00B40533">
              <w:t>Print Name and Job Title                  Date</w:t>
            </w:r>
          </w:p>
        </w:tc>
      </w:tr>
      <w:tr w:rsidR="00B40533" w:rsidRPr="00864179" w14:paraId="415770E0" w14:textId="77777777" w:rsidTr="001F731A">
        <w:trPr>
          <w:trHeight w:val="1618"/>
        </w:trPr>
        <w:tc>
          <w:tcPr>
            <w:tcW w:w="11058" w:type="dxa"/>
            <w:gridSpan w:val="4"/>
            <w:tcBorders>
              <w:bottom w:val="single" w:sz="4" w:space="0" w:color="auto"/>
            </w:tcBorders>
            <w:noWrap/>
            <w:hideMark/>
          </w:tcPr>
          <w:p w14:paraId="3C3CB51C" w14:textId="2256EBD2" w:rsidR="00B40533" w:rsidRPr="00155064" w:rsidRDefault="00A34FDD" w:rsidP="00B40533">
            <w:r w:rsidRPr="00A13EB4">
              <w:rPr>
                <w:noProof/>
                <w:lang w:eastAsia="en-GB"/>
              </w:rPr>
              <mc:AlternateContent>
                <mc:Choice Requires="wps">
                  <w:drawing>
                    <wp:anchor distT="45720" distB="45720" distL="114300" distR="114300" simplePos="0" relativeHeight="251663360" behindDoc="1" locked="0" layoutInCell="1" allowOverlap="1" wp14:anchorId="137DA387" wp14:editId="3E118866">
                      <wp:simplePos x="0" y="0"/>
                      <wp:positionH relativeFrom="column">
                        <wp:posOffset>5436870</wp:posOffset>
                      </wp:positionH>
                      <wp:positionV relativeFrom="page">
                        <wp:posOffset>153035</wp:posOffset>
                      </wp:positionV>
                      <wp:extent cx="1257300" cy="51435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7B63364D"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8.1pt;margin-top:12.05pt;width:99pt;height:4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">
                      <v:textbox>
                        <w:txbxContent>
                          <w:p w14:paraId="7B63364D" w14:textId="77777777" w:rsidR="000E1341" w:rsidRDefault="000E1341"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22981943">
                      <wp:simplePos x="0" y="0"/>
                      <wp:positionH relativeFrom="column">
                        <wp:posOffset>3493770</wp:posOffset>
                      </wp:positionH>
                      <wp:positionV relativeFrom="page">
                        <wp:posOffset>153035</wp:posOffset>
                      </wp:positionV>
                      <wp:extent cx="1714500" cy="514350"/>
                      <wp:effectExtent l="0" t="0" r="19050" b="19050"/>
                      <wp:wrapTight wrapText="bothSides">
                        <wp:wrapPolygon edited="0">
                          <wp:start x="0" y="0"/>
                          <wp:lineTo x="0" y="21600"/>
                          <wp:lineTo x="21600" y="21600"/>
                          <wp:lineTo x="2160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4350"/>
                              </a:xfrm>
                              <a:prstGeom prst="rect">
                                <a:avLst/>
                              </a:prstGeom>
                              <a:solidFill>
                                <a:srgbClr val="FFFFFF"/>
                              </a:solidFill>
                              <a:ln w="9525">
                                <a:solidFill>
                                  <a:srgbClr val="000000"/>
                                </a:solidFill>
                                <a:miter lim="800000"/>
                                <a:headEnd/>
                                <a:tailEnd/>
                              </a:ln>
                            </wps:spPr>
                            <wps:txbx>
                              <w:txbxContent>
                                <w:p w14:paraId="28271A3D"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5.1pt;margin-top:12.05pt;width:135pt;height:4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">
                      <v:textbox>
                        <w:txbxContent>
                          <w:p w14:paraId="28271A3D" w14:textId="77777777" w:rsidR="000E1341" w:rsidRDefault="000E1341"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8A05B17">
                      <wp:simplePos x="0" y="0"/>
                      <wp:positionH relativeFrom="column">
                        <wp:posOffset>1436370</wp:posOffset>
                      </wp:positionH>
                      <wp:positionV relativeFrom="page">
                        <wp:posOffset>153035</wp:posOffset>
                      </wp:positionV>
                      <wp:extent cx="1828800" cy="51435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7F267025"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3.1pt;margin-top:12.05pt;width:2in;height:4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">
                      <v:textbox>
                        <w:txbxContent>
                          <w:p w14:paraId="7F267025" w14:textId="77777777" w:rsidR="000E1341" w:rsidRDefault="000E1341" w:rsidP="00B40533"/>
                        </w:txbxContent>
                      </v:textbox>
                      <w10:wrap type="tight" anchory="page"/>
                    </v:shape>
                  </w:pict>
                </mc:Fallback>
              </mc:AlternateContent>
            </w:r>
          </w:p>
          <w:p w14:paraId="773297EE" w14:textId="7EAE6392" w:rsidR="00A34FDD" w:rsidRPr="00155064" w:rsidRDefault="00B40533" w:rsidP="00B40533">
            <w:r w:rsidRPr="00155064">
              <w:t>Authorised for and on behalf of the Supplier</w:t>
            </w:r>
            <w:r>
              <w:t>:</w:t>
            </w:r>
          </w:p>
          <w:p w14:paraId="3A71B144" w14:textId="032EC66A" w:rsidR="00B40533" w:rsidRPr="00155064" w:rsidRDefault="00B40533" w:rsidP="00B40533">
            <w:pPr>
              <w:tabs>
                <w:tab w:val="center" w:pos="5421"/>
              </w:tabs>
            </w:pPr>
          </w:p>
          <w:p w14:paraId="36AA60FC" w14:textId="4A330516" w:rsidR="00B40533" w:rsidRPr="00A13EB4" w:rsidRDefault="00B40533" w:rsidP="00B40533">
            <w:pPr>
              <w:tabs>
                <w:tab w:val="left" w:pos="10637"/>
              </w:tabs>
              <w:rPr>
                <w:bCs/>
              </w:rPr>
            </w:pP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1F731A">
        <w:trPr>
          <w:trHeight w:val="1825"/>
        </w:trPr>
        <w:tc>
          <w:tcPr>
            <w:tcW w:w="11058" w:type="dxa"/>
            <w:gridSpan w:val="4"/>
            <w:noWrap/>
          </w:tcPr>
          <w:p w14:paraId="5292063C" w14:textId="13E9B550" w:rsidR="00B40533" w:rsidRDefault="00A34FDD" w:rsidP="00B40533">
            <w:r>
              <w:rPr>
                <w:noProof/>
                <w:lang w:eastAsia="en-GB"/>
              </w:rPr>
              <w:lastRenderedPageBreak/>
              <mc:AlternateContent>
                <mc:Choice Requires="wps">
                  <w:drawing>
                    <wp:anchor distT="45720" distB="45720" distL="114300" distR="114300" simplePos="0" relativeHeight="251668480" behindDoc="1" locked="0" layoutInCell="1" allowOverlap="1" wp14:anchorId="43E7593E" wp14:editId="308707FF">
                      <wp:simplePos x="0" y="0"/>
                      <wp:positionH relativeFrom="column">
                        <wp:posOffset>5436870</wp:posOffset>
                      </wp:positionH>
                      <wp:positionV relativeFrom="page">
                        <wp:posOffset>101600</wp:posOffset>
                      </wp:positionV>
                      <wp:extent cx="1257300" cy="5143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14350"/>
                              </a:xfrm>
                              <a:prstGeom prst="rect">
                                <a:avLst/>
                              </a:prstGeom>
                              <a:solidFill>
                                <a:srgbClr val="FFFFFF"/>
                              </a:solidFill>
                              <a:ln w="9525">
                                <a:solidFill>
                                  <a:srgbClr val="000000"/>
                                </a:solidFill>
                                <a:miter lim="800000"/>
                                <a:headEnd/>
                                <a:tailEnd/>
                              </a:ln>
                            </wps:spPr>
                            <wps:txbx>
                              <w:txbxContent>
                                <w:p w14:paraId="783F50A7"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2" type="#_x0000_t202" style="position:absolute;left:0;text-align:left;margin-left:428.1pt;margin-top:8pt;width:99pt;height:4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3y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">
                      <v:textbox>
                        <w:txbxContent>
                          <w:p w14:paraId="783F50A7" w14:textId="77777777" w:rsidR="000E1341" w:rsidRDefault="000E1341"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72ACD67D">
                      <wp:simplePos x="0" y="0"/>
                      <wp:positionH relativeFrom="column">
                        <wp:posOffset>3493770</wp:posOffset>
                      </wp:positionH>
                      <wp:positionV relativeFrom="page">
                        <wp:posOffset>101600</wp:posOffset>
                      </wp:positionV>
                      <wp:extent cx="1678305" cy="514350"/>
                      <wp:effectExtent l="0" t="0" r="17145" b="19050"/>
                      <wp:wrapTight wrapText="bothSides">
                        <wp:wrapPolygon edited="0">
                          <wp:start x="0" y="0"/>
                          <wp:lineTo x="0" y="21600"/>
                          <wp:lineTo x="21575" y="21600"/>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514350"/>
                              </a:xfrm>
                              <a:prstGeom prst="rect">
                                <a:avLst/>
                              </a:prstGeom>
                              <a:solidFill>
                                <a:srgbClr val="FFFFFF"/>
                              </a:solidFill>
                              <a:ln w="9525">
                                <a:solidFill>
                                  <a:srgbClr val="000000"/>
                                </a:solidFill>
                                <a:miter lim="800000"/>
                                <a:headEnd/>
                                <a:tailEnd/>
                              </a:ln>
                            </wps:spPr>
                            <wps:txbx>
                              <w:txbxContent>
                                <w:p w14:paraId="30060C02"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3" type="#_x0000_t202" style="position:absolute;left:0;text-align:left;margin-left:275.1pt;margin-top:8pt;width:132.15pt;height:4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">
                      <v:textbox>
                        <w:txbxContent>
                          <w:p w14:paraId="30060C02" w14:textId="77777777" w:rsidR="000E1341" w:rsidRDefault="000E1341" w:rsidP="00B40533"/>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07DD8925">
                      <wp:simplePos x="0" y="0"/>
                      <wp:positionH relativeFrom="column">
                        <wp:posOffset>1436370</wp:posOffset>
                      </wp:positionH>
                      <wp:positionV relativeFrom="page">
                        <wp:posOffset>101600</wp:posOffset>
                      </wp:positionV>
                      <wp:extent cx="1828800" cy="514350"/>
                      <wp:effectExtent l="0" t="0" r="19050" b="19050"/>
                      <wp:wrapTight wrapText="bothSides">
                        <wp:wrapPolygon edited="0">
                          <wp:start x="0" y="0"/>
                          <wp:lineTo x="0" y="21600"/>
                          <wp:lineTo x="21600" y="21600"/>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4350"/>
                              </a:xfrm>
                              <a:prstGeom prst="rect">
                                <a:avLst/>
                              </a:prstGeom>
                              <a:solidFill>
                                <a:srgbClr val="FFFFFF"/>
                              </a:solidFill>
                              <a:ln w="9525">
                                <a:solidFill>
                                  <a:srgbClr val="000000"/>
                                </a:solidFill>
                                <a:miter lim="800000"/>
                                <a:headEnd/>
                                <a:tailEnd/>
                              </a:ln>
                            </wps:spPr>
                            <wps:txbx>
                              <w:txbxContent>
                                <w:p w14:paraId="00A9416B" w14:textId="77777777" w:rsidR="000E1341" w:rsidRDefault="000E134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4" type="#_x0000_t202" style="position:absolute;left:0;text-align:left;margin-left:113.1pt;margin-top:8pt;width:2in;height:4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">
                      <v:textbox>
                        <w:txbxContent>
                          <w:p w14:paraId="00A9416B" w14:textId="77777777" w:rsidR="000E1341" w:rsidRDefault="000E1341" w:rsidP="00B40533"/>
                        </w:txbxContent>
                      </v:textbox>
                      <w10:wrap type="tight" anchory="page"/>
                    </v:shape>
                  </w:pict>
                </mc:Fallback>
              </mc:AlternateContent>
            </w:r>
          </w:p>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4B18153D" w14:textId="72108972" w:rsidR="00B40533" w:rsidRPr="00864179" w:rsidRDefault="00B40533" w:rsidP="00B40533">
            <w:r>
              <w:t xml:space="preserve">                                              Signature                </w:t>
            </w:r>
            <w:r w:rsidR="00336839">
              <w:t xml:space="preserve">                </w:t>
            </w:r>
            <w:r>
              <w:t>Print Name and Job Title                  Date</w:t>
            </w:r>
          </w:p>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DE623" w14:textId="77777777" w:rsidR="000E1341" w:rsidRDefault="000E1341">
      <w:pPr>
        <w:spacing w:line="20" w:lineRule="exact"/>
      </w:pPr>
    </w:p>
  </w:endnote>
  <w:endnote w:type="continuationSeparator" w:id="0">
    <w:p w14:paraId="69DFDA36" w14:textId="77777777" w:rsidR="000E1341" w:rsidRDefault="000E1341">
      <w:pPr>
        <w:spacing w:line="20" w:lineRule="exact"/>
      </w:pPr>
      <w:r>
        <w:t xml:space="preserve"> </w:t>
      </w:r>
    </w:p>
  </w:endnote>
  <w:endnote w:type="continuationNotice" w:id="1">
    <w:p w14:paraId="19FFFC7C" w14:textId="77777777" w:rsidR="000E1341" w:rsidRDefault="000E134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0E1341" w:rsidRDefault="000E1341"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0E1341" w:rsidRDefault="000E1341"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0E1341" w:rsidRDefault="000E1341"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0E1341" w:rsidRPr="00C34E12" w:rsidRDefault="000E1341"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0E1341" w:rsidRDefault="000E1341"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0E1341" w:rsidRPr="00A65391" w:rsidRDefault="000E1341"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0E1341" w:rsidRPr="00CE50FE" w:rsidRDefault="000E1341" w:rsidP="00F70073">
        <w:pPr>
          <w:pStyle w:val="Footer"/>
          <w:pBdr>
            <w:top w:val="single" w:sz="4" w:space="1" w:color="auto"/>
          </w:pBdr>
          <w:jc w:val="center"/>
          <w:rPr>
            <w:sz w:val="20"/>
            <w:szCs w:val="20"/>
          </w:rPr>
        </w:pPr>
        <w:r w:rsidRPr="00CE50FE">
          <w:rPr>
            <w:sz w:val="20"/>
            <w:szCs w:val="20"/>
          </w:rPr>
          <w:t>OFFICIAL</w:t>
        </w:r>
      </w:p>
      <w:p w14:paraId="6369C02F" w14:textId="08FDF166" w:rsidR="000E1341" w:rsidRDefault="000E1341" w:rsidP="00F70073">
        <w:pPr>
          <w:pStyle w:val="Footer"/>
          <w:pBdr>
            <w:top w:val="single" w:sz="4" w:space="1" w:color="auto"/>
          </w:pBdr>
          <w:rPr>
            <w:sz w:val="20"/>
            <w:szCs w:val="20"/>
          </w:rPr>
        </w:pPr>
        <w:r w:rsidRPr="00CE50FE">
          <w:rPr>
            <w:sz w:val="20"/>
            <w:szCs w:val="20"/>
          </w:rPr>
          <w:t>A</w:t>
        </w:r>
        <w:r>
          <w:rPr>
            <w:sz w:val="20"/>
            <w:szCs w:val="20"/>
          </w:rPr>
          <w:t>ttachment 5 – Services</w:t>
        </w:r>
      </w:p>
      <w:p w14:paraId="3D05A910" w14:textId="40520394" w:rsidR="000E1341" w:rsidRPr="00CE50FE" w:rsidRDefault="000E1341" w:rsidP="00F70073">
        <w:pPr>
          <w:pStyle w:val="Footer"/>
          <w:pBdr>
            <w:top w:val="single" w:sz="4" w:space="1" w:color="auto"/>
          </w:pBdr>
          <w:rPr>
            <w:sz w:val="20"/>
            <w:szCs w:val="20"/>
          </w:rPr>
        </w:pPr>
        <w:r>
          <w:rPr>
            <w:sz w:val="20"/>
            <w:szCs w:val="20"/>
          </w:rPr>
          <w:t>GWG T17 v1.0</w:t>
        </w:r>
        <w:r w:rsidRPr="000606CE">
          <w:rPr>
            <w:sz w:val="20"/>
            <w:szCs w:val="20"/>
          </w:rPr>
          <w:t xml:space="preserve"> </w:t>
        </w:r>
        <w:r w:rsidR="009D022B">
          <w:rPr>
            <w:sz w:val="20"/>
            <w:szCs w:val="20"/>
          </w:rPr>
          <w:t>27</w:t>
        </w:r>
        <w:r w:rsidR="00BF6A3B" w:rsidRPr="00BF6A3B">
          <w:rPr>
            <w:sz w:val="20"/>
            <w:szCs w:val="20"/>
          </w:rPr>
          <w:t>/04/2021</w:t>
        </w:r>
      </w:p>
      <w:p w14:paraId="59D982FD" w14:textId="112287E3" w:rsidR="000E1341" w:rsidRPr="00CE50FE" w:rsidRDefault="000E1341" w:rsidP="00F70073">
        <w:pPr>
          <w:pStyle w:val="Footer"/>
          <w:pBdr>
            <w:top w:val="single" w:sz="4" w:space="1" w:color="auto"/>
          </w:pBdr>
          <w:rPr>
            <w:sz w:val="20"/>
            <w:szCs w:val="20"/>
          </w:rPr>
        </w:pPr>
        <w:r>
          <w:rPr>
            <w:rFonts w:cs="Arial"/>
            <w:color w:val="222222"/>
            <w:sz w:val="19"/>
            <w:szCs w:val="19"/>
            <w:shd w:val="clear" w:color="auto" w:fill="FFFFFF"/>
          </w:rPr>
          <w:t>© Crown copyright 2021</w:t>
        </w:r>
      </w:p>
      <w:p w14:paraId="49CF4B3A" w14:textId="13E6D710" w:rsidR="000E1341" w:rsidRPr="00CE50FE" w:rsidRDefault="000E1341" w:rsidP="00F70073">
        <w:pPr>
          <w:pStyle w:val="Footer"/>
          <w:pBdr>
            <w:top w:val="single" w:sz="4" w:space="1" w:color="auto"/>
          </w:pBdr>
          <w:jc w:val="right"/>
          <w:rPr>
            <w:sz w:val="20"/>
            <w:szCs w:val="20"/>
          </w:rPr>
        </w:pPr>
      </w:p>
      <w:p w14:paraId="3085C604" w14:textId="0FB3728D" w:rsidR="000E1341" w:rsidRDefault="000E1341" w:rsidP="00F70073">
        <w:pPr>
          <w:pStyle w:val="Footer"/>
          <w:pBdr>
            <w:top w:val="single" w:sz="4" w:space="1" w:color="auto"/>
          </w:pBdr>
          <w:jc w:val="center"/>
        </w:pPr>
        <w:r>
          <w:rPr>
            <w:sz w:val="20"/>
            <w:szCs w:val="20"/>
          </w:rPr>
          <w:t xml:space="preserve">Page </w:t>
        </w: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FA078B">
          <w:rPr>
            <w:noProof/>
            <w:sz w:val="20"/>
            <w:szCs w:val="20"/>
          </w:rPr>
          <w:t>3</w:t>
        </w:r>
        <w:r w:rsidRPr="00CE50FE">
          <w:rPr>
            <w:noProof/>
            <w:sz w:val="20"/>
            <w:szCs w:val="20"/>
          </w:rPr>
          <w:fldChar w:fldCharType="end"/>
        </w:r>
        <w:r>
          <w:rPr>
            <w:noProof/>
            <w:sz w:val="20"/>
            <w:szCs w:val="20"/>
          </w:rPr>
          <w:t xml:space="preserve"> of 31</w:t>
        </w:r>
      </w:p>
    </w:sdtContent>
  </w:sdt>
  <w:p w14:paraId="170A480B" w14:textId="77777777" w:rsidR="000E1341" w:rsidRPr="00360755" w:rsidRDefault="000E1341"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84B19" w14:textId="77777777" w:rsidR="000E1341" w:rsidRDefault="000E1341">
      <w:r>
        <w:separator/>
      </w:r>
    </w:p>
  </w:footnote>
  <w:footnote w:type="continuationSeparator" w:id="0">
    <w:p w14:paraId="4FA691CB" w14:textId="77777777" w:rsidR="000E1341" w:rsidRDefault="000E1341">
      <w:r>
        <w:continuationSeparator/>
      </w:r>
    </w:p>
  </w:footnote>
  <w:footnote w:type="continuationNotice" w:id="1">
    <w:p w14:paraId="1991E349" w14:textId="77777777" w:rsidR="000E1341" w:rsidRDefault="000E1341"/>
  </w:footnote>
  <w:footnote w:id="2">
    <w:p w14:paraId="33190279" w14:textId="77777777" w:rsidR="001F6118" w:rsidRDefault="001F6118" w:rsidP="001F6118">
      <w:pPr>
        <w:rPr>
          <w:sz w:val="20"/>
          <w:szCs w:val="20"/>
        </w:rPr>
      </w:pPr>
      <w:r>
        <w:rPr>
          <w:vertAlign w:val="superscript"/>
        </w:rPr>
        <w:footnoteRef/>
      </w:r>
      <w:r>
        <w:rPr>
          <w:sz w:val="20"/>
          <w:szCs w:val="20"/>
        </w:rPr>
        <w:t xml:space="preserve"> </w:t>
      </w:r>
      <w:hyperlink r:id="rId1">
        <w:r>
          <w:rPr>
            <w:color w:val="1155CC"/>
            <w:sz w:val="20"/>
            <w:szCs w:val="20"/>
            <w:u w:val="single"/>
          </w:rPr>
          <w:t xml:space="preserve">‘Lived Experience’ in Oxford </w:t>
        </w:r>
      </w:hyperlink>
      <w:hyperlink r:id="rId2">
        <w:r>
          <w:rPr>
            <w:color w:val="1155CC"/>
            <w:sz w:val="20"/>
            <w:szCs w:val="20"/>
            <w:u w:val="single"/>
          </w:rPr>
          <w:t>Reference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0E1341" w:rsidRDefault="000E1341"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0E1341" w:rsidRDefault="000E1341" w:rsidP="00F3190B">
    <w:pPr>
      <w:pStyle w:val="Header"/>
      <w:jc w:val="center"/>
      <w:rPr>
        <w:b/>
      </w:rPr>
    </w:pPr>
  </w:p>
  <w:p w14:paraId="64559850" w14:textId="77777777" w:rsidR="000E1341" w:rsidRDefault="000E1341"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4C29" w14:textId="77777777" w:rsidR="009D022B" w:rsidRDefault="009D02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0E1341" w:rsidRDefault="000E1341"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F75D571" w:rsidR="000E1341" w:rsidRDefault="000E1341"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Attachment 5 - Services</w:t>
    </w:r>
  </w:p>
  <w:p w14:paraId="022C7E11" w14:textId="596023C7" w:rsidR="000E1341" w:rsidRPr="00BF6A3B" w:rsidRDefault="00BF6A3B" w:rsidP="00BF6A3B">
    <w:pPr>
      <w:pStyle w:val="Header"/>
      <w:pBdr>
        <w:bottom w:val="single" w:sz="4" w:space="1" w:color="auto"/>
      </w:pBdr>
      <w:tabs>
        <w:tab w:val="left" w:pos="1800"/>
        <w:tab w:val="center" w:pos="4514"/>
      </w:tabs>
      <w:jc w:val="center"/>
      <w:rPr>
        <w:rFonts w:cs="Arial"/>
        <w:sz w:val="18"/>
        <w:szCs w:val="18"/>
      </w:rPr>
    </w:pPr>
    <w:r w:rsidRPr="00BF6A3B">
      <w:rPr>
        <w:rFonts w:cs="Arial"/>
        <w:sz w:val="18"/>
        <w:szCs w:val="18"/>
      </w:rPr>
      <w:t>The Provision of a Systematic Review of the Evidence of the Lived Experience of Disabled People in the UK</w:t>
    </w:r>
  </w:p>
  <w:p w14:paraId="7FECFEFB" w14:textId="00A49762" w:rsidR="000E1341" w:rsidRPr="00BF6A3B" w:rsidRDefault="00BF6A3B" w:rsidP="00F70073">
    <w:pPr>
      <w:pStyle w:val="Header"/>
      <w:pBdr>
        <w:bottom w:val="single" w:sz="4" w:space="1" w:color="auto"/>
      </w:pBdr>
      <w:jc w:val="center"/>
      <w:rPr>
        <w:rFonts w:cs="Arial"/>
        <w:sz w:val="18"/>
        <w:szCs w:val="18"/>
      </w:rPr>
    </w:pPr>
    <w:r w:rsidRPr="00BF6A3B">
      <w:rPr>
        <w:rFonts w:cs="Arial"/>
        <w:sz w:val="18"/>
        <w:szCs w:val="18"/>
      </w:rPr>
      <w:t>CCZZ21A07</w:t>
    </w:r>
  </w:p>
  <w:p w14:paraId="41FED4DA" w14:textId="77777777" w:rsidR="000E1341" w:rsidRDefault="000E1341" w:rsidP="00F70073">
    <w:pPr>
      <w:pStyle w:val="Header"/>
      <w:pBdr>
        <w:bottom w:val="single" w:sz="4" w:space="1" w:color="auto"/>
      </w:pBdr>
      <w:jc w:val="center"/>
    </w:pPr>
  </w:p>
  <w:p w14:paraId="68388EBA" w14:textId="77777777" w:rsidR="000E1341" w:rsidRDefault="000E1341"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22452F"/>
    <w:multiLevelType w:val="multilevel"/>
    <w:tmpl w:val="9BB2608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6" w15:restartNumberingAfterBreak="0">
    <w:nsid w:val="43F71CA4"/>
    <w:multiLevelType w:val="multilevel"/>
    <w:tmpl w:val="1332CCD4"/>
    <w:numStyleLink w:val="111111"/>
  </w:abstractNum>
  <w:abstractNum w:abstractNumId="27"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1"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2"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3"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31"/>
  </w:num>
  <w:num w:numId="3">
    <w:abstractNumId w:val="18"/>
  </w:num>
  <w:num w:numId="4">
    <w:abstractNumId w:val="19"/>
  </w:num>
  <w:num w:numId="5">
    <w:abstractNumId w:val="6"/>
  </w:num>
  <w:num w:numId="6">
    <w:abstractNumId w:val="29"/>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3"/>
  </w:num>
  <w:num w:numId="15">
    <w:abstractNumId w:val="11"/>
  </w:num>
  <w:num w:numId="16">
    <w:abstractNumId w:val="38"/>
  </w:num>
  <w:num w:numId="17">
    <w:abstractNumId w:val="10"/>
  </w:num>
  <w:num w:numId="18">
    <w:abstractNumId w:val="24"/>
  </w:num>
  <w:num w:numId="19">
    <w:abstractNumId w:val="21"/>
  </w:num>
  <w:num w:numId="20">
    <w:abstractNumId w:val="34"/>
  </w:num>
  <w:num w:numId="21">
    <w:abstractNumId w:val="14"/>
  </w:num>
  <w:num w:numId="22">
    <w:abstractNumId w:val="41"/>
  </w:num>
  <w:num w:numId="23">
    <w:abstractNumId w:val="16"/>
  </w:num>
  <w:num w:numId="24">
    <w:abstractNumId w:val="33"/>
  </w:num>
  <w:num w:numId="25">
    <w:abstractNumId w:val="23"/>
  </w:num>
  <w:num w:numId="26">
    <w:abstractNumId w:val="26"/>
  </w:num>
  <w:num w:numId="27">
    <w:abstractNumId w:val="40"/>
  </w:num>
  <w:num w:numId="28">
    <w:abstractNumId w:val="45"/>
  </w:num>
  <w:num w:numId="29">
    <w:abstractNumId w:val="20"/>
  </w:num>
  <w:num w:numId="30">
    <w:abstractNumId w:val="27"/>
  </w:num>
  <w:num w:numId="31">
    <w:abstractNumId w:val="36"/>
  </w:num>
  <w:num w:numId="32">
    <w:abstractNumId w:val="35"/>
  </w:num>
  <w:num w:numId="33">
    <w:abstractNumId w:val="44"/>
  </w:num>
  <w:num w:numId="34">
    <w:abstractNumId w:val="17"/>
  </w:num>
  <w:num w:numId="35">
    <w:abstractNumId w:val="32"/>
  </w:num>
  <w:num w:numId="36">
    <w:abstractNumId w:val="25"/>
  </w:num>
  <w:num w:numId="37">
    <w:abstractNumId w:val="9"/>
  </w:num>
  <w:num w:numId="38">
    <w:abstractNumId w:val="28"/>
  </w:num>
  <w:num w:numId="39">
    <w:abstractNumId w:val="37"/>
  </w:num>
  <w:num w:numId="40">
    <w:abstractNumId w:val="13"/>
  </w:num>
  <w:num w:numId="41">
    <w:abstractNumId w:val="39"/>
  </w:num>
  <w:num w:numId="42">
    <w:abstractNumId w:val="42"/>
  </w:num>
  <w:num w:numId="43">
    <w:abstractNumId w:val="11"/>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6CE"/>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1341"/>
    <w:rsid w:val="000E3471"/>
    <w:rsid w:val="000E4C53"/>
    <w:rsid w:val="000E5CEF"/>
    <w:rsid w:val="000E6CD7"/>
    <w:rsid w:val="000F0BB3"/>
    <w:rsid w:val="000F232D"/>
    <w:rsid w:val="000F258D"/>
    <w:rsid w:val="000F3348"/>
    <w:rsid w:val="000F3500"/>
    <w:rsid w:val="000F3E1D"/>
    <w:rsid w:val="00100507"/>
    <w:rsid w:val="00100B77"/>
    <w:rsid w:val="0010318E"/>
    <w:rsid w:val="00103E2D"/>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47863"/>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265A"/>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1F6118"/>
    <w:rsid w:val="001F731A"/>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3D87"/>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14F4"/>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2B43"/>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023F"/>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87746"/>
    <w:rsid w:val="0069053C"/>
    <w:rsid w:val="00690EFB"/>
    <w:rsid w:val="0069239F"/>
    <w:rsid w:val="006923CC"/>
    <w:rsid w:val="00693308"/>
    <w:rsid w:val="006A385C"/>
    <w:rsid w:val="006A4381"/>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0A9"/>
    <w:rsid w:val="0073540C"/>
    <w:rsid w:val="00735D7F"/>
    <w:rsid w:val="007369CF"/>
    <w:rsid w:val="007378D3"/>
    <w:rsid w:val="00740B2E"/>
    <w:rsid w:val="00741865"/>
    <w:rsid w:val="00741C0E"/>
    <w:rsid w:val="007421FF"/>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5372"/>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E35"/>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20D7"/>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22B"/>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4FDD"/>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810"/>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CC4"/>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6A3B"/>
    <w:rsid w:val="00BF7780"/>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A7FF0"/>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88D"/>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17C5B"/>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4D8A"/>
    <w:rsid w:val="00F7526B"/>
    <w:rsid w:val="00F80355"/>
    <w:rsid w:val="00F8366A"/>
    <w:rsid w:val="00F8387B"/>
    <w:rsid w:val="00F84822"/>
    <w:rsid w:val="00F87597"/>
    <w:rsid w:val="00F9070D"/>
    <w:rsid w:val="00F924EF"/>
    <w:rsid w:val="00F950A3"/>
    <w:rsid w:val="00FA078B"/>
    <w:rsid w:val="00FA0C0A"/>
    <w:rsid w:val="00FA11A4"/>
    <w:rsid w:val="00FA27DB"/>
    <w:rsid w:val="00FA361A"/>
    <w:rsid w:val="00FA5C55"/>
    <w:rsid w:val="00FA79DC"/>
    <w:rsid w:val="00FB1A3D"/>
    <w:rsid w:val="00FB2431"/>
    <w:rsid w:val="00FB3966"/>
    <w:rsid w:val="00FB725A"/>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83142">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ov.uk/government/organisations/disability-unit" TargetMode="External"/><Relationship Id="rId3" Type="http://schemas.openxmlformats.org/officeDocument/2006/relationships/numbering" Target="numbering.xml"/><Relationship Id="rId21" Type="http://schemas.openxmlformats.org/officeDocument/2006/relationships/hyperlink" Target="https://www.gov.uk/browse/benefit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gss.civilservice.gov.uk/policy-store/impair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gov.uk/government/organisations/disability-unit/abou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xfordreference.com/view/10.1093/oi/authority.20110803100109997" TargetMode="External"/><Relationship Id="rId1" Type="http://schemas.openxmlformats.org/officeDocument/2006/relationships/hyperlink" Target="https://www.oxfordreference.com/view/10.1093/oi/authority.20110803100109997"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A1A0C5AC-D82E-46A6-9F77-C423196B7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30</Pages>
  <Words>9168</Words>
  <Characters>52262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61308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Lisa Gale</cp:lastModifiedBy>
  <cp:revision>2</cp:revision>
  <cp:lastPrinted>2012-12-10T12:26:00Z</cp:lastPrinted>
  <dcterms:created xsi:type="dcterms:W3CDTF">2021-04-28T16:37:00Z</dcterms:created>
  <dcterms:modified xsi:type="dcterms:W3CDTF">2021-04-28T16:37:00Z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