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2BEC59F4" w14:textId="3C244FF0" w:rsidR="00DF3CFF" w:rsidRDefault="00DF3CFF" w:rsidP="00DF3CFF">
      <w:pPr>
        <w:tabs>
          <w:tab w:val="left" w:pos="1985"/>
          <w:tab w:val="left" w:pos="3544"/>
        </w:tabs>
        <w:rPr>
          <w:rFonts w:ascii="Arial" w:hAnsi="Arial" w:cs="Arial"/>
          <w:b/>
          <w:bCs/>
        </w:rPr>
      </w:pPr>
      <w:r w:rsidRPr="00DF3CFF">
        <w:rPr>
          <w:rFonts w:ascii="Arial" w:hAnsi="Arial" w:cs="Arial"/>
          <w:b/>
          <w:bCs/>
        </w:rPr>
        <w:t xml:space="preserve">Project Title: NHS Framework Agreement for Branded Medicines - </w:t>
      </w:r>
      <w:r w:rsidR="004421D6" w:rsidRPr="004421D6">
        <w:rPr>
          <w:rFonts w:ascii="Arial" w:hAnsi="Arial" w:cs="Arial"/>
          <w:b/>
          <w:bCs/>
        </w:rPr>
        <w:t>Proprietary Category Tender - 01 May 2025</w:t>
      </w:r>
    </w:p>
    <w:p w14:paraId="319A085A" w14:textId="77777777" w:rsidR="00DF3CFF" w:rsidRPr="00DF3CFF" w:rsidRDefault="00DF3CFF" w:rsidP="00DF3CFF">
      <w:pPr>
        <w:tabs>
          <w:tab w:val="left" w:pos="1985"/>
          <w:tab w:val="left" w:pos="3544"/>
        </w:tabs>
        <w:rPr>
          <w:rFonts w:ascii="Arial" w:hAnsi="Arial" w:cs="Arial"/>
          <w:b/>
          <w:bCs/>
        </w:rPr>
      </w:pPr>
    </w:p>
    <w:p w14:paraId="2543AE8C" w14:textId="0138146A" w:rsidR="00DF3CFF" w:rsidRDefault="00DF3CFF" w:rsidP="00DF3CFF">
      <w:pPr>
        <w:tabs>
          <w:tab w:val="left" w:pos="1985"/>
          <w:tab w:val="left" w:pos="3544"/>
        </w:tabs>
        <w:rPr>
          <w:rFonts w:ascii="Arial" w:hAnsi="Arial" w:cs="Arial"/>
          <w:b/>
          <w:bCs/>
        </w:rPr>
      </w:pPr>
      <w:r w:rsidRPr="00DF3CFF">
        <w:rPr>
          <w:rFonts w:ascii="Arial" w:hAnsi="Arial" w:cs="Arial"/>
          <w:b/>
          <w:bCs/>
        </w:rPr>
        <w:t>Offer reference number:  CM/PHR/22/568</w:t>
      </w:r>
      <w:r w:rsidR="004421D6">
        <w:rPr>
          <w:rFonts w:ascii="Arial" w:hAnsi="Arial" w:cs="Arial"/>
          <w:b/>
          <w:bCs/>
        </w:rPr>
        <w:t>3</w:t>
      </w:r>
    </w:p>
    <w:p w14:paraId="7BF61A78" w14:textId="77777777" w:rsidR="00DF3CFF" w:rsidRPr="00DF3CFF" w:rsidRDefault="00DF3CFF" w:rsidP="00DF3CFF">
      <w:pPr>
        <w:tabs>
          <w:tab w:val="left" w:pos="1985"/>
          <w:tab w:val="left" w:pos="3544"/>
        </w:tabs>
        <w:rPr>
          <w:rFonts w:ascii="Arial" w:hAnsi="Arial" w:cs="Arial"/>
          <w:b/>
          <w:bCs/>
        </w:rPr>
      </w:pPr>
    </w:p>
    <w:p w14:paraId="3C307981" w14:textId="77777777" w:rsidR="004421D6" w:rsidRDefault="004421D6" w:rsidP="004421D6">
      <w:pPr>
        <w:rPr>
          <w:rFonts w:ascii="Arial" w:hAnsi="Arial" w:cs="Arial"/>
          <w:b/>
          <w:bCs/>
        </w:rPr>
      </w:pPr>
      <w:r w:rsidRPr="004421D6">
        <w:rPr>
          <w:rFonts w:ascii="Arial" w:hAnsi="Arial" w:cs="Arial"/>
          <w:b/>
          <w:bCs/>
        </w:rPr>
        <w:t>CM/PHR/22/5683/00 - NHS Framework Agreement for Branded Medicines - Proprietary Category Tender:</w:t>
      </w:r>
    </w:p>
    <w:p w14:paraId="58944554" w14:textId="77777777" w:rsidR="004421D6" w:rsidRPr="004421D6" w:rsidRDefault="004421D6" w:rsidP="004421D6">
      <w:pPr>
        <w:rPr>
          <w:rFonts w:ascii="Arial" w:hAnsi="Arial" w:cs="Arial"/>
          <w:b/>
          <w:bCs/>
        </w:rPr>
      </w:pPr>
    </w:p>
    <w:p w14:paraId="2AB21804" w14:textId="77777777" w:rsidR="004421D6" w:rsidRPr="004421D6" w:rsidRDefault="004421D6" w:rsidP="004421D6">
      <w:pPr>
        <w:rPr>
          <w:rFonts w:ascii="Arial" w:hAnsi="Arial" w:cs="Arial"/>
          <w:b/>
          <w:bCs/>
        </w:rPr>
      </w:pPr>
      <w:r w:rsidRPr="004421D6">
        <w:rPr>
          <w:rFonts w:ascii="Arial" w:hAnsi="Arial" w:cs="Arial"/>
          <w:b/>
          <w:bCs/>
        </w:rPr>
        <w:t xml:space="preserve">Period of Framework Agreement:  01 May 2025 to 30 April 2029 </w:t>
      </w:r>
    </w:p>
    <w:p w14:paraId="298FFDB9" w14:textId="7B3426C6" w:rsidR="00DF3CFF" w:rsidRDefault="00DF3CFF" w:rsidP="00DF3CFF">
      <w:pPr>
        <w:tabs>
          <w:tab w:val="left" w:pos="1985"/>
          <w:tab w:val="left" w:pos="3544"/>
        </w:tabs>
        <w:rPr>
          <w:rFonts w:ascii="Arial" w:hAnsi="Arial" w:cs="Arial"/>
          <w:b/>
          <w:bCs/>
        </w:rPr>
      </w:pPr>
      <w:r w:rsidRPr="00DF3CFF">
        <w:rPr>
          <w:rFonts w:ascii="Arial" w:hAnsi="Arial" w:cs="Arial"/>
          <w:b/>
          <w:bCs/>
        </w:rPr>
        <w:tab/>
      </w:r>
    </w:p>
    <w:p w14:paraId="0C271E34" w14:textId="2B1A432E" w:rsidR="007D4401" w:rsidRDefault="004400B6" w:rsidP="00DF3CFF">
      <w:pPr>
        <w:tabs>
          <w:tab w:val="left" w:pos="1985"/>
          <w:tab w:val="left" w:pos="3544"/>
        </w:tabs>
        <w:rPr>
          <w:rFonts w:ascii="Arial" w:hAnsi="Arial" w:cs="Arial"/>
          <w:b/>
        </w:rPr>
      </w:pPr>
      <w:r w:rsidRPr="004400B6">
        <w:rPr>
          <w:rFonts w:ascii="Arial" w:hAnsi="Arial" w:cs="Arial"/>
          <w:b/>
          <w:bCs/>
        </w:rPr>
        <w:tab/>
      </w:r>
      <w:r w:rsidR="004514DF" w:rsidRPr="004514DF">
        <w:rPr>
          <w:rFonts w:ascii="Arial" w:hAnsi="Arial" w:cs="Arial"/>
          <w:b/>
          <w:bCs/>
        </w:rPr>
        <w:tab/>
      </w:r>
      <w:r w:rsidR="004514DF" w:rsidRPr="004514DF">
        <w:rPr>
          <w:rFonts w:ascii="Arial" w:hAnsi="Arial" w:cs="Arial"/>
          <w:b/>
          <w:bCs/>
        </w:rPr>
        <w:tab/>
      </w:r>
      <w:r w:rsidR="004514DF" w:rsidRPr="004514DF">
        <w:rPr>
          <w:rFonts w:ascii="Arial" w:hAnsi="Arial" w:cs="Arial"/>
          <w:b/>
          <w:bCs/>
        </w:rPr>
        <w:tab/>
      </w:r>
      <w:r w:rsidR="004514DF" w:rsidRPr="004514DF">
        <w:rPr>
          <w:rFonts w:ascii="Arial" w:hAnsi="Arial" w:cs="Arial"/>
          <w:b/>
          <w:bCs/>
        </w:rPr>
        <w:tab/>
      </w: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5D56AC22" w:rsidR="00295719" w:rsidRPr="006F3400" w:rsidRDefault="00D02F58" w:rsidP="006F3400">
      <w:pPr>
        <w:numPr>
          <w:ilvl w:val="0"/>
          <w:numId w:val="32"/>
        </w:numPr>
        <w:spacing w:before="240"/>
        <w:ind w:hanging="1080"/>
        <w:jc w:val="both"/>
        <w:rPr>
          <w:rFonts w:ascii="Arial" w:hAnsi="Arial" w:cs="Arial"/>
          <w:b/>
          <w:lang w:eastAsia="en-US"/>
        </w:rPr>
      </w:pPr>
      <w:r>
        <w:rPr>
          <w:rFonts w:ascii="Arial" w:hAnsi="Arial" w:cs="Arial"/>
          <w:b/>
          <w:lang w:eastAsia="en-US"/>
        </w:rPr>
        <w:t xml:space="preserve">Medicines </w:t>
      </w:r>
      <w:r w:rsidR="003907AA">
        <w:rPr>
          <w:rFonts w:ascii="Arial" w:hAnsi="Arial" w:cs="Arial"/>
          <w:b/>
          <w:lang w:eastAsia="en-US"/>
        </w:rPr>
        <w:t>Procurement and Supply Chain</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lastRenderedPageBreak/>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lastRenderedPageBreak/>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w:t>
      </w:r>
      <w:r w:rsidR="00F15049" w:rsidRPr="006F3400">
        <w:rPr>
          <w:rFonts w:ascii="Arial" w:hAnsi="Arial" w:cs="Arial"/>
          <w:lang w:eastAsia="en-US"/>
        </w:rPr>
        <w:lastRenderedPageBreak/>
        <w:t>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lastRenderedPageBreak/>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lastRenderedPageBreak/>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3AA3771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Selectt bid file, with the </w:t>
      </w:r>
      <w:r w:rsidRPr="004400B6">
        <w:rPr>
          <w:rFonts w:ascii="Arial" w:hAnsi="Arial" w:cs="Arial"/>
          <w:lang w:eastAsia="en-US"/>
        </w:rPr>
        <w:t xml:space="preserve">title </w:t>
      </w:r>
      <w:r w:rsidRPr="004400B6">
        <w:rPr>
          <w:rFonts w:ascii="Arial" w:hAnsi="Arial" w:cs="Arial"/>
          <w:b/>
          <w:bCs/>
          <w:lang w:eastAsia="en-US"/>
        </w:rPr>
        <w:t>CM_PHR_</w:t>
      </w:r>
      <w:r w:rsidR="004400B6" w:rsidRPr="004400B6">
        <w:rPr>
          <w:rFonts w:ascii="Arial" w:hAnsi="Arial" w:cs="Arial"/>
          <w:b/>
          <w:bCs/>
          <w:lang w:eastAsia="en-US"/>
        </w:rPr>
        <w:t>22</w:t>
      </w:r>
      <w:r w:rsidR="002A3AA4" w:rsidRPr="004400B6">
        <w:rPr>
          <w:rFonts w:ascii="Arial" w:hAnsi="Arial" w:cs="Arial"/>
          <w:b/>
          <w:bCs/>
          <w:lang w:eastAsia="en-US"/>
        </w:rPr>
        <w:t>_</w:t>
      </w:r>
      <w:r w:rsidR="004400B6" w:rsidRPr="004400B6">
        <w:rPr>
          <w:rFonts w:ascii="Arial" w:hAnsi="Arial" w:cs="Arial"/>
          <w:b/>
          <w:bCs/>
          <w:lang w:eastAsia="en-US"/>
        </w:rPr>
        <w:t>568</w:t>
      </w:r>
      <w:r w:rsidR="004421D6">
        <w:rPr>
          <w:rFonts w:ascii="Arial" w:hAnsi="Arial" w:cs="Arial"/>
          <w:b/>
          <w:bCs/>
          <w:lang w:eastAsia="en-US"/>
        </w:rPr>
        <w:t>3</w:t>
      </w:r>
      <w:r w:rsidR="002A3AA4" w:rsidRPr="004400B6">
        <w:rPr>
          <w:rFonts w:ascii="Arial" w:hAnsi="Arial" w:cs="Arial"/>
          <w:b/>
          <w:bCs/>
          <w:lang w:eastAsia="en-US"/>
        </w:rPr>
        <w:t>_XXX</w:t>
      </w:r>
      <w:r w:rsidRPr="004400B6">
        <w:rPr>
          <w:rFonts w:ascii="Arial" w:hAnsi="Arial" w:cs="Arial"/>
          <w:b/>
          <w:bCs/>
          <w:lang w:eastAsia="en-US"/>
        </w:rPr>
        <w:t>.cmu</w:t>
      </w:r>
      <w:r w:rsidRPr="004400B6">
        <w:rPr>
          <w:rFonts w:ascii="Arial" w:hAnsi="Arial" w:cs="Arial"/>
          <w:lang w:eastAsia="en-US"/>
        </w:rPr>
        <w:t xml:space="preserve"> where </w:t>
      </w:r>
      <w:r w:rsidRPr="004400B6">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4BB6729E" w:rsidR="000331ED" w:rsidRPr="00F76728" w:rsidRDefault="000331ED" w:rsidP="00934357">
      <w:pPr>
        <w:numPr>
          <w:ilvl w:val="1"/>
          <w:numId w:val="34"/>
        </w:numPr>
        <w:ind w:left="720" w:hanging="720"/>
        <w:jc w:val="both"/>
        <w:rPr>
          <w:rFonts w:ascii="Arial" w:hAnsi="Arial" w:cs="Arial"/>
          <w:b/>
          <w:bCs/>
          <w:snapToGrid w:val="0"/>
          <w:lang w:eastAsia="en-US"/>
        </w:rPr>
      </w:pPr>
      <w:r w:rsidRPr="006F3400">
        <w:rPr>
          <w:rFonts w:ascii="Arial" w:hAnsi="Arial" w:cs="Arial"/>
          <w:snapToGrid w:val="0"/>
          <w:lang w:eastAsia="en-US"/>
        </w:rPr>
        <w:t xml:space="preserve">Offers and all documents relating to the offers must be written in </w:t>
      </w:r>
      <w:r w:rsidRPr="004400B6">
        <w:rPr>
          <w:rFonts w:ascii="Arial" w:hAnsi="Arial" w:cs="Arial"/>
          <w:snapToGrid w:val="0"/>
          <w:lang w:eastAsia="en-US"/>
        </w:rPr>
        <w:t>English and submitted to the Authority via the Authority’s electronic tendering system by</w:t>
      </w:r>
      <w:r w:rsidRPr="004400B6">
        <w:rPr>
          <w:rFonts w:ascii="Arial" w:hAnsi="Arial" w:cs="Arial"/>
          <w:lang w:eastAsia="en-US"/>
        </w:rPr>
        <w:t xml:space="preserve"> </w:t>
      </w:r>
      <w:r w:rsidRPr="004400B6">
        <w:rPr>
          <w:rFonts w:ascii="Arial" w:hAnsi="Arial" w:cs="Arial"/>
          <w:b/>
          <w:bCs/>
          <w:snapToGrid w:val="0"/>
          <w:lang w:eastAsia="en-US"/>
        </w:rPr>
        <w:t>13:00</w:t>
      </w:r>
      <w:r w:rsidRPr="004400B6">
        <w:rPr>
          <w:rFonts w:ascii="Arial" w:hAnsi="Arial" w:cs="Arial"/>
          <w:snapToGrid w:val="0"/>
          <w:lang w:eastAsia="en-US"/>
        </w:rPr>
        <w:t xml:space="preserve"> hours on </w:t>
      </w:r>
      <w:r w:rsidR="004421D6">
        <w:rPr>
          <w:rFonts w:ascii="Arial" w:hAnsi="Arial" w:cs="Arial"/>
          <w:b/>
          <w:bCs/>
          <w:snapToGrid w:val="0"/>
          <w:lang w:eastAsia="en-US"/>
        </w:rPr>
        <w:t>Monday</w:t>
      </w:r>
      <w:r w:rsidR="004400B6" w:rsidRPr="004400B6">
        <w:rPr>
          <w:rFonts w:ascii="Arial" w:hAnsi="Arial" w:cs="Arial"/>
          <w:b/>
          <w:bCs/>
          <w:snapToGrid w:val="0"/>
          <w:lang w:eastAsia="en-US"/>
        </w:rPr>
        <w:t xml:space="preserve"> </w:t>
      </w:r>
      <w:r w:rsidR="004421D6">
        <w:rPr>
          <w:rFonts w:ascii="Arial" w:hAnsi="Arial" w:cs="Arial"/>
          <w:b/>
          <w:bCs/>
          <w:snapToGrid w:val="0"/>
          <w:lang w:eastAsia="en-US"/>
        </w:rPr>
        <w:t>9</w:t>
      </w:r>
      <w:r w:rsidR="004400B6" w:rsidRPr="004400B6">
        <w:rPr>
          <w:rFonts w:ascii="Arial" w:hAnsi="Arial" w:cs="Arial"/>
          <w:b/>
          <w:bCs/>
          <w:snapToGrid w:val="0"/>
          <w:vertAlign w:val="superscript"/>
          <w:lang w:eastAsia="en-US"/>
        </w:rPr>
        <w:t>th</w:t>
      </w:r>
      <w:r w:rsidR="004400B6" w:rsidRPr="004400B6">
        <w:rPr>
          <w:rFonts w:ascii="Arial" w:hAnsi="Arial" w:cs="Arial"/>
          <w:b/>
          <w:bCs/>
          <w:snapToGrid w:val="0"/>
          <w:lang w:eastAsia="en-US"/>
        </w:rPr>
        <w:t xml:space="preserve"> December</w:t>
      </w:r>
      <w:r w:rsidR="00F76728" w:rsidRPr="004400B6">
        <w:rPr>
          <w:rFonts w:ascii="Arial" w:hAnsi="Arial" w:cs="Arial"/>
          <w:b/>
          <w:bCs/>
          <w:snapToGrid w:val="0"/>
          <w:lang w:eastAsia="en-US"/>
        </w:rPr>
        <w:t xml:space="preserve"> 202</w:t>
      </w:r>
      <w:r w:rsidR="002E141A">
        <w:rPr>
          <w:rFonts w:ascii="Arial" w:hAnsi="Arial" w:cs="Arial"/>
          <w:b/>
          <w:bCs/>
          <w:snapToGrid w:val="0"/>
          <w:lang w:eastAsia="en-US"/>
        </w:rPr>
        <w:t>4</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framework agreement award is made, each Product within the Lot shall be awarded separately; each Product within the Lot will form a separate single supplier framework arrangement. The MEAT award criteria (described at </w:t>
      </w:r>
      <w:r w:rsidRPr="006F3400">
        <w:rPr>
          <w:rFonts w:ascii="Arial" w:hAnsi="Arial" w:cs="Arial"/>
          <w:lang w:eastAsia="en-US"/>
        </w:rPr>
        <w:lastRenderedPageBreak/>
        <w:t>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77777777" w:rsidR="006C15A0" w:rsidRDefault="006C15A0" w:rsidP="0012034A">
      <w:pPr>
        <w:jc w:val="both"/>
        <w:rPr>
          <w:rFonts w:ascii="Arial" w:hAnsi="Arial" w:cs="Arial"/>
          <w:iCs/>
          <w:color w:val="000000"/>
        </w:rPr>
      </w:pPr>
    </w:p>
    <w:p w14:paraId="5E0A5F11" w14:textId="77777777" w:rsidR="006C15A0" w:rsidRDefault="006C15A0" w:rsidP="0012034A">
      <w:pPr>
        <w:jc w:val="both"/>
        <w:rPr>
          <w:rFonts w:ascii="Arial" w:hAnsi="Arial" w:cs="Arial"/>
          <w:iCs/>
          <w:color w:val="000000"/>
        </w:rPr>
      </w:pPr>
    </w:p>
    <w:p w14:paraId="1841EDEE" w14:textId="77777777" w:rsidR="006C15A0" w:rsidRPr="006F3400" w:rsidRDefault="006C15A0"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45CC15C2"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002E141A">
        <w:rPr>
          <w:rFonts w:ascii="Arial" w:hAnsi="Arial" w:cs="Arial"/>
          <w:b/>
          <w:color w:val="000000"/>
        </w:rPr>
        <w:t>,</w:t>
      </w:r>
      <w:r w:rsidR="002E141A">
        <w:rPr>
          <w:rFonts w:ascii="Arial" w:hAnsi="Arial" w:cs="Arial"/>
          <w:color w:val="000000"/>
        </w:rPr>
        <w:t xml:space="preserve"> </w:t>
      </w:r>
      <w:r w:rsidRPr="006F3400">
        <w:rPr>
          <w:rFonts w:ascii="Arial" w:hAnsi="Arial" w:cs="Arial"/>
          <w:color w:val="000000"/>
        </w:rPr>
        <w:t xml:space="preserve">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1962C913"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xml:space="preserve">, the steps outlined in paragraph 11.2.1 (a) to (d) shall be repeated for </w:t>
      </w:r>
      <w:r w:rsidRPr="00D02F58">
        <w:rPr>
          <w:rFonts w:ascii="Arial" w:eastAsia="Calibri" w:hAnsi="Arial" w:cs="Arial"/>
          <w:b/>
          <w:lang w:val="en-US" w:eastAsia="en-US"/>
        </w:rPr>
        <w:t xml:space="preserve">each </w:t>
      </w:r>
      <w:r w:rsidR="002E141A" w:rsidRPr="00D02F58">
        <w:rPr>
          <w:rFonts w:ascii="Arial" w:eastAsia="Calibri" w:hAnsi="Arial" w:cs="Arial"/>
          <w:b/>
          <w:lang w:val="en-US" w:eastAsia="en-US"/>
        </w:rPr>
        <w:t>product</w:t>
      </w:r>
      <w:r w:rsidR="002E141A">
        <w:rPr>
          <w:rFonts w:ascii="Arial" w:eastAsia="Calibri" w:hAnsi="Arial" w:cs="Arial"/>
          <w:b/>
          <w:lang w:val="en-US" w:eastAsia="en-US"/>
        </w:rPr>
        <w:t xml:space="preserve"> </w:t>
      </w:r>
      <w:r w:rsidRPr="006F3400">
        <w:rPr>
          <w:rFonts w:ascii="Arial" w:eastAsia="Calibri" w:hAnsi="Arial" w:cs="Arial"/>
          <w:b/>
          <w:lang w:val="en-US" w:eastAsia="en-US"/>
        </w:rPr>
        <w:t xml:space="preserve">being tendered (for the Product) in order to identify the Lowest Priced Compliant Offer for each such </w:t>
      </w:r>
      <w:r w:rsidR="00D02F58">
        <w:rPr>
          <w:rFonts w:ascii="Arial" w:eastAsia="Calibri" w:hAnsi="Arial" w:cs="Arial"/>
          <w:b/>
          <w:lang w:val="en-US" w:eastAsia="en-US"/>
        </w:rPr>
        <w:t>product</w:t>
      </w:r>
      <w:r w:rsidRPr="006F3400">
        <w:rPr>
          <w:rFonts w:ascii="Arial" w:eastAsia="Calibri" w:hAnsi="Arial" w:cs="Arial"/>
          <w:b/>
          <w:lang w:val="en-US" w:eastAsia="en-US"/>
        </w:rPr>
        <w: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494"/>
        <w:gridCol w:w="3994"/>
      </w:tblGrid>
      <w:tr w:rsidR="0012034A" w:rsidRPr="00C30449" w14:paraId="0B4A3FA0" w14:textId="77777777" w:rsidTr="006C15A0">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99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6C15A0">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6FB7AD2D" w:rsidR="00AF294B" w:rsidRPr="004400B6" w:rsidRDefault="004400B6" w:rsidP="00AF294B">
            <w:pPr>
              <w:rPr>
                <w:rFonts w:ascii="Arial" w:hAnsi="Arial" w:cs="Arial"/>
                <w:b/>
                <w:bCs/>
                <w:color w:val="000000"/>
              </w:rPr>
            </w:pPr>
            <w:r w:rsidRPr="004400B6">
              <w:rPr>
                <w:rFonts w:ascii="Arial" w:hAnsi="Arial" w:cs="Arial"/>
                <w:b/>
                <w:bCs/>
                <w:color w:val="000000"/>
              </w:rPr>
              <w:t>0</w:t>
            </w:r>
            <w:r w:rsidR="004421D6">
              <w:rPr>
                <w:rFonts w:ascii="Arial" w:hAnsi="Arial" w:cs="Arial"/>
                <w:b/>
                <w:bCs/>
                <w:color w:val="000000"/>
              </w:rPr>
              <w:t>9</w:t>
            </w:r>
            <w:r w:rsidR="004514DF" w:rsidRPr="004400B6">
              <w:rPr>
                <w:rFonts w:ascii="Arial" w:hAnsi="Arial" w:cs="Arial"/>
                <w:b/>
                <w:bCs/>
                <w:color w:val="000000"/>
              </w:rPr>
              <w:t>/</w:t>
            </w:r>
            <w:r w:rsidRPr="004400B6">
              <w:rPr>
                <w:rFonts w:ascii="Arial" w:hAnsi="Arial" w:cs="Arial"/>
                <w:b/>
                <w:bCs/>
                <w:color w:val="000000"/>
              </w:rPr>
              <w:t>12</w:t>
            </w:r>
            <w:r w:rsidR="004514DF" w:rsidRPr="004400B6">
              <w:rPr>
                <w:rFonts w:ascii="Arial" w:hAnsi="Arial" w:cs="Arial"/>
                <w:b/>
                <w:bCs/>
                <w:color w:val="000000"/>
              </w:rPr>
              <w:t>/</w:t>
            </w:r>
            <w:r w:rsidRPr="004400B6">
              <w:rPr>
                <w:rFonts w:ascii="Arial" w:hAnsi="Arial" w:cs="Arial"/>
                <w:b/>
                <w:bCs/>
                <w:color w:val="000000"/>
              </w:rPr>
              <w:t>202</w:t>
            </w:r>
            <w:r w:rsidR="004421D6">
              <w:rPr>
                <w:rFonts w:ascii="Arial" w:hAnsi="Arial" w:cs="Arial"/>
                <w:b/>
                <w:bCs/>
                <w:color w:val="000000"/>
              </w:rPr>
              <w:t>4</w:t>
            </w:r>
          </w:p>
        </w:tc>
      </w:tr>
      <w:tr w:rsidR="00AF294B" w:rsidRPr="00C30449" w14:paraId="142C0E97" w14:textId="77777777" w:rsidTr="006C15A0">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5914CE2C" w:rsidR="00AF294B" w:rsidRPr="00D02F58" w:rsidRDefault="004400B6" w:rsidP="00AF294B">
            <w:pPr>
              <w:rPr>
                <w:rFonts w:ascii="Arial" w:hAnsi="Arial" w:cs="Arial"/>
                <w:b/>
                <w:bCs/>
                <w:color w:val="000000"/>
              </w:rPr>
            </w:pPr>
            <w:r w:rsidRPr="00D02F58">
              <w:rPr>
                <w:rFonts w:ascii="Arial" w:hAnsi="Arial" w:cs="Arial"/>
                <w:b/>
                <w:bCs/>
                <w:color w:val="000000"/>
              </w:rPr>
              <w:t>1</w:t>
            </w:r>
            <w:r w:rsidR="00D02F58" w:rsidRPr="00D02F58">
              <w:rPr>
                <w:rFonts w:ascii="Arial" w:hAnsi="Arial" w:cs="Arial"/>
                <w:b/>
                <w:bCs/>
                <w:color w:val="000000"/>
              </w:rPr>
              <w:t>1</w:t>
            </w:r>
            <w:r w:rsidR="004514DF" w:rsidRPr="00D02F58">
              <w:rPr>
                <w:rFonts w:ascii="Arial" w:hAnsi="Arial" w:cs="Arial"/>
                <w:b/>
                <w:bCs/>
                <w:color w:val="000000"/>
              </w:rPr>
              <w:t>/</w:t>
            </w:r>
            <w:r w:rsidR="00D02F58" w:rsidRPr="00D02F58">
              <w:rPr>
                <w:rFonts w:ascii="Arial" w:hAnsi="Arial" w:cs="Arial"/>
                <w:b/>
                <w:bCs/>
                <w:color w:val="000000"/>
              </w:rPr>
              <w:t>12</w:t>
            </w:r>
            <w:r w:rsidR="004514DF" w:rsidRPr="00D02F58">
              <w:rPr>
                <w:rFonts w:ascii="Arial" w:hAnsi="Arial" w:cs="Arial"/>
                <w:b/>
                <w:bCs/>
                <w:color w:val="000000"/>
              </w:rPr>
              <w:t>/</w:t>
            </w:r>
            <w:r w:rsidRPr="00D02F58">
              <w:rPr>
                <w:rFonts w:ascii="Arial" w:hAnsi="Arial" w:cs="Arial"/>
                <w:b/>
                <w:bCs/>
                <w:color w:val="000000"/>
              </w:rPr>
              <w:t>202</w:t>
            </w:r>
            <w:r w:rsidR="00D02F58" w:rsidRPr="00D02F58">
              <w:rPr>
                <w:rFonts w:ascii="Arial" w:hAnsi="Arial" w:cs="Arial"/>
                <w:b/>
                <w:bCs/>
                <w:color w:val="000000"/>
              </w:rPr>
              <w:t>4</w:t>
            </w:r>
            <w:r w:rsidRPr="00D02F58">
              <w:rPr>
                <w:rFonts w:ascii="Arial" w:hAnsi="Arial" w:cs="Arial"/>
                <w:b/>
                <w:bCs/>
                <w:color w:val="000000"/>
              </w:rPr>
              <w:t xml:space="preserve"> – </w:t>
            </w:r>
            <w:r w:rsidR="00D02F58" w:rsidRPr="00D02F58">
              <w:rPr>
                <w:rFonts w:ascii="Arial" w:hAnsi="Arial" w:cs="Arial"/>
                <w:b/>
                <w:bCs/>
                <w:color w:val="000000"/>
              </w:rPr>
              <w:t>15</w:t>
            </w:r>
            <w:r w:rsidRPr="00D02F58">
              <w:rPr>
                <w:rFonts w:ascii="Arial" w:hAnsi="Arial" w:cs="Arial"/>
                <w:b/>
                <w:bCs/>
                <w:color w:val="000000"/>
              </w:rPr>
              <w:t>/0</w:t>
            </w:r>
            <w:r w:rsidR="00D02F58" w:rsidRPr="00D02F58">
              <w:rPr>
                <w:rFonts w:ascii="Arial" w:hAnsi="Arial" w:cs="Arial"/>
                <w:b/>
                <w:bCs/>
                <w:color w:val="000000"/>
              </w:rPr>
              <w:t>1</w:t>
            </w:r>
            <w:r w:rsidRPr="00D02F58">
              <w:rPr>
                <w:rFonts w:ascii="Arial" w:hAnsi="Arial" w:cs="Arial"/>
                <w:b/>
                <w:bCs/>
                <w:color w:val="000000"/>
              </w:rPr>
              <w:t>/202</w:t>
            </w:r>
            <w:r w:rsidR="00D02F58" w:rsidRPr="00D02F58">
              <w:rPr>
                <w:rFonts w:ascii="Arial" w:hAnsi="Arial" w:cs="Arial"/>
                <w:b/>
                <w:bCs/>
                <w:color w:val="000000"/>
              </w:rPr>
              <w:t>5</w:t>
            </w:r>
          </w:p>
        </w:tc>
      </w:tr>
      <w:tr w:rsidR="00AF294B" w:rsidRPr="00C30449" w14:paraId="3FD76462" w14:textId="77777777" w:rsidTr="006C15A0">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516E2C48" w:rsidR="00AF294B" w:rsidRPr="004400B6" w:rsidRDefault="00D02F58" w:rsidP="00AF294B">
            <w:pPr>
              <w:rPr>
                <w:rFonts w:ascii="Arial" w:hAnsi="Arial" w:cs="Arial"/>
                <w:b/>
                <w:bCs/>
                <w:color w:val="000000"/>
              </w:rPr>
            </w:pPr>
            <w:r w:rsidRPr="00D02F58">
              <w:rPr>
                <w:rFonts w:ascii="Arial" w:hAnsi="Arial" w:cs="Arial"/>
                <w:b/>
                <w:bCs/>
                <w:color w:val="000000"/>
              </w:rPr>
              <w:t xml:space="preserve">Circa @ </w:t>
            </w:r>
            <w:r w:rsidR="004421D6" w:rsidRPr="00D02F58">
              <w:rPr>
                <w:rFonts w:ascii="Arial" w:hAnsi="Arial" w:cs="Arial"/>
                <w:b/>
                <w:bCs/>
                <w:color w:val="000000"/>
              </w:rPr>
              <w:t>10</w:t>
            </w:r>
            <w:r w:rsidR="004514DF" w:rsidRPr="00D02F58">
              <w:rPr>
                <w:rFonts w:ascii="Arial" w:hAnsi="Arial" w:cs="Arial"/>
                <w:b/>
                <w:bCs/>
                <w:color w:val="000000"/>
              </w:rPr>
              <w:t>/</w:t>
            </w:r>
            <w:r w:rsidR="004400B6" w:rsidRPr="00D02F58">
              <w:rPr>
                <w:rFonts w:ascii="Arial" w:hAnsi="Arial" w:cs="Arial"/>
                <w:b/>
                <w:bCs/>
                <w:color w:val="000000"/>
              </w:rPr>
              <w:t>03</w:t>
            </w:r>
            <w:r w:rsidR="004514DF" w:rsidRPr="00D02F58">
              <w:rPr>
                <w:rFonts w:ascii="Arial" w:hAnsi="Arial" w:cs="Arial"/>
                <w:b/>
                <w:bCs/>
                <w:color w:val="000000"/>
              </w:rPr>
              <w:t>/</w:t>
            </w:r>
            <w:r w:rsidR="004400B6" w:rsidRPr="00D02F58">
              <w:rPr>
                <w:rFonts w:ascii="Arial" w:hAnsi="Arial" w:cs="Arial"/>
                <w:b/>
                <w:bCs/>
                <w:color w:val="000000"/>
              </w:rPr>
              <w:t>202</w:t>
            </w:r>
            <w:r w:rsidR="004421D6" w:rsidRPr="00D02F58">
              <w:rPr>
                <w:rFonts w:ascii="Arial" w:hAnsi="Arial" w:cs="Arial"/>
                <w:b/>
                <w:bCs/>
                <w:color w:val="000000"/>
              </w:rPr>
              <w:t>5</w:t>
            </w:r>
          </w:p>
        </w:tc>
      </w:tr>
      <w:tr w:rsidR="00AF294B" w:rsidRPr="00C30449" w14:paraId="02E47257" w14:textId="77777777" w:rsidTr="006C15A0">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300D6B9D" w:rsidR="00AF294B" w:rsidRPr="004400B6" w:rsidRDefault="004400B6" w:rsidP="00AF294B">
            <w:pPr>
              <w:rPr>
                <w:rFonts w:ascii="Arial" w:hAnsi="Arial" w:cs="Arial"/>
                <w:b/>
                <w:bCs/>
                <w:color w:val="000000"/>
              </w:rPr>
            </w:pPr>
            <w:r w:rsidRPr="004400B6">
              <w:rPr>
                <w:rFonts w:ascii="Arial" w:hAnsi="Arial" w:cs="Arial"/>
                <w:b/>
                <w:bCs/>
                <w:color w:val="000000"/>
              </w:rPr>
              <w:t>01</w:t>
            </w:r>
            <w:r w:rsidR="004514DF" w:rsidRPr="004400B6">
              <w:rPr>
                <w:rFonts w:ascii="Arial" w:hAnsi="Arial" w:cs="Arial"/>
                <w:b/>
                <w:bCs/>
                <w:color w:val="000000"/>
              </w:rPr>
              <w:t>/</w:t>
            </w:r>
            <w:r w:rsidRPr="004400B6">
              <w:rPr>
                <w:rFonts w:ascii="Arial" w:hAnsi="Arial" w:cs="Arial"/>
                <w:b/>
                <w:bCs/>
                <w:color w:val="000000"/>
              </w:rPr>
              <w:t>05</w:t>
            </w:r>
            <w:r w:rsidR="004514DF" w:rsidRPr="004400B6">
              <w:rPr>
                <w:rFonts w:ascii="Arial" w:hAnsi="Arial" w:cs="Arial"/>
                <w:b/>
                <w:bCs/>
                <w:color w:val="000000"/>
              </w:rPr>
              <w:t>/</w:t>
            </w:r>
            <w:r w:rsidRPr="004400B6">
              <w:rPr>
                <w:rFonts w:ascii="Arial" w:hAnsi="Arial" w:cs="Arial"/>
                <w:b/>
                <w:bCs/>
                <w:color w:val="000000"/>
              </w:rPr>
              <w:t>202</w:t>
            </w:r>
            <w:r w:rsidR="004421D6">
              <w:rPr>
                <w:rFonts w:ascii="Arial" w:hAnsi="Arial" w:cs="Arial"/>
                <w:b/>
                <w:bCs/>
                <w:color w:val="000000"/>
              </w:rPr>
              <w:t>5</w:t>
            </w:r>
          </w:p>
        </w:tc>
      </w:tr>
    </w:tbl>
    <w:p w14:paraId="58347943" w14:textId="77777777" w:rsidR="002136EF" w:rsidRDefault="002136EF" w:rsidP="006C15A0">
      <w:pPr>
        <w:tabs>
          <w:tab w:val="left" w:pos="1134"/>
        </w:tabs>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946DA" w14:textId="77777777" w:rsidR="004F2506" w:rsidRDefault="004F2506">
      <w:r>
        <w:separator/>
      </w:r>
    </w:p>
  </w:endnote>
  <w:endnote w:type="continuationSeparator" w:id="0">
    <w:p w14:paraId="4393DFE4" w14:textId="77777777" w:rsidR="004F2506" w:rsidRDefault="004F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1DCA1965"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3907AA">
      <w:rPr>
        <w:rFonts w:ascii="Arial" w:hAnsi="Arial" w:cs="Arial"/>
        <w:sz w:val="20"/>
      </w:rPr>
      <w:t>4</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49A3C" w14:textId="77777777" w:rsidR="004F2506" w:rsidRDefault="004F2506">
      <w:r>
        <w:separator/>
      </w:r>
    </w:p>
  </w:footnote>
  <w:footnote w:type="continuationSeparator" w:id="0">
    <w:p w14:paraId="7077DF7D" w14:textId="77777777" w:rsidR="004F2506" w:rsidRDefault="004F2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20B9"/>
    <w:rsid w:val="00023005"/>
    <w:rsid w:val="000264DB"/>
    <w:rsid w:val="00032DEA"/>
    <w:rsid w:val="000331ED"/>
    <w:rsid w:val="00040868"/>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15A"/>
    <w:rsid w:val="00215FDE"/>
    <w:rsid w:val="00216C56"/>
    <w:rsid w:val="00216D44"/>
    <w:rsid w:val="002171F5"/>
    <w:rsid w:val="002200F1"/>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3E2"/>
    <w:rsid w:val="00286D59"/>
    <w:rsid w:val="0028714B"/>
    <w:rsid w:val="002914F4"/>
    <w:rsid w:val="00294DCD"/>
    <w:rsid w:val="00295719"/>
    <w:rsid w:val="002969D2"/>
    <w:rsid w:val="002A3AA4"/>
    <w:rsid w:val="002A7193"/>
    <w:rsid w:val="002B1BCF"/>
    <w:rsid w:val="002B299C"/>
    <w:rsid w:val="002B3704"/>
    <w:rsid w:val="002B5049"/>
    <w:rsid w:val="002C143B"/>
    <w:rsid w:val="002C5673"/>
    <w:rsid w:val="002C7A3F"/>
    <w:rsid w:val="002E0E5E"/>
    <w:rsid w:val="002E141A"/>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56B"/>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07AA"/>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925"/>
    <w:rsid w:val="00420792"/>
    <w:rsid w:val="004247EB"/>
    <w:rsid w:val="00425C7C"/>
    <w:rsid w:val="00434695"/>
    <w:rsid w:val="004400B6"/>
    <w:rsid w:val="004421D6"/>
    <w:rsid w:val="00443752"/>
    <w:rsid w:val="00445100"/>
    <w:rsid w:val="00445699"/>
    <w:rsid w:val="004462DB"/>
    <w:rsid w:val="00446950"/>
    <w:rsid w:val="004514DF"/>
    <w:rsid w:val="004531B1"/>
    <w:rsid w:val="00456EA6"/>
    <w:rsid w:val="00464DC3"/>
    <w:rsid w:val="0046544F"/>
    <w:rsid w:val="004668F3"/>
    <w:rsid w:val="00471A85"/>
    <w:rsid w:val="0047262A"/>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C69CE"/>
    <w:rsid w:val="004D28E2"/>
    <w:rsid w:val="004E2364"/>
    <w:rsid w:val="004E475E"/>
    <w:rsid w:val="004E7828"/>
    <w:rsid w:val="004F068D"/>
    <w:rsid w:val="004F06BB"/>
    <w:rsid w:val="004F2506"/>
    <w:rsid w:val="004F468A"/>
    <w:rsid w:val="004F7AD6"/>
    <w:rsid w:val="00500DB5"/>
    <w:rsid w:val="00502DC5"/>
    <w:rsid w:val="0050363E"/>
    <w:rsid w:val="00505A67"/>
    <w:rsid w:val="005130C1"/>
    <w:rsid w:val="00514FCA"/>
    <w:rsid w:val="00515B15"/>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77782"/>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5737"/>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15A0"/>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5532"/>
    <w:rsid w:val="009B68E1"/>
    <w:rsid w:val="009B7C80"/>
    <w:rsid w:val="009B7D72"/>
    <w:rsid w:val="009C00F6"/>
    <w:rsid w:val="009C57B6"/>
    <w:rsid w:val="009C5E31"/>
    <w:rsid w:val="009C7D6B"/>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72F73"/>
    <w:rsid w:val="00A74115"/>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C701F"/>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B7CAB"/>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420E"/>
    <w:rsid w:val="00C162CE"/>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35C5"/>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2F58"/>
    <w:rsid w:val="00D04928"/>
    <w:rsid w:val="00D123A4"/>
    <w:rsid w:val="00D2459D"/>
    <w:rsid w:val="00D30DAE"/>
    <w:rsid w:val="00D346F7"/>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10E5"/>
    <w:rsid w:val="00D84104"/>
    <w:rsid w:val="00D847F5"/>
    <w:rsid w:val="00D8718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3CFF"/>
    <w:rsid w:val="00DF420C"/>
    <w:rsid w:val="00DF6560"/>
    <w:rsid w:val="00E028CE"/>
    <w:rsid w:val="00E12D48"/>
    <w:rsid w:val="00E200CB"/>
    <w:rsid w:val="00E24861"/>
    <w:rsid w:val="00E26F36"/>
    <w:rsid w:val="00E3607C"/>
    <w:rsid w:val="00E42396"/>
    <w:rsid w:val="00E44EFA"/>
    <w:rsid w:val="00E47F3C"/>
    <w:rsid w:val="00E608B6"/>
    <w:rsid w:val="00E639F7"/>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58B"/>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72bb18326ea542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A2816782</value>
    </field>
    <field name="Objective-Title">
      <value order="0">Document No. 02 - Terms of offer</value>
    </field>
    <field name="Objective-Description">
      <value order="0"/>
    </field>
    <field name="Objective-CreationStamp">
      <value order="0">2024-10-10T15:16:30Z</value>
    </field>
    <field name="Objective-IsApproved">
      <value order="0">false</value>
    </field>
    <field name="Objective-IsPublished">
      <value order="0">true</value>
    </field>
    <field name="Objective-DatePublished">
      <value order="0">2024-11-07T15:02:52Z</value>
    </field>
    <field name="Objective-ModificationStamp">
      <value order="0">2024-11-07T15:02:52Z</value>
    </field>
    <field name="Objective-Owner">
      <value order="0">Tierney, Lynne</value>
    </field>
    <field name="Objective-Path">
      <value order="0">Global Folder:02 Branded Medicines Projects and Contracts:02 Frameworks:23 Branded Team Pharmaceutical Projects 2025:CM/PHR/22/5683 - NHS National Branded Proprietary Category Tender - 1 May 2025:03 Tender:03 ITO Documentation</value>
    </field>
    <field name="Objective-Parent">
      <value order="0">03 ITO Documentation</value>
    </field>
    <field name="Objective-State">
      <value order="0">Published</value>
    </field>
    <field name="Objective-VersionId">
      <value order="0">vA4342074</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5132</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34318</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TIERNEY, Lynne (NHS ENGLAND - X24)</cp:lastModifiedBy>
  <cp:revision>10</cp:revision>
  <cp:lastPrinted>2018-10-24T08:06:00Z</cp:lastPrinted>
  <dcterms:created xsi:type="dcterms:W3CDTF">2023-10-24T11:08:00Z</dcterms:created>
  <dcterms:modified xsi:type="dcterms:W3CDTF">2024-11-07T15:02:00Z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A2816782</vt:lpwstr>
  </property>
  <property fmtid="{D5CDD505-2E9C-101B-9397-08002B2CF9AE}" pid="3" name="Objective-Comment">
    <vt:lpwstr/>
  </property>
  <property fmtid="{D5CDD505-2E9C-101B-9397-08002B2CF9AE}" pid="4" name="Objective-CreationStamp">
    <vt:filetime>2024-10-10T15:16:30Z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2024-11-07T15:02:52Z</vt:filetime>
  </property>
  <property fmtid="{D5CDD505-2E9C-101B-9397-08002B2CF9AE}" pid="8" name="Objective-ModificationStamp">
    <vt:filetime>2024-11-07T15:02:52Z</vt:filetime>
  </property>
  <property fmtid="{D5CDD505-2E9C-101B-9397-08002B2CF9AE}" pid="9" name="Objective-Owner">
    <vt:lpwstr>Tierney, Lynne</vt:lpwstr>
  </property>
  <property fmtid="{D5CDD505-2E9C-101B-9397-08002B2CF9AE}" pid="10" name="Objective-Path">
    <vt:lpwstr>Global Folder:02 Branded Medicines Projects and Contracts:02 Frameworks:23 Branded Team Pharmaceutical Projects 2025:CM/PHR/22/5683 - NHS National Branded Proprietary Category Tender - 1 May 2025:03 Tender:03 ITO Documentation</vt:lpwstr>
  </property>
  <property fmtid="{D5CDD505-2E9C-101B-9397-08002B2CF9AE}" pid="11" name="Objective-Parent">
    <vt:lpwstr>03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vA4342074</vt:lpwstr>
  </property>
</Properties>
</file>