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2429" w14:textId="77777777" w:rsidR="00F15914" w:rsidRDefault="00F15914" w:rsidP="00F15914">
      <w:pPr>
        <w:rPr>
          <w:rFonts w:cs="Arial"/>
          <w:b/>
          <w:color w:val="2C2C2C"/>
          <w:sz w:val="40"/>
          <w:szCs w:val="40"/>
          <w:lang w:val="en"/>
        </w:rPr>
      </w:pPr>
      <w:r>
        <w:rPr>
          <w:noProof/>
          <w:lang w:eastAsia="en-GB"/>
        </w:rPr>
        <w:drawing>
          <wp:anchor distT="0" distB="0" distL="114300" distR="114300" simplePos="0" relativeHeight="251658240" behindDoc="1" locked="0" layoutInCell="1" allowOverlap="1" wp14:anchorId="088322E0" wp14:editId="683DAED6">
            <wp:simplePos x="0" y="0"/>
            <wp:positionH relativeFrom="column">
              <wp:posOffset>4592955</wp:posOffset>
            </wp:positionH>
            <wp:positionV relativeFrom="paragraph">
              <wp:posOffset>0</wp:posOffset>
            </wp:positionV>
            <wp:extent cx="1196340" cy="846455"/>
            <wp:effectExtent l="0" t="0" r="3810" b="0"/>
            <wp:wrapTight wrapText="bothSides">
              <wp:wrapPolygon edited="0">
                <wp:start x="2408" y="0"/>
                <wp:lineTo x="0" y="2431"/>
                <wp:lineTo x="0" y="20903"/>
                <wp:lineTo x="21325" y="20903"/>
                <wp:lineTo x="21325" y="11667"/>
                <wp:lineTo x="19605" y="7778"/>
                <wp:lineTo x="20981" y="5347"/>
                <wp:lineTo x="20981" y="2431"/>
                <wp:lineTo x="19261" y="0"/>
                <wp:lineTo x="2408" y="0"/>
              </wp:wrapPolygon>
            </wp:wrapTight>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anchor>
        </w:drawing>
      </w:r>
    </w:p>
    <w:p w14:paraId="5DDAED96" w14:textId="77777777" w:rsidR="00F15914" w:rsidRDefault="00F15914" w:rsidP="00F15914">
      <w:pPr>
        <w:rPr>
          <w:rFonts w:cs="Arial"/>
          <w:b/>
          <w:color w:val="2C2C2C"/>
          <w:sz w:val="40"/>
          <w:szCs w:val="40"/>
          <w:lang w:val="en"/>
        </w:rPr>
      </w:pPr>
    </w:p>
    <w:p w14:paraId="5AB162A3" w14:textId="77777777" w:rsidR="00F15914" w:rsidRDefault="00F15914" w:rsidP="00F15914">
      <w:pPr>
        <w:rPr>
          <w:rFonts w:cs="Arial"/>
          <w:b/>
          <w:color w:val="2C2C2C"/>
          <w:sz w:val="40"/>
          <w:szCs w:val="40"/>
          <w:lang w:val="en"/>
        </w:rPr>
      </w:pPr>
    </w:p>
    <w:p w14:paraId="51648029" w14:textId="71C7EDED" w:rsidR="00F52BE8" w:rsidRDefault="00F15914" w:rsidP="00F15914">
      <w:pPr>
        <w:ind w:left="720" w:firstLine="720"/>
        <w:rPr>
          <w:rFonts w:cs="Arial"/>
          <w:b/>
          <w:color w:val="2C2C2C"/>
          <w:sz w:val="40"/>
          <w:szCs w:val="40"/>
          <w:lang w:val="en"/>
        </w:rPr>
      </w:pPr>
      <w:r>
        <w:rPr>
          <w:rFonts w:cs="Arial"/>
          <w:b/>
          <w:color w:val="2C2C2C"/>
          <w:sz w:val="40"/>
          <w:szCs w:val="40"/>
          <w:lang w:val="en"/>
        </w:rPr>
        <w:t xml:space="preserve">   </w:t>
      </w:r>
      <w:r w:rsidR="00F52BE8" w:rsidRPr="00601683">
        <w:rPr>
          <w:rFonts w:cs="Arial"/>
          <w:b/>
          <w:color w:val="2C2C2C"/>
          <w:sz w:val="40"/>
          <w:szCs w:val="40"/>
          <w:lang w:val="en"/>
        </w:rPr>
        <w:t>INVITATION TO TENDER</w:t>
      </w:r>
      <w:r w:rsidR="00F52BE8">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53D8C2DD" w14:textId="03AF8F76" w:rsidR="00F52BE8" w:rsidRPr="00591B64" w:rsidRDefault="00C16CC9" w:rsidP="00F52BE8">
      <w:pPr>
        <w:jc w:val="center"/>
        <w:rPr>
          <w:rFonts w:cs="Arial"/>
          <w:b/>
          <w:color w:val="000000" w:themeColor="text1"/>
          <w:u w:val="single"/>
        </w:rPr>
      </w:pPr>
      <w:bookmarkStart w:id="0" w:name="_Hlk94511407"/>
      <w:r w:rsidRPr="00C16CC9">
        <w:rPr>
          <w:rFonts w:cs="Arial"/>
          <w:b/>
          <w:color w:val="000000" w:themeColor="text1"/>
          <w:u w:val="single"/>
        </w:rPr>
        <w:t>Assessing the impact of National Highways’ Smart Motorway</w:t>
      </w:r>
      <w:r w:rsidR="007A4312">
        <w:rPr>
          <w:rFonts w:cs="Arial"/>
          <w:b/>
          <w:color w:val="000000" w:themeColor="text1"/>
          <w:u w:val="single"/>
        </w:rPr>
        <w:t>s</w:t>
      </w:r>
      <w:r w:rsidRPr="00C16CC9">
        <w:rPr>
          <w:rFonts w:cs="Arial"/>
          <w:b/>
          <w:color w:val="000000" w:themeColor="text1"/>
          <w:u w:val="single"/>
        </w:rPr>
        <w:t xml:space="preserve"> </w:t>
      </w:r>
      <w:r w:rsidR="00DB0917">
        <w:rPr>
          <w:rFonts w:cs="Arial"/>
          <w:b/>
          <w:color w:val="000000" w:themeColor="text1"/>
          <w:u w:val="single"/>
        </w:rPr>
        <w:t>e</w:t>
      </w:r>
      <w:r w:rsidRPr="00C16CC9">
        <w:rPr>
          <w:rFonts w:cs="Arial"/>
          <w:b/>
          <w:color w:val="000000" w:themeColor="text1"/>
          <w:u w:val="single"/>
        </w:rPr>
        <w:t xml:space="preserve">ducational </w:t>
      </w:r>
      <w:r w:rsidR="00DB0917">
        <w:rPr>
          <w:rFonts w:cs="Arial"/>
          <w:b/>
          <w:color w:val="000000" w:themeColor="text1"/>
          <w:u w:val="single"/>
        </w:rPr>
        <w:t>c</w:t>
      </w:r>
      <w:r w:rsidRPr="00C16CC9">
        <w:rPr>
          <w:rFonts w:cs="Arial"/>
          <w:b/>
          <w:color w:val="000000" w:themeColor="text1"/>
          <w:u w:val="single"/>
        </w:rPr>
        <w:t>ampaigns</w:t>
      </w:r>
    </w:p>
    <w:bookmarkEnd w:id="0"/>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4ED1DA01" w:rsidR="00F52BE8" w:rsidRPr="00DA3CD9" w:rsidRDefault="00F52BE8" w:rsidP="00DA3CD9">
      <w:pPr>
        <w:spacing w:after="0" w:line="360" w:lineRule="auto"/>
        <w:jc w:val="center"/>
        <w:rPr>
          <w:rFonts w:cs="Arial"/>
          <w:b/>
          <w:color w:val="000000" w:themeColor="text1"/>
          <w:u w:val="single"/>
        </w:rPr>
      </w:pPr>
      <w:r w:rsidRPr="00034159">
        <w:rPr>
          <w:rFonts w:cs="Arial"/>
          <w:b/>
          <w:u w:val="single"/>
        </w:rPr>
        <w:t xml:space="preserve">CPV Code: </w:t>
      </w:r>
      <w:r w:rsidR="002654AD">
        <w:rPr>
          <w:rFonts w:cs="Arial"/>
          <w:b/>
          <w:u w:val="single"/>
        </w:rPr>
        <w:t>79400000</w:t>
      </w:r>
    </w:p>
    <w:p w14:paraId="610DAFD3" w14:textId="356134D9" w:rsidR="00F52BE8" w:rsidRPr="00591B64" w:rsidRDefault="00F52BE8" w:rsidP="00DA3CD9">
      <w:pPr>
        <w:spacing w:after="0" w:line="360" w:lineRule="auto"/>
        <w:jc w:val="center"/>
        <w:rPr>
          <w:rFonts w:cs="Arial"/>
          <w:b/>
          <w:color w:val="000000" w:themeColor="text1"/>
        </w:rPr>
      </w:pPr>
      <w:r>
        <w:rPr>
          <w:rFonts w:cs="Arial"/>
          <w:b/>
          <w:u w:val="single"/>
        </w:rPr>
        <w:t xml:space="preserve">Tender Reference: </w:t>
      </w:r>
      <w:r w:rsidR="00F15914">
        <w:rPr>
          <w:rFonts w:cs="Arial"/>
          <w:b/>
          <w:u w:val="single"/>
        </w:rPr>
        <w:t>ORR/CT/22-16</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sidRPr="00E21C59">
        <w:rPr>
          <w:rFonts w:cs="Arial"/>
          <w:b/>
          <w:sz w:val="22"/>
          <w:szCs w:val="22"/>
          <w:highlight w:val="cyan"/>
        </w:rPr>
        <w:br w:type="page"/>
      </w:r>
      <w:r w:rsidRPr="00034159">
        <w:rPr>
          <w:rFonts w:cs="Arial"/>
          <w:b/>
          <w:bCs/>
          <w:color w:val="000000"/>
          <w:sz w:val="28"/>
          <w:szCs w:val="28"/>
        </w:rPr>
        <w:lastRenderedPageBreak/>
        <w:t>Purpose of document</w:t>
      </w:r>
    </w:p>
    <w:p w14:paraId="07C54599" w14:textId="0815C487" w:rsidR="00F52BE8" w:rsidRPr="00D20EF9" w:rsidRDefault="00F52BE8" w:rsidP="00616C5F">
      <w:pPr>
        <w:pStyle w:val="ListNumber"/>
        <w:numPr>
          <w:ilvl w:val="0"/>
          <w:numId w:val="0"/>
        </w:numPr>
        <w:tabs>
          <w:tab w:val="clear" w:pos="720"/>
        </w:tabs>
        <w:spacing w:before="0" w:after="0"/>
        <w:jc w:val="both"/>
        <w:rPr>
          <w:rFonts w:cs="Arial"/>
          <w:b/>
          <w:sz w:val="22"/>
          <w:szCs w:val="22"/>
          <w:u w:val="single"/>
        </w:rPr>
      </w:pPr>
      <w:r w:rsidRPr="00D20EF9">
        <w:rPr>
          <w:rFonts w:cs="Arial"/>
          <w:sz w:val="22"/>
          <w:szCs w:val="22"/>
        </w:rPr>
        <w:t xml:space="preserve">The purpose of this document is to invite proposals for </w:t>
      </w:r>
      <w:r w:rsidR="00AB3760" w:rsidRPr="00D20EF9">
        <w:rPr>
          <w:rFonts w:cs="Arial"/>
          <w:sz w:val="22"/>
          <w:szCs w:val="22"/>
        </w:rPr>
        <w:t>consultancy support</w:t>
      </w:r>
      <w:r w:rsidRPr="00D20EF9">
        <w:rPr>
          <w:rFonts w:cs="Arial"/>
          <w:sz w:val="22"/>
          <w:szCs w:val="22"/>
        </w:rPr>
        <w:t xml:space="preserve"> for the Office of Rail and Road (ORR)</w:t>
      </w:r>
      <w:r w:rsidR="00941718" w:rsidRPr="00D20EF9">
        <w:rPr>
          <w:rFonts w:cs="Arial"/>
          <w:sz w:val="22"/>
          <w:szCs w:val="22"/>
        </w:rPr>
        <w:t xml:space="preserve"> </w:t>
      </w:r>
      <w:r w:rsidR="002F1AEE" w:rsidRPr="00D20EF9">
        <w:rPr>
          <w:rFonts w:cs="Arial"/>
          <w:sz w:val="22"/>
          <w:szCs w:val="22"/>
        </w:rPr>
        <w:t xml:space="preserve">in the </w:t>
      </w:r>
      <w:r w:rsidR="00941718" w:rsidRPr="00D20EF9">
        <w:rPr>
          <w:rFonts w:cs="Arial"/>
          <w:sz w:val="22"/>
          <w:szCs w:val="22"/>
        </w:rPr>
        <w:t>assessment an</w:t>
      </w:r>
      <w:r w:rsidR="00626BC6" w:rsidRPr="00D20EF9">
        <w:rPr>
          <w:rFonts w:cs="Arial"/>
          <w:sz w:val="22"/>
          <w:szCs w:val="22"/>
        </w:rPr>
        <w:t>d evaluation</w:t>
      </w:r>
      <w:r w:rsidR="00AD2D1F" w:rsidRPr="00D20EF9">
        <w:rPr>
          <w:rFonts w:cs="Arial"/>
          <w:sz w:val="22"/>
          <w:szCs w:val="22"/>
        </w:rPr>
        <w:t xml:space="preserve"> </w:t>
      </w:r>
      <w:r w:rsidR="008D4F20" w:rsidRPr="00D20EF9">
        <w:rPr>
          <w:rFonts w:cs="Arial"/>
          <w:sz w:val="22"/>
          <w:szCs w:val="22"/>
        </w:rPr>
        <w:t xml:space="preserve">of </w:t>
      </w:r>
      <w:r w:rsidR="00AD2D1F" w:rsidRPr="00D20EF9">
        <w:rPr>
          <w:rFonts w:cs="Arial"/>
          <w:sz w:val="22"/>
          <w:szCs w:val="22"/>
        </w:rPr>
        <w:t>National Highways</w:t>
      </w:r>
      <w:r w:rsidR="00616C5F" w:rsidRPr="00D20EF9">
        <w:rPr>
          <w:rFonts w:cs="Arial"/>
          <w:sz w:val="22"/>
          <w:szCs w:val="22"/>
        </w:rPr>
        <w:t xml:space="preserve"> education </w:t>
      </w:r>
      <w:r w:rsidR="001516AA" w:rsidRPr="00D20EF9">
        <w:rPr>
          <w:rFonts w:cs="Arial"/>
          <w:sz w:val="22"/>
          <w:szCs w:val="22"/>
        </w:rPr>
        <w:t>campaigns</w:t>
      </w:r>
      <w:r w:rsidR="00DB0917" w:rsidRPr="00D20EF9">
        <w:rPr>
          <w:rFonts w:cs="Arial"/>
          <w:sz w:val="22"/>
          <w:szCs w:val="22"/>
        </w:rPr>
        <w:t>.</w:t>
      </w:r>
      <w:r w:rsidR="001516AA" w:rsidRPr="00D20EF9">
        <w:rPr>
          <w:rFonts w:cs="Arial"/>
          <w:sz w:val="22"/>
          <w:szCs w:val="22"/>
        </w:rPr>
        <w:t xml:space="preserve"> </w:t>
      </w:r>
    </w:p>
    <w:p w14:paraId="360BC311" w14:textId="77777777" w:rsidR="00F52BE8" w:rsidRPr="00D20EF9" w:rsidRDefault="00F52BE8" w:rsidP="00F52BE8">
      <w:pPr>
        <w:pStyle w:val="ListNumber"/>
        <w:numPr>
          <w:ilvl w:val="0"/>
          <w:numId w:val="0"/>
        </w:numPr>
        <w:rPr>
          <w:b/>
          <w:sz w:val="22"/>
          <w:szCs w:val="22"/>
          <w:u w:val="single"/>
        </w:rPr>
      </w:pPr>
      <w:r w:rsidRPr="00D20EF9">
        <w:rPr>
          <w:sz w:val="22"/>
          <w:szCs w:val="22"/>
        </w:rPr>
        <w:t>This document contains the following sections:</w:t>
      </w:r>
    </w:p>
    <w:p w14:paraId="7C473DC3" w14:textId="77777777" w:rsidR="00F52BE8" w:rsidRPr="00D20EF9" w:rsidRDefault="00F52BE8" w:rsidP="00F52BE8">
      <w:pPr>
        <w:pStyle w:val="ListNumber"/>
        <w:numPr>
          <w:ilvl w:val="0"/>
          <w:numId w:val="0"/>
        </w:numPr>
        <w:tabs>
          <w:tab w:val="clear" w:pos="720"/>
          <w:tab w:val="left" w:pos="360"/>
        </w:tabs>
        <w:rPr>
          <w:sz w:val="22"/>
          <w:szCs w:val="22"/>
        </w:rPr>
      </w:pPr>
      <w:r w:rsidRPr="00D20EF9">
        <w:rPr>
          <w:sz w:val="22"/>
          <w:szCs w:val="22"/>
        </w:rPr>
        <w:tab/>
        <w:t xml:space="preserve">1. </w:t>
      </w:r>
      <w:r w:rsidRPr="00D20EF9">
        <w:rPr>
          <w:sz w:val="22"/>
          <w:szCs w:val="22"/>
        </w:rPr>
        <w:tab/>
        <w:t>Introduction to the Office of Rail and Road</w:t>
      </w:r>
    </w:p>
    <w:p w14:paraId="541952D5" w14:textId="77777777" w:rsidR="00F52BE8" w:rsidRPr="00D20EF9" w:rsidRDefault="00F52BE8" w:rsidP="00F52BE8">
      <w:pPr>
        <w:pStyle w:val="ListNumber"/>
        <w:numPr>
          <w:ilvl w:val="0"/>
          <w:numId w:val="0"/>
        </w:numPr>
        <w:tabs>
          <w:tab w:val="clear" w:pos="720"/>
          <w:tab w:val="left" w:pos="360"/>
        </w:tabs>
        <w:rPr>
          <w:sz w:val="22"/>
          <w:szCs w:val="22"/>
        </w:rPr>
      </w:pPr>
      <w:r w:rsidRPr="00D20EF9">
        <w:rPr>
          <w:sz w:val="22"/>
          <w:szCs w:val="22"/>
        </w:rPr>
        <w:tab/>
        <w:t xml:space="preserve">2.  </w:t>
      </w:r>
      <w:r w:rsidRPr="00D20EF9">
        <w:rPr>
          <w:sz w:val="22"/>
          <w:szCs w:val="22"/>
        </w:rPr>
        <w:tab/>
        <w:t>Statement of Requirement</w:t>
      </w:r>
    </w:p>
    <w:p w14:paraId="6A8B8BEB" w14:textId="77777777" w:rsidR="00F52BE8" w:rsidRPr="00D20EF9" w:rsidRDefault="00F52BE8" w:rsidP="00F52BE8">
      <w:pPr>
        <w:pStyle w:val="ListNumber"/>
        <w:numPr>
          <w:ilvl w:val="0"/>
          <w:numId w:val="0"/>
        </w:numPr>
        <w:tabs>
          <w:tab w:val="clear" w:pos="720"/>
          <w:tab w:val="left" w:pos="360"/>
        </w:tabs>
        <w:rPr>
          <w:sz w:val="22"/>
          <w:szCs w:val="22"/>
        </w:rPr>
      </w:pPr>
      <w:r w:rsidRPr="00D20EF9">
        <w:rPr>
          <w:sz w:val="22"/>
          <w:szCs w:val="22"/>
        </w:rPr>
        <w:tab/>
        <w:t>3.</w:t>
      </w:r>
      <w:r w:rsidRPr="00D20EF9">
        <w:rPr>
          <w:sz w:val="22"/>
          <w:szCs w:val="22"/>
        </w:rPr>
        <w:tab/>
        <w:t>Tender Proposal &amp; Evaluation Criteria</w:t>
      </w:r>
    </w:p>
    <w:p w14:paraId="0683AEB6" w14:textId="1896D48C" w:rsidR="00F52BE8" w:rsidRPr="00D20EF9" w:rsidRDefault="00F52BE8" w:rsidP="00F52BE8">
      <w:pPr>
        <w:pStyle w:val="ListNumber"/>
        <w:numPr>
          <w:ilvl w:val="0"/>
          <w:numId w:val="0"/>
        </w:numPr>
        <w:tabs>
          <w:tab w:val="clear" w:pos="720"/>
          <w:tab w:val="left" w:pos="360"/>
        </w:tabs>
        <w:rPr>
          <w:sz w:val="22"/>
          <w:szCs w:val="22"/>
        </w:rPr>
      </w:pPr>
      <w:r w:rsidRPr="00D20EF9">
        <w:rPr>
          <w:sz w:val="22"/>
          <w:szCs w:val="22"/>
        </w:rPr>
        <w:tab/>
        <w:t>4.</w:t>
      </w:r>
      <w:r w:rsidRPr="00D20EF9">
        <w:rPr>
          <w:sz w:val="22"/>
          <w:szCs w:val="22"/>
        </w:rPr>
        <w:tab/>
        <w:t>Procurement Procedure</w:t>
      </w:r>
      <w:r w:rsidR="00E832B5" w:rsidRPr="00D20EF9">
        <w:rPr>
          <w:sz w:val="22"/>
          <w:szCs w:val="22"/>
        </w:rPr>
        <w:t>s</w:t>
      </w:r>
    </w:p>
    <w:p w14:paraId="04D224A8" w14:textId="77777777" w:rsidR="00F52BE8" w:rsidRPr="00D20EF9" w:rsidRDefault="00F52BE8" w:rsidP="00F52BE8">
      <w:pPr>
        <w:pStyle w:val="ListNumber"/>
        <w:numPr>
          <w:ilvl w:val="0"/>
          <w:numId w:val="0"/>
        </w:numPr>
        <w:tabs>
          <w:tab w:val="clear" w:pos="720"/>
        </w:tabs>
        <w:spacing w:before="0" w:after="0"/>
        <w:rPr>
          <w:rFonts w:cs="Arial"/>
          <w:b/>
          <w:sz w:val="22"/>
          <w:szCs w:val="22"/>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sidRPr="00D20EF9">
        <w:rPr>
          <w:rFonts w:cs="Arial"/>
          <w:b/>
          <w:sz w:val="22"/>
          <w:szCs w:val="22"/>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4F25A3D4" w:rsidR="00F52BE8" w:rsidRPr="00D20EF9" w:rsidRDefault="00F52BE8" w:rsidP="001677C3">
      <w:pPr>
        <w:pStyle w:val="ListNumber"/>
        <w:numPr>
          <w:ilvl w:val="0"/>
          <w:numId w:val="0"/>
        </w:numPr>
        <w:spacing w:before="0" w:after="0"/>
        <w:jc w:val="both"/>
        <w:rPr>
          <w:rFonts w:cs="Arial"/>
          <w:sz w:val="22"/>
          <w:szCs w:val="22"/>
        </w:rPr>
      </w:pPr>
      <w:r w:rsidRPr="00D20EF9">
        <w:rPr>
          <w:rFonts w:cs="Arial"/>
          <w:sz w:val="22"/>
          <w:szCs w:val="22"/>
        </w:rPr>
        <w:t xml:space="preserve">The Office of Rail and Road is the independent safety and economic regulator of Britain’s railways who also hold </w:t>
      </w:r>
      <w:r w:rsidR="009434F0" w:rsidRPr="00D20EF9">
        <w:rPr>
          <w:sz w:val="22"/>
          <w:szCs w:val="22"/>
        </w:rPr>
        <w:t>National Highways</w:t>
      </w:r>
      <w:r w:rsidRPr="00D20EF9">
        <w:rPr>
          <w:rFonts w:cs="Arial"/>
          <w:sz w:val="22"/>
          <w:szCs w:val="22"/>
        </w:rPr>
        <w:t xml:space="preserve"> to account for its day-to-day efficiency and performance, running the strategic road network, and for delivering the five</w:t>
      </w:r>
      <w:r w:rsidR="00E669F3" w:rsidRPr="00D20EF9">
        <w:rPr>
          <w:rFonts w:cs="Arial"/>
          <w:sz w:val="22"/>
          <w:szCs w:val="22"/>
        </w:rPr>
        <w:t>-</w:t>
      </w:r>
      <w:r w:rsidRPr="00D20EF9">
        <w:rPr>
          <w:rFonts w:cs="Arial"/>
          <w:sz w:val="22"/>
          <w:szCs w:val="22"/>
        </w:rPr>
        <w:t xml:space="preserve">year road investment strategy set by the Department for Transport (DfT). </w:t>
      </w:r>
    </w:p>
    <w:p w14:paraId="58587DEB" w14:textId="77777777" w:rsidR="00F52BE8" w:rsidRPr="00D20EF9" w:rsidRDefault="00F52BE8" w:rsidP="001677C3">
      <w:pPr>
        <w:pStyle w:val="ListNumber"/>
        <w:numPr>
          <w:ilvl w:val="0"/>
          <w:numId w:val="0"/>
        </w:numPr>
        <w:spacing w:before="0" w:after="0"/>
        <w:jc w:val="both"/>
        <w:rPr>
          <w:rFonts w:cs="Arial"/>
          <w:sz w:val="22"/>
          <w:szCs w:val="22"/>
        </w:rPr>
      </w:pPr>
    </w:p>
    <w:p w14:paraId="55E37C62" w14:textId="4018624D" w:rsidR="00F52BE8" w:rsidRPr="00D20EF9" w:rsidRDefault="00F52BE8" w:rsidP="001677C3">
      <w:pPr>
        <w:pStyle w:val="ListNumber"/>
        <w:numPr>
          <w:ilvl w:val="0"/>
          <w:numId w:val="0"/>
        </w:numPr>
        <w:spacing w:before="0" w:after="0"/>
        <w:jc w:val="both"/>
        <w:rPr>
          <w:rFonts w:cs="Arial"/>
          <w:sz w:val="22"/>
          <w:szCs w:val="22"/>
        </w:rPr>
      </w:pPr>
      <w:r w:rsidRPr="00D20EF9">
        <w:rPr>
          <w:rFonts w:cs="Arial"/>
          <w:sz w:val="22"/>
          <w:szCs w:val="22"/>
        </w:rPr>
        <w:t xml:space="preserve">ORR currently employs approximately </w:t>
      </w:r>
      <w:r w:rsidR="00F304DE" w:rsidRPr="00D20EF9">
        <w:rPr>
          <w:rFonts w:cs="Arial"/>
          <w:sz w:val="22"/>
          <w:szCs w:val="22"/>
        </w:rPr>
        <w:t>400</w:t>
      </w:r>
      <w:r w:rsidRPr="00D20EF9">
        <w:rPr>
          <w:rFonts w:cs="Arial"/>
          <w:sz w:val="22"/>
          <w:szCs w:val="22"/>
        </w:rPr>
        <w:t xml:space="preserve"> personnel and operates from 6 locations nationwide. </w:t>
      </w:r>
      <w:r w:rsidR="00626BC6" w:rsidRPr="00D20EF9">
        <w:rPr>
          <w:rFonts w:cs="Arial"/>
          <w:sz w:val="22"/>
          <w:szCs w:val="22"/>
        </w:rPr>
        <w:t>Most</w:t>
      </w:r>
      <w:r w:rsidRPr="00D20EF9">
        <w:rPr>
          <w:rFonts w:cs="Arial"/>
          <w:sz w:val="22"/>
          <w:szCs w:val="22"/>
        </w:rPr>
        <w:t xml:space="preserve"> personnel are located at ORR’s headquarters, </w:t>
      </w:r>
      <w:r w:rsidR="00F26B55" w:rsidRPr="00D20EF9">
        <w:rPr>
          <w:rFonts w:cs="Arial"/>
          <w:sz w:val="22"/>
          <w:szCs w:val="22"/>
        </w:rPr>
        <w:t>25 Cabot Square, London.</w:t>
      </w:r>
    </w:p>
    <w:p w14:paraId="2A5D3875" w14:textId="554BB938" w:rsidR="00C16CC9" w:rsidRPr="00D20EF9" w:rsidRDefault="00C16CC9" w:rsidP="001677C3">
      <w:pPr>
        <w:pStyle w:val="ListNumber"/>
        <w:numPr>
          <w:ilvl w:val="0"/>
          <w:numId w:val="0"/>
        </w:numPr>
        <w:spacing w:before="0" w:after="0"/>
        <w:jc w:val="both"/>
        <w:rPr>
          <w:rFonts w:cs="Arial"/>
          <w:sz w:val="22"/>
          <w:szCs w:val="22"/>
        </w:rPr>
      </w:pPr>
    </w:p>
    <w:p w14:paraId="617F425A" w14:textId="77777777" w:rsidR="00F52BE8" w:rsidRPr="00D20EF9" w:rsidRDefault="00F52BE8" w:rsidP="00F52BE8">
      <w:pPr>
        <w:pStyle w:val="ListNumber"/>
        <w:numPr>
          <w:ilvl w:val="0"/>
          <w:numId w:val="0"/>
        </w:numPr>
        <w:spacing w:before="0" w:after="0"/>
        <w:rPr>
          <w:sz w:val="22"/>
          <w:szCs w:val="22"/>
          <w:lang w:val="en"/>
        </w:rPr>
      </w:pPr>
    </w:p>
    <w:p w14:paraId="6A216A3C" w14:textId="77777777" w:rsidR="00F52BE8" w:rsidRPr="00D20EF9" w:rsidRDefault="00F52BE8" w:rsidP="00F52BE8">
      <w:pPr>
        <w:pStyle w:val="ListNumber"/>
        <w:numPr>
          <w:ilvl w:val="0"/>
          <w:numId w:val="0"/>
        </w:numPr>
        <w:spacing w:before="0" w:after="0"/>
        <w:rPr>
          <w:rFonts w:cs="Arial"/>
          <w:sz w:val="22"/>
          <w:szCs w:val="22"/>
          <w:u w:val="single"/>
        </w:rPr>
      </w:pPr>
      <w:r w:rsidRPr="00D20EF9">
        <w:rPr>
          <w:rFonts w:cs="Arial"/>
          <w:sz w:val="22"/>
          <w:szCs w:val="22"/>
          <w:u w:val="single"/>
        </w:rPr>
        <w:t>Supplying ORR</w:t>
      </w:r>
    </w:p>
    <w:p w14:paraId="1EF55D16" w14:textId="77777777" w:rsidR="00F52BE8" w:rsidRPr="00D20EF9" w:rsidRDefault="00F52BE8" w:rsidP="00F52BE8">
      <w:pPr>
        <w:pStyle w:val="ListNumber"/>
        <w:numPr>
          <w:ilvl w:val="0"/>
          <w:numId w:val="0"/>
        </w:numPr>
        <w:rPr>
          <w:sz w:val="22"/>
          <w:szCs w:val="22"/>
          <w:lang w:val="en" w:eastAsia="en-GB"/>
        </w:rPr>
      </w:pPr>
      <w:r w:rsidRPr="00D20EF9">
        <w:rPr>
          <w:sz w:val="22"/>
          <w:szCs w:val="22"/>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20EF9" w:rsidRDefault="00F52BE8" w:rsidP="00F52BE8">
      <w:pPr>
        <w:pStyle w:val="ListNumber"/>
        <w:numPr>
          <w:ilvl w:val="0"/>
          <w:numId w:val="0"/>
        </w:numPr>
        <w:rPr>
          <w:sz w:val="22"/>
          <w:szCs w:val="22"/>
          <w:lang w:val="en" w:eastAsia="en-GB"/>
        </w:rPr>
      </w:pPr>
      <w:r w:rsidRPr="00D20EF9">
        <w:rPr>
          <w:sz w:val="22"/>
          <w:szCs w:val="22"/>
          <w:lang w:val="en" w:eastAsia="en-GB"/>
        </w:rPr>
        <w:t>The ORR Procurement unit subscribes to the following values:</w:t>
      </w:r>
    </w:p>
    <w:p w14:paraId="27E94BD4" w14:textId="77777777" w:rsidR="00F52BE8" w:rsidRPr="00D20EF9" w:rsidRDefault="00F52BE8" w:rsidP="00F52BE8">
      <w:pPr>
        <w:pStyle w:val="ListNumber"/>
        <w:numPr>
          <w:ilvl w:val="0"/>
          <w:numId w:val="6"/>
        </w:numPr>
        <w:rPr>
          <w:sz w:val="22"/>
          <w:szCs w:val="22"/>
          <w:lang w:val="en" w:eastAsia="en-GB"/>
        </w:rPr>
      </w:pPr>
      <w:r w:rsidRPr="00D20EF9">
        <w:rPr>
          <w:sz w:val="22"/>
          <w:szCs w:val="22"/>
          <w:lang w:val="en" w:eastAsia="en-GB"/>
        </w:rPr>
        <w:t xml:space="preserve">to provide a modern, efficient, transparent and responsible procurement service; </w:t>
      </w:r>
    </w:p>
    <w:p w14:paraId="3C0EBD1D" w14:textId="77777777" w:rsidR="00F52BE8" w:rsidRPr="00D20EF9" w:rsidRDefault="00F52BE8" w:rsidP="00F52BE8">
      <w:pPr>
        <w:pStyle w:val="ListNumber"/>
        <w:numPr>
          <w:ilvl w:val="0"/>
          <w:numId w:val="6"/>
        </w:numPr>
        <w:rPr>
          <w:sz w:val="22"/>
          <w:szCs w:val="22"/>
          <w:lang w:val="en" w:eastAsia="en-GB"/>
        </w:rPr>
      </w:pPr>
      <w:r w:rsidRPr="00D20EF9">
        <w:rPr>
          <w:sz w:val="22"/>
          <w:szCs w:val="22"/>
          <w:lang w:val="en" w:eastAsia="en-GB"/>
        </w:rPr>
        <w:t xml:space="preserve">to achieve value for money by balancing quality and cost; </w:t>
      </w:r>
    </w:p>
    <w:p w14:paraId="1C79C4C0" w14:textId="77777777" w:rsidR="00F52BE8" w:rsidRPr="00D20EF9" w:rsidRDefault="00F52BE8" w:rsidP="00F52BE8">
      <w:pPr>
        <w:pStyle w:val="ListNumber"/>
        <w:numPr>
          <w:ilvl w:val="0"/>
          <w:numId w:val="6"/>
        </w:numPr>
        <w:rPr>
          <w:sz w:val="22"/>
          <w:szCs w:val="22"/>
          <w:lang w:val="en" w:eastAsia="en-GB"/>
        </w:rPr>
      </w:pPr>
      <w:r w:rsidRPr="00D20EF9">
        <w:rPr>
          <w:sz w:val="22"/>
          <w:szCs w:val="22"/>
          <w:lang w:val="en" w:eastAsia="en-GB"/>
        </w:rPr>
        <w:t xml:space="preserve">to ensure contracts are managed effectively and outputs are delivered; </w:t>
      </w:r>
    </w:p>
    <w:p w14:paraId="067DAA9B" w14:textId="77777777" w:rsidR="00F52BE8" w:rsidRPr="00D20EF9" w:rsidRDefault="00F52BE8" w:rsidP="00F52BE8">
      <w:pPr>
        <w:pStyle w:val="ListNumber"/>
        <w:numPr>
          <w:ilvl w:val="0"/>
          <w:numId w:val="6"/>
        </w:numPr>
        <w:rPr>
          <w:sz w:val="22"/>
          <w:szCs w:val="22"/>
          <w:lang w:val="en" w:eastAsia="en-GB"/>
        </w:rPr>
      </w:pPr>
      <w:r w:rsidRPr="00D20EF9">
        <w:rPr>
          <w:sz w:val="22"/>
          <w:szCs w:val="22"/>
          <w:lang w:val="en" w:eastAsia="en-GB"/>
        </w:rPr>
        <w:t xml:space="preserve">to ensure that processes have regard for equality and diversity; and </w:t>
      </w:r>
    </w:p>
    <w:p w14:paraId="1E06C045" w14:textId="77777777" w:rsidR="00F52BE8" w:rsidRPr="00D20EF9" w:rsidRDefault="00F52BE8" w:rsidP="00F52BE8">
      <w:pPr>
        <w:pStyle w:val="ListNumber"/>
        <w:numPr>
          <w:ilvl w:val="0"/>
          <w:numId w:val="6"/>
        </w:numPr>
        <w:rPr>
          <w:sz w:val="22"/>
          <w:szCs w:val="22"/>
          <w:lang w:val="en" w:eastAsia="en-GB"/>
        </w:rPr>
      </w:pPr>
      <w:r w:rsidRPr="00D20EF9">
        <w:rPr>
          <w:sz w:val="22"/>
          <w:szCs w:val="22"/>
          <w:lang w:val="en" w:eastAsia="en-GB"/>
        </w:rPr>
        <w:t>to ensure that procurement is undertaken with regard to Law and best practice.</w:t>
      </w:r>
    </w:p>
    <w:p w14:paraId="040AE73E" w14:textId="77777777" w:rsidR="00F52BE8" w:rsidRPr="00D20EF9" w:rsidRDefault="00F52BE8" w:rsidP="00F52BE8">
      <w:pPr>
        <w:pStyle w:val="ListNumber"/>
        <w:numPr>
          <w:ilvl w:val="0"/>
          <w:numId w:val="0"/>
        </w:numPr>
        <w:spacing w:before="0" w:after="0"/>
        <w:rPr>
          <w:color w:val="0000FF"/>
          <w:sz w:val="22"/>
          <w:szCs w:val="22"/>
          <w:u w:val="single"/>
        </w:rPr>
      </w:pPr>
      <w:r w:rsidRPr="00D20EF9">
        <w:rPr>
          <w:sz w:val="22"/>
          <w:szCs w:val="22"/>
        </w:rPr>
        <w:t xml:space="preserve">For further information on ORR please visit our website: </w:t>
      </w:r>
      <w:hyperlink r:id="rId8" w:history="1">
        <w:r w:rsidRPr="00D20EF9">
          <w:rPr>
            <w:rStyle w:val="Hyperlink"/>
            <w:sz w:val="22"/>
            <w:szCs w:val="22"/>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sidRPr="00D20EF9">
        <w:rPr>
          <w:sz w:val="22"/>
          <w:szCs w:val="22"/>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Pr="00D20EF9" w:rsidRDefault="00F52BE8" w:rsidP="00F52BE8">
      <w:pPr>
        <w:rPr>
          <w:rFonts w:cs="Arial"/>
          <w:sz w:val="22"/>
          <w:szCs w:val="22"/>
        </w:rPr>
      </w:pPr>
      <w:r w:rsidRPr="00D20EF9">
        <w:rPr>
          <w:rFonts w:cs="Arial"/>
          <w:sz w:val="22"/>
          <w:szCs w:val="22"/>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Pr="00D20EF9" w:rsidRDefault="00F52BE8" w:rsidP="00F52BE8">
      <w:pPr>
        <w:rPr>
          <w:rFonts w:cs="Arial"/>
          <w:sz w:val="22"/>
          <w:szCs w:val="22"/>
        </w:rPr>
      </w:pPr>
      <w:r w:rsidRPr="00D20EF9">
        <w:rPr>
          <w:rFonts w:cs="Arial"/>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sidRPr="00D20EF9">
        <w:rPr>
          <w:rFonts w:cs="Arial"/>
          <w:sz w:val="22"/>
          <w:szCs w:val="22"/>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1BED57EF">
        <w:trPr>
          <w:trHeight w:val="454"/>
        </w:trPr>
        <w:tc>
          <w:tcPr>
            <w:tcW w:w="8302"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1BED57EF">
        <w:trPr>
          <w:trHeight w:val="760"/>
        </w:trPr>
        <w:tc>
          <w:tcPr>
            <w:tcW w:w="8302" w:type="dxa"/>
            <w:tcBorders>
              <w:bottom w:val="single" w:sz="4" w:space="0" w:color="auto"/>
            </w:tcBorders>
            <w:shd w:val="clear" w:color="auto" w:fill="auto"/>
          </w:tcPr>
          <w:p w14:paraId="233DC2EA" w14:textId="28CA7D60" w:rsidR="00C16CC9" w:rsidRPr="00D20EF9" w:rsidRDefault="00C16CC9" w:rsidP="00C16CC9">
            <w:pPr>
              <w:rPr>
                <w:sz w:val="22"/>
                <w:szCs w:val="22"/>
              </w:rPr>
            </w:pPr>
            <w:r w:rsidRPr="00D20EF9">
              <w:rPr>
                <w:rFonts w:cs="Arial"/>
                <w:sz w:val="22"/>
                <w:szCs w:val="22"/>
              </w:rPr>
              <w:t xml:space="preserve">ORR independently monitors National Highways’ management of the Strategic Road Network (SRN) - motorways and main A roads in England. We </w:t>
            </w:r>
            <w:r w:rsidRPr="00D20EF9">
              <w:rPr>
                <w:sz w:val="22"/>
                <w:szCs w:val="22"/>
              </w:rPr>
              <w:t xml:space="preserve">hold </w:t>
            </w:r>
            <w:r w:rsidRPr="00D20EF9">
              <w:rPr>
                <w:rFonts w:cs="Arial"/>
                <w:sz w:val="22"/>
                <w:szCs w:val="22"/>
              </w:rPr>
              <w:t xml:space="preserve">National Highways </w:t>
            </w:r>
            <w:r w:rsidRPr="00D20EF9">
              <w:rPr>
                <w:sz w:val="22"/>
                <w:szCs w:val="22"/>
              </w:rPr>
              <w:t xml:space="preserve">to account </w:t>
            </w:r>
            <w:r w:rsidR="006277A7" w:rsidRPr="00D20EF9">
              <w:rPr>
                <w:rFonts w:cs="Arial"/>
                <w:sz w:val="22"/>
                <w:szCs w:val="22"/>
              </w:rPr>
              <w:t>for</w:t>
            </w:r>
            <w:r w:rsidRPr="00D20EF9">
              <w:rPr>
                <w:rFonts w:cs="Arial"/>
                <w:sz w:val="22"/>
                <w:szCs w:val="22"/>
              </w:rPr>
              <w:t xml:space="preserve">: </w:t>
            </w:r>
          </w:p>
          <w:p w14:paraId="136B508B" w14:textId="77777777" w:rsidR="00C16CC9" w:rsidRPr="00D20EF9" w:rsidRDefault="00C16CC9" w:rsidP="00C16CC9">
            <w:pPr>
              <w:numPr>
                <w:ilvl w:val="0"/>
                <w:numId w:val="28"/>
              </w:numPr>
              <w:rPr>
                <w:rFonts w:cs="Arial"/>
                <w:sz w:val="22"/>
                <w:szCs w:val="22"/>
              </w:rPr>
            </w:pPr>
            <w:r w:rsidRPr="00D20EF9">
              <w:rPr>
                <w:rFonts w:cs="Arial"/>
                <w:sz w:val="22"/>
                <w:szCs w:val="22"/>
              </w:rPr>
              <w:t xml:space="preserve">how it plans and delivers its Road Investment Strategy (RIS); </w:t>
            </w:r>
          </w:p>
          <w:p w14:paraId="16FDAD8E" w14:textId="77777777" w:rsidR="00C16CC9" w:rsidRPr="00D20EF9" w:rsidRDefault="00C16CC9" w:rsidP="00C16CC9">
            <w:pPr>
              <w:numPr>
                <w:ilvl w:val="0"/>
                <w:numId w:val="28"/>
              </w:numPr>
              <w:rPr>
                <w:rFonts w:cs="Arial"/>
                <w:sz w:val="22"/>
                <w:szCs w:val="22"/>
              </w:rPr>
            </w:pPr>
            <w:r w:rsidRPr="00D20EF9">
              <w:rPr>
                <w:rFonts w:cs="Arial"/>
                <w:sz w:val="22"/>
                <w:szCs w:val="22"/>
              </w:rPr>
              <w:t>its performance, including efficiency, safety and sustainability, for the benefit of road users and the public</w:t>
            </w:r>
            <w:r w:rsidRPr="00D20EF9">
              <w:rPr>
                <w:sz w:val="22"/>
                <w:szCs w:val="22"/>
              </w:rPr>
              <w:t>; and</w:t>
            </w:r>
          </w:p>
          <w:p w14:paraId="4669360D" w14:textId="77777777" w:rsidR="00F52BE8" w:rsidRPr="00D20EF9" w:rsidRDefault="00C16CC9" w:rsidP="00C16CC9">
            <w:pPr>
              <w:numPr>
                <w:ilvl w:val="0"/>
                <w:numId w:val="28"/>
              </w:numPr>
              <w:rPr>
                <w:rFonts w:cs="Arial"/>
                <w:sz w:val="22"/>
                <w:szCs w:val="22"/>
              </w:rPr>
            </w:pPr>
            <w:r w:rsidRPr="00D20EF9">
              <w:rPr>
                <w:rFonts w:cs="Arial"/>
                <w:sz w:val="22"/>
                <w:szCs w:val="22"/>
              </w:rPr>
              <w:t xml:space="preserve">compliance with its licence.  </w:t>
            </w:r>
          </w:p>
          <w:p w14:paraId="3B05E84F" w14:textId="4C96B67E" w:rsidR="00C16CC9" w:rsidRPr="00D20EF9" w:rsidRDefault="00C16CC9" w:rsidP="00C16CC9">
            <w:pPr>
              <w:pStyle w:val="Standard"/>
              <w:spacing w:after="120"/>
              <w:rPr>
                <w:szCs w:val="22"/>
              </w:rPr>
            </w:pPr>
            <w:r w:rsidRPr="00D20EF9">
              <w:rPr>
                <w:szCs w:val="22"/>
              </w:rPr>
              <w:t>This is set out as</w:t>
            </w:r>
            <w:r w:rsidR="00F304DE" w:rsidRPr="00D20EF9">
              <w:rPr>
                <w:szCs w:val="22"/>
              </w:rPr>
              <w:t xml:space="preserve"> part of our</w:t>
            </w:r>
            <w:r w:rsidRPr="00D20EF9">
              <w:rPr>
                <w:szCs w:val="22"/>
              </w:rPr>
              <w:t xml:space="preserve"> statutory role and requirements </w:t>
            </w:r>
            <w:r w:rsidR="00F304DE" w:rsidRPr="00D20EF9">
              <w:rPr>
                <w:szCs w:val="22"/>
              </w:rPr>
              <w:t>under the</w:t>
            </w:r>
            <w:r w:rsidRPr="00D20EF9">
              <w:rPr>
                <w:szCs w:val="22"/>
              </w:rPr>
              <w:t xml:space="preserve"> Infrastructure Act 2015. However, over the last two years, due to increasing concerns from a range of stakeholders over the safety of Smart Motorways, ORR has been called on to provide independent assurance and monitor specific areas</w:t>
            </w:r>
            <w:r w:rsidR="00F304DE" w:rsidRPr="00D20EF9">
              <w:rPr>
                <w:szCs w:val="22"/>
              </w:rPr>
              <w:t xml:space="preserve"> of National Highways’ delivery</w:t>
            </w:r>
            <w:r w:rsidRPr="00D20EF9">
              <w:rPr>
                <w:szCs w:val="22"/>
              </w:rPr>
              <w:t xml:space="preserve"> in relation to the safety of Smart Motorways.</w:t>
            </w:r>
            <w:r w:rsidR="00CC634C" w:rsidRPr="00D20EF9">
              <w:rPr>
                <w:szCs w:val="22"/>
              </w:rPr>
              <w:t xml:space="preserve"> This includes holding National Highways’ to account for delivery of the milestones and actions with</w:t>
            </w:r>
            <w:r w:rsidR="00E93261" w:rsidRPr="00D20EF9">
              <w:rPr>
                <w:szCs w:val="22"/>
              </w:rPr>
              <w:t>in</w:t>
            </w:r>
            <w:r w:rsidR="00CC634C" w:rsidRPr="00D20EF9">
              <w:rPr>
                <w:szCs w:val="22"/>
              </w:rPr>
              <w:t xml:space="preserve"> </w:t>
            </w:r>
            <w:hyperlink r:id="rId9" w:history="1">
              <w:r w:rsidR="00CC634C" w:rsidRPr="00D20EF9">
                <w:rPr>
                  <w:rStyle w:val="Hyperlink"/>
                  <w:szCs w:val="22"/>
                </w:rPr>
                <w:t>DfT’s</w:t>
              </w:r>
              <w:r w:rsidR="002A23B4" w:rsidRPr="00D20EF9">
                <w:rPr>
                  <w:rStyle w:val="Hyperlink"/>
                  <w:szCs w:val="22"/>
                </w:rPr>
                <w:t xml:space="preserve"> Smart Motorway Safety Evidence Stocktake and Action Plan</w:t>
              </w:r>
            </w:hyperlink>
            <w:r w:rsidR="0008661E" w:rsidRPr="00D20EF9">
              <w:rPr>
                <w:szCs w:val="22"/>
              </w:rPr>
              <w:t xml:space="preserve"> </w:t>
            </w:r>
          </w:p>
          <w:p w14:paraId="4D4B6265" w14:textId="45C563F4" w:rsidR="00C16CC9" w:rsidRPr="00D20EF9" w:rsidRDefault="00C16CC9" w:rsidP="00C16CC9">
            <w:pPr>
              <w:pStyle w:val="Standard"/>
              <w:spacing w:after="120"/>
              <w:rPr>
                <w:szCs w:val="22"/>
              </w:rPr>
            </w:pPr>
            <w:r w:rsidRPr="00D20EF9">
              <w:rPr>
                <w:szCs w:val="22"/>
              </w:rPr>
              <w:t>Alongside this, following increasing concerns over the safety of Smart Motorways, the Transport Select Committee (TSC) launched an inquiry into the rollout and safety of Smart Motorways. In November 2021, the TSC published its findings report which included nine recommendations for Government.</w:t>
            </w:r>
          </w:p>
          <w:p w14:paraId="600A9614" w14:textId="77777777" w:rsidR="00C16CC9" w:rsidRPr="00D20EF9" w:rsidRDefault="00C16CC9" w:rsidP="00C16CC9">
            <w:pPr>
              <w:pStyle w:val="Standard"/>
              <w:spacing w:after="120"/>
              <w:rPr>
                <w:szCs w:val="22"/>
              </w:rPr>
            </w:pPr>
            <w:r w:rsidRPr="00D20EF9">
              <w:rPr>
                <w:szCs w:val="22"/>
              </w:rPr>
              <w:t xml:space="preserve">The Department for Transport (DfT) has responded to the TSC’s report and agreed to take forward all nine recommendations. </w:t>
            </w:r>
          </w:p>
          <w:p w14:paraId="112C71DB" w14:textId="2D0E7CB2" w:rsidR="00C16CC9" w:rsidRPr="00D20EF9" w:rsidRDefault="00C16CC9" w:rsidP="00C16CC9">
            <w:pPr>
              <w:pStyle w:val="Standard"/>
              <w:spacing w:after="120"/>
              <w:rPr>
                <w:szCs w:val="22"/>
              </w:rPr>
            </w:pPr>
            <w:r w:rsidRPr="00D20EF9">
              <w:rPr>
                <w:szCs w:val="22"/>
              </w:rPr>
              <w:t xml:space="preserve">Within this report, there were </w:t>
            </w:r>
            <w:r w:rsidR="00DD6BA5" w:rsidRPr="00D20EF9">
              <w:rPr>
                <w:szCs w:val="22"/>
              </w:rPr>
              <w:t>three</w:t>
            </w:r>
            <w:r w:rsidRPr="00D20EF9">
              <w:rPr>
                <w:szCs w:val="22"/>
              </w:rPr>
              <w:t xml:space="preserve"> recommendations that specifically referenced ORR. These were:</w:t>
            </w:r>
          </w:p>
          <w:p w14:paraId="7118AA4F" w14:textId="77777777" w:rsidR="00C16CC9" w:rsidRPr="00D20EF9" w:rsidRDefault="00C16CC9" w:rsidP="00C16CC9">
            <w:pPr>
              <w:pStyle w:val="ListParagraph"/>
              <w:numPr>
                <w:ilvl w:val="0"/>
                <w:numId w:val="38"/>
              </w:numPr>
              <w:spacing w:after="0" w:line="259" w:lineRule="auto"/>
              <w:ind w:left="360"/>
              <w:rPr>
                <w:sz w:val="22"/>
                <w:szCs w:val="22"/>
              </w:rPr>
            </w:pPr>
            <w:r w:rsidRPr="00D20EF9">
              <w:rPr>
                <w:i/>
                <w:iCs/>
                <w:sz w:val="22"/>
                <w:szCs w:val="22"/>
                <w:u w:val="single"/>
              </w:rPr>
              <w:t>Recommendation 1:</w:t>
            </w:r>
            <w:r w:rsidRPr="00D20EF9">
              <w:rPr>
                <w:sz w:val="22"/>
                <w:szCs w:val="22"/>
              </w:rPr>
              <w:t xml:space="preserve"> The Department should make the introduction of changes to the design and operation of the Strategic Road Network depend on a formal health and safety assessment by the Office of Rail and Road</w:t>
            </w:r>
          </w:p>
          <w:p w14:paraId="5A4A8B0A" w14:textId="77777777" w:rsidR="00C16CC9" w:rsidRPr="00D20EF9" w:rsidRDefault="00C16CC9" w:rsidP="00C16CC9">
            <w:pPr>
              <w:spacing w:after="0"/>
              <w:rPr>
                <w:sz w:val="22"/>
                <w:szCs w:val="22"/>
              </w:rPr>
            </w:pPr>
          </w:p>
          <w:p w14:paraId="78C4DFA9" w14:textId="77777777" w:rsidR="00C16CC9" w:rsidRPr="00D20EF9" w:rsidRDefault="00C16CC9" w:rsidP="00C16CC9">
            <w:pPr>
              <w:pStyle w:val="ListParagraph"/>
              <w:numPr>
                <w:ilvl w:val="0"/>
                <w:numId w:val="38"/>
              </w:numPr>
              <w:spacing w:after="0" w:line="259" w:lineRule="auto"/>
              <w:ind w:left="360"/>
              <w:rPr>
                <w:sz w:val="22"/>
                <w:szCs w:val="22"/>
              </w:rPr>
            </w:pPr>
            <w:r w:rsidRPr="00D20EF9">
              <w:rPr>
                <w:i/>
                <w:iCs/>
                <w:sz w:val="22"/>
                <w:szCs w:val="22"/>
                <w:u w:val="single"/>
              </w:rPr>
              <w:t>Recommendation 4:</w:t>
            </w:r>
            <w:r w:rsidRPr="00D20EF9">
              <w:rPr>
                <w:sz w:val="22"/>
                <w:szCs w:val="22"/>
              </w:rPr>
              <w:t xml:space="preserve"> The Department and National Highways should commission the Office of Rail and Road to conduct an independent evaluation of the effectiveness and operation of stopped vehicle detection technology, including maintenance and monitoring.</w:t>
            </w:r>
          </w:p>
          <w:p w14:paraId="33C55F37" w14:textId="77777777" w:rsidR="00C16CC9" w:rsidRPr="00D20EF9" w:rsidRDefault="00C16CC9" w:rsidP="00C16CC9">
            <w:pPr>
              <w:spacing w:after="0"/>
              <w:rPr>
                <w:sz w:val="22"/>
                <w:szCs w:val="22"/>
              </w:rPr>
            </w:pPr>
          </w:p>
          <w:p w14:paraId="35E28E88" w14:textId="77777777" w:rsidR="00C16CC9" w:rsidRPr="00D20EF9" w:rsidRDefault="00C16CC9" w:rsidP="00C16CC9">
            <w:pPr>
              <w:pStyle w:val="ListParagraph"/>
              <w:numPr>
                <w:ilvl w:val="0"/>
                <w:numId w:val="38"/>
              </w:numPr>
              <w:spacing w:after="0" w:line="259" w:lineRule="auto"/>
              <w:ind w:left="360"/>
              <w:rPr>
                <w:sz w:val="22"/>
                <w:szCs w:val="22"/>
                <w:u w:val="single"/>
              </w:rPr>
            </w:pPr>
            <w:r w:rsidRPr="00D20EF9">
              <w:rPr>
                <w:i/>
                <w:iCs/>
                <w:sz w:val="22"/>
                <w:szCs w:val="22"/>
                <w:u w:val="single"/>
              </w:rPr>
              <w:t>Recommendation 6:</w:t>
            </w:r>
            <w:r w:rsidRPr="00D20EF9">
              <w:rPr>
                <w:sz w:val="22"/>
                <w:szCs w:val="22"/>
              </w:rPr>
              <w:t xml:space="preserve"> Beginning in September 2022, the Office of Rail and Road should be tasked with evaluating how successful the action plan has been in;</w:t>
            </w:r>
          </w:p>
          <w:p w14:paraId="4F82D12B" w14:textId="77777777" w:rsidR="00C16CC9" w:rsidRPr="00D20EF9" w:rsidRDefault="00C16CC9" w:rsidP="00C16CC9">
            <w:pPr>
              <w:spacing w:line="259" w:lineRule="auto"/>
              <w:ind w:left="720"/>
              <w:contextualSpacing/>
              <w:rPr>
                <w:sz w:val="22"/>
                <w:szCs w:val="22"/>
              </w:rPr>
            </w:pPr>
            <w:r w:rsidRPr="00D20EF9">
              <w:rPr>
                <w:sz w:val="22"/>
                <w:szCs w:val="22"/>
              </w:rPr>
              <w:t xml:space="preserve">a) reducing incidences of live lane breakdowns on all-lane running motorways; </w:t>
            </w:r>
          </w:p>
          <w:p w14:paraId="689F4FB0" w14:textId="77777777" w:rsidR="00C16CC9" w:rsidRPr="00D20EF9" w:rsidRDefault="00C16CC9" w:rsidP="00C16CC9">
            <w:pPr>
              <w:spacing w:line="259" w:lineRule="auto"/>
              <w:ind w:left="720"/>
              <w:contextualSpacing/>
              <w:rPr>
                <w:sz w:val="22"/>
                <w:szCs w:val="22"/>
              </w:rPr>
            </w:pPr>
            <w:r w:rsidRPr="00D20EF9">
              <w:rPr>
                <w:sz w:val="22"/>
                <w:szCs w:val="22"/>
              </w:rPr>
              <w:t xml:space="preserve">b) reducing the time for which people who breakdown or stop in a live lane are at risk; and </w:t>
            </w:r>
          </w:p>
          <w:p w14:paraId="42C0F073" w14:textId="3F1ECC4D" w:rsidR="00C16CC9" w:rsidRPr="00D20EF9" w:rsidRDefault="00C16CC9" w:rsidP="00C16CC9">
            <w:pPr>
              <w:spacing w:line="259" w:lineRule="auto"/>
              <w:ind w:left="720"/>
              <w:contextualSpacing/>
              <w:rPr>
                <w:sz w:val="22"/>
                <w:szCs w:val="22"/>
              </w:rPr>
            </w:pPr>
            <w:r w:rsidRPr="00D20EF9">
              <w:rPr>
                <w:sz w:val="22"/>
                <w:szCs w:val="22"/>
              </w:rPr>
              <w:t>c) educating drivers on what to do if they breakdown in a live lane</w:t>
            </w:r>
          </w:p>
          <w:p w14:paraId="5F2B660B" w14:textId="1E34636C" w:rsidR="00F304DE" w:rsidRPr="00D20EF9" w:rsidRDefault="00C16CC9" w:rsidP="00F304DE">
            <w:pPr>
              <w:pStyle w:val="Standard"/>
              <w:spacing w:after="120"/>
              <w:rPr>
                <w:szCs w:val="22"/>
              </w:rPr>
            </w:pPr>
            <w:r w:rsidRPr="00D20EF9">
              <w:rPr>
                <w:szCs w:val="22"/>
              </w:rPr>
              <w:lastRenderedPageBreak/>
              <w:t xml:space="preserve">ORR is seeking independent </w:t>
            </w:r>
            <w:r w:rsidR="00F304DE" w:rsidRPr="00D20EF9">
              <w:rPr>
                <w:szCs w:val="22"/>
              </w:rPr>
              <w:t>resources and expertise</w:t>
            </w:r>
            <w:r w:rsidRPr="00D20EF9">
              <w:rPr>
                <w:szCs w:val="22"/>
              </w:rPr>
              <w:t xml:space="preserve"> to support delivery of recommendation 6, part c), and assess the impact of National Highways</w:t>
            </w:r>
            <w:r w:rsidR="007A4312" w:rsidRPr="00D20EF9">
              <w:rPr>
                <w:szCs w:val="22"/>
              </w:rPr>
              <w:t>’</w:t>
            </w:r>
            <w:r w:rsidRPr="00D20EF9">
              <w:rPr>
                <w:szCs w:val="22"/>
              </w:rPr>
              <w:t xml:space="preserve"> Smart Motorways education campaigns.</w:t>
            </w:r>
          </w:p>
          <w:p w14:paraId="37673367" w14:textId="579E4D7A" w:rsidR="00F41A9F" w:rsidRPr="00D20EF9" w:rsidRDefault="00F41A9F" w:rsidP="007777A6">
            <w:pPr>
              <w:rPr>
                <w:sz w:val="22"/>
                <w:szCs w:val="22"/>
              </w:rPr>
            </w:pPr>
            <w:r w:rsidRPr="00D20EF9">
              <w:rPr>
                <w:sz w:val="22"/>
                <w:szCs w:val="22"/>
              </w:rPr>
              <w:t>In addition to this, one of the actions within DfT’s Smart Motorways Action, is for National Highways to provide more communication with drivers. In 2019 National Highways committed to an additional £5m on national and targeted communication campaigns to further increase awareness and understanding of smart motorways, how they work and how to use them confidently.</w:t>
            </w:r>
          </w:p>
          <w:p w14:paraId="7D17AA2D" w14:textId="52B59845" w:rsidR="007777A6" w:rsidRPr="00D20EF9" w:rsidRDefault="007A4312" w:rsidP="002B3A2C">
            <w:pPr>
              <w:rPr>
                <w:sz w:val="22"/>
                <w:szCs w:val="22"/>
              </w:rPr>
            </w:pPr>
            <w:r w:rsidRPr="00D20EF9">
              <w:rPr>
                <w:sz w:val="22"/>
                <w:szCs w:val="22"/>
              </w:rPr>
              <w:t xml:space="preserve">Since </w:t>
            </w:r>
            <w:r w:rsidR="000F7AC6" w:rsidRPr="00D20EF9">
              <w:rPr>
                <w:sz w:val="22"/>
                <w:szCs w:val="22"/>
              </w:rPr>
              <w:t>2016</w:t>
            </w:r>
            <w:r w:rsidRPr="00D20EF9">
              <w:rPr>
                <w:sz w:val="22"/>
                <w:szCs w:val="22"/>
              </w:rPr>
              <w:t xml:space="preserve">, </w:t>
            </w:r>
            <w:r w:rsidR="08957E40" w:rsidRPr="00D20EF9">
              <w:rPr>
                <w:sz w:val="22"/>
                <w:szCs w:val="22"/>
              </w:rPr>
              <w:t>National Highways has been evaluating each ‘live’ campaign through its lifecycle, using the Government Communication Service (GCS) framework. This focuses on inputs, outputs, outtakes, outcome and (wider) impact. Alongside this, National Highways also considers:</w:t>
            </w:r>
          </w:p>
          <w:p w14:paraId="0FE87C95" w14:textId="77777777" w:rsidR="007777A6" w:rsidRPr="00D20EF9" w:rsidRDefault="007777A6" w:rsidP="002B3A2C">
            <w:pPr>
              <w:numPr>
                <w:ilvl w:val="0"/>
                <w:numId w:val="42"/>
              </w:numPr>
              <w:rPr>
                <w:sz w:val="22"/>
                <w:szCs w:val="22"/>
              </w:rPr>
            </w:pPr>
            <w:r w:rsidRPr="00D20EF9">
              <w:rPr>
                <w:b/>
                <w:bCs/>
                <w:sz w:val="22"/>
                <w:szCs w:val="22"/>
              </w:rPr>
              <w:t xml:space="preserve">Awareness: </w:t>
            </w:r>
            <w:r w:rsidRPr="00D20EF9">
              <w:rPr>
                <w:sz w:val="22"/>
                <w:szCs w:val="22"/>
              </w:rPr>
              <w:t>How aware are people of the campaign and the issue, before and after the campaign (Customer surveys)</w:t>
            </w:r>
          </w:p>
          <w:p w14:paraId="650019E6" w14:textId="19C855A7" w:rsidR="007777A6" w:rsidRPr="00D20EF9" w:rsidRDefault="007777A6" w:rsidP="002B3A2C">
            <w:pPr>
              <w:numPr>
                <w:ilvl w:val="0"/>
                <w:numId w:val="42"/>
              </w:numPr>
              <w:rPr>
                <w:sz w:val="22"/>
                <w:szCs w:val="22"/>
              </w:rPr>
            </w:pPr>
            <w:r w:rsidRPr="00D20EF9">
              <w:rPr>
                <w:b/>
                <w:bCs/>
                <w:sz w:val="22"/>
                <w:szCs w:val="22"/>
              </w:rPr>
              <w:t>Impact on behaviour or reported behaviour</w:t>
            </w:r>
            <w:r w:rsidRPr="00D20EF9">
              <w:rPr>
                <w:sz w:val="22"/>
                <w:szCs w:val="22"/>
              </w:rPr>
              <w:t>: How road-user behaviour has changed</w:t>
            </w:r>
            <w:r w:rsidRPr="00D20EF9">
              <w:rPr>
                <w:b/>
                <w:bCs/>
                <w:sz w:val="22"/>
                <w:szCs w:val="22"/>
              </w:rPr>
              <w:t xml:space="preserve"> </w:t>
            </w:r>
            <w:r w:rsidRPr="00D20EF9">
              <w:rPr>
                <w:sz w:val="22"/>
                <w:szCs w:val="22"/>
              </w:rPr>
              <w:t>(</w:t>
            </w:r>
            <w:r w:rsidR="006277A7" w:rsidRPr="00D20EF9">
              <w:rPr>
                <w:sz w:val="22"/>
                <w:szCs w:val="22"/>
              </w:rPr>
              <w:t>people killed or seriously injured (</w:t>
            </w:r>
            <w:r w:rsidRPr="00D20EF9">
              <w:rPr>
                <w:sz w:val="22"/>
                <w:szCs w:val="22"/>
              </w:rPr>
              <w:t>KSI</w:t>
            </w:r>
            <w:r w:rsidR="006277A7" w:rsidRPr="00D20EF9">
              <w:rPr>
                <w:sz w:val="22"/>
                <w:szCs w:val="22"/>
              </w:rPr>
              <w:t>)</w:t>
            </w:r>
            <w:r w:rsidRPr="00D20EF9">
              <w:rPr>
                <w:sz w:val="22"/>
                <w:szCs w:val="22"/>
              </w:rPr>
              <w:t xml:space="preserve"> data, internal reports, customer surveys)</w:t>
            </w:r>
          </w:p>
          <w:p w14:paraId="5BFE9237" w14:textId="3BE29492" w:rsidR="007777A6" w:rsidRPr="00D20EF9" w:rsidRDefault="007777A6" w:rsidP="002B3A2C">
            <w:pPr>
              <w:numPr>
                <w:ilvl w:val="0"/>
                <w:numId w:val="42"/>
              </w:numPr>
              <w:rPr>
                <w:sz w:val="22"/>
                <w:szCs w:val="22"/>
              </w:rPr>
            </w:pPr>
            <w:r w:rsidRPr="00D20EF9">
              <w:rPr>
                <w:b/>
                <w:bCs/>
                <w:sz w:val="22"/>
                <w:szCs w:val="22"/>
              </w:rPr>
              <w:t xml:space="preserve">Impact on KSIs: </w:t>
            </w:r>
            <w:r w:rsidRPr="00D20EF9">
              <w:rPr>
                <w:sz w:val="22"/>
                <w:szCs w:val="22"/>
              </w:rPr>
              <w:t>Have KSIs with this contributory factor increased/decreased (excluding for changes in traffic volume, reporting methodologies)</w:t>
            </w:r>
          </w:p>
        </w:tc>
      </w:tr>
      <w:tr w:rsidR="00F52BE8" w:rsidRPr="0036077E" w14:paraId="0D0F920E" w14:textId="77777777" w:rsidTr="1BED57EF">
        <w:trPr>
          <w:trHeight w:val="371"/>
        </w:trPr>
        <w:tc>
          <w:tcPr>
            <w:tcW w:w="8302"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1BED57EF">
        <w:trPr>
          <w:trHeight w:val="757"/>
        </w:trPr>
        <w:tc>
          <w:tcPr>
            <w:tcW w:w="8302" w:type="dxa"/>
            <w:tcBorders>
              <w:bottom w:val="single" w:sz="4" w:space="0" w:color="auto"/>
            </w:tcBorders>
            <w:shd w:val="clear" w:color="auto" w:fill="auto"/>
          </w:tcPr>
          <w:p w14:paraId="35B6FEBF" w14:textId="34D1BAC6" w:rsidR="00925896" w:rsidRPr="00D20EF9" w:rsidRDefault="00A86F8A" w:rsidP="00925896">
            <w:pPr>
              <w:rPr>
                <w:sz w:val="22"/>
                <w:szCs w:val="22"/>
                <w:u w:val="single"/>
              </w:rPr>
            </w:pPr>
            <w:r w:rsidRPr="00D20EF9">
              <w:rPr>
                <w:sz w:val="22"/>
                <w:szCs w:val="22"/>
                <w:u w:val="single"/>
              </w:rPr>
              <w:t>Objectives</w:t>
            </w:r>
          </w:p>
          <w:p w14:paraId="2E46874D" w14:textId="77777777" w:rsidR="002B3A2C" w:rsidRPr="00D20EF9" w:rsidRDefault="00F304DE" w:rsidP="002B3A2C">
            <w:pPr>
              <w:rPr>
                <w:sz w:val="22"/>
                <w:szCs w:val="22"/>
              </w:rPr>
            </w:pPr>
            <w:r w:rsidRPr="00D20EF9">
              <w:rPr>
                <w:sz w:val="22"/>
                <w:szCs w:val="22"/>
              </w:rPr>
              <w:t>ORR is seeking</w:t>
            </w:r>
            <w:r w:rsidR="002B3A2C" w:rsidRPr="00D20EF9">
              <w:rPr>
                <w:sz w:val="22"/>
                <w:szCs w:val="22"/>
              </w:rPr>
              <w:t>:</w:t>
            </w:r>
          </w:p>
          <w:p w14:paraId="2C76ADD9" w14:textId="43DCEAFD" w:rsidR="002B3A2C" w:rsidRPr="00D20EF9" w:rsidRDefault="00B01DBB" w:rsidP="002B3A2C">
            <w:pPr>
              <w:pStyle w:val="ListParagraph"/>
              <w:numPr>
                <w:ilvl w:val="0"/>
                <w:numId w:val="43"/>
              </w:numPr>
              <w:rPr>
                <w:sz w:val="22"/>
                <w:szCs w:val="22"/>
              </w:rPr>
            </w:pPr>
            <w:r w:rsidRPr="00D20EF9">
              <w:rPr>
                <w:sz w:val="22"/>
                <w:szCs w:val="22"/>
              </w:rPr>
              <w:t>validation of</w:t>
            </w:r>
            <w:r w:rsidR="002B3A2C" w:rsidRPr="00D20EF9">
              <w:rPr>
                <w:sz w:val="22"/>
                <w:szCs w:val="22"/>
              </w:rPr>
              <w:t xml:space="preserve"> National Highways current evaluation </w:t>
            </w:r>
            <w:r w:rsidR="008106A7" w:rsidRPr="00D20EF9">
              <w:rPr>
                <w:sz w:val="22"/>
                <w:szCs w:val="22"/>
              </w:rPr>
              <w:t>f</w:t>
            </w:r>
            <w:r w:rsidR="002B3A2C" w:rsidRPr="00D20EF9">
              <w:rPr>
                <w:sz w:val="22"/>
                <w:szCs w:val="22"/>
              </w:rPr>
              <w:t>ramework, including the existing processes and governance in place</w:t>
            </w:r>
            <w:r w:rsidRPr="00D20EF9">
              <w:rPr>
                <w:sz w:val="22"/>
                <w:szCs w:val="22"/>
              </w:rPr>
              <w:t xml:space="preserve"> to evaluate its</w:t>
            </w:r>
            <w:r w:rsidR="00C319EB" w:rsidRPr="00D20EF9">
              <w:rPr>
                <w:sz w:val="22"/>
                <w:szCs w:val="22"/>
              </w:rPr>
              <w:t xml:space="preserve"> </w:t>
            </w:r>
            <w:r w:rsidRPr="00D20EF9">
              <w:rPr>
                <w:sz w:val="22"/>
                <w:szCs w:val="22"/>
              </w:rPr>
              <w:t>education campaigns</w:t>
            </w:r>
            <w:r w:rsidR="007D5264" w:rsidRPr="00D20EF9">
              <w:rPr>
                <w:sz w:val="22"/>
                <w:szCs w:val="22"/>
              </w:rPr>
              <w:t xml:space="preserve"> that can be</w:t>
            </w:r>
            <w:r w:rsidR="00DD6BA5" w:rsidRPr="00D20EF9">
              <w:rPr>
                <w:sz w:val="22"/>
                <w:szCs w:val="22"/>
              </w:rPr>
              <w:t xml:space="preserve"> applicable</w:t>
            </w:r>
            <w:r w:rsidR="007D5264" w:rsidRPr="00D20EF9">
              <w:rPr>
                <w:sz w:val="22"/>
                <w:szCs w:val="22"/>
              </w:rPr>
              <w:t xml:space="preserve"> to smart </w:t>
            </w:r>
            <w:r w:rsidR="0008661E" w:rsidRPr="00D20EF9">
              <w:rPr>
                <w:sz w:val="22"/>
                <w:szCs w:val="22"/>
              </w:rPr>
              <w:t>motorway</w:t>
            </w:r>
            <w:r w:rsidR="007A4312" w:rsidRPr="00D20EF9">
              <w:rPr>
                <w:sz w:val="22"/>
                <w:szCs w:val="22"/>
              </w:rPr>
              <w:t>s</w:t>
            </w:r>
            <w:r w:rsidR="0008661E" w:rsidRPr="00D20EF9">
              <w:rPr>
                <w:sz w:val="22"/>
                <w:szCs w:val="22"/>
              </w:rPr>
              <w:t>; and</w:t>
            </w:r>
            <w:r w:rsidR="002B3A2C" w:rsidRPr="00D20EF9">
              <w:rPr>
                <w:sz w:val="22"/>
                <w:szCs w:val="22"/>
              </w:rPr>
              <w:t xml:space="preserve"> </w:t>
            </w:r>
          </w:p>
          <w:p w14:paraId="0C7D0769" w14:textId="6C93D725" w:rsidR="008837B0" w:rsidRPr="00D20EF9" w:rsidRDefault="007A4312" w:rsidP="00AD0EE0">
            <w:pPr>
              <w:pStyle w:val="ListParagraph"/>
              <w:numPr>
                <w:ilvl w:val="0"/>
                <w:numId w:val="43"/>
              </w:numPr>
              <w:rPr>
                <w:sz w:val="22"/>
                <w:szCs w:val="22"/>
              </w:rPr>
            </w:pPr>
            <w:r w:rsidRPr="00D20EF9">
              <w:rPr>
                <w:sz w:val="22"/>
                <w:szCs w:val="22"/>
              </w:rPr>
              <w:t>a proposed</w:t>
            </w:r>
            <w:r w:rsidR="008106A7" w:rsidRPr="00D20EF9">
              <w:rPr>
                <w:sz w:val="22"/>
                <w:szCs w:val="22"/>
              </w:rPr>
              <w:t xml:space="preserve"> methodology for </w:t>
            </w:r>
            <w:r w:rsidR="008C5632" w:rsidRPr="00D20EF9">
              <w:rPr>
                <w:sz w:val="22"/>
                <w:szCs w:val="22"/>
              </w:rPr>
              <w:t>assessing</w:t>
            </w:r>
            <w:r w:rsidR="00F304DE" w:rsidRPr="00D20EF9">
              <w:rPr>
                <w:sz w:val="22"/>
                <w:szCs w:val="22"/>
              </w:rPr>
              <w:t xml:space="preserve"> </w:t>
            </w:r>
            <w:r w:rsidR="00776B45" w:rsidRPr="00D20EF9">
              <w:rPr>
                <w:sz w:val="22"/>
                <w:szCs w:val="22"/>
              </w:rPr>
              <w:t xml:space="preserve">the </w:t>
            </w:r>
            <w:r w:rsidR="00310762" w:rsidRPr="00D20EF9">
              <w:rPr>
                <w:sz w:val="22"/>
                <w:szCs w:val="22"/>
              </w:rPr>
              <w:t>on-road</w:t>
            </w:r>
            <w:r w:rsidR="00DE4763" w:rsidRPr="00D20EF9">
              <w:rPr>
                <w:sz w:val="22"/>
                <w:szCs w:val="22"/>
              </w:rPr>
              <w:t xml:space="preserve"> behavioural </w:t>
            </w:r>
            <w:r w:rsidR="00F304DE" w:rsidRPr="00D20EF9">
              <w:rPr>
                <w:sz w:val="22"/>
                <w:szCs w:val="22"/>
              </w:rPr>
              <w:t>impact of National Highways</w:t>
            </w:r>
            <w:r w:rsidR="00310762" w:rsidRPr="00D20EF9">
              <w:rPr>
                <w:sz w:val="22"/>
                <w:szCs w:val="22"/>
              </w:rPr>
              <w:t>’</w:t>
            </w:r>
            <w:r w:rsidR="00F304DE" w:rsidRPr="00D20EF9">
              <w:rPr>
                <w:sz w:val="22"/>
                <w:szCs w:val="22"/>
              </w:rPr>
              <w:t xml:space="preserve"> education </w:t>
            </w:r>
            <w:r w:rsidR="007777A6" w:rsidRPr="00D20EF9">
              <w:rPr>
                <w:sz w:val="22"/>
                <w:szCs w:val="22"/>
              </w:rPr>
              <w:t>campaig</w:t>
            </w:r>
            <w:r w:rsidR="00F304DE" w:rsidRPr="00D20EF9">
              <w:rPr>
                <w:sz w:val="22"/>
                <w:szCs w:val="22"/>
              </w:rPr>
              <w:t>ns</w:t>
            </w:r>
            <w:r w:rsidR="00310762" w:rsidRPr="00D20EF9">
              <w:rPr>
                <w:sz w:val="22"/>
                <w:szCs w:val="22"/>
              </w:rPr>
              <w:t xml:space="preserve"> </w:t>
            </w:r>
            <w:r w:rsidR="008837B0" w:rsidRPr="00D20EF9">
              <w:rPr>
                <w:sz w:val="22"/>
                <w:szCs w:val="22"/>
              </w:rPr>
              <w:t xml:space="preserve">that </w:t>
            </w:r>
            <w:r w:rsidR="00776B45" w:rsidRPr="00D20EF9">
              <w:rPr>
                <w:sz w:val="22"/>
                <w:szCs w:val="22"/>
              </w:rPr>
              <w:t>can be applied to</w:t>
            </w:r>
            <w:r w:rsidR="008837B0" w:rsidRPr="00D20EF9">
              <w:rPr>
                <w:sz w:val="22"/>
                <w:szCs w:val="22"/>
              </w:rPr>
              <w:t xml:space="preserve"> smart motorway</w:t>
            </w:r>
            <w:r w:rsidR="00776B45" w:rsidRPr="00D20EF9">
              <w:rPr>
                <w:sz w:val="22"/>
                <w:szCs w:val="22"/>
              </w:rPr>
              <w:t>s</w:t>
            </w:r>
          </w:p>
          <w:p w14:paraId="3412B8CE" w14:textId="57B74724" w:rsidR="00B01DBB" w:rsidRPr="00D20EF9" w:rsidRDefault="00B01DBB" w:rsidP="00B01DBB">
            <w:pPr>
              <w:rPr>
                <w:sz w:val="22"/>
                <w:szCs w:val="22"/>
                <w:u w:val="single"/>
              </w:rPr>
            </w:pPr>
            <w:r w:rsidRPr="00D20EF9">
              <w:rPr>
                <w:sz w:val="22"/>
                <w:szCs w:val="22"/>
                <w:u w:val="single"/>
              </w:rPr>
              <w:t>Validation of National Highways’ existing framework</w:t>
            </w:r>
          </w:p>
          <w:p w14:paraId="2D311143" w14:textId="182A4BBE" w:rsidR="00B01DBB" w:rsidRPr="00D20EF9" w:rsidRDefault="00D53B93" w:rsidP="00B01DBB">
            <w:pPr>
              <w:rPr>
                <w:sz w:val="22"/>
                <w:szCs w:val="22"/>
              </w:rPr>
            </w:pPr>
            <w:r w:rsidRPr="00D20EF9">
              <w:rPr>
                <w:sz w:val="22"/>
                <w:szCs w:val="22"/>
              </w:rPr>
              <w:t xml:space="preserve">As part of this review, </w:t>
            </w:r>
            <w:r w:rsidR="005A5F38" w:rsidRPr="00D20EF9">
              <w:rPr>
                <w:sz w:val="22"/>
                <w:szCs w:val="22"/>
              </w:rPr>
              <w:t>ORR would like the supplier to consider the</w:t>
            </w:r>
            <w:r w:rsidRPr="00D20EF9">
              <w:rPr>
                <w:sz w:val="22"/>
                <w:szCs w:val="22"/>
              </w:rPr>
              <w:t xml:space="preserve"> following questions</w:t>
            </w:r>
            <w:r w:rsidR="00B01DBB" w:rsidRPr="00D20EF9">
              <w:rPr>
                <w:sz w:val="22"/>
                <w:szCs w:val="22"/>
              </w:rPr>
              <w:t>:</w:t>
            </w:r>
          </w:p>
          <w:p w14:paraId="52372E3C" w14:textId="65956966" w:rsidR="005A5F38" w:rsidRPr="00D20EF9" w:rsidRDefault="005A5F38" w:rsidP="005A5F38">
            <w:pPr>
              <w:pStyle w:val="Header"/>
              <w:numPr>
                <w:ilvl w:val="0"/>
                <w:numId w:val="35"/>
              </w:numPr>
              <w:tabs>
                <w:tab w:val="clear" w:pos="4153"/>
                <w:tab w:val="clear" w:pos="8306"/>
                <w:tab w:val="center" w:pos="4680"/>
                <w:tab w:val="right" w:pos="9360"/>
              </w:tabs>
              <w:spacing w:after="0"/>
              <w:rPr>
                <w:sz w:val="22"/>
                <w:szCs w:val="22"/>
              </w:rPr>
            </w:pPr>
            <w:r w:rsidRPr="00D20EF9">
              <w:rPr>
                <w:sz w:val="22"/>
                <w:szCs w:val="22"/>
              </w:rPr>
              <w:t xml:space="preserve">Is the </w:t>
            </w:r>
            <w:r w:rsidR="00F030D3" w:rsidRPr="00D20EF9">
              <w:rPr>
                <w:sz w:val="22"/>
                <w:szCs w:val="22"/>
              </w:rPr>
              <w:t>GCS</w:t>
            </w:r>
            <w:r w:rsidR="00D53B93" w:rsidRPr="00D20EF9">
              <w:rPr>
                <w:sz w:val="22"/>
                <w:szCs w:val="22"/>
              </w:rPr>
              <w:t xml:space="preserve"> framework and processes</w:t>
            </w:r>
            <w:r w:rsidR="00290296" w:rsidRPr="00D20EF9">
              <w:rPr>
                <w:sz w:val="22"/>
                <w:szCs w:val="22"/>
              </w:rPr>
              <w:t xml:space="preserve"> </w:t>
            </w:r>
            <w:r w:rsidR="0080102B" w:rsidRPr="00D20EF9">
              <w:rPr>
                <w:sz w:val="22"/>
                <w:szCs w:val="22"/>
              </w:rPr>
              <w:t xml:space="preserve">adopted by National Highways </w:t>
            </w:r>
            <w:r w:rsidR="003E217F" w:rsidRPr="00D20EF9">
              <w:rPr>
                <w:sz w:val="22"/>
                <w:szCs w:val="22"/>
              </w:rPr>
              <w:t>the right evaluation method and was it applied correctly</w:t>
            </w:r>
            <w:r w:rsidR="00D53B93" w:rsidRPr="00D20EF9">
              <w:rPr>
                <w:sz w:val="22"/>
                <w:szCs w:val="22"/>
              </w:rPr>
              <w:t>?</w:t>
            </w:r>
          </w:p>
          <w:p w14:paraId="32BDAC6C" w14:textId="05159997" w:rsidR="00F030D3" w:rsidRPr="00D20EF9" w:rsidRDefault="00F030D3" w:rsidP="005A5F38">
            <w:pPr>
              <w:pStyle w:val="Header"/>
              <w:numPr>
                <w:ilvl w:val="0"/>
                <w:numId w:val="35"/>
              </w:numPr>
              <w:tabs>
                <w:tab w:val="clear" w:pos="4153"/>
                <w:tab w:val="clear" w:pos="8306"/>
                <w:tab w:val="center" w:pos="4680"/>
                <w:tab w:val="right" w:pos="9360"/>
              </w:tabs>
              <w:spacing w:after="0"/>
              <w:rPr>
                <w:sz w:val="22"/>
                <w:szCs w:val="22"/>
              </w:rPr>
            </w:pPr>
            <w:r w:rsidRPr="00D20EF9">
              <w:rPr>
                <w:sz w:val="22"/>
                <w:szCs w:val="22"/>
              </w:rPr>
              <w:t xml:space="preserve">Are other </w:t>
            </w:r>
            <w:r w:rsidR="00080656" w:rsidRPr="00D20EF9">
              <w:rPr>
                <w:sz w:val="22"/>
                <w:szCs w:val="22"/>
              </w:rPr>
              <w:t xml:space="preserve">sectors (Rail, Aviation &amp; </w:t>
            </w:r>
            <w:r w:rsidRPr="00D20EF9">
              <w:rPr>
                <w:sz w:val="22"/>
                <w:szCs w:val="22"/>
              </w:rPr>
              <w:t>Maritime</w:t>
            </w:r>
            <w:r w:rsidR="00080656" w:rsidRPr="00D20EF9">
              <w:rPr>
                <w:sz w:val="22"/>
                <w:szCs w:val="22"/>
              </w:rPr>
              <w:t>)</w:t>
            </w:r>
            <w:r w:rsidRPr="00D20EF9">
              <w:rPr>
                <w:sz w:val="22"/>
                <w:szCs w:val="22"/>
              </w:rPr>
              <w:t xml:space="preserve"> employing other methods beyond GCS evaluation that could be consider</w:t>
            </w:r>
            <w:r w:rsidR="00080656" w:rsidRPr="00D20EF9">
              <w:rPr>
                <w:sz w:val="22"/>
                <w:szCs w:val="22"/>
              </w:rPr>
              <w:t>ed</w:t>
            </w:r>
            <w:r w:rsidRPr="00D20EF9">
              <w:rPr>
                <w:sz w:val="22"/>
                <w:szCs w:val="22"/>
              </w:rPr>
              <w:t xml:space="preserve"> appropriate for this campaign</w:t>
            </w:r>
          </w:p>
          <w:p w14:paraId="4FBCD00E" w14:textId="7EB1A478" w:rsidR="005A5F38" w:rsidRPr="00D20EF9" w:rsidRDefault="002B2BBE" w:rsidP="005A5F38">
            <w:pPr>
              <w:pStyle w:val="Header"/>
              <w:numPr>
                <w:ilvl w:val="0"/>
                <w:numId w:val="35"/>
              </w:numPr>
              <w:tabs>
                <w:tab w:val="clear" w:pos="4153"/>
                <w:tab w:val="clear" w:pos="8306"/>
                <w:tab w:val="center" w:pos="4680"/>
                <w:tab w:val="right" w:pos="9360"/>
              </w:tabs>
              <w:spacing w:after="0"/>
              <w:rPr>
                <w:sz w:val="22"/>
                <w:szCs w:val="22"/>
              </w:rPr>
            </w:pPr>
            <w:r w:rsidRPr="00D20EF9">
              <w:rPr>
                <w:sz w:val="22"/>
                <w:szCs w:val="22"/>
              </w:rPr>
              <w:t>Is</w:t>
            </w:r>
            <w:r w:rsidR="005A5F38" w:rsidRPr="00D20EF9">
              <w:rPr>
                <w:sz w:val="22"/>
                <w:szCs w:val="22"/>
              </w:rPr>
              <w:t xml:space="preserve"> best practice</w:t>
            </w:r>
            <w:r w:rsidR="009B7C73" w:rsidRPr="00D20EF9">
              <w:rPr>
                <w:sz w:val="22"/>
                <w:szCs w:val="22"/>
              </w:rPr>
              <w:t xml:space="preserve"> and lessons learned from previous campaigns,</w:t>
            </w:r>
            <w:r w:rsidR="005A5F38" w:rsidRPr="00D20EF9">
              <w:rPr>
                <w:sz w:val="22"/>
                <w:szCs w:val="22"/>
              </w:rPr>
              <w:t xml:space="preserve"> </w:t>
            </w:r>
            <w:r w:rsidR="00B86986" w:rsidRPr="00D20EF9">
              <w:rPr>
                <w:sz w:val="22"/>
                <w:szCs w:val="22"/>
              </w:rPr>
              <w:t xml:space="preserve">routinely </w:t>
            </w:r>
            <w:r w:rsidR="005A5F38" w:rsidRPr="00D20EF9">
              <w:rPr>
                <w:sz w:val="22"/>
                <w:szCs w:val="22"/>
              </w:rPr>
              <w:t>applied and embedded for future campaigns?</w:t>
            </w:r>
          </w:p>
          <w:p w14:paraId="2350A928" w14:textId="2CC002AC" w:rsidR="00B01DBB" w:rsidRPr="00D20EF9" w:rsidRDefault="00D53B93" w:rsidP="002B0A03">
            <w:pPr>
              <w:pStyle w:val="Header"/>
              <w:numPr>
                <w:ilvl w:val="0"/>
                <w:numId w:val="35"/>
              </w:numPr>
              <w:tabs>
                <w:tab w:val="clear" w:pos="4153"/>
                <w:tab w:val="clear" w:pos="8306"/>
                <w:tab w:val="center" w:pos="4680"/>
                <w:tab w:val="right" w:pos="9360"/>
              </w:tabs>
              <w:spacing w:after="0"/>
              <w:rPr>
                <w:sz w:val="22"/>
                <w:szCs w:val="22"/>
              </w:rPr>
            </w:pPr>
            <w:r w:rsidRPr="00D20EF9">
              <w:rPr>
                <w:sz w:val="22"/>
                <w:szCs w:val="22"/>
              </w:rPr>
              <w:t xml:space="preserve">Recommendations for </w:t>
            </w:r>
            <w:r w:rsidR="00B01DBB" w:rsidRPr="00D20EF9">
              <w:rPr>
                <w:sz w:val="22"/>
                <w:szCs w:val="22"/>
              </w:rPr>
              <w:t xml:space="preserve">any improvements to National Highways’ current </w:t>
            </w:r>
            <w:r w:rsidR="0080102B" w:rsidRPr="00D20EF9">
              <w:rPr>
                <w:sz w:val="22"/>
                <w:szCs w:val="22"/>
              </w:rPr>
              <w:t>approach, including its</w:t>
            </w:r>
            <w:r w:rsidR="00B01DBB" w:rsidRPr="00D20EF9">
              <w:rPr>
                <w:sz w:val="22"/>
                <w:szCs w:val="22"/>
              </w:rPr>
              <w:t xml:space="preserve"> processes</w:t>
            </w:r>
            <w:r w:rsidR="005A5F38" w:rsidRPr="00D20EF9">
              <w:rPr>
                <w:sz w:val="22"/>
                <w:szCs w:val="22"/>
              </w:rPr>
              <w:t xml:space="preserve"> and governance</w:t>
            </w:r>
          </w:p>
          <w:p w14:paraId="180D26BE" w14:textId="4B94013E" w:rsidR="00324035" w:rsidRPr="00D20EF9" w:rsidRDefault="00324035" w:rsidP="00324035">
            <w:pPr>
              <w:pStyle w:val="Header"/>
              <w:tabs>
                <w:tab w:val="clear" w:pos="4153"/>
                <w:tab w:val="clear" w:pos="8306"/>
                <w:tab w:val="center" w:pos="4680"/>
                <w:tab w:val="right" w:pos="9360"/>
              </w:tabs>
              <w:spacing w:after="0"/>
              <w:rPr>
                <w:sz w:val="22"/>
                <w:szCs w:val="22"/>
              </w:rPr>
            </w:pPr>
          </w:p>
          <w:p w14:paraId="08008689" w14:textId="0F2CE1CC" w:rsidR="00324035" w:rsidRPr="00D20EF9" w:rsidRDefault="00324035" w:rsidP="00324035">
            <w:pPr>
              <w:pStyle w:val="Header"/>
              <w:tabs>
                <w:tab w:val="clear" w:pos="4153"/>
                <w:tab w:val="clear" w:pos="8306"/>
                <w:tab w:val="center" w:pos="4680"/>
                <w:tab w:val="right" w:pos="9360"/>
              </w:tabs>
              <w:spacing w:after="0"/>
              <w:rPr>
                <w:sz w:val="22"/>
                <w:szCs w:val="22"/>
              </w:rPr>
            </w:pPr>
            <w:r w:rsidRPr="00D20EF9">
              <w:rPr>
                <w:sz w:val="22"/>
                <w:szCs w:val="22"/>
              </w:rPr>
              <w:t>Access to the full documentation of National Highways’ framework, processes and governance will be provided on appointment.</w:t>
            </w:r>
          </w:p>
          <w:p w14:paraId="44D0673C" w14:textId="02DA6597" w:rsidR="005A5F38" w:rsidRPr="00D20EF9" w:rsidRDefault="005A5F38" w:rsidP="005A5F38">
            <w:pPr>
              <w:pStyle w:val="Header"/>
              <w:tabs>
                <w:tab w:val="clear" w:pos="4153"/>
                <w:tab w:val="clear" w:pos="8306"/>
                <w:tab w:val="center" w:pos="4680"/>
                <w:tab w:val="right" w:pos="9360"/>
              </w:tabs>
              <w:spacing w:after="0"/>
              <w:rPr>
                <w:sz w:val="22"/>
                <w:szCs w:val="22"/>
              </w:rPr>
            </w:pPr>
          </w:p>
          <w:p w14:paraId="0F77FEBE" w14:textId="550D82A9" w:rsidR="005A5F38" w:rsidRPr="00D20EF9" w:rsidRDefault="005A5F38" w:rsidP="005A5F38">
            <w:pPr>
              <w:pStyle w:val="Header"/>
              <w:tabs>
                <w:tab w:val="clear" w:pos="4153"/>
                <w:tab w:val="clear" w:pos="8306"/>
                <w:tab w:val="center" w:pos="4680"/>
                <w:tab w:val="right" w:pos="9360"/>
              </w:tabs>
              <w:spacing w:after="0"/>
              <w:rPr>
                <w:sz w:val="22"/>
                <w:szCs w:val="22"/>
              </w:rPr>
            </w:pPr>
          </w:p>
          <w:p w14:paraId="025A7E8A" w14:textId="5D3342DF" w:rsidR="00B86986" w:rsidRPr="00D20EF9" w:rsidRDefault="0008661E" w:rsidP="005A5F38">
            <w:pPr>
              <w:pStyle w:val="Header"/>
              <w:tabs>
                <w:tab w:val="clear" w:pos="4153"/>
                <w:tab w:val="clear" w:pos="8306"/>
                <w:tab w:val="center" w:pos="4680"/>
                <w:tab w:val="right" w:pos="9360"/>
              </w:tabs>
              <w:spacing w:after="0"/>
              <w:rPr>
                <w:sz w:val="22"/>
                <w:szCs w:val="22"/>
                <w:u w:val="single"/>
              </w:rPr>
            </w:pPr>
            <w:r w:rsidRPr="00D20EF9">
              <w:rPr>
                <w:sz w:val="22"/>
                <w:szCs w:val="22"/>
                <w:u w:val="single"/>
              </w:rPr>
              <w:t>Pro</w:t>
            </w:r>
            <w:r w:rsidR="00A00865" w:rsidRPr="00D20EF9">
              <w:rPr>
                <w:sz w:val="22"/>
                <w:szCs w:val="22"/>
                <w:u w:val="single"/>
              </w:rPr>
              <w:t>posed</w:t>
            </w:r>
            <w:r w:rsidRPr="00D20EF9">
              <w:rPr>
                <w:sz w:val="22"/>
                <w:szCs w:val="22"/>
                <w:u w:val="single"/>
              </w:rPr>
              <w:t xml:space="preserve"> methodology for assessing </w:t>
            </w:r>
            <w:r w:rsidR="00A00865" w:rsidRPr="00D20EF9">
              <w:rPr>
                <w:sz w:val="22"/>
                <w:szCs w:val="22"/>
                <w:u w:val="single"/>
              </w:rPr>
              <w:t xml:space="preserve">the </w:t>
            </w:r>
            <w:r w:rsidRPr="00D20EF9">
              <w:rPr>
                <w:sz w:val="22"/>
                <w:szCs w:val="22"/>
                <w:u w:val="single"/>
              </w:rPr>
              <w:t xml:space="preserve">impact of National </w:t>
            </w:r>
            <w:r w:rsidR="00D815AB" w:rsidRPr="00D20EF9">
              <w:rPr>
                <w:sz w:val="22"/>
                <w:szCs w:val="22"/>
                <w:u w:val="single"/>
              </w:rPr>
              <w:t>Highways education campaigns</w:t>
            </w:r>
          </w:p>
          <w:p w14:paraId="75278E85" w14:textId="09936B46" w:rsidR="00B86986" w:rsidRPr="00D20EF9" w:rsidRDefault="00B86986" w:rsidP="005A5F38">
            <w:pPr>
              <w:pStyle w:val="Header"/>
              <w:tabs>
                <w:tab w:val="clear" w:pos="4153"/>
                <w:tab w:val="clear" w:pos="8306"/>
                <w:tab w:val="center" w:pos="4680"/>
                <w:tab w:val="right" w:pos="9360"/>
              </w:tabs>
              <w:spacing w:after="0"/>
              <w:rPr>
                <w:sz w:val="22"/>
                <w:szCs w:val="22"/>
              </w:rPr>
            </w:pPr>
          </w:p>
          <w:p w14:paraId="147CBD51" w14:textId="556FDE84" w:rsidR="00B86986" w:rsidRPr="00D20EF9" w:rsidRDefault="00B86986" w:rsidP="00B86986">
            <w:pPr>
              <w:rPr>
                <w:sz w:val="22"/>
                <w:szCs w:val="22"/>
              </w:rPr>
            </w:pPr>
            <w:r w:rsidRPr="00D20EF9">
              <w:rPr>
                <w:sz w:val="22"/>
                <w:szCs w:val="22"/>
              </w:rPr>
              <w:t>As part of this review, ORR would like the supplier to consider the following areas:</w:t>
            </w:r>
          </w:p>
          <w:p w14:paraId="0F101A18" w14:textId="48BB8A32" w:rsidR="00476BD4" w:rsidRPr="00D20EF9" w:rsidRDefault="00476BD4" w:rsidP="00B01DBB">
            <w:pPr>
              <w:pStyle w:val="Header"/>
              <w:numPr>
                <w:ilvl w:val="0"/>
                <w:numId w:val="35"/>
              </w:numPr>
              <w:tabs>
                <w:tab w:val="clear" w:pos="4153"/>
                <w:tab w:val="clear" w:pos="8306"/>
                <w:tab w:val="center" w:pos="4680"/>
                <w:tab w:val="right" w:pos="9360"/>
              </w:tabs>
              <w:spacing w:after="0"/>
              <w:rPr>
                <w:sz w:val="22"/>
                <w:szCs w:val="22"/>
              </w:rPr>
            </w:pPr>
            <w:r w:rsidRPr="00D20EF9">
              <w:rPr>
                <w:sz w:val="22"/>
                <w:szCs w:val="22"/>
              </w:rPr>
              <w:t xml:space="preserve">A proposed methodology </w:t>
            </w:r>
            <w:r w:rsidR="00F762AC" w:rsidRPr="00D20EF9">
              <w:rPr>
                <w:sz w:val="22"/>
                <w:szCs w:val="22"/>
              </w:rPr>
              <w:t>for assessing the education campaigns through their life</w:t>
            </w:r>
            <w:r w:rsidR="00310762" w:rsidRPr="00D20EF9">
              <w:rPr>
                <w:sz w:val="22"/>
                <w:szCs w:val="22"/>
              </w:rPr>
              <w:t>cycle</w:t>
            </w:r>
            <w:r w:rsidR="00F762AC" w:rsidRPr="00D20EF9">
              <w:rPr>
                <w:sz w:val="22"/>
                <w:szCs w:val="22"/>
              </w:rPr>
              <w:t>, that can be applied to Smart Motorways</w:t>
            </w:r>
          </w:p>
          <w:p w14:paraId="0BC0A4D1" w14:textId="12993C4E" w:rsidR="00F151FF" w:rsidRPr="00D20EF9" w:rsidRDefault="000254ED" w:rsidP="00B01DBB">
            <w:pPr>
              <w:pStyle w:val="Header"/>
              <w:numPr>
                <w:ilvl w:val="0"/>
                <w:numId w:val="35"/>
              </w:numPr>
              <w:tabs>
                <w:tab w:val="clear" w:pos="4153"/>
                <w:tab w:val="clear" w:pos="8306"/>
                <w:tab w:val="center" w:pos="4680"/>
                <w:tab w:val="right" w:pos="9360"/>
              </w:tabs>
              <w:spacing w:after="0"/>
              <w:rPr>
                <w:sz w:val="22"/>
                <w:szCs w:val="22"/>
              </w:rPr>
            </w:pPr>
            <w:r w:rsidRPr="00D20EF9">
              <w:rPr>
                <w:sz w:val="22"/>
                <w:szCs w:val="22"/>
              </w:rPr>
              <w:t xml:space="preserve">The relationship between datasets </w:t>
            </w:r>
            <w:r w:rsidR="00DE4763" w:rsidRPr="00D20EF9">
              <w:rPr>
                <w:sz w:val="22"/>
                <w:szCs w:val="22"/>
              </w:rPr>
              <w:t>that can be used to assess the</w:t>
            </w:r>
            <w:r w:rsidRPr="00D20EF9">
              <w:rPr>
                <w:sz w:val="22"/>
                <w:szCs w:val="22"/>
              </w:rPr>
              <w:t xml:space="preserve"> impact of </w:t>
            </w:r>
            <w:r w:rsidR="00F151FF" w:rsidRPr="00D20EF9">
              <w:rPr>
                <w:sz w:val="22"/>
                <w:szCs w:val="22"/>
              </w:rPr>
              <w:t>specific education campaigns</w:t>
            </w:r>
            <w:r w:rsidR="00697DB8" w:rsidRPr="00D20EF9">
              <w:rPr>
                <w:sz w:val="22"/>
                <w:szCs w:val="22"/>
              </w:rPr>
              <w:t xml:space="preserve"> on road user behaviour</w:t>
            </w:r>
          </w:p>
          <w:p w14:paraId="35AF1EDD" w14:textId="14D9C7C2" w:rsidR="00F151FF" w:rsidRPr="00D20EF9" w:rsidRDefault="00F151FF" w:rsidP="000254ED">
            <w:pPr>
              <w:pStyle w:val="Header"/>
              <w:numPr>
                <w:ilvl w:val="0"/>
                <w:numId w:val="35"/>
              </w:numPr>
              <w:tabs>
                <w:tab w:val="clear" w:pos="4153"/>
                <w:tab w:val="clear" w:pos="8306"/>
                <w:tab w:val="center" w:pos="4680"/>
                <w:tab w:val="right" w:pos="9360"/>
              </w:tabs>
              <w:spacing w:after="0"/>
              <w:rPr>
                <w:sz w:val="22"/>
                <w:szCs w:val="22"/>
              </w:rPr>
            </w:pPr>
            <w:r w:rsidRPr="00D20EF9">
              <w:rPr>
                <w:sz w:val="22"/>
                <w:szCs w:val="22"/>
              </w:rPr>
              <w:t xml:space="preserve">Identification of new or existing data sources to </w:t>
            </w:r>
            <w:r w:rsidR="00697DB8" w:rsidRPr="00D20EF9">
              <w:rPr>
                <w:sz w:val="22"/>
                <w:szCs w:val="22"/>
              </w:rPr>
              <w:t xml:space="preserve">assess </w:t>
            </w:r>
            <w:r w:rsidR="00310762" w:rsidRPr="00D20EF9">
              <w:rPr>
                <w:sz w:val="22"/>
                <w:szCs w:val="22"/>
              </w:rPr>
              <w:t>the</w:t>
            </w:r>
            <w:r w:rsidRPr="00D20EF9">
              <w:rPr>
                <w:sz w:val="22"/>
                <w:szCs w:val="22"/>
              </w:rPr>
              <w:t xml:space="preserve"> on</w:t>
            </w:r>
            <w:r w:rsidR="00697DB8" w:rsidRPr="00D20EF9">
              <w:rPr>
                <w:sz w:val="22"/>
                <w:szCs w:val="22"/>
              </w:rPr>
              <w:t>-</w:t>
            </w:r>
            <w:r w:rsidRPr="00D20EF9">
              <w:rPr>
                <w:sz w:val="22"/>
                <w:szCs w:val="22"/>
              </w:rPr>
              <w:t>road impact</w:t>
            </w:r>
            <w:r w:rsidR="00310762" w:rsidRPr="00D20EF9">
              <w:rPr>
                <w:sz w:val="22"/>
                <w:szCs w:val="22"/>
              </w:rPr>
              <w:t xml:space="preserve"> of education campaigns</w:t>
            </w:r>
          </w:p>
          <w:p w14:paraId="38E677A7" w14:textId="2E4AFBCE" w:rsidR="00B01DBB" w:rsidRPr="00D20EF9" w:rsidRDefault="08957E40" w:rsidP="00B01DBB">
            <w:pPr>
              <w:pStyle w:val="Header"/>
              <w:numPr>
                <w:ilvl w:val="0"/>
                <w:numId w:val="35"/>
              </w:numPr>
              <w:tabs>
                <w:tab w:val="clear" w:pos="4153"/>
                <w:tab w:val="clear" w:pos="8306"/>
                <w:tab w:val="center" w:pos="4680"/>
                <w:tab w:val="right" w:pos="9360"/>
              </w:tabs>
              <w:spacing w:after="0"/>
              <w:rPr>
                <w:sz w:val="22"/>
                <w:szCs w:val="22"/>
              </w:rPr>
            </w:pPr>
            <w:r w:rsidRPr="00D20EF9">
              <w:rPr>
                <w:sz w:val="22"/>
                <w:szCs w:val="22"/>
              </w:rPr>
              <w:t>Providing recommendations for future data sources and methods to assess the on-road impact of education campaigns</w:t>
            </w:r>
          </w:p>
          <w:p w14:paraId="7C891403" w14:textId="5BC30891" w:rsidR="00B01DBB" w:rsidRPr="00D20EF9" w:rsidRDefault="00B01DBB" w:rsidP="00F151FF">
            <w:pPr>
              <w:pStyle w:val="Header"/>
              <w:tabs>
                <w:tab w:val="clear" w:pos="4153"/>
                <w:tab w:val="clear" w:pos="8306"/>
                <w:tab w:val="center" w:pos="4680"/>
                <w:tab w:val="right" w:pos="9360"/>
              </w:tabs>
              <w:spacing w:after="0"/>
              <w:rPr>
                <w:sz w:val="22"/>
                <w:szCs w:val="22"/>
              </w:rPr>
            </w:pPr>
          </w:p>
          <w:p w14:paraId="66C42D7F" w14:textId="37320E6B" w:rsidR="00C16CC9" w:rsidRPr="00D20EF9" w:rsidRDefault="00C16CC9" w:rsidP="1B8347D2">
            <w:pPr>
              <w:pStyle w:val="Header"/>
              <w:tabs>
                <w:tab w:val="clear" w:pos="4153"/>
                <w:tab w:val="clear" w:pos="8306"/>
                <w:tab w:val="center" w:pos="4680"/>
                <w:tab w:val="right" w:pos="9360"/>
              </w:tabs>
              <w:spacing w:after="0"/>
              <w:jc w:val="both"/>
              <w:rPr>
                <w:sz w:val="22"/>
                <w:szCs w:val="22"/>
              </w:rPr>
            </w:pPr>
          </w:p>
        </w:tc>
      </w:tr>
      <w:tr w:rsidR="00F52BE8" w:rsidRPr="0036077E" w14:paraId="16B6CA3B" w14:textId="77777777" w:rsidTr="1BED57EF">
        <w:trPr>
          <w:trHeight w:val="566"/>
        </w:trPr>
        <w:tc>
          <w:tcPr>
            <w:tcW w:w="8302" w:type="dxa"/>
            <w:shd w:val="clear" w:color="auto" w:fill="99CCFF"/>
          </w:tcPr>
          <w:p w14:paraId="4A8CCD8F" w14:textId="362B575E"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1BED57EF">
        <w:trPr>
          <w:trHeight w:val="757"/>
        </w:trPr>
        <w:tc>
          <w:tcPr>
            <w:tcW w:w="8302" w:type="dxa"/>
            <w:tcBorders>
              <w:bottom w:val="single" w:sz="4" w:space="0" w:color="auto"/>
            </w:tcBorders>
            <w:shd w:val="clear" w:color="auto" w:fill="auto"/>
          </w:tcPr>
          <w:p w14:paraId="13DB7287" w14:textId="24D65009" w:rsidR="00411D1B" w:rsidRPr="00D20EF9" w:rsidRDefault="00411D1B" w:rsidP="00411D1B">
            <w:pPr>
              <w:autoSpaceDE w:val="0"/>
              <w:autoSpaceDN w:val="0"/>
              <w:adjustRightInd w:val="0"/>
              <w:spacing w:after="0"/>
              <w:rPr>
                <w:rFonts w:cs="Arial"/>
                <w:b/>
                <w:sz w:val="22"/>
                <w:szCs w:val="22"/>
              </w:rPr>
            </w:pPr>
            <w:r w:rsidRPr="00D20EF9">
              <w:rPr>
                <w:rFonts w:cs="Arial"/>
                <w:b/>
                <w:sz w:val="22"/>
                <w:szCs w:val="22"/>
              </w:rPr>
              <w:t>Outcomes / Deliverables</w:t>
            </w:r>
          </w:p>
          <w:p w14:paraId="4CC93FA9" w14:textId="77777777" w:rsidR="00C16CC9" w:rsidRPr="00D20EF9" w:rsidRDefault="00C16CC9" w:rsidP="00411D1B">
            <w:pPr>
              <w:autoSpaceDE w:val="0"/>
              <w:autoSpaceDN w:val="0"/>
              <w:adjustRightInd w:val="0"/>
              <w:spacing w:after="0"/>
              <w:rPr>
                <w:rFonts w:cs="Arial"/>
                <w:b/>
                <w:sz w:val="22"/>
                <w:szCs w:val="22"/>
              </w:rPr>
            </w:pPr>
          </w:p>
          <w:p w14:paraId="5BA0FB2B" w14:textId="2631C8AF" w:rsidR="08957E40" w:rsidRPr="00D20EF9" w:rsidRDefault="08957E40" w:rsidP="00D815AB">
            <w:pPr>
              <w:autoSpaceDE w:val="0"/>
              <w:autoSpaceDN w:val="0"/>
              <w:adjustRightInd w:val="0"/>
              <w:spacing w:after="0"/>
              <w:rPr>
                <w:rFonts w:cs="Arial"/>
                <w:sz w:val="22"/>
                <w:szCs w:val="22"/>
              </w:rPr>
            </w:pPr>
            <w:r w:rsidRPr="00D20EF9">
              <w:rPr>
                <w:rFonts w:cs="Arial"/>
                <w:sz w:val="22"/>
                <w:szCs w:val="22"/>
              </w:rPr>
              <w:t>The main outputs for this work will be:</w:t>
            </w:r>
          </w:p>
          <w:p w14:paraId="69CF60F0" w14:textId="77777777" w:rsidR="00D815AB" w:rsidRPr="005F6D0A" w:rsidRDefault="00D815AB" w:rsidP="00D815AB">
            <w:pPr>
              <w:autoSpaceDE w:val="0"/>
              <w:autoSpaceDN w:val="0"/>
              <w:adjustRightInd w:val="0"/>
              <w:spacing w:after="0"/>
              <w:rPr>
                <w:rFonts w:cs="Arial"/>
                <w:bCs/>
                <w:sz w:val="22"/>
                <w:szCs w:val="22"/>
              </w:rPr>
            </w:pPr>
          </w:p>
          <w:p w14:paraId="325A6387" w14:textId="44CDDCE1" w:rsidR="08957E40" w:rsidRPr="00D20EF9" w:rsidRDefault="004E684F">
            <w:pPr>
              <w:rPr>
                <w:sz w:val="22"/>
                <w:szCs w:val="22"/>
              </w:rPr>
            </w:pPr>
            <w:r w:rsidRPr="00D20EF9">
              <w:rPr>
                <w:rFonts w:eastAsia="Arial" w:cs="Arial"/>
                <w:sz w:val="22"/>
                <w:szCs w:val="22"/>
              </w:rPr>
              <w:t>Outputs</w:t>
            </w:r>
          </w:p>
          <w:p w14:paraId="512F4E89" w14:textId="4A6EA2E3" w:rsidR="08957E40" w:rsidRPr="00D20EF9" w:rsidRDefault="1B8347D2" w:rsidP="1B8347D2">
            <w:pPr>
              <w:pStyle w:val="ListParagraph"/>
              <w:numPr>
                <w:ilvl w:val="0"/>
                <w:numId w:val="2"/>
              </w:numPr>
              <w:rPr>
                <w:rFonts w:eastAsiaTheme="minorEastAsia" w:cs="Arial"/>
                <w:sz w:val="22"/>
                <w:szCs w:val="22"/>
              </w:rPr>
            </w:pPr>
            <w:r w:rsidRPr="00D20EF9">
              <w:rPr>
                <w:rFonts w:eastAsia="Arial" w:cs="Arial"/>
                <w:sz w:val="22"/>
                <w:szCs w:val="22"/>
              </w:rPr>
              <w:t>A summary PowerPoint presentation of the emerging findings</w:t>
            </w:r>
          </w:p>
          <w:p w14:paraId="75FDD9B2" w14:textId="099BA8B3" w:rsidR="08957E40" w:rsidRPr="00D20EF9" w:rsidRDefault="08957E40" w:rsidP="08957E40">
            <w:pPr>
              <w:pStyle w:val="ListParagraph"/>
              <w:numPr>
                <w:ilvl w:val="0"/>
                <w:numId w:val="2"/>
              </w:numPr>
              <w:rPr>
                <w:rFonts w:eastAsiaTheme="minorEastAsia" w:cs="Arial"/>
                <w:sz w:val="22"/>
                <w:szCs w:val="22"/>
              </w:rPr>
            </w:pPr>
            <w:r w:rsidRPr="00D20EF9">
              <w:rPr>
                <w:rFonts w:eastAsia="Arial" w:cs="Arial"/>
                <w:sz w:val="22"/>
                <w:szCs w:val="22"/>
              </w:rPr>
              <w:t xml:space="preserve">A draft report </w:t>
            </w:r>
            <w:r w:rsidR="004E684F" w:rsidRPr="00D20EF9">
              <w:rPr>
                <w:rFonts w:eastAsia="Arial" w:cs="Arial"/>
                <w:sz w:val="22"/>
                <w:szCs w:val="22"/>
              </w:rPr>
              <w:t xml:space="preserve">setting out </w:t>
            </w:r>
            <w:r w:rsidRPr="00D20EF9">
              <w:rPr>
                <w:rFonts w:eastAsia="Arial" w:cs="Arial"/>
                <w:sz w:val="22"/>
                <w:szCs w:val="22"/>
              </w:rPr>
              <w:t xml:space="preserve">the findings and recommendations </w:t>
            </w:r>
            <w:r w:rsidR="004E684F" w:rsidRPr="00D20EF9">
              <w:rPr>
                <w:rFonts w:eastAsia="Arial" w:cs="Arial"/>
                <w:sz w:val="22"/>
                <w:szCs w:val="22"/>
              </w:rPr>
              <w:t>for task 1 and proposed methodology for task 2</w:t>
            </w:r>
          </w:p>
          <w:p w14:paraId="5C3186C3" w14:textId="1341D7AB" w:rsidR="08957E40" w:rsidRPr="00D20EF9" w:rsidRDefault="1B8347D2" w:rsidP="1B8347D2">
            <w:pPr>
              <w:pStyle w:val="ListParagraph"/>
              <w:numPr>
                <w:ilvl w:val="0"/>
                <w:numId w:val="2"/>
              </w:numPr>
              <w:rPr>
                <w:rFonts w:asciiTheme="minorHAnsi" w:eastAsiaTheme="minorEastAsia" w:hAnsiTheme="minorHAnsi" w:cstheme="minorBidi"/>
                <w:sz w:val="22"/>
                <w:szCs w:val="22"/>
              </w:rPr>
            </w:pPr>
            <w:r w:rsidRPr="00D20EF9">
              <w:rPr>
                <w:rFonts w:eastAsia="Arial" w:cs="Arial"/>
                <w:sz w:val="22"/>
                <w:szCs w:val="22"/>
              </w:rPr>
              <w:t xml:space="preserve">A final report and presentation </w:t>
            </w:r>
          </w:p>
          <w:p w14:paraId="0AB0CC9E" w14:textId="3882FE57" w:rsidR="1B8347D2" w:rsidRPr="00D20EF9" w:rsidRDefault="00601E36" w:rsidP="1B8347D2">
            <w:pPr>
              <w:rPr>
                <w:rFonts w:eastAsia="Arial" w:cs="Arial"/>
                <w:sz w:val="22"/>
                <w:szCs w:val="22"/>
              </w:rPr>
            </w:pPr>
            <w:r w:rsidRPr="00D20EF9">
              <w:rPr>
                <w:rFonts w:eastAsia="Arial" w:cs="Arial"/>
                <w:sz w:val="22"/>
                <w:szCs w:val="22"/>
              </w:rPr>
              <w:t>We intend to publish outputs from this project. So, t</w:t>
            </w:r>
            <w:r w:rsidR="1B8347D2" w:rsidRPr="00D20EF9">
              <w:rPr>
                <w:rFonts w:eastAsia="Arial" w:cs="Arial"/>
                <w:sz w:val="22"/>
                <w:szCs w:val="22"/>
              </w:rPr>
              <w:t>he final report should be of a publishable standard</w:t>
            </w:r>
            <w:r w:rsidRPr="00D20EF9">
              <w:rPr>
                <w:rFonts w:eastAsia="Arial" w:cs="Arial"/>
                <w:sz w:val="22"/>
                <w:szCs w:val="22"/>
              </w:rPr>
              <w:t>, and in-line with ORR’s web publishing accessibility requirements.</w:t>
            </w:r>
            <w:r w:rsidR="1B8347D2" w:rsidRPr="00D20EF9">
              <w:rPr>
                <w:rFonts w:eastAsia="Arial" w:cs="Arial"/>
                <w:sz w:val="22"/>
                <w:szCs w:val="22"/>
              </w:rPr>
              <w:t xml:space="preserve"> </w:t>
            </w:r>
          </w:p>
          <w:p w14:paraId="7F9E06FA" w14:textId="0A795CC1" w:rsidR="00411D1B" w:rsidRPr="00D20EF9" w:rsidRDefault="1B8347D2" w:rsidP="1B8347D2">
            <w:pPr>
              <w:rPr>
                <w:rFonts w:cs="Arial"/>
                <w:b/>
                <w:bCs/>
                <w:sz w:val="22"/>
                <w:szCs w:val="22"/>
              </w:rPr>
            </w:pPr>
            <w:r w:rsidRPr="00D20EF9">
              <w:rPr>
                <w:rFonts w:cs="Arial"/>
                <w:b/>
                <w:bCs/>
                <w:sz w:val="22"/>
                <w:szCs w:val="22"/>
              </w:rPr>
              <w:t>Contract Management Requirements</w:t>
            </w:r>
          </w:p>
          <w:p w14:paraId="3F89A001" w14:textId="68E4AA34" w:rsidR="00697DB8" w:rsidRPr="005F6D0A" w:rsidRDefault="00697DB8" w:rsidP="00411D1B">
            <w:pPr>
              <w:autoSpaceDE w:val="0"/>
              <w:autoSpaceDN w:val="0"/>
              <w:adjustRightInd w:val="0"/>
              <w:spacing w:after="0"/>
              <w:rPr>
                <w:rFonts w:cs="Arial"/>
                <w:bCs/>
                <w:sz w:val="22"/>
                <w:szCs w:val="22"/>
              </w:rPr>
            </w:pPr>
            <w:r w:rsidRPr="005F6D0A">
              <w:rPr>
                <w:rFonts w:cs="Arial"/>
                <w:bCs/>
                <w:sz w:val="22"/>
                <w:szCs w:val="22"/>
              </w:rPr>
              <w:t>An inception meeting will be arranged upon appointment of the chosen supplier.</w:t>
            </w:r>
          </w:p>
          <w:p w14:paraId="3A8381FF" w14:textId="77777777" w:rsidR="00697DB8" w:rsidRPr="005F6D0A" w:rsidRDefault="00697DB8" w:rsidP="00411D1B">
            <w:pPr>
              <w:autoSpaceDE w:val="0"/>
              <w:autoSpaceDN w:val="0"/>
              <w:adjustRightInd w:val="0"/>
              <w:spacing w:after="0"/>
              <w:rPr>
                <w:rFonts w:cs="Arial"/>
                <w:bCs/>
                <w:sz w:val="22"/>
                <w:szCs w:val="22"/>
              </w:rPr>
            </w:pPr>
          </w:p>
          <w:p w14:paraId="501AD9AF" w14:textId="1F5FF6BE" w:rsidR="00411D1B" w:rsidRPr="005F6D0A" w:rsidRDefault="00411D1B" w:rsidP="00411D1B">
            <w:pPr>
              <w:autoSpaceDE w:val="0"/>
              <w:autoSpaceDN w:val="0"/>
              <w:adjustRightInd w:val="0"/>
              <w:spacing w:after="0"/>
              <w:rPr>
                <w:rFonts w:cs="Arial"/>
                <w:bCs/>
                <w:sz w:val="22"/>
                <w:szCs w:val="22"/>
              </w:rPr>
            </w:pPr>
            <w:r w:rsidRPr="005F6D0A">
              <w:rPr>
                <w:rFonts w:cs="Arial"/>
                <w:bCs/>
                <w:sz w:val="22"/>
                <w:szCs w:val="22"/>
              </w:rPr>
              <w:t>The contract will be managed through regular meetings to discuss progress, review previous</w:t>
            </w:r>
            <w:r w:rsidR="00115A89" w:rsidRPr="005F6D0A">
              <w:rPr>
                <w:rFonts w:cs="Arial"/>
                <w:bCs/>
                <w:sz w:val="22"/>
                <w:szCs w:val="22"/>
              </w:rPr>
              <w:t xml:space="preserve"> </w:t>
            </w:r>
            <w:r w:rsidRPr="005F6D0A">
              <w:rPr>
                <w:rFonts w:cs="Arial"/>
                <w:bCs/>
                <w:sz w:val="22"/>
                <w:szCs w:val="22"/>
              </w:rPr>
              <w:t>deliverables and to discuss upcoming reviews.</w:t>
            </w:r>
          </w:p>
          <w:p w14:paraId="311DF082" w14:textId="77777777" w:rsidR="00411D1B" w:rsidRPr="005F6D0A" w:rsidRDefault="00411D1B" w:rsidP="00411D1B">
            <w:pPr>
              <w:autoSpaceDE w:val="0"/>
              <w:autoSpaceDN w:val="0"/>
              <w:adjustRightInd w:val="0"/>
              <w:spacing w:after="0"/>
              <w:rPr>
                <w:rFonts w:cs="Arial"/>
                <w:bCs/>
                <w:sz w:val="22"/>
                <w:szCs w:val="22"/>
              </w:rPr>
            </w:pPr>
          </w:p>
          <w:p w14:paraId="63B29BB1" w14:textId="77777777" w:rsidR="00F52BE8" w:rsidRPr="005F6D0A" w:rsidRDefault="00411D1B" w:rsidP="00411D1B">
            <w:pPr>
              <w:autoSpaceDE w:val="0"/>
              <w:autoSpaceDN w:val="0"/>
              <w:adjustRightInd w:val="0"/>
              <w:spacing w:after="0"/>
              <w:rPr>
                <w:rFonts w:cs="Arial"/>
                <w:b/>
                <w:sz w:val="22"/>
                <w:szCs w:val="22"/>
              </w:rPr>
            </w:pPr>
            <w:r w:rsidRPr="005F6D0A">
              <w:rPr>
                <w:rFonts w:cs="Arial"/>
                <w:bCs/>
                <w:sz w:val="22"/>
                <w:szCs w:val="22"/>
              </w:rPr>
              <w:t>Ad-hoc meetings will be held as required to discuss any changes to scope, resources or scheduling.</w:t>
            </w:r>
            <w:r w:rsidRPr="005F6D0A">
              <w:rPr>
                <w:rFonts w:cs="Arial"/>
                <w:b/>
                <w:sz w:val="22"/>
                <w:szCs w:val="22"/>
              </w:rPr>
              <w:t xml:space="preserve">   </w:t>
            </w:r>
          </w:p>
          <w:p w14:paraId="413A5EE2" w14:textId="7BF04D78" w:rsidR="00E462D7" w:rsidRPr="0036077E" w:rsidRDefault="00433A87" w:rsidP="00411D1B">
            <w:pPr>
              <w:autoSpaceDE w:val="0"/>
              <w:autoSpaceDN w:val="0"/>
              <w:adjustRightInd w:val="0"/>
              <w:spacing w:after="0"/>
              <w:rPr>
                <w:rFonts w:cs="Arial"/>
                <w:b/>
              </w:rPr>
            </w:pPr>
            <w:r>
              <w:rPr>
                <w:rFonts w:cs="Arial"/>
                <w:b/>
              </w:rPr>
              <w:t xml:space="preserve"> </w:t>
            </w:r>
          </w:p>
        </w:tc>
      </w:tr>
      <w:tr w:rsidR="00F52BE8" w:rsidRPr="0036077E" w14:paraId="4166DCD0" w14:textId="77777777" w:rsidTr="1BED57EF">
        <w:trPr>
          <w:trHeight w:val="250"/>
        </w:trPr>
        <w:tc>
          <w:tcPr>
            <w:tcW w:w="8302"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1BED57EF">
        <w:trPr>
          <w:trHeight w:val="250"/>
        </w:trPr>
        <w:tc>
          <w:tcPr>
            <w:tcW w:w="8302" w:type="dxa"/>
            <w:tcBorders>
              <w:bottom w:val="single" w:sz="4" w:space="0" w:color="auto"/>
            </w:tcBorders>
            <w:shd w:val="clear" w:color="auto" w:fill="auto"/>
          </w:tcPr>
          <w:p w14:paraId="3BB3E222" w14:textId="1D60C4BF" w:rsidR="00CD1353" w:rsidRDefault="00CD1353" w:rsidP="00CD1353">
            <w:pPr>
              <w:autoSpaceDE w:val="0"/>
              <w:autoSpaceDN w:val="0"/>
              <w:adjustRightInd w:val="0"/>
              <w:spacing w:after="0"/>
              <w:rPr>
                <w:rFonts w:cs="Arial"/>
                <w:b/>
                <w:bCs/>
                <w:color w:val="000000"/>
                <w:sz w:val="22"/>
                <w:szCs w:val="22"/>
                <w:lang w:eastAsia="en-GB"/>
              </w:rPr>
            </w:pPr>
            <w:r w:rsidRPr="00CD1353">
              <w:rPr>
                <w:rFonts w:cs="Arial"/>
                <w:b/>
                <w:bCs/>
                <w:color w:val="000000"/>
                <w:sz w:val="22"/>
                <w:szCs w:val="22"/>
                <w:lang w:eastAsia="en-GB"/>
              </w:rPr>
              <w:t>Project Timescale</w:t>
            </w:r>
          </w:p>
          <w:p w14:paraId="24688FC8" w14:textId="77777777" w:rsidR="00CD1353" w:rsidRPr="00CD1353" w:rsidRDefault="00CD1353" w:rsidP="00CD1353">
            <w:pPr>
              <w:autoSpaceDE w:val="0"/>
              <w:autoSpaceDN w:val="0"/>
              <w:adjustRightInd w:val="0"/>
              <w:spacing w:after="0"/>
              <w:rPr>
                <w:rFonts w:cs="Arial"/>
                <w:b/>
                <w:bCs/>
                <w:color w:val="000000"/>
                <w:sz w:val="22"/>
                <w:szCs w:val="22"/>
                <w:lang w:eastAsia="en-GB"/>
              </w:rPr>
            </w:pPr>
          </w:p>
          <w:p w14:paraId="5E5465B3" w14:textId="1F0A894C" w:rsidR="008B78B4" w:rsidRDefault="00CD1353" w:rsidP="008B78B4">
            <w:pPr>
              <w:autoSpaceDE w:val="0"/>
              <w:autoSpaceDN w:val="0"/>
              <w:adjustRightInd w:val="0"/>
              <w:spacing w:after="0"/>
              <w:rPr>
                <w:rFonts w:cs="Arial"/>
                <w:color w:val="000000"/>
                <w:sz w:val="22"/>
                <w:szCs w:val="22"/>
                <w:lang w:eastAsia="en-GB"/>
              </w:rPr>
            </w:pPr>
            <w:r w:rsidRPr="00CD1353">
              <w:rPr>
                <w:rFonts w:cs="Arial"/>
                <w:color w:val="000000"/>
                <w:sz w:val="22"/>
                <w:szCs w:val="22"/>
                <w:lang w:eastAsia="en-GB"/>
              </w:rPr>
              <w:t xml:space="preserve">Following </w:t>
            </w:r>
            <w:r>
              <w:rPr>
                <w:rFonts w:cs="Arial"/>
                <w:color w:val="000000"/>
                <w:sz w:val="22"/>
                <w:szCs w:val="22"/>
                <w:lang w:eastAsia="en-GB"/>
              </w:rPr>
              <w:t xml:space="preserve">the </w:t>
            </w:r>
            <w:r w:rsidRPr="00CD1353">
              <w:rPr>
                <w:rFonts w:cs="Arial"/>
                <w:color w:val="000000"/>
                <w:sz w:val="22"/>
                <w:szCs w:val="22"/>
                <w:lang w:eastAsia="en-GB"/>
              </w:rPr>
              <w:t>close of this tender</w:t>
            </w:r>
            <w:r>
              <w:rPr>
                <w:rFonts w:cs="Arial"/>
                <w:color w:val="000000"/>
                <w:sz w:val="22"/>
                <w:szCs w:val="22"/>
                <w:lang w:eastAsia="en-GB"/>
              </w:rPr>
              <w:t>,</w:t>
            </w:r>
            <w:r w:rsidRPr="00CD1353">
              <w:rPr>
                <w:rFonts w:cs="Arial"/>
                <w:color w:val="000000"/>
                <w:sz w:val="22"/>
                <w:szCs w:val="22"/>
                <w:lang w:eastAsia="en-GB"/>
              </w:rPr>
              <w:t xml:space="preserve"> we may interview potential consultancies</w:t>
            </w:r>
            <w:r w:rsidR="00CD31A5">
              <w:rPr>
                <w:rFonts w:cs="Arial"/>
                <w:color w:val="000000"/>
                <w:sz w:val="22"/>
                <w:szCs w:val="22"/>
                <w:lang w:eastAsia="en-GB"/>
              </w:rPr>
              <w:t xml:space="preserve"> </w:t>
            </w:r>
            <w:r w:rsidRPr="00CD1353">
              <w:rPr>
                <w:rFonts w:cs="Arial"/>
                <w:color w:val="000000"/>
                <w:sz w:val="22"/>
                <w:szCs w:val="22"/>
                <w:lang w:eastAsia="en-GB"/>
              </w:rPr>
              <w:t xml:space="preserve">before confirming the </w:t>
            </w:r>
            <w:r w:rsidR="00AC52CB" w:rsidRPr="00CD1353">
              <w:rPr>
                <w:rFonts w:cs="Arial"/>
                <w:color w:val="000000"/>
                <w:sz w:val="22"/>
                <w:szCs w:val="22"/>
                <w:lang w:eastAsia="en-GB"/>
              </w:rPr>
              <w:t>appointment.</w:t>
            </w:r>
            <w:r w:rsidRPr="00CD1353">
              <w:rPr>
                <w:rFonts w:cs="Arial"/>
                <w:color w:val="000000"/>
                <w:sz w:val="22"/>
                <w:szCs w:val="22"/>
                <w:lang w:eastAsia="en-GB"/>
              </w:rPr>
              <w:t xml:space="preserve"> </w:t>
            </w:r>
          </w:p>
          <w:p w14:paraId="7241FC74" w14:textId="77777777" w:rsidR="008B78B4" w:rsidRDefault="008B78B4" w:rsidP="008B78B4">
            <w:pPr>
              <w:autoSpaceDE w:val="0"/>
              <w:autoSpaceDN w:val="0"/>
              <w:adjustRightInd w:val="0"/>
              <w:spacing w:after="0"/>
              <w:rPr>
                <w:rFonts w:cs="Arial"/>
                <w:color w:val="000000"/>
                <w:sz w:val="22"/>
                <w:szCs w:val="22"/>
                <w:lang w:eastAsia="en-GB"/>
              </w:rPr>
            </w:pPr>
          </w:p>
          <w:p w14:paraId="614275B3" w14:textId="37FD3275" w:rsidR="008B78B4" w:rsidRDefault="008B78B4" w:rsidP="008B78B4">
            <w:pPr>
              <w:pStyle w:val="ListParagraph"/>
              <w:numPr>
                <w:ilvl w:val="0"/>
                <w:numId w:val="45"/>
              </w:numPr>
              <w:autoSpaceDE w:val="0"/>
              <w:autoSpaceDN w:val="0"/>
              <w:adjustRightInd w:val="0"/>
              <w:spacing w:after="0"/>
              <w:rPr>
                <w:rFonts w:cs="Arial"/>
                <w:color w:val="000000"/>
                <w:sz w:val="22"/>
                <w:szCs w:val="22"/>
                <w:lang w:eastAsia="en-GB"/>
              </w:rPr>
            </w:pPr>
            <w:r>
              <w:rPr>
                <w:rFonts w:cs="Arial"/>
                <w:color w:val="000000"/>
                <w:sz w:val="22"/>
                <w:szCs w:val="22"/>
                <w:lang w:eastAsia="en-GB"/>
              </w:rPr>
              <w:t>Inception meeting in early September</w:t>
            </w:r>
          </w:p>
          <w:p w14:paraId="34D0A1DE" w14:textId="77777777" w:rsidR="008B78B4" w:rsidRPr="005F6D0A" w:rsidRDefault="00CD1353" w:rsidP="008B78B4">
            <w:pPr>
              <w:pStyle w:val="ListParagraph"/>
              <w:numPr>
                <w:ilvl w:val="0"/>
                <w:numId w:val="45"/>
              </w:numPr>
              <w:autoSpaceDE w:val="0"/>
              <w:autoSpaceDN w:val="0"/>
              <w:adjustRightInd w:val="0"/>
              <w:spacing w:after="0"/>
              <w:rPr>
                <w:rFonts w:cs="Arial"/>
                <w:color w:val="000000"/>
                <w:sz w:val="22"/>
                <w:szCs w:val="22"/>
                <w:lang w:eastAsia="en-GB"/>
              </w:rPr>
            </w:pPr>
            <w:r w:rsidRPr="005F6D0A">
              <w:rPr>
                <w:rFonts w:cs="Arial"/>
                <w:color w:val="000000"/>
                <w:sz w:val="22"/>
                <w:szCs w:val="22"/>
                <w:lang w:eastAsia="en-GB"/>
              </w:rPr>
              <w:lastRenderedPageBreak/>
              <w:t xml:space="preserve">The </w:t>
            </w:r>
            <w:r w:rsidR="00E545F0" w:rsidRPr="005F6D0A">
              <w:rPr>
                <w:rFonts w:cs="Arial"/>
                <w:color w:val="000000"/>
                <w:sz w:val="22"/>
                <w:szCs w:val="22"/>
                <w:lang w:eastAsia="en-GB"/>
              </w:rPr>
              <w:t>emerging findings PowerPoint slide pack</w:t>
            </w:r>
            <w:r w:rsidRPr="005F6D0A">
              <w:rPr>
                <w:rFonts w:cs="Arial"/>
                <w:color w:val="000000"/>
                <w:sz w:val="22"/>
                <w:szCs w:val="22"/>
                <w:lang w:eastAsia="en-GB"/>
              </w:rPr>
              <w:t xml:space="preserve"> should be produced </w:t>
            </w:r>
            <w:r w:rsidR="00E545F0" w:rsidRPr="005F6D0A">
              <w:rPr>
                <w:rFonts w:cs="Arial"/>
                <w:color w:val="000000"/>
                <w:sz w:val="22"/>
                <w:szCs w:val="22"/>
                <w:lang w:eastAsia="en-GB"/>
              </w:rPr>
              <w:t>by</w:t>
            </w:r>
            <w:r w:rsidR="00346B63" w:rsidRPr="005F6D0A">
              <w:rPr>
                <w:rFonts w:cs="Arial"/>
                <w:color w:val="000000"/>
                <w:sz w:val="22"/>
                <w:szCs w:val="22"/>
                <w:lang w:eastAsia="en-GB"/>
              </w:rPr>
              <w:t xml:space="preserve"> </w:t>
            </w:r>
            <w:r w:rsidR="00E545F0" w:rsidRPr="005F6D0A">
              <w:rPr>
                <w:rFonts w:cs="Arial"/>
                <w:color w:val="000000"/>
                <w:sz w:val="22"/>
                <w:szCs w:val="22"/>
                <w:lang w:eastAsia="en-GB"/>
              </w:rPr>
              <w:t>14</w:t>
            </w:r>
            <w:r w:rsidR="00F44287" w:rsidRPr="005F6D0A">
              <w:rPr>
                <w:rFonts w:cs="Arial"/>
                <w:color w:val="000000"/>
                <w:sz w:val="22"/>
                <w:szCs w:val="22"/>
                <w:lang w:eastAsia="en-GB"/>
              </w:rPr>
              <w:t xml:space="preserve"> October</w:t>
            </w:r>
            <w:r w:rsidR="00E545F0" w:rsidRPr="005F6D0A">
              <w:rPr>
                <w:rFonts w:cs="Arial"/>
                <w:color w:val="000000"/>
                <w:sz w:val="22"/>
                <w:szCs w:val="22"/>
                <w:lang w:eastAsia="en-GB"/>
              </w:rPr>
              <w:t xml:space="preserve"> </w:t>
            </w:r>
            <w:r w:rsidRPr="005F6D0A">
              <w:rPr>
                <w:rFonts w:cs="Arial"/>
                <w:color w:val="000000"/>
                <w:sz w:val="22"/>
                <w:szCs w:val="22"/>
                <w:lang w:eastAsia="en-GB"/>
              </w:rPr>
              <w:t>2022</w:t>
            </w:r>
            <w:r w:rsidR="00E545F0" w:rsidRPr="005F6D0A">
              <w:rPr>
                <w:rFonts w:cs="Arial"/>
                <w:color w:val="000000"/>
                <w:sz w:val="22"/>
                <w:szCs w:val="22"/>
                <w:lang w:eastAsia="en-GB"/>
              </w:rPr>
              <w:t>.</w:t>
            </w:r>
          </w:p>
          <w:p w14:paraId="517C7D24" w14:textId="206160DC" w:rsidR="008B78B4" w:rsidRPr="005F6D0A" w:rsidRDefault="1BED57EF" w:rsidP="008B78B4">
            <w:pPr>
              <w:pStyle w:val="ListParagraph"/>
              <w:numPr>
                <w:ilvl w:val="0"/>
                <w:numId w:val="45"/>
              </w:numPr>
              <w:autoSpaceDE w:val="0"/>
              <w:autoSpaceDN w:val="0"/>
              <w:adjustRightInd w:val="0"/>
              <w:spacing w:after="0"/>
              <w:rPr>
                <w:rFonts w:cs="Arial"/>
                <w:color w:val="000000"/>
                <w:sz w:val="22"/>
                <w:szCs w:val="22"/>
                <w:lang w:eastAsia="en-GB"/>
              </w:rPr>
            </w:pPr>
            <w:r w:rsidRPr="1BED57EF">
              <w:rPr>
                <w:rFonts w:cs="Arial"/>
                <w:color w:val="000000" w:themeColor="text1"/>
                <w:sz w:val="22"/>
                <w:szCs w:val="22"/>
                <w:lang w:eastAsia="en-GB"/>
              </w:rPr>
              <w:t>Draft report to be provided to ORR by 28 October 2022</w:t>
            </w:r>
          </w:p>
          <w:p w14:paraId="577ACEEA" w14:textId="0D9FB982" w:rsidR="00F52BE8" w:rsidRPr="005F6D0A" w:rsidRDefault="1BED57EF" w:rsidP="008B78B4">
            <w:pPr>
              <w:pStyle w:val="ListParagraph"/>
              <w:numPr>
                <w:ilvl w:val="0"/>
                <w:numId w:val="45"/>
              </w:numPr>
              <w:autoSpaceDE w:val="0"/>
              <w:autoSpaceDN w:val="0"/>
              <w:adjustRightInd w:val="0"/>
              <w:spacing w:after="0"/>
              <w:rPr>
                <w:rFonts w:cs="Arial"/>
                <w:color w:val="000000"/>
                <w:sz w:val="22"/>
                <w:szCs w:val="22"/>
                <w:lang w:eastAsia="en-GB"/>
              </w:rPr>
            </w:pPr>
            <w:r w:rsidRPr="1BED57EF">
              <w:rPr>
                <w:rFonts w:cs="Arial"/>
                <w:color w:val="000000" w:themeColor="text1"/>
                <w:sz w:val="22"/>
                <w:szCs w:val="22"/>
                <w:lang w:eastAsia="en-GB"/>
              </w:rPr>
              <w:t>The final report and presentation should be provided to ORR by 8 November 2022.</w:t>
            </w:r>
          </w:p>
          <w:p w14:paraId="395C7F3A" w14:textId="6DE0787A" w:rsidR="00CD1353" w:rsidRPr="0036077E" w:rsidRDefault="00CD1353" w:rsidP="00CD1353">
            <w:pPr>
              <w:autoSpaceDE w:val="0"/>
              <w:autoSpaceDN w:val="0"/>
              <w:adjustRightInd w:val="0"/>
              <w:spacing w:after="0"/>
              <w:rPr>
                <w:rFonts w:cs="Arial"/>
                <w:color w:val="000000"/>
                <w:sz w:val="22"/>
                <w:szCs w:val="22"/>
                <w:lang w:eastAsia="en-GB"/>
              </w:rPr>
            </w:pPr>
          </w:p>
        </w:tc>
      </w:tr>
      <w:tr w:rsidR="00F52BE8" w:rsidRPr="0036077E" w14:paraId="0C1C7899" w14:textId="77777777" w:rsidTr="1BED57EF">
        <w:trPr>
          <w:trHeight w:val="129"/>
        </w:trPr>
        <w:tc>
          <w:tcPr>
            <w:tcW w:w="8302"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5841746B" w14:textId="77777777" w:rsidTr="1BED57EF">
        <w:trPr>
          <w:trHeight w:val="127"/>
        </w:trPr>
        <w:tc>
          <w:tcPr>
            <w:tcW w:w="8302" w:type="dxa"/>
            <w:tcBorders>
              <w:bottom w:val="single" w:sz="4" w:space="0" w:color="auto"/>
            </w:tcBorders>
            <w:shd w:val="clear" w:color="auto" w:fill="auto"/>
          </w:tcPr>
          <w:p w14:paraId="6514E903" w14:textId="35AE93A3" w:rsidR="00040D95" w:rsidRPr="00E462D7" w:rsidRDefault="00040D95" w:rsidP="00040D95">
            <w:pPr>
              <w:rPr>
                <w:bCs/>
                <w:color w:val="000000" w:themeColor="text1"/>
                <w:sz w:val="22"/>
                <w:szCs w:val="22"/>
              </w:rPr>
            </w:pPr>
            <w:r w:rsidRPr="00E462D7">
              <w:rPr>
                <w:bCs/>
                <w:color w:val="000000" w:themeColor="text1"/>
                <w:sz w:val="22"/>
                <w:szCs w:val="22"/>
              </w:rPr>
              <w:t>The maximum budget for this piece of work is £</w:t>
            </w:r>
            <w:r w:rsidR="00F44287">
              <w:rPr>
                <w:bCs/>
                <w:color w:val="000000" w:themeColor="text1"/>
                <w:sz w:val="22"/>
                <w:szCs w:val="22"/>
              </w:rPr>
              <w:t>3</w:t>
            </w:r>
            <w:r w:rsidR="00931EBB">
              <w:rPr>
                <w:bCs/>
                <w:color w:val="000000" w:themeColor="text1"/>
                <w:sz w:val="22"/>
                <w:szCs w:val="22"/>
              </w:rPr>
              <w:t>0</w:t>
            </w:r>
            <w:r w:rsidRPr="00E462D7">
              <w:rPr>
                <w:bCs/>
                <w:color w:val="000000" w:themeColor="text1"/>
                <w:sz w:val="22"/>
                <w:szCs w:val="22"/>
              </w:rPr>
              <w:t xml:space="preserve">,000 (inc. of expenses, exc. of VAT), however ORR expects bids to be significantly below this threshold. </w:t>
            </w:r>
          </w:p>
          <w:p w14:paraId="6E3C06C2" w14:textId="77777777" w:rsidR="00040D95" w:rsidRPr="00E462D7" w:rsidRDefault="00040D95" w:rsidP="00040D95">
            <w:pPr>
              <w:rPr>
                <w:bCs/>
                <w:color w:val="000000" w:themeColor="text1"/>
                <w:sz w:val="22"/>
                <w:szCs w:val="22"/>
              </w:rPr>
            </w:pPr>
            <w:r w:rsidRPr="00E462D7">
              <w:rPr>
                <w:bCs/>
                <w:color w:val="000000" w:themeColor="text1"/>
                <w:sz w:val="22"/>
                <w:szCs w:val="22"/>
              </w:rPr>
              <w:t>Payment Schedule:</w:t>
            </w:r>
          </w:p>
          <w:p w14:paraId="698720A9" w14:textId="4C355D71" w:rsidR="00CF0798" w:rsidRDefault="08957E40" w:rsidP="08957E40">
            <w:pPr>
              <w:rPr>
                <w:color w:val="000000" w:themeColor="text1"/>
                <w:sz w:val="22"/>
                <w:szCs w:val="22"/>
              </w:rPr>
            </w:pPr>
            <w:r w:rsidRPr="08957E40">
              <w:rPr>
                <w:color w:val="000000" w:themeColor="text1"/>
                <w:sz w:val="22"/>
                <w:szCs w:val="22"/>
              </w:rPr>
              <w:t>The payment schedule is as follows:</w:t>
            </w:r>
          </w:p>
          <w:p w14:paraId="7663FD9D" w14:textId="300BD2D2" w:rsidR="00040D95" w:rsidRPr="00E462D7" w:rsidRDefault="08957E40" w:rsidP="08957E40">
            <w:pPr>
              <w:rPr>
                <w:color w:val="000000" w:themeColor="text1"/>
                <w:sz w:val="22"/>
                <w:szCs w:val="22"/>
              </w:rPr>
            </w:pPr>
            <w:r w:rsidRPr="08957E40">
              <w:rPr>
                <w:color w:val="000000" w:themeColor="text1"/>
                <w:sz w:val="22"/>
                <w:szCs w:val="22"/>
              </w:rPr>
              <w:t>1.     50% on presentation of emerging findings;</w:t>
            </w:r>
          </w:p>
          <w:p w14:paraId="2620ED6F" w14:textId="7DD93846" w:rsidR="00F52BE8" w:rsidRPr="00816394" w:rsidRDefault="08957E40" w:rsidP="08957E40">
            <w:pPr>
              <w:rPr>
                <w:b/>
                <w:bCs/>
                <w:color w:val="FF0000"/>
              </w:rPr>
            </w:pPr>
            <w:r w:rsidRPr="08957E40">
              <w:rPr>
                <w:color w:val="000000" w:themeColor="text1"/>
                <w:sz w:val="22"/>
                <w:szCs w:val="22"/>
              </w:rPr>
              <w:t xml:space="preserve">2.     </w:t>
            </w:r>
            <w:r w:rsidR="008837B0">
              <w:rPr>
                <w:color w:val="000000" w:themeColor="text1"/>
                <w:sz w:val="22"/>
                <w:szCs w:val="22"/>
              </w:rPr>
              <w:t>50</w:t>
            </w:r>
            <w:r w:rsidRPr="08957E40">
              <w:rPr>
                <w:color w:val="000000" w:themeColor="text1"/>
                <w:sz w:val="22"/>
                <w:szCs w:val="22"/>
              </w:rPr>
              <w:t>% on delivery and acceptance by ORR of final report.</w:t>
            </w:r>
          </w:p>
        </w:tc>
      </w:tr>
      <w:tr w:rsidR="00F52BE8" w:rsidRPr="0036077E" w14:paraId="6A95EAA1" w14:textId="77777777" w:rsidTr="1BED57EF">
        <w:trPr>
          <w:trHeight w:val="127"/>
        </w:trPr>
        <w:tc>
          <w:tcPr>
            <w:tcW w:w="8302"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1BED57EF">
        <w:trPr>
          <w:trHeight w:val="127"/>
        </w:trPr>
        <w:tc>
          <w:tcPr>
            <w:tcW w:w="8302" w:type="dxa"/>
            <w:shd w:val="clear" w:color="auto" w:fill="auto"/>
          </w:tcPr>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2273AE96"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22"/>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22"/>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lastRenderedPageBreak/>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8957E40">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8957E40">
        <w:trPr>
          <w:trHeight w:val="2967"/>
        </w:trPr>
        <w:tc>
          <w:tcPr>
            <w:tcW w:w="8528" w:type="dxa"/>
            <w:tcBorders>
              <w:bottom w:val="single" w:sz="4" w:space="0" w:color="auto"/>
            </w:tcBorders>
            <w:shd w:val="clear" w:color="auto" w:fill="auto"/>
          </w:tcPr>
          <w:p w14:paraId="78A4536E" w14:textId="5B71142D" w:rsidR="00F52BE8" w:rsidRPr="005F6D0A" w:rsidRDefault="00F52BE8" w:rsidP="009562BE">
            <w:pPr>
              <w:rPr>
                <w:rFonts w:cs="Arial"/>
                <w:sz w:val="22"/>
                <w:szCs w:val="22"/>
              </w:rPr>
            </w:pPr>
            <w:r w:rsidRPr="005F6D0A">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5F6D0A" w:rsidRDefault="00F52BE8" w:rsidP="00335497">
            <w:pPr>
              <w:pStyle w:val="Default"/>
              <w:rPr>
                <w:sz w:val="22"/>
                <w:szCs w:val="22"/>
              </w:rPr>
            </w:pPr>
            <w:r w:rsidRPr="005F6D0A">
              <w:rPr>
                <w:b/>
                <w:bCs/>
                <w:sz w:val="22"/>
                <w:szCs w:val="22"/>
              </w:rPr>
              <w:t xml:space="preserve">a) Understanding of customer's requirements </w:t>
            </w:r>
          </w:p>
          <w:p w14:paraId="48B1BFB7" w14:textId="77777777" w:rsidR="00F52BE8" w:rsidRPr="005F6D0A"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5F6D0A" w:rsidRDefault="00F52BE8" w:rsidP="00F52BE8">
            <w:pPr>
              <w:numPr>
                <w:ilvl w:val="0"/>
                <w:numId w:val="20"/>
              </w:numPr>
              <w:autoSpaceDE w:val="0"/>
              <w:autoSpaceDN w:val="0"/>
              <w:adjustRightInd w:val="0"/>
              <w:spacing w:after="0"/>
              <w:rPr>
                <w:rFonts w:cs="Arial"/>
                <w:color w:val="000000"/>
                <w:sz w:val="22"/>
                <w:szCs w:val="22"/>
                <w:lang w:eastAsia="en-GB"/>
              </w:rPr>
            </w:pPr>
            <w:r w:rsidRPr="005F6D0A">
              <w:rPr>
                <w:rFonts w:cs="Arial"/>
                <w:color w:val="000000"/>
                <w:sz w:val="22"/>
                <w:szCs w:val="22"/>
                <w:lang w:eastAsia="en-GB"/>
              </w:rPr>
              <w:t xml:space="preserve">Demonstrate an understanding of the requirement and overall aims of the project. </w:t>
            </w:r>
          </w:p>
          <w:p w14:paraId="4470C0C7" w14:textId="77777777" w:rsidR="00F52BE8" w:rsidRPr="005F6D0A"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5F6D0A" w:rsidRDefault="00F52BE8" w:rsidP="00335497">
            <w:pPr>
              <w:rPr>
                <w:rFonts w:cs="Arial"/>
                <w:sz w:val="22"/>
                <w:szCs w:val="22"/>
              </w:rPr>
            </w:pPr>
            <w:r w:rsidRPr="005F6D0A">
              <w:rPr>
                <w:rFonts w:cs="Arial"/>
                <w:b/>
                <w:bCs/>
                <w:color w:val="000000"/>
                <w:sz w:val="22"/>
                <w:szCs w:val="22"/>
                <w:lang w:eastAsia="en-GB"/>
              </w:rPr>
              <w:t>b) Approach to customer's requirements</w:t>
            </w:r>
          </w:p>
          <w:p w14:paraId="2280A60D" w14:textId="72426F4F" w:rsidR="00F52BE8" w:rsidRPr="005F6D0A" w:rsidRDefault="00F52BE8" w:rsidP="00F52BE8">
            <w:pPr>
              <w:numPr>
                <w:ilvl w:val="0"/>
                <w:numId w:val="19"/>
              </w:numPr>
              <w:autoSpaceDE w:val="0"/>
              <w:autoSpaceDN w:val="0"/>
              <w:adjustRightInd w:val="0"/>
              <w:spacing w:after="0"/>
              <w:rPr>
                <w:rFonts w:cs="Arial"/>
                <w:color w:val="000000"/>
                <w:sz w:val="22"/>
                <w:szCs w:val="22"/>
                <w:lang w:eastAsia="en-GB"/>
              </w:rPr>
            </w:pPr>
            <w:r w:rsidRPr="005F6D0A">
              <w:rPr>
                <w:rFonts w:cs="Arial"/>
                <w:color w:val="000000"/>
                <w:sz w:val="22"/>
                <w:szCs w:val="22"/>
                <w:lang w:eastAsia="en-GB"/>
              </w:rPr>
              <w:t>Provide an explanation of the proposed approach</w:t>
            </w:r>
            <w:r w:rsidR="00CF0798" w:rsidRPr="005F6D0A">
              <w:rPr>
                <w:rFonts w:cs="Arial"/>
                <w:color w:val="000000"/>
                <w:sz w:val="22"/>
                <w:szCs w:val="22"/>
                <w:lang w:eastAsia="en-GB"/>
              </w:rPr>
              <w:t xml:space="preserve"> </w:t>
            </w:r>
            <w:r w:rsidRPr="005F6D0A">
              <w:rPr>
                <w:rFonts w:cs="Arial"/>
                <w:color w:val="000000"/>
                <w:sz w:val="22"/>
                <w:szCs w:val="22"/>
                <w:lang w:eastAsia="en-GB"/>
              </w:rPr>
              <w:t>and a</w:t>
            </w:r>
            <w:r w:rsidRPr="005F6D0A">
              <w:rPr>
                <w:sz w:val="22"/>
                <w:szCs w:val="22"/>
              </w:rPr>
              <w:t>ny methodologies bidders will work to;</w:t>
            </w:r>
          </w:p>
          <w:p w14:paraId="3C6EF5FF" w14:textId="77777777" w:rsidR="00F52BE8" w:rsidRPr="005F6D0A"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5F6D0A" w:rsidRDefault="00F52BE8" w:rsidP="00F52BE8">
            <w:pPr>
              <w:numPr>
                <w:ilvl w:val="0"/>
                <w:numId w:val="19"/>
              </w:numPr>
              <w:autoSpaceDE w:val="0"/>
              <w:autoSpaceDN w:val="0"/>
              <w:adjustRightInd w:val="0"/>
              <w:spacing w:after="0"/>
              <w:rPr>
                <w:rFonts w:cs="Arial"/>
                <w:color w:val="000000"/>
                <w:sz w:val="22"/>
                <w:szCs w:val="22"/>
                <w:lang w:eastAsia="en-GB"/>
              </w:rPr>
            </w:pPr>
            <w:r w:rsidRPr="005F6D0A">
              <w:rPr>
                <w:rFonts w:cs="Arial"/>
                <w:color w:val="000000"/>
                <w:sz w:val="22"/>
                <w:szCs w:val="22"/>
                <w:lang w:eastAsia="en-GB"/>
              </w:rPr>
              <w:t xml:space="preserve">Details of your assumptions and/or constraints/dependencies made in relation to the project </w:t>
            </w:r>
          </w:p>
          <w:p w14:paraId="3AE2DD4B" w14:textId="77777777" w:rsidR="00F52BE8" w:rsidRPr="005F6D0A"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5F6D0A" w:rsidRDefault="00F52BE8" w:rsidP="00F52BE8">
            <w:pPr>
              <w:numPr>
                <w:ilvl w:val="0"/>
                <w:numId w:val="9"/>
              </w:numPr>
              <w:rPr>
                <w:rFonts w:cs="Arial"/>
                <w:sz w:val="22"/>
                <w:szCs w:val="22"/>
              </w:rPr>
            </w:pPr>
            <w:r w:rsidRPr="005F6D0A">
              <w:rPr>
                <w:rFonts w:cs="Arial"/>
                <w:sz w:val="22"/>
                <w:szCs w:val="22"/>
              </w:rPr>
              <w:t>A project plan to show how outputs and deliverables will be produced within the required timescales, detailing the resources that will be allocated;</w:t>
            </w:r>
          </w:p>
          <w:p w14:paraId="221E6231" w14:textId="77777777" w:rsidR="00F52BE8" w:rsidRPr="005F6D0A" w:rsidRDefault="00F52BE8" w:rsidP="00F52BE8">
            <w:pPr>
              <w:numPr>
                <w:ilvl w:val="0"/>
                <w:numId w:val="9"/>
              </w:numPr>
              <w:rPr>
                <w:rFonts w:cs="Arial"/>
                <w:sz w:val="22"/>
                <w:szCs w:val="22"/>
              </w:rPr>
            </w:pPr>
            <w:r w:rsidRPr="005F6D0A">
              <w:rPr>
                <w:rFonts w:cs="Arial"/>
                <w:sz w:val="22"/>
                <w:szCs w:val="22"/>
              </w:rPr>
              <w:t>An understanding of the risks, and explain how they would be mitigated to ensure delivery</w:t>
            </w:r>
          </w:p>
          <w:p w14:paraId="02A9C1FA" w14:textId="79B5179E" w:rsidR="00F52BE8" w:rsidRPr="005F6D0A" w:rsidRDefault="00F52BE8" w:rsidP="00F52BE8">
            <w:pPr>
              <w:pStyle w:val="ListNumber"/>
              <w:numPr>
                <w:ilvl w:val="0"/>
                <w:numId w:val="9"/>
              </w:numPr>
              <w:rPr>
                <w:sz w:val="22"/>
                <w:szCs w:val="22"/>
              </w:rPr>
            </w:pPr>
            <w:r w:rsidRPr="005F6D0A">
              <w:rPr>
                <w:sz w:val="22"/>
                <w:szCs w:val="22"/>
              </w:rPr>
              <w:t>Compliance with any security requirements outlined in the SOR, including details of accreditation for systems (e.g.</w:t>
            </w:r>
            <w:r w:rsidRPr="00D20EF9">
              <w:rPr>
                <w:sz w:val="22"/>
                <w:szCs w:val="22"/>
              </w:rPr>
              <w:t xml:space="preserve"> ISO27000, Cyber Essentials)</w:t>
            </w:r>
            <w:r w:rsidRPr="005F6D0A">
              <w:rPr>
                <w:sz w:val="22"/>
                <w:szCs w:val="22"/>
              </w:rPr>
              <w:t xml:space="preserve"> etc.</w:t>
            </w:r>
          </w:p>
          <w:p w14:paraId="458354EF" w14:textId="4A741453" w:rsidR="00F52BE8" w:rsidRPr="005F6D0A" w:rsidRDefault="00F52BE8" w:rsidP="00F52BE8">
            <w:pPr>
              <w:pStyle w:val="ListNumber"/>
              <w:numPr>
                <w:ilvl w:val="0"/>
                <w:numId w:val="9"/>
              </w:numPr>
              <w:rPr>
                <w:sz w:val="22"/>
                <w:szCs w:val="22"/>
              </w:rPr>
            </w:pPr>
            <w:r w:rsidRPr="005F6D0A">
              <w:rPr>
                <w:sz w:val="22"/>
                <w:szCs w:val="22"/>
              </w:rPr>
              <w:t xml:space="preserve">What support bidders will require from ORR; </w:t>
            </w:r>
          </w:p>
          <w:p w14:paraId="623C99FA" w14:textId="77777777" w:rsidR="00710956" w:rsidRPr="005F6D0A" w:rsidRDefault="00710956" w:rsidP="00710956">
            <w:pPr>
              <w:pStyle w:val="ListNumber"/>
              <w:numPr>
                <w:ilvl w:val="0"/>
                <w:numId w:val="0"/>
              </w:numPr>
              <w:rPr>
                <w:sz w:val="22"/>
                <w:szCs w:val="22"/>
              </w:rPr>
            </w:pPr>
          </w:p>
          <w:p w14:paraId="5A5E28BF" w14:textId="77777777" w:rsidR="00F52BE8" w:rsidRPr="005F6D0A" w:rsidRDefault="00F52BE8" w:rsidP="00335497">
            <w:pPr>
              <w:pStyle w:val="ListNumber"/>
              <w:numPr>
                <w:ilvl w:val="0"/>
                <w:numId w:val="0"/>
              </w:numPr>
              <w:rPr>
                <w:b/>
                <w:bCs/>
                <w:sz w:val="22"/>
                <w:szCs w:val="22"/>
              </w:rPr>
            </w:pPr>
            <w:r w:rsidRPr="005F6D0A">
              <w:rPr>
                <w:b/>
                <w:bCs/>
                <w:sz w:val="22"/>
                <w:szCs w:val="22"/>
              </w:rPr>
              <w:t>c)  Proposed delivery team</w:t>
            </w:r>
          </w:p>
          <w:p w14:paraId="70C87D48" w14:textId="77777777" w:rsidR="00F52BE8" w:rsidRPr="005F6D0A"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5F6D0A" w:rsidRDefault="00F52BE8" w:rsidP="00F52BE8">
            <w:pPr>
              <w:numPr>
                <w:ilvl w:val="0"/>
                <w:numId w:val="21"/>
              </w:numPr>
              <w:autoSpaceDE w:val="0"/>
              <w:autoSpaceDN w:val="0"/>
              <w:adjustRightInd w:val="0"/>
              <w:spacing w:after="0"/>
              <w:rPr>
                <w:rFonts w:cs="Arial"/>
                <w:color w:val="000000"/>
                <w:sz w:val="22"/>
                <w:szCs w:val="22"/>
                <w:lang w:eastAsia="en-GB"/>
              </w:rPr>
            </w:pPr>
            <w:r w:rsidRPr="005F6D0A">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5F6D0A" w:rsidRDefault="00F52BE8" w:rsidP="00335497">
            <w:pPr>
              <w:autoSpaceDE w:val="0"/>
              <w:autoSpaceDN w:val="0"/>
              <w:adjustRightInd w:val="0"/>
              <w:spacing w:after="0"/>
              <w:rPr>
                <w:rFonts w:cs="Arial"/>
                <w:color w:val="000000"/>
                <w:sz w:val="22"/>
                <w:szCs w:val="22"/>
                <w:lang w:eastAsia="en-GB"/>
              </w:rPr>
            </w:pPr>
          </w:p>
          <w:p w14:paraId="2DB1A110" w14:textId="77777777" w:rsidR="00F52BE8" w:rsidRPr="005F6D0A" w:rsidRDefault="00F52BE8" w:rsidP="00F52BE8">
            <w:pPr>
              <w:numPr>
                <w:ilvl w:val="0"/>
                <w:numId w:val="21"/>
              </w:numPr>
              <w:autoSpaceDE w:val="0"/>
              <w:autoSpaceDN w:val="0"/>
              <w:adjustRightInd w:val="0"/>
              <w:spacing w:after="0"/>
              <w:rPr>
                <w:rFonts w:cs="Arial"/>
                <w:color w:val="000000"/>
                <w:sz w:val="22"/>
                <w:szCs w:val="22"/>
                <w:lang w:eastAsia="en-GB"/>
              </w:rPr>
            </w:pPr>
            <w:r w:rsidRPr="005F6D0A">
              <w:rPr>
                <w:rFonts w:cs="Arial"/>
                <w:color w:val="000000"/>
                <w:sz w:val="22"/>
                <w:szCs w:val="22"/>
                <w:lang w:eastAsia="en-GB"/>
              </w:rPr>
              <w:t xml:space="preserve">Project roles and responsibilities </w:t>
            </w:r>
          </w:p>
          <w:p w14:paraId="127CA6ED" w14:textId="77777777" w:rsidR="00F52BE8" w:rsidRPr="005F6D0A" w:rsidRDefault="00F52BE8" w:rsidP="00335497">
            <w:pPr>
              <w:autoSpaceDE w:val="0"/>
              <w:autoSpaceDN w:val="0"/>
              <w:adjustRightInd w:val="0"/>
              <w:spacing w:after="0"/>
              <w:ind w:left="360"/>
              <w:rPr>
                <w:rFonts w:cs="Arial"/>
                <w:color w:val="000000"/>
                <w:sz w:val="22"/>
                <w:szCs w:val="22"/>
                <w:lang w:eastAsia="en-GB"/>
              </w:rPr>
            </w:pPr>
          </w:p>
          <w:p w14:paraId="531C89D8" w14:textId="77777777" w:rsidR="00F52BE8" w:rsidRPr="005F6D0A" w:rsidRDefault="00F52BE8" w:rsidP="00F52BE8">
            <w:pPr>
              <w:numPr>
                <w:ilvl w:val="0"/>
                <w:numId w:val="21"/>
              </w:numPr>
              <w:autoSpaceDE w:val="0"/>
              <w:autoSpaceDN w:val="0"/>
              <w:adjustRightInd w:val="0"/>
              <w:spacing w:after="0"/>
              <w:rPr>
                <w:rFonts w:cs="Arial"/>
                <w:color w:val="000000"/>
                <w:sz w:val="22"/>
                <w:szCs w:val="22"/>
                <w:lang w:eastAsia="en-GB"/>
              </w:rPr>
            </w:pPr>
            <w:r w:rsidRPr="005F6D0A">
              <w:rPr>
                <w:sz w:val="22"/>
                <w:szCs w:val="22"/>
              </w:rPr>
              <w:t>Confirmation that you have carried out the necessary employment checks (e.g. right to work in the UK)</w:t>
            </w:r>
          </w:p>
          <w:p w14:paraId="08E102B5" w14:textId="77777777" w:rsidR="00F52BE8" w:rsidRPr="005F6D0A" w:rsidRDefault="00F52BE8" w:rsidP="00335497">
            <w:pPr>
              <w:ind w:left="360"/>
              <w:rPr>
                <w:rFonts w:cs="Arial"/>
                <w:sz w:val="22"/>
                <w:szCs w:val="22"/>
              </w:rPr>
            </w:pPr>
          </w:p>
          <w:p w14:paraId="3B31880F" w14:textId="17F75F34" w:rsidR="00F52BE8" w:rsidRPr="005F6D0A" w:rsidRDefault="00F52BE8" w:rsidP="00F52BE8">
            <w:pPr>
              <w:numPr>
                <w:ilvl w:val="0"/>
                <w:numId w:val="9"/>
              </w:numPr>
              <w:rPr>
                <w:rFonts w:cs="Arial"/>
                <w:sz w:val="22"/>
                <w:szCs w:val="22"/>
              </w:rPr>
            </w:pPr>
            <w:r w:rsidRPr="005F6D0A">
              <w:rPr>
                <w:rFonts w:cs="Arial"/>
                <w:sz w:val="22"/>
                <w:szCs w:val="22"/>
              </w:rPr>
              <w:t xml:space="preserve">Some relevant examples of previous work that bidders have carried out (eg. case studies) </w:t>
            </w:r>
            <w:r w:rsidR="00CD34D4" w:rsidRPr="005F6D0A">
              <w:rPr>
                <w:rFonts w:cs="Arial"/>
                <w:sz w:val="22"/>
                <w:szCs w:val="22"/>
              </w:rPr>
              <w:t>and</w:t>
            </w:r>
            <w:r w:rsidRPr="005F6D0A">
              <w:rPr>
                <w:rFonts w:cs="Arial"/>
                <w:sz w:val="22"/>
                <w:szCs w:val="22"/>
              </w:rPr>
              <w:t xml:space="preserve"> Details of at least two relevant reference projects along with contact details of clients</w:t>
            </w:r>
          </w:p>
          <w:p w14:paraId="080C165A" w14:textId="52C2209C" w:rsidR="00CD34D4" w:rsidRDefault="00CD34D4" w:rsidP="00CD34D4">
            <w:pPr>
              <w:rPr>
                <w:rFonts w:cs="Arial"/>
                <w:sz w:val="22"/>
                <w:szCs w:val="22"/>
              </w:rPr>
            </w:pPr>
          </w:p>
          <w:p w14:paraId="7C69D710" w14:textId="77777777" w:rsidR="00CD34D4" w:rsidRPr="0036077E" w:rsidRDefault="00CD34D4" w:rsidP="00CD34D4">
            <w:pPr>
              <w:rPr>
                <w:rFonts w:cs="Arial"/>
                <w:sz w:val="22"/>
                <w:szCs w:val="22"/>
              </w:rPr>
            </w:pPr>
          </w:p>
          <w:p w14:paraId="763D8B07" w14:textId="77777777" w:rsidR="00F52BE8" w:rsidRPr="0036077E" w:rsidRDefault="00F52BE8" w:rsidP="00335497">
            <w:pPr>
              <w:rPr>
                <w:rFonts w:cs="Arial"/>
                <w:b/>
                <w:sz w:val="22"/>
                <w:szCs w:val="22"/>
              </w:rPr>
            </w:pPr>
            <w:r w:rsidRPr="0036077E">
              <w:rPr>
                <w:rFonts w:cs="Arial"/>
                <w:b/>
                <w:sz w:val="22"/>
                <w:szCs w:val="22"/>
              </w:rPr>
              <w:lastRenderedPageBreak/>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7159CDC2"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31693056" w14:textId="036C6B37" w:rsidR="00CD34D4" w:rsidRPr="009878A7" w:rsidRDefault="00CD34D4" w:rsidP="009878A7">
            <w:pPr>
              <w:autoSpaceDE w:val="0"/>
              <w:autoSpaceDN w:val="0"/>
              <w:adjustRightInd w:val="0"/>
              <w:spacing w:after="0"/>
              <w:rPr>
                <w:rFonts w:cs="Arial"/>
                <w:color w:val="000000"/>
                <w:sz w:val="22"/>
                <w:szCs w:val="22"/>
                <w:lang w:eastAsia="en-GB"/>
              </w:rPr>
            </w:pPr>
          </w:p>
        </w:tc>
      </w:tr>
      <w:tr w:rsidR="00F52BE8" w:rsidRPr="0036077E" w14:paraId="23492B51" w14:textId="77777777" w:rsidTr="08957E40">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8957E40">
        <w:trPr>
          <w:trHeight w:val="352"/>
        </w:trPr>
        <w:tc>
          <w:tcPr>
            <w:tcW w:w="8528" w:type="dxa"/>
            <w:tcBorders>
              <w:bottom w:val="single" w:sz="4" w:space="0" w:color="auto"/>
            </w:tcBorders>
            <w:shd w:val="clear" w:color="auto" w:fill="auto"/>
          </w:tcPr>
          <w:p w14:paraId="490F937F" w14:textId="77777777" w:rsidR="00F52BE8" w:rsidRPr="005F6D0A"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5F6D0A">
              <w:rPr>
                <w:rFonts w:ascii="Arial" w:hAnsi="Arial" w:cs="Arial"/>
                <w:sz w:val="22"/>
                <w:szCs w:val="22"/>
              </w:rPr>
              <w:t>Tenders will be assessed for compliance with procurement and contractual requirements which will include:</w:t>
            </w:r>
          </w:p>
          <w:p w14:paraId="759A5D81" w14:textId="77777777" w:rsidR="00F52BE8" w:rsidRPr="005F6D0A"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D20EF9" w:rsidRDefault="08957E40" w:rsidP="08957E40">
            <w:pPr>
              <w:pStyle w:val="BodyText"/>
              <w:widowControl/>
              <w:numPr>
                <w:ilvl w:val="0"/>
                <w:numId w:val="3"/>
              </w:numPr>
              <w:tabs>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rPr>
                <w:rFonts w:ascii="Arial" w:eastAsiaTheme="minorEastAsia" w:hAnsi="Arial" w:cs="Arial"/>
                <w:sz w:val="22"/>
                <w:szCs w:val="22"/>
              </w:rPr>
            </w:pPr>
            <w:r w:rsidRPr="005F6D0A">
              <w:rPr>
                <w:rFonts w:ascii="Arial" w:hAnsi="Arial" w:cs="Arial"/>
                <w:sz w:val="22"/>
                <w:szCs w:val="22"/>
              </w:rPr>
              <w:t>Completeness of the tender information</w:t>
            </w:r>
          </w:p>
          <w:p w14:paraId="6FBBC134" w14:textId="77777777" w:rsidR="00F52BE8" w:rsidRPr="00D20EF9" w:rsidRDefault="08957E40" w:rsidP="08957E40">
            <w:pPr>
              <w:pStyle w:val="BodyText"/>
              <w:widowControl/>
              <w:numPr>
                <w:ilvl w:val="0"/>
                <w:numId w:val="3"/>
              </w:numPr>
              <w:tabs>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rPr>
                <w:rFonts w:ascii="Arial" w:eastAsiaTheme="minorEastAsia" w:hAnsi="Arial" w:cs="Arial"/>
                <w:sz w:val="22"/>
                <w:szCs w:val="22"/>
              </w:rPr>
            </w:pPr>
            <w:r w:rsidRPr="005F6D0A">
              <w:rPr>
                <w:rFonts w:ascii="Arial" w:hAnsi="Arial" w:cs="Arial"/>
                <w:sz w:val="22"/>
                <w:szCs w:val="22"/>
              </w:rPr>
              <w:t>Completed Declaration Form of Tender and Disclaimer</w:t>
            </w:r>
          </w:p>
          <w:p w14:paraId="10EFD00B" w14:textId="77777777" w:rsidR="00F52BE8" w:rsidRPr="00D20EF9" w:rsidRDefault="08957E40" w:rsidP="08957E40">
            <w:pPr>
              <w:pStyle w:val="BodyText"/>
              <w:widowControl/>
              <w:numPr>
                <w:ilvl w:val="0"/>
                <w:numId w:val="3"/>
              </w:numPr>
              <w:tabs>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rPr>
                <w:rFonts w:ascii="Arial" w:eastAsiaTheme="minorEastAsia" w:hAnsi="Arial" w:cs="Arial"/>
                <w:sz w:val="22"/>
                <w:szCs w:val="22"/>
              </w:rPr>
            </w:pPr>
            <w:r w:rsidRPr="005F6D0A">
              <w:rPr>
                <w:rFonts w:ascii="Arial" w:hAnsi="Arial" w:cs="Arial"/>
                <w:sz w:val="22"/>
                <w:szCs w:val="22"/>
              </w:rPr>
              <w:t>Tender submitted in accordance with the conditions and instructions for tendering</w:t>
            </w:r>
          </w:p>
          <w:p w14:paraId="5B0CFC0D" w14:textId="77777777" w:rsidR="00F52BE8" w:rsidRPr="00D20EF9" w:rsidRDefault="08957E40" w:rsidP="08957E40">
            <w:pPr>
              <w:pStyle w:val="BodyText"/>
              <w:widowControl/>
              <w:numPr>
                <w:ilvl w:val="0"/>
                <w:numId w:val="3"/>
              </w:numPr>
              <w:tabs>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rPr>
                <w:rFonts w:ascii="Arial" w:eastAsiaTheme="minorEastAsia" w:hAnsi="Arial" w:cs="Arial"/>
                <w:sz w:val="22"/>
                <w:szCs w:val="22"/>
              </w:rPr>
            </w:pPr>
            <w:r w:rsidRPr="005F6D0A">
              <w:rPr>
                <w:rFonts w:ascii="Arial" w:hAnsi="Arial" w:cs="Arial"/>
                <w:sz w:val="22"/>
                <w:szCs w:val="22"/>
              </w:rPr>
              <w:t>Tender submitted by the closing date and time</w:t>
            </w:r>
          </w:p>
          <w:p w14:paraId="1C2E788F" w14:textId="77777777" w:rsidR="00F52BE8" w:rsidRPr="00D20EF9" w:rsidRDefault="08957E40" w:rsidP="08957E40">
            <w:pPr>
              <w:pStyle w:val="BodyText"/>
              <w:widowControl/>
              <w:numPr>
                <w:ilvl w:val="0"/>
                <w:numId w:val="3"/>
              </w:numPr>
              <w:tabs>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rPr>
                <w:rFonts w:ascii="Arial" w:eastAsiaTheme="minorEastAsia" w:hAnsi="Arial" w:cs="Arial"/>
                <w:sz w:val="22"/>
                <w:szCs w:val="22"/>
              </w:rPr>
            </w:pPr>
            <w:r w:rsidRPr="005F6D0A">
              <w:rPr>
                <w:rFonts w:ascii="Arial" w:hAnsi="Arial" w:cs="Arial"/>
                <w:sz w:val="22"/>
                <w:szCs w:val="22"/>
              </w:rPr>
              <w:t>Compliance with contractual arrangements.</w:t>
            </w:r>
          </w:p>
          <w:p w14:paraId="3DD3C6C3" w14:textId="77777777" w:rsidR="00F52BE8" w:rsidRPr="005F6D0A"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5F6D0A"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5F6D0A">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5F6D0A" w:rsidRDefault="00F52BE8" w:rsidP="00335497">
            <w:pPr>
              <w:pStyle w:val="ListNumber"/>
              <w:numPr>
                <w:ilvl w:val="0"/>
                <w:numId w:val="0"/>
              </w:numPr>
              <w:rPr>
                <w:rFonts w:cs="Arial"/>
                <w:sz w:val="22"/>
                <w:szCs w:val="22"/>
              </w:rPr>
            </w:pPr>
            <w:r w:rsidRPr="005F6D0A">
              <w:rPr>
                <w:rFonts w:cs="Arial"/>
                <w:sz w:val="22"/>
                <w:szCs w:val="22"/>
              </w:rPr>
              <w:t xml:space="preserve">The contract will be awarded to the Bidder(s) submitting the </w:t>
            </w:r>
            <w:r w:rsidRPr="005F6D0A">
              <w:rPr>
                <w:rFonts w:cs="Arial"/>
                <w:b/>
                <w:sz w:val="22"/>
                <w:szCs w:val="22"/>
                <w:u w:val="single"/>
              </w:rPr>
              <w:t>‘most economically advantageous tender’</w:t>
            </w:r>
            <w:r w:rsidRPr="005F6D0A">
              <w:rPr>
                <w:rFonts w:cs="Arial"/>
                <w:sz w:val="22"/>
                <w:szCs w:val="22"/>
              </w:rPr>
              <w:t xml:space="preserve">. Tenders will be evaluated according to weighted criteria as follows: </w:t>
            </w:r>
          </w:p>
          <w:p w14:paraId="10CB4EBB" w14:textId="77777777" w:rsidR="00AA00D4" w:rsidRPr="00D20EF9" w:rsidRDefault="00AA00D4" w:rsidP="00335497">
            <w:pPr>
              <w:pStyle w:val="ListNumber"/>
              <w:numPr>
                <w:ilvl w:val="0"/>
                <w:numId w:val="0"/>
              </w:numPr>
              <w:rPr>
                <w:rFonts w:cs="Arial"/>
                <w:b/>
                <w:sz w:val="22"/>
                <w:szCs w:val="22"/>
              </w:rPr>
            </w:pPr>
          </w:p>
          <w:p w14:paraId="178948B0" w14:textId="75E7C5BA" w:rsidR="00F52BE8" w:rsidRPr="00D20EF9" w:rsidRDefault="00F52BE8" w:rsidP="00335497">
            <w:pPr>
              <w:pStyle w:val="ListNumber"/>
              <w:numPr>
                <w:ilvl w:val="0"/>
                <w:numId w:val="0"/>
              </w:numPr>
              <w:rPr>
                <w:rFonts w:cs="Arial"/>
                <w:sz w:val="22"/>
                <w:szCs w:val="22"/>
              </w:rPr>
            </w:pPr>
            <w:r w:rsidRPr="00D20EF9">
              <w:rPr>
                <w:rFonts w:cs="Arial"/>
                <w:b/>
                <w:sz w:val="22"/>
                <w:szCs w:val="22"/>
              </w:rPr>
              <w:t>Methodology (</w:t>
            </w:r>
            <w:r w:rsidR="00E81847" w:rsidRPr="00D20EF9">
              <w:rPr>
                <w:rFonts w:cs="Arial"/>
                <w:b/>
                <w:sz w:val="22"/>
                <w:szCs w:val="22"/>
              </w:rPr>
              <w:t>30</w:t>
            </w:r>
            <w:r w:rsidR="001A476F" w:rsidRPr="00D20EF9">
              <w:rPr>
                <w:rFonts w:cs="Arial"/>
                <w:b/>
                <w:sz w:val="22"/>
                <w:szCs w:val="22"/>
              </w:rPr>
              <w:t>%</w:t>
            </w:r>
            <w:r w:rsidRPr="00D20EF9">
              <w:rPr>
                <w:rFonts w:cs="Arial"/>
                <w:b/>
                <w:sz w:val="22"/>
                <w:szCs w:val="22"/>
              </w:rPr>
              <w:t>)</w:t>
            </w:r>
          </w:p>
          <w:p w14:paraId="08B651BF" w14:textId="77777777" w:rsidR="00F52BE8" w:rsidRPr="005F6D0A" w:rsidRDefault="00F52BE8" w:rsidP="00335497">
            <w:pPr>
              <w:pStyle w:val="ListNumber"/>
              <w:numPr>
                <w:ilvl w:val="0"/>
                <w:numId w:val="0"/>
              </w:numPr>
              <w:rPr>
                <w:rFonts w:cs="Arial"/>
                <w:sz w:val="22"/>
                <w:szCs w:val="22"/>
              </w:rPr>
            </w:pPr>
            <w:r w:rsidRPr="005F6D0A">
              <w:rPr>
                <w:rFonts w:cs="Arial"/>
                <w:sz w:val="22"/>
                <w:szCs w:val="22"/>
              </w:rPr>
              <w:t>The proposal should set out the methodology by which the project requirement will be initiated, delivered and concluded.  In particular, it must:</w:t>
            </w:r>
          </w:p>
          <w:p w14:paraId="556ABCA4" w14:textId="5A493A90" w:rsidR="00F52BE8" w:rsidRPr="005F6D0A" w:rsidRDefault="00F52BE8" w:rsidP="00AD47DF">
            <w:pPr>
              <w:pStyle w:val="ListNumber"/>
              <w:numPr>
                <w:ilvl w:val="0"/>
                <w:numId w:val="48"/>
              </w:numPr>
              <w:tabs>
                <w:tab w:val="clear" w:pos="720"/>
                <w:tab w:val="left" w:pos="426"/>
              </w:tabs>
              <w:rPr>
                <w:rFonts w:cs="Arial"/>
                <w:sz w:val="22"/>
                <w:szCs w:val="22"/>
              </w:rPr>
            </w:pPr>
            <w:r w:rsidRPr="005F6D0A">
              <w:rPr>
                <w:rFonts w:cs="Arial"/>
                <w:sz w:val="22"/>
                <w:szCs w:val="22"/>
              </w:rPr>
              <w:t>Explain the methodology and delivery mechanisms to ensure that the requirements of this specification are met in terms of quality;</w:t>
            </w:r>
          </w:p>
          <w:p w14:paraId="17D262FC" w14:textId="37663106" w:rsidR="00AD47DF" w:rsidRPr="005F6D0A" w:rsidRDefault="00F52BE8" w:rsidP="00AD47DF">
            <w:pPr>
              <w:pStyle w:val="ListNumber"/>
              <w:numPr>
                <w:ilvl w:val="0"/>
                <w:numId w:val="48"/>
              </w:numPr>
              <w:tabs>
                <w:tab w:val="clear" w:pos="720"/>
                <w:tab w:val="left" w:pos="426"/>
              </w:tabs>
              <w:rPr>
                <w:rFonts w:cs="Arial"/>
                <w:sz w:val="22"/>
                <w:szCs w:val="22"/>
              </w:rPr>
            </w:pPr>
            <w:r w:rsidRPr="005F6D0A">
              <w:rPr>
                <w:rFonts w:cs="Arial"/>
                <w:sz w:val="22"/>
                <w:szCs w:val="22"/>
              </w:rPr>
              <w:t>Explain how your organisation will work in partnership with ORR’s project manager to ensure that the requirement is met</w:t>
            </w:r>
          </w:p>
          <w:p w14:paraId="275A9119" w14:textId="66737A82" w:rsidR="00F52BE8" w:rsidRPr="005F6D0A" w:rsidRDefault="00F52BE8" w:rsidP="00AD47DF">
            <w:pPr>
              <w:pStyle w:val="ListNumber"/>
              <w:numPr>
                <w:ilvl w:val="0"/>
                <w:numId w:val="48"/>
              </w:numPr>
              <w:tabs>
                <w:tab w:val="clear" w:pos="720"/>
                <w:tab w:val="left" w:pos="426"/>
              </w:tabs>
              <w:rPr>
                <w:rFonts w:cs="Arial"/>
                <w:sz w:val="22"/>
                <w:szCs w:val="22"/>
              </w:rPr>
            </w:pPr>
            <w:r w:rsidRPr="005F6D0A">
              <w:rPr>
                <w:rFonts w:cs="Arial"/>
                <w:sz w:val="22"/>
                <w:szCs w:val="22"/>
              </w:rPr>
              <w:t>Explain how your organisation will engage with external stakeholders;</w:t>
            </w:r>
          </w:p>
          <w:p w14:paraId="587D2A59" w14:textId="77777777" w:rsidR="00F52BE8" w:rsidRPr="005F6D0A" w:rsidRDefault="00F52BE8" w:rsidP="00AD47DF">
            <w:pPr>
              <w:pStyle w:val="ListNumber"/>
              <w:numPr>
                <w:ilvl w:val="0"/>
                <w:numId w:val="48"/>
              </w:numPr>
              <w:tabs>
                <w:tab w:val="clear" w:pos="720"/>
                <w:tab w:val="left" w:pos="426"/>
              </w:tabs>
              <w:rPr>
                <w:rFonts w:cs="Arial"/>
                <w:sz w:val="22"/>
                <w:szCs w:val="22"/>
              </w:rPr>
            </w:pPr>
            <w:r w:rsidRPr="005F6D0A">
              <w:rPr>
                <w:rFonts w:cs="Arial"/>
                <w:sz w:val="22"/>
                <w:szCs w:val="22"/>
              </w:rPr>
              <w:t xml:space="preserve">Outline how the proposed approach utilises </w:t>
            </w:r>
            <w:r w:rsidRPr="005F6D0A">
              <w:rPr>
                <w:rFonts w:cs="Arial"/>
                <w:b/>
                <w:sz w:val="22"/>
                <w:szCs w:val="22"/>
              </w:rPr>
              <w:t>innovative</w:t>
            </w:r>
            <w:r w:rsidRPr="005F6D0A">
              <w:rPr>
                <w:rFonts w:cs="Arial"/>
                <w:sz w:val="22"/>
                <w:szCs w:val="22"/>
              </w:rPr>
              <w:t xml:space="preserve"> consultation methodologies to develop a diverse and comprehensive evidence-base</w:t>
            </w:r>
          </w:p>
          <w:p w14:paraId="54CE6FFF" w14:textId="6C357A88" w:rsidR="00F52BE8" w:rsidRPr="005F6D0A" w:rsidRDefault="00F52BE8" w:rsidP="00335497">
            <w:pPr>
              <w:pStyle w:val="ListNumber"/>
              <w:numPr>
                <w:ilvl w:val="0"/>
                <w:numId w:val="0"/>
              </w:numPr>
              <w:tabs>
                <w:tab w:val="clear" w:pos="720"/>
                <w:tab w:val="left" w:pos="426"/>
              </w:tabs>
              <w:rPr>
                <w:rFonts w:cs="Arial"/>
                <w:sz w:val="22"/>
                <w:szCs w:val="22"/>
              </w:rPr>
            </w:pPr>
          </w:p>
          <w:p w14:paraId="5AAA9E07" w14:textId="5E7D5EAA" w:rsidR="00591AB9" w:rsidRPr="005F6D0A" w:rsidRDefault="00591AB9" w:rsidP="00335497">
            <w:pPr>
              <w:pStyle w:val="ListNumber"/>
              <w:numPr>
                <w:ilvl w:val="0"/>
                <w:numId w:val="0"/>
              </w:numPr>
              <w:tabs>
                <w:tab w:val="clear" w:pos="720"/>
                <w:tab w:val="left" w:pos="426"/>
              </w:tabs>
              <w:rPr>
                <w:rFonts w:cs="Arial"/>
                <w:sz w:val="22"/>
                <w:szCs w:val="22"/>
              </w:rPr>
            </w:pPr>
          </w:p>
          <w:p w14:paraId="0AA57DB9" w14:textId="77777777" w:rsidR="00591AB9" w:rsidRPr="005F6D0A" w:rsidRDefault="00591AB9" w:rsidP="00335497">
            <w:pPr>
              <w:pStyle w:val="ListNumber"/>
              <w:numPr>
                <w:ilvl w:val="0"/>
                <w:numId w:val="0"/>
              </w:numPr>
              <w:tabs>
                <w:tab w:val="clear" w:pos="720"/>
                <w:tab w:val="left" w:pos="426"/>
              </w:tabs>
              <w:rPr>
                <w:rFonts w:cs="Arial"/>
                <w:sz w:val="22"/>
                <w:szCs w:val="22"/>
              </w:rPr>
            </w:pPr>
          </w:p>
          <w:p w14:paraId="0EAB7769" w14:textId="787E3D82" w:rsidR="00F52BE8" w:rsidRPr="00D20EF9" w:rsidRDefault="00F52BE8" w:rsidP="00335497">
            <w:pPr>
              <w:pStyle w:val="ListNumber"/>
              <w:numPr>
                <w:ilvl w:val="0"/>
                <w:numId w:val="0"/>
              </w:numPr>
              <w:rPr>
                <w:rFonts w:cs="Arial"/>
                <w:b/>
                <w:bCs/>
                <w:sz w:val="22"/>
                <w:szCs w:val="22"/>
                <w:lang w:eastAsia="en-GB"/>
              </w:rPr>
            </w:pPr>
            <w:r w:rsidRPr="00D20EF9">
              <w:rPr>
                <w:rFonts w:cs="Arial"/>
                <w:b/>
                <w:bCs/>
                <w:sz w:val="22"/>
                <w:szCs w:val="22"/>
                <w:lang w:eastAsia="en-GB"/>
              </w:rPr>
              <w:lastRenderedPageBreak/>
              <w:t>Delivery (</w:t>
            </w:r>
            <w:r w:rsidR="009E641D" w:rsidRPr="00D20EF9">
              <w:rPr>
                <w:rFonts w:cs="Arial"/>
                <w:b/>
                <w:bCs/>
                <w:sz w:val="22"/>
                <w:szCs w:val="22"/>
                <w:lang w:eastAsia="en-GB"/>
              </w:rPr>
              <w:t>30</w:t>
            </w:r>
            <w:r w:rsidRPr="00D20EF9">
              <w:rPr>
                <w:rFonts w:cs="Arial"/>
                <w:b/>
                <w:bCs/>
                <w:sz w:val="22"/>
                <w:szCs w:val="22"/>
                <w:lang w:eastAsia="en-GB"/>
              </w:rPr>
              <w:t>%)</w:t>
            </w:r>
          </w:p>
          <w:p w14:paraId="6310AE97" w14:textId="77777777" w:rsidR="00F52BE8" w:rsidRPr="005F6D0A" w:rsidRDefault="00F52BE8" w:rsidP="00335497">
            <w:pPr>
              <w:pStyle w:val="ListNumber"/>
              <w:numPr>
                <w:ilvl w:val="0"/>
                <w:numId w:val="0"/>
              </w:numPr>
              <w:rPr>
                <w:rFonts w:cs="Arial"/>
                <w:sz w:val="22"/>
                <w:szCs w:val="22"/>
              </w:rPr>
            </w:pPr>
            <w:r w:rsidRPr="005F6D0A">
              <w:rPr>
                <w:rFonts w:cs="Arial"/>
                <w:sz w:val="22"/>
                <w:szCs w:val="22"/>
              </w:rPr>
              <w:t>The proposal should set out how and when the project requirement will be delivered.  In particular, it must:</w:t>
            </w:r>
          </w:p>
          <w:p w14:paraId="1206C095" w14:textId="77777777" w:rsidR="00F52BE8" w:rsidRPr="005F6D0A" w:rsidRDefault="00F52BE8" w:rsidP="00335497">
            <w:pPr>
              <w:pStyle w:val="ListNumber"/>
              <w:numPr>
                <w:ilvl w:val="0"/>
                <w:numId w:val="0"/>
              </w:numPr>
              <w:rPr>
                <w:rFonts w:cs="Arial"/>
                <w:sz w:val="22"/>
                <w:szCs w:val="22"/>
              </w:rPr>
            </w:pPr>
            <w:r w:rsidRPr="005F6D0A">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5F6D0A" w:rsidRDefault="00F52BE8" w:rsidP="00335497">
            <w:pPr>
              <w:pStyle w:val="ListNumber"/>
              <w:numPr>
                <w:ilvl w:val="0"/>
                <w:numId w:val="0"/>
              </w:numPr>
              <w:rPr>
                <w:rFonts w:cs="Arial"/>
                <w:sz w:val="22"/>
                <w:szCs w:val="22"/>
              </w:rPr>
            </w:pPr>
            <w:r w:rsidRPr="005F6D0A">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D20EF9" w:rsidRDefault="00F52BE8" w:rsidP="00335497">
            <w:pPr>
              <w:pStyle w:val="ListNumber"/>
              <w:numPr>
                <w:ilvl w:val="0"/>
                <w:numId w:val="0"/>
              </w:numPr>
              <w:rPr>
                <w:rFonts w:cs="Arial"/>
                <w:sz w:val="22"/>
                <w:szCs w:val="22"/>
              </w:rPr>
            </w:pPr>
            <w:r w:rsidRPr="00D20EF9">
              <w:rPr>
                <w:rFonts w:cs="Arial"/>
                <w:sz w:val="22"/>
                <w:szCs w:val="22"/>
              </w:rPr>
              <w:t>c) Explain the resources that will be allocated to delivering the required outcomes/output, and what other resources can be called upon if required.</w:t>
            </w:r>
          </w:p>
          <w:p w14:paraId="20422A11" w14:textId="77777777" w:rsidR="00F52BE8" w:rsidRPr="005F6D0A" w:rsidRDefault="00F52BE8" w:rsidP="00335497">
            <w:pPr>
              <w:pStyle w:val="ListNumber"/>
              <w:numPr>
                <w:ilvl w:val="0"/>
                <w:numId w:val="0"/>
              </w:numPr>
              <w:rPr>
                <w:rFonts w:cs="Arial"/>
                <w:sz w:val="22"/>
                <w:szCs w:val="22"/>
              </w:rPr>
            </w:pPr>
          </w:p>
          <w:p w14:paraId="2554883F" w14:textId="5799586B" w:rsidR="00F52BE8" w:rsidRPr="00D20EF9" w:rsidRDefault="00F52BE8" w:rsidP="00335497">
            <w:pPr>
              <w:pStyle w:val="ListNumber"/>
              <w:numPr>
                <w:ilvl w:val="0"/>
                <w:numId w:val="0"/>
              </w:numPr>
              <w:tabs>
                <w:tab w:val="clear" w:pos="720"/>
                <w:tab w:val="left" w:pos="426"/>
              </w:tabs>
              <w:rPr>
                <w:rFonts w:cs="Arial"/>
                <w:b/>
                <w:sz w:val="22"/>
                <w:szCs w:val="22"/>
              </w:rPr>
            </w:pPr>
            <w:r w:rsidRPr="00D20EF9">
              <w:rPr>
                <w:rFonts w:cs="Arial"/>
                <w:b/>
                <w:sz w:val="22"/>
                <w:szCs w:val="22"/>
              </w:rPr>
              <w:t>Experience (</w:t>
            </w:r>
            <w:r w:rsidR="00E81847" w:rsidRPr="00D20EF9">
              <w:rPr>
                <w:rFonts w:cs="Arial"/>
                <w:b/>
                <w:sz w:val="22"/>
                <w:szCs w:val="22"/>
              </w:rPr>
              <w:t>3</w:t>
            </w:r>
            <w:r w:rsidR="00AD47DF" w:rsidRPr="00D20EF9">
              <w:rPr>
                <w:rFonts w:cs="Arial"/>
                <w:b/>
                <w:sz w:val="22"/>
                <w:szCs w:val="22"/>
              </w:rPr>
              <w:t>0</w:t>
            </w:r>
            <w:r w:rsidR="001A476F" w:rsidRPr="00D20EF9">
              <w:rPr>
                <w:rFonts w:cs="Arial"/>
                <w:b/>
                <w:sz w:val="22"/>
                <w:szCs w:val="22"/>
              </w:rPr>
              <w:t>%</w:t>
            </w:r>
            <w:r w:rsidRPr="00D20EF9">
              <w:rPr>
                <w:rFonts w:cs="Arial"/>
                <w:b/>
                <w:sz w:val="22"/>
                <w:szCs w:val="22"/>
              </w:rPr>
              <w:t>)</w:t>
            </w:r>
          </w:p>
          <w:p w14:paraId="36FBA9F6" w14:textId="77777777" w:rsidR="00F52BE8" w:rsidRPr="005F6D0A" w:rsidRDefault="00F52BE8" w:rsidP="00335497">
            <w:pPr>
              <w:pStyle w:val="ListNumber"/>
              <w:numPr>
                <w:ilvl w:val="0"/>
                <w:numId w:val="0"/>
              </w:numPr>
              <w:rPr>
                <w:rFonts w:cs="Arial"/>
                <w:sz w:val="22"/>
                <w:szCs w:val="22"/>
              </w:rPr>
            </w:pPr>
            <w:r w:rsidRPr="005F6D0A">
              <w:rPr>
                <w:rFonts w:cs="Arial"/>
                <w:sz w:val="22"/>
                <w:szCs w:val="22"/>
              </w:rPr>
              <w:t>The proposal should set out any experience relevant to the project requirement.  In particular, it must:</w:t>
            </w:r>
          </w:p>
          <w:p w14:paraId="6FB40A5F" w14:textId="77777777" w:rsidR="00F52BE8" w:rsidRPr="005F6D0A" w:rsidRDefault="00F52BE8" w:rsidP="00335497">
            <w:pPr>
              <w:pStyle w:val="ListNumber"/>
              <w:numPr>
                <w:ilvl w:val="0"/>
                <w:numId w:val="0"/>
              </w:numPr>
              <w:rPr>
                <w:rFonts w:cs="Arial"/>
                <w:sz w:val="22"/>
                <w:szCs w:val="22"/>
              </w:rPr>
            </w:pPr>
            <w:r w:rsidRPr="005F6D0A">
              <w:rPr>
                <w:rFonts w:cs="Arial"/>
                <w:sz w:val="22"/>
                <w:szCs w:val="22"/>
              </w:rPr>
              <w:t xml:space="preserve">a)  Provide CVs of the consultants who will be delivering the project; </w:t>
            </w:r>
          </w:p>
          <w:p w14:paraId="68FECDB4" w14:textId="77777777" w:rsidR="00F52BE8" w:rsidRPr="005F6D0A" w:rsidRDefault="00F52BE8" w:rsidP="00335497">
            <w:pPr>
              <w:pStyle w:val="ListNumber"/>
              <w:numPr>
                <w:ilvl w:val="0"/>
                <w:numId w:val="0"/>
              </w:numPr>
              <w:tabs>
                <w:tab w:val="clear" w:pos="720"/>
                <w:tab w:val="left" w:pos="426"/>
              </w:tabs>
              <w:rPr>
                <w:rFonts w:cs="Arial"/>
                <w:sz w:val="22"/>
                <w:szCs w:val="22"/>
              </w:rPr>
            </w:pPr>
            <w:r w:rsidRPr="005F6D0A">
              <w:rPr>
                <w:rFonts w:cs="Arial"/>
                <w:sz w:val="22"/>
                <w:szCs w:val="22"/>
              </w:rPr>
              <w:t>b) Highlight the organisation’s relevant experience for this project, submitting examples of similar projects.</w:t>
            </w:r>
          </w:p>
          <w:p w14:paraId="12266183" w14:textId="77777777" w:rsidR="00F52BE8" w:rsidRPr="005F6D0A" w:rsidRDefault="00F52BE8" w:rsidP="00335497">
            <w:pPr>
              <w:pStyle w:val="ListNumber"/>
              <w:numPr>
                <w:ilvl w:val="0"/>
                <w:numId w:val="0"/>
              </w:numPr>
              <w:tabs>
                <w:tab w:val="clear" w:pos="720"/>
                <w:tab w:val="left" w:pos="426"/>
              </w:tabs>
              <w:rPr>
                <w:rFonts w:cs="Arial"/>
                <w:sz w:val="22"/>
                <w:szCs w:val="22"/>
              </w:rPr>
            </w:pPr>
          </w:p>
          <w:p w14:paraId="6577A060" w14:textId="6C1125BA" w:rsidR="00F52BE8" w:rsidRPr="00D20EF9" w:rsidRDefault="00F52BE8" w:rsidP="00335497">
            <w:pPr>
              <w:pStyle w:val="ListNumber"/>
              <w:numPr>
                <w:ilvl w:val="0"/>
                <w:numId w:val="0"/>
              </w:numPr>
              <w:rPr>
                <w:rFonts w:cs="Arial"/>
                <w:sz w:val="22"/>
                <w:szCs w:val="22"/>
              </w:rPr>
            </w:pPr>
            <w:r w:rsidRPr="00D20EF9">
              <w:rPr>
                <w:rFonts w:cs="Arial"/>
                <w:b/>
                <w:sz w:val="22"/>
                <w:szCs w:val="22"/>
              </w:rPr>
              <w:t>Cost / Value for money (</w:t>
            </w:r>
            <w:r w:rsidR="001A476F" w:rsidRPr="00D20EF9">
              <w:rPr>
                <w:rFonts w:cs="Arial"/>
                <w:b/>
                <w:sz w:val="22"/>
                <w:szCs w:val="22"/>
              </w:rPr>
              <w:t>1</w:t>
            </w:r>
            <w:r w:rsidR="00AD47DF" w:rsidRPr="00D20EF9">
              <w:rPr>
                <w:rFonts w:cs="Arial"/>
                <w:b/>
                <w:sz w:val="22"/>
                <w:szCs w:val="22"/>
              </w:rPr>
              <w:t>0</w:t>
            </w:r>
            <w:r w:rsidRPr="00D20EF9">
              <w:rPr>
                <w:rFonts w:cs="Arial"/>
                <w:b/>
                <w:sz w:val="22"/>
                <w:szCs w:val="22"/>
              </w:rPr>
              <w:t>%)</w:t>
            </w:r>
          </w:p>
          <w:p w14:paraId="39506F26" w14:textId="77777777" w:rsidR="00F52BE8" w:rsidRPr="005F6D0A" w:rsidRDefault="00F52BE8" w:rsidP="00335497">
            <w:pPr>
              <w:pStyle w:val="ListNumber"/>
              <w:numPr>
                <w:ilvl w:val="0"/>
                <w:numId w:val="0"/>
              </w:numPr>
              <w:rPr>
                <w:rFonts w:cs="Arial"/>
                <w:sz w:val="22"/>
                <w:szCs w:val="22"/>
              </w:rPr>
            </w:pPr>
            <w:r w:rsidRPr="005F6D0A">
              <w:rPr>
                <w:rFonts w:cs="Arial"/>
                <w:sz w:val="22"/>
                <w:szCs w:val="22"/>
              </w:rPr>
              <w:t xml:space="preserve">A </w:t>
            </w:r>
            <w:r w:rsidRPr="005F6D0A">
              <w:rPr>
                <w:rFonts w:cs="Arial"/>
                <w:b/>
                <w:sz w:val="22"/>
                <w:szCs w:val="22"/>
              </w:rPr>
              <w:t>fixed fee</w:t>
            </w:r>
            <w:r w:rsidRPr="005F6D0A">
              <w:rPr>
                <w:rFonts w:cs="Arial"/>
                <w:sz w:val="22"/>
                <w:szCs w:val="22"/>
              </w:rPr>
              <w:t xml:space="preserve"> for delivery of the project requirement (inclusive of all expenses), including a </w:t>
            </w:r>
            <w:r w:rsidRPr="005F6D0A">
              <w:rPr>
                <w:rFonts w:cs="Arial"/>
                <w:sz w:val="22"/>
                <w:szCs w:val="22"/>
                <w:u w:val="single"/>
              </w:rPr>
              <w:t>full price breakdown for each stage of the project</w:t>
            </w:r>
            <w:r w:rsidRPr="005F6D0A">
              <w:rPr>
                <w:rFonts w:cs="Arial"/>
                <w:sz w:val="22"/>
                <w:szCs w:val="22"/>
              </w:rPr>
              <w:t xml:space="preserve"> and details of the </w:t>
            </w:r>
            <w:r w:rsidRPr="005F6D0A">
              <w:rPr>
                <w:rFonts w:cs="Arial"/>
                <w:sz w:val="22"/>
                <w:szCs w:val="22"/>
                <w:u w:val="single"/>
              </w:rPr>
              <w:t>day rates</w:t>
            </w:r>
            <w:r w:rsidRPr="005F6D0A">
              <w:rPr>
                <w:rFonts w:cs="Arial"/>
                <w:sz w:val="22"/>
                <w:szCs w:val="22"/>
              </w:rPr>
              <w:t xml:space="preserve"> that will apply for the lifetime of this project.  </w:t>
            </w:r>
          </w:p>
          <w:p w14:paraId="5DC4CA56" w14:textId="77777777" w:rsidR="00F52BE8" w:rsidRPr="00D20EF9" w:rsidRDefault="00F52BE8" w:rsidP="0033549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F6D0A"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F6D0A" w:rsidRDefault="00F52BE8" w:rsidP="00335497">
                  <w:pPr>
                    <w:autoSpaceDE w:val="0"/>
                    <w:autoSpaceDN w:val="0"/>
                    <w:adjustRightInd w:val="0"/>
                    <w:rPr>
                      <w:rFonts w:cs="Arial"/>
                      <w:color w:val="000000"/>
                      <w:sz w:val="20"/>
                    </w:rPr>
                  </w:pPr>
                  <w:r w:rsidRPr="005F6D0A">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F6D0A" w:rsidRDefault="00F52BE8" w:rsidP="00335497">
                  <w:pPr>
                    <w:autoSpaceDE w:val="0"/>
                    <w:autoSpaceDN w:val="0"/>
                    <w:adjustRightInd w:val="0"/>
                    <w:rPr>
                      <w:rFonts w:cs="Arial"/>
                      <w:color w:val="000000"/>
                      <w:sz w:val="20"/>
                    </w:rPr>
                  </w:pPr>
                  <w:r w:rsidRPr="005F6D0A">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F6D0A" w:rsidRDefault="00F52BE8" w:rsidP="00335497">
                  <w:pPr>
                    <w:autoSpaceDE w:val="0"/>
                    <w:autoSpaceDN w:val="0"/>
                    <w:adjustRightInd w:val="0"/>
                    <w:rPr>
                      <w:rFonts w:cs="Arial"/>
                      <w:color w:val="000000"/>
                      <w:sz w:val="20"/>
                    </w:rPr>
                  </w:pPr>
                  <w:r w:rsidRPr="005F6D0A">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F6D0A" w:rsidRDefault="00F52BE8" w:rsidP="00335497">
                  <w:pPr>
                    <w:autoSpaceDE w:val="0"/>
                    <w:autoSpaceDN w:val="0"/>
                    <w:adjustRightInd w:val="0"/>
                    <w:rPr>
                      <w:rFonts w:cs="Arial"/>
                      <w:color w:val="000000"/>
                      <w:sz w:val="20"/>
                    </w:rPr>
                  </w:pPr>
                  <w:r w:rsidRPr="005F6D0A">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F6D0A" w:rsidRDefault="00F52BE8" w:rsidP="00335497">
                  <w:pPr>
                    <w:autoSpaceDE w:val="0"/>
                    <w:autoSpaceDN w:val="0"/>
                    <w:adjustRightInd w:val="0"/>
                    <w:rPr>
                      <w:rFonts w:cs="Arial"/>
                      <w:color w:val="000000"/>
                      <w:sz w:val="20"/>
                    </w:rPr>
                  </w:pPr>
                  <w:r w:rsidRPr="005F6D0A">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F6D0A" w:rsidRDefault="00F52BE8" w:rsidP="00335497">
                  <w:pPr>
                    <w:autoSpaceDE w:val="0"/>
                    <w:autoSpaceDN w:val="0"/>
                    <w:adjustRightInd w:val="0"/>
                    <w:rPr>
                      <w:rFonts w:cs="Arial"/>
                      <w:color w:val="000000"/>
                      <w:sz w:val="20"/>
                    </w:rPr>
                  </w:pPr>
                  <w:r w:rsidRPr="005F6D0A">
                    <w:rPr>
                      <w:rFonts w:cs="Arial"/>
                      <w:color w:val="000000"/>
                      <w:sz w:val="20"/>
                    </w:rPr>
                    <w:t>Total cost (ex VAT)</w:t>
                  </w:r>
                </w:p>
              </w:tc>
            </w:tr>
            <w:tr w:rsidR="00F52BE8" w:rsidRPr="005F6D0A"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F6D0A"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F6D0A"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F6D0A"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F6D0A"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F6D0A"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F6D0A" w:rsidRDefault="00F52BE8" w:rsidP="00335497">
                  <w:pPr>
                    <w:autoSpaceDE w:val="0"/>
                    <w:autoSpaceDN w:val="0"/>
                    <w:adjustRightInd w:val="0"/>
                    <w:rPr>
                      <w:rFonts w:cs="Arial"/>
                      <w:color w:val="000000"/>
                      <w:sz w:val="20"/>
                    </w:rPr>
                  </w:pPr>
                </w:p>
              </w:tc>
            </w:tr>
            <w:tr w:rsidR="00F52BE8" w:rsidRPr="005F6D0A"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F6D0A"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F6D0A"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F6D0A"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F6D0A"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F6D0A"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F6D0A" w:rsidRDefault="00F52BE8" w:rsidP="00335497">
                  <w:pPr>
                    <w:autoSpaceDE w:val="0"/>
                    <w:autoSpaceDN w:val="0"/>
                    <w:adjustRightInd w:val="0"/>
                    <w:rPr>
                      <w:rFonts w:cs="Arial"/>
                      <w:color w:val="000000"/>
                      <w:sz w:val="20"/>
                    </w:rPr>
                  </w:pPr>
                </w:p>
              </w:tc>
            </w:tr>
            <w:tr w:rsidR="00F52BE8" w:rsidRPr="005F6D0A"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F6D0A"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F6D0A"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F6D0A"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F6D0A"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F6D0A"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F6D0A" w:rsidRDefault="00F52BE8" w:rsidP="00335497">
                  <w:pPr>
                    <w:autoSpaceDE w:val="0"/>
                    <w:autoSpaceDN w:val="0"/>
                    <w:adjustRightInd w:val="0"/>
                    <w:rPr>
                      <w:rFonts w:cs="Arial"/>
                      <w:color w:val="000000"/>
                      <w:sz w:val="20"/>
                    </w:rPr>
                  </w:pPr>
                </w:p>
              </w:tc>
            </w:tr>
          </w:tbl>
          <w:p w14:paraId="264CA9B3" w14:textId="77777777" w:rsidR="00F52BE8" w:rsidRPr="005F6D0A" w:rsidRDefault="00F52BE8" w:rsidP="00335497">
            <w:pPr>
              <w:rPr>
                <w:rFonts w:cs="Arial"/>
                <w:sz w:val="22"/>
                <w:szCs w:val="22"/>
              </w:rPr>
            </w:pPr>
          </w:p>
          <w:p w14:paraId="6617037A" w14:textId="77777777" w:rsidR="00F52BE8" w:rsidRPr="005F6D0A" w:rsidRDefault="00F52BE8" w:rsidP="00335497">
            <w:pPr>
              <w:rPr>
                <w:rFonts w:cs="Arial"/>
                <w:sz w:val="22"/>
                <w:szCs w:val="22"/>
              </w:rPr>
            </w:pPr>
            <w:r w:rsidRPr="005F6D0A">
              <w:rPr>
                <w:rFonts w:cs="Arial"/>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rsidRPr="005F6D0A"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5F6D0A" w:rsidRDefault="00F52BE8" w:rsidP="00335497">
                  <w:pPr>
                    <w:jc w:val="center"/>
                    <w:rPr>
                      <w:rFonts w:cs="Arial"/>
                      <w:b/>
                      <w:sz w:val="20"/>
                    </w:rPr>
                  </w:pPr>
                  <w:r w:rsidRPr="005F6D0A">
                    <w:rPr>
                      <w:rFonts w:cs="Arial"/>
                      <w:b/>
                      <w:sz w:val="20"/>
                    </w:rPr>
                    <w:t>Grade</w:t>
                  </w:r>
                </w:p>
              </w:tc>
              <w:tc>
                <w:tcPr>
                  <w:tcW w:w="6840" w:type="dxa"/>
                  <w:shd w:val="clear" w:color="auto" w:fill="auto"/>
                  <w:vAlign w:val="bottom"/>
                </w:tcPr>
                <w:p w14:paraId="7BF50F2B" w14:textId="77777777" w:rsidR="00F52BE8" w:rsidRPr="005F6D0A" w:rsidRDefault="00F52BE8" w:rsidP="00335497">
                  <w:pPr>
                    <w:jc w:val="center"/>
                    <w:rPr>
                      <w:rFonts w:cs="Arial"/>
                      <w:b/>
                      <w:sz w:val="20"/>
                    </w:rPr>
                  </w:pPr>
                  <w:r w:rsidRPr="005F6D0A">
                    <w:rPr>
                      <w:rFonts w:cs="Arial"/>
                      <w:b/>
                      <w:sz w:val="20"/>
                    </w:rPr>
                    <w:t>Requirement</w:t>
                  </w:r>
                </w:p>
              </w:tc>
            </w:tr>
            <w:tr w:rsidR="00F52BE8" w:rsidRPr="005F6D0A"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5F6D0A" w:rsidRDefault="00F52BE8" w:rsidP="00335497">
                  <w:pPr>
                    <w:rPr>
                      <w:rFonts w:cs="Arial"/>
                      <w:sz w:val="20"/>
                    </w:rPr>
                  </w:pPr>
                  <w:r w:rsidRPr="005F6D0A">
                    <w:rPr>
                      <w:rFonts w:cs="Arial"/>
                      <w:sz w:val="20"/>
                    </w:rPr>
                    <w:t>Junior consultant</w:t>
                  </w:r>
                </w:p>
              </w:tc>
              <w:tc>
                <w:tcPr>
                  <w:tcW w:w="0" w:type="auto"/>
                  <w:tcBorders>
                    <w:bottom w:val="single" w:sz="4" w:space="0" w:color="auto"/>
                  </w:tcBorders>
                  <w:shd w:val="clear" w:color="auto" w:fill="auto"/>
                </w:tcPr>
                <w:p w14:paraId="0808597F" w14:textId="77777777" w:rsidR="00F52BE8" w:rsidRPr="005F6D0A" w:rsidRDefault="00F52BE8" w:rsidP="00335497">
                  <w:pPr>
                    <w:rPr>
                      <w:rFonts w:cs="Arial"/>
                      <w:sz w:val="20"/>
                    </w:rPr>
                  </w:pPr>
                  <w:r w:rsidRPr="005F6D0A">
                    <w:rPr>
                      <w:rFonts w:cs="Arial"/>
                      <w:sz w:val="20"/>
                    </w:rPr>
                    <w:t>Demonstrable experience in a wide range of projects in their specialist field. Evidence of client facing experience and support services to wider consultancy projects.</w:t>
                  </w:r>
                </w:p>
              </w:tc>
            </w:tr>
            <w:tr w:rsidR="00F52BE8" w:rsidRPr="005F6D0A" w14:paraId="62B2B10B" w14:textId="77777777" w:rsidTr="00335497">
              <w:trPr>
                <w:trHeight w:hRule="exact" w:val="907"/>
              </w:trPr>
              <w:tc>
                <w:tcPr>
                  <w:tcW w:w="851" w:type="dxa"/>
                  <w:shd w:val="clear" w:color="auto" w:fill="auto"/>
                </w:tcPr>
                <w:p w14:paraId="0D08EDAE" w14:textId="77777777" w:rsidR="00F52BE8" w:rsidRPr="005F6D0A" w:rsidRDefault="00F52BE8" w:rsidP="00335497">
                  <w:pPr>
                    <w:rPr>
                      <w:rFonts w:cs="Arial"/>
                      <w:sz w:val="20"/>
                    </w:rPr>
                  </w:pPr>
                  <w:r w:rsidRPr="005F6D0A">
                    <w:rPr>
                      <w:rFonts w:cs="Arial"/>
                      <w:sz w:val="20"/>
                    </w:rPr>
                    <w:t>Consultant</w:t>
                  </w:r>
                </w:p>
              </w:tc>
              <w:tc>
                <w:tcPr>
                  <w:tcW w:w="0" w:type="auto"/>
                  <w:shd w:val="clear" w:color="auto" w:fill="auto"/>
                </w:tcPr>
                <w:p w14:paraId="2A92F44B" w14:textId="77777777" w:rsidR="00F52BE8" w:rsidRPr="005F6D0A" w:rsidRDefault="00F52BE8" w:rsidP="00335497">
                  <w:pPr>
                    <w:rPr>
                      <w:rFonts w:cs="Arial"/>
                      <w:sz w:val="20"/>
                    </w:rPr>
                  </w:pPr>
                  <w:r w:rsidRPr="005F6D0A">
                    <w:rPr>
                      <w:rFonts w:cs="Arial"/>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5F6D0A" w14:paraId="670417EF" w14:textId="77777777" w:rsidTr="00335497">
              <w:trPr>
                <w:trHeight w:hRule="exact" w:val="964"/>
              </w:trPr>
              <w:tc>
                <w:tcPr>
                  <w:tcW w:w="851" w:type="dxa"/>
                  <w:shd w:val="clear" w:color="auto" w:fill="auto"/>
                </w:tcPr>
                <w:p w14:paraId="7C3EDDFE" w14:textId="77777777" w:rsidR="00F52BE8" w:rsidRPr="005F6D0A" w:rsidRDefault="00F52BE8" w:rsidP="00335497">
                  <w:pPr>
                    <w:rPr>
                      <w:rFonts w:cs="Arial"/>
                      <w:sz w:val="20"/>
                    </w:rPr>
                  </w:pPr>
                  <w:r w:rsidRPr="005F6D0A">
                    <w:rPr>
                      <w:rFonts w:cs="Arial"/>
                      <w:sz w:val="20"/>
                    </w:rPr>
                    <w:t>Senior Consultant</w:t>
                  </w:r>
                </w:p>
              </w:tc>
              <w:tc>
                <w:tcPr>
                  <w:tcW w:w="0" w:type="auto"/>
                  <w:shd w:val="clear" w:color="auto" w:fill="auto"/>
                </w:tcPr>
                <w:p w14:paraId="12D741CD" w14:textId="77777777" w:rsidR="00F52BE8" w:rsidRPr="005F6D0A" w:rsidRDefault="00F52BE8" w:rsidP="00335497">
                  <w:pPr>
                    <w:rPr>
                      <w:rFonts w:cs="Arial"/>
                      <w:sz w:val="20"/>
                    </w:rPr>
                  </w:pPr>
                  <w:r w:rsidRPr="005F6D0A">
                    <w:rPr>
                      <w:rFonts w:cs="Arial"/>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5F6D0A" w14:paraId="5826E8E6" w14:textId="77777777" w:rsidTr="00335497">
              <w:trPr>
                <w:trHeight w:hRule="exact" w:val="1134"/>
              </w:trPr>
              <w:tc>
                <w:tcPr>
                  <w:tcW w:w="851" w:type="dxa"/>
                  <w:shd w:val="clear" w:color="auto" w:fill="auto"/>
                </w:tcPr>
                <w:p w14:paraId="23170A16" w14:textId="77777777" w:rsidR="00F52BE8" w:rsidRPr="005F6D0A" w:rsidRDefault="00F52BE8" w:rsidP="00335497">
                  <w:pPr>
                    <w:rPr>
                      <w:rFonts w:cs="Arial"/>
                      <w:sz w:val="20"/>
                    </w:rPr>
                  </w:pPr>
                  <w:r w:rsidRPr="005F6D0A">
                    <w:rPr>
                      <w:rFonts w:cs="Arial"/>
                      <w:sz w:val="20"/>
                    </w:rPr>
                    <w:lastRenderedPageBreak/>
                    <w:t>Principal Consultant</w:t>
                  </w:r>
                </w:p>
              </w:tc>
              <w:tc>
                <w:tcPr>
                  <w:tcW w:w="0" w:type="auto"/>
                  <w:shd w:val="clear" w:color="auto" w:fill="auto"/>
                </w:tcPr>
                <w:p w14:paraId="45EAB4CD" w14:textId="77777777" w:rsidR="00F52BE8" w:rsidRPr="005F6D0A" w:rsidRDefault="00F52BE8" w:rsidP="00335497">
                  <w:pPr>
                    <w:rPr>
                      <w:rFonts w:cs="Arial"/>
                      <w:sz w:val="20"/>
                    </w:rPr>
                  </w:pPr>
                  <w:r w:rsidRPr="005F6D0A">
                    <w:rPr>
                      <w:rFonts w:cs="Arial"/>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5F6D0A" w14:paraId="74F276DD" w14:textId="77777777" w:rsidTr="00335497">
              <w:trPr>
                <w:trHeight w:hRule="exact" w:val="1134"/>
              </w:trPr>
              <w:tc>
                <w:tcPr>
                  <w:tcW w:w="851" w:type="dxa"/>
                  <w:shd w:val="clear" w:color="auto" w:fill="auto"/>
                </w:tcPr>
                <w:p w14:paraId="67C1A3E2" w14:textId="77777777" w:rsidR="00F52BE8" w:rsidRPr="005F6D0A" w:rsidRDefault="00F52BE8" w:rsidP="00335497">
                  <w:pPr>
                    <w:rPr>
                      <w:rFonts w:cs="Arial"/>
                      <w:sz w:val="20"/>
                    </w:rPr>
                  </w:pPr>
                  <w:r w:rsidRPr="005F6D0A">
                    <w:rPr>
                      <w:rFonts w:cs="Arial"/>
                      <w:sz w:val="20"/>
                    </w:rPr>
                    <w:t>Managing Consultant</w:t>
                  </w:r>
                </w:p>
              </w:tc>
              <w:tc>
                <w:tcPr>
                  <w:tcW w:w="0" w:type="auto"/>
                  <w:shd w:val="clear" w:color="auto" w:fill="auto"/>
                </w:tcPr>
                <w:p w14:paraId="0AB8F743" w14:textId="77777777" w:rsidR="00F52BE8" w:rsidRPr="005F6D0A" w:rsidRDefault="00F52BE8" w:rsidP="00335497">
                  <w:pPr>
                    <w:rPr>
                      <w:rFonts w:cs="Arial"/>
                      <w:sz w:val="20"/>
                    </w:rPr>
                  </w:pPr>
                  <w:r w:rsidRPr="005F6D0A">
                    <w:rPr>
                      <w:rFonts w:cs="Arial"/>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5F6D0A" w14:paraId="172F28BC" w14:textId="77777777" w:rsidTr="00335497">
              <w:trPr>
                <w:trHeight w:hRule="exact" w:val="1221"/>
              </w:trPr>
              <w:tc>
                <w:tcPr>
                  <w:tcW w:w="851" w:type="dxa"/>
                  <w:shd w:val="clear" w:color="auto" w:fill="auto"/>
                </w:tcPr>
                <w:p w14:paraId="14C6FEF7" w14:textId="77777777" w:rsidR="00F52BE8" w:rsidRPr="005F6D0A" w:rsidRDefault="00F52BE8" w:rsidP="00335497">
                  <w:pPr>
                    <w:rPr>
                      <w:rFonts w:cs="Arial"/>
                      <w:sz w:val="20"/>
                    </w:rPr>
                  </w:pPr>
                  <w:r w:rsidRPr="005F6D0A">
                    <w:rPr>
                      <w:rFonts w:cs="Arial"/>
                      <w:sz w:val="20"/>
                    </w:rPr>
                    <w:t>Director / Partner</w:t>
                  </w:r>
                </w:p>
                <w:p w14:paraId="312FF4D1" w14:textId="77777777" w:rsidR="00F52BE8" w:rsidRPr="005F6D0A" w:rsidRDefault="00F52BE8" w:rsidP="00335497">
                  <w:pPr>
                    <w:rPr>
                      <w:rFonts w:cs="Arial"/>
                      <w:sz w:val="20"/>
                    </w:rPr>
                  </w:pPr>
                </w:p>
              </w:tc>
              <w:tc>
                <w:tcPr>
                  <w:tcW w:w="0" w:type="auto"/>
                  <w:shd w:val="clear" w:color="auto" w:fill="auto"/>
                </w:tcPr>
                <w:p w14:paraId="17CFBA6A" w14:textId="77777777" w:rsidR="00F52BE8" w:rsidRPr="005F6D0A" w:rsidRDefault="00F52BE8" w:rsidP="00335497">
                  <w:pPr>
                    <w:rPr>
                      <w:rFonts w:cs="Arial"/>
                      <w:sz w:val="20"/>
                    </w:rPr>
                  </w:pPr>
                  <w:r w:rsidRPr="005F6D0A">
                    <w:rPr>
                      <w:rFonts w:cs="Arial"/>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5F6D0A" w:rsidRDefault="00F52BE8" w:rsidP="00335497">
            <w:pPr>
              <w:rPr>
                <w:rFonts w:cs="Arial"/>
                <w:sz w:val="22"/>
                <w:szCs w:val="22"/>
              </w:rPr>
            </w:pPr>
          </w:p>
          <w:p w14:paraId="6A2420A3" w14:textId="77777777" w:rsidR="00F52BE8" w:rsidRPr="005F6D0A" w:rsidRDefault="00F52BE8" w:rsidP="00335497">
            <w:pPr>
              <w:rPr>
                <w:rFonts w:cs="Arial"/>
                <w:b/>
                <w:sz w:val="32"/>
                <w:szCs w:val="32"/>
                <w:u w:val="single"/>
              </w:rPr>
            </w:pPr>
            <w:r w:rsidRPr="005F6D0A">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5F6D0A"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5F6D0A" w:rsidRDefault="00F52BE8" w:rsidP="00335497">
                  <w:pPr>
                    <w:spacing w:after="0"/>
                    <w:jc w:val="center"/>
                    <w:rPr>
                      <w:rFonts w:cs="Arial"/>
                      <w:szCs w:val="24"/>
                      <w:lang w:eastAsia="en-GB"/>
                    </w:rPr>
                  </w:pPr>
                  <w:r w:rsidRPr="005F6D0A">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5F6D0A" w:rsidRDefault="00F52BE8" w:rsidP="00335497">
                  <w:pPr>
                    <w:spacing w:after="0"/>
                    <w:jc w:val="center"/>
                    <w:rPr>
                      <w:rFonts w:cs="Arial"/>
                      <w:sz w:val="20"/>
                      <w:lang w:eastAsia="en-GB"/>
                    </w:rPr>
                  </w:pPr>
                  <w:r w:rsidRPr="005F6D0A">
                    <w:rPr>
                      <w:rFonts w:cs="Arial"/>
                      <w:sz w:val="20"/>
                      <w:lang w:eastAsia="en-GB"/>
                    </w:rPr>
                    <w:t>Unanswered or totally inadequate response to the requirement. Complete failure to grasp/reflect the core issues</w:t>
                  </w:r>
                </w:p>
              </w:tc>
            </w:tr>
            <w:tr w:rsidR="00F52BE8" w:rsidRPr="005F6D0A"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5F6D0A" w:rsidRDefault="00F52BE8" w:rsidP="00335497">
                  <w:pPr>
                    <w:spacing w:after="0"/>
                    <w:jc w:val="center"/>
                    <w:rPr>
                      <w:rFonts w:cs="Arial"/>
                      <w:szCs w:val="24"/>
                      <w:lang w:eastAsia="en-GB"/>
                    </w:rPr>
                  </w:pPr>
                  <w:r w:rsidRPr="005F6D0A">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5F6D0A" w:rsidRDefault="00F52BE8" w:rsidP="00335497">
                  <w:pPr>
                    <w:spacing w:after="0"/>
                    <w:jc w:val="center"/>
                    <w:rPr>
                      <w:rFonts w:cs="Arial"/>
                      <w:sz w:val="20"/>
                      <w:lang w:eastAsia="en-GB"/>
                    </w:rPr>
                  </w:pPr>
                  <w:r w:rsidRPr="005F6D0A">
                    <w:rPr>
                      <w:rFonts w:cs="Arial"/>
                      <w:sz w:val="20"/>
                      <w:lang w:eastAsia="en-GB"/>
                    </w:rPr>
                    <w:t>Minimal or poor response to meeting the requirement. Limited understanding, misses some aspects</w:t>
                  </w:r>
                </w:p>
              </w:tc>
            </w:tr>
            <w:tr w:rsidR="00F52BE8" w:rsidRPr="005F6D0A"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5F6D0A" w:rsidRDefault="00F52BE8" w:rsidP="00335497">
                  <w:pPr>
                    <w:spacing w:after="0"/>
                    <w:jc w:val="center"/>
                    <w:rPr>
                      <w:rFonts w:cs="Arial"/>
                      <w:szCs w:val="24"/>
                      <w:lang w:eastAsia="en-GB"/>
                    </w:rPr>
                  </w:pPr>
                  <w:r w:rsidRPr="005F6D0A">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5F6D0A" w:rsidRDefault="00F52BE8" w:rsidP="00335497">
                  <w:pPr>
                    <w:spacing w:after="0"/>
                    <w:jc w:val="center"/>
                    <w:rPr>
                      <w:rFonts w:cs="Arial"/>
                      <w:sz w:val="20"/>
                      <w:lang w:eastAsia="en-GB"/>
                    </w:rPr>
                  </w:pPr>
                  <w:r w:rsidRPr="005F6D0A">
                    <w:rPr>
                      <w:rFonts w:cs="Arial"/>
                      <w:sz w:val="20"/>
                      <w:lang w:eastAsia="en-GB"/>
                    </w:rPr>
                    <w:t>Good understanding and interpretation of requirements, providing clear evidence of how the criterion has been met</w:t>
                  </w:r>
                </w:p>
              </w:tc>
            </w:tr>
            <w:tr w:rsidR="00F52BE8" w:rsidRPr="005F6D0A"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5F6D0A" w:rsidRDefault="00F52BE8" w:rsidP="00335497">
                  <w:pPr>
                    <w:spacing w:after="0"/>
                    <w:jc w:val="center"/>
                    <w:rPr>
                      <w:rFonts w:cs="Arial"/>
                      <w:szCs w:val="24"/>
                      <w:lang w:eastAsia="en-GB"/>
                    </w:rPr>
                  </w:pPr>
                  <w:r w:rsidRPr="005F6D0A">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5F6D0A" w:rsidRDefault="00F52BE8" w:rsidP="00335497">
                  <w:pPr>
                    <w:spacing w:after="0"/>
                    <w:jc w:val="center"/>
                    <w:rPr>
                      <w:rFonts w:cs="Arial"/>
                      <w:sz w:val="20"/>
                      <w:lang w:eastAsia="en-GB"/>
                    </w:rPr>
                  </w:pPr>
                  <w:r w:rsidRPr="005F6D0A">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5F6D0A" w:rsidRDefault="00F52BE8" w:rsidP="00335497">
            <w:pPr>
              <w:rPr>
                <w:rFonts w:cs="Arial"/>
                <w:sz w:val="22"/>
                <w:szCs w:val="22"/>
              </w:rPr>
            </w:pPr>
          </w:p>
          <w:p w14:paraId="1B3EBD4A" w14:textId="77777777" w:rsidR="005E6294" w:rsidRDefault="005E6294" w:rsidP="005E6294">
            <w:pPr>
              <w:rPr>
                <w:rFonts w:cs="Arial"/>
                <w:sz w:val="22"/>
                <w:szCs w:val="22"/>
              </w:rPr>
            </w:pPr>
            <w:r>
              <w:rPr>
                <w:rFonts w:cs="Arial"/>
                <w:sz w:val="22"/>
                <w:szCs w:val="22"/>
              </w:rPr>
              <w:t>For the Price evaluation the following shall apply:</w:t>
            </w:r>
          </w:p>
          <w:p w14:paraId="50F0796D" w14:textId="77777777" w:rsidR="005E6294" w:rsidRPr="006C7293" w:rsidRDefault="005E6294" w:rsidP="005E6294">
            <w:pPr>
              <w:rPr>
                <w:rFonts w:cs="Arial"/>
                <w:sz w:val="22"/>
                <w:szCs w:val="22"/>
                <w:u w:val="single"/>
              </w:rPr>
            </w:pPr>
            <w:r w:rsidRPr="006C7293">
              <w:rPr>
                <w:rFonts w:cs="Arial"/>
                <w:sz w:val="22"/>
                <w:szCs w:val="22"/>
                <w:u w:val="single"/>
              </w:rPr>
              <w:t>Fixed fee</w:t>
            </w:r>
          </w:p>
          <w:p w14:paraId="346F379F" w14:textId="77777777" w:rsidR="005E6294" w:rsidRDefault="005E6294" w:rsidP="005E6294">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29B58D41" w14:textId="77777777" w:rsidR="005E6294" w:rsidRDefault="005E6294" w:rsidP="005E6294">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34F8BCD2" w14:textId="77777777" w:rsidR="005E6294" w:rsidRDefault="005E6294" w:rsidP="005E6294">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4570A5B2" w14:textId="7FE1E7FF" w:rsidR="005E6294" w:rsidRDefault="005E6294" w:rsidP="005E6294">
            <w:pPr>
              <w:spacing w:after="0"/>
              <w:rPr>
                <w:rFonts w:cs="Arial"/>
                <w:sz w:val="22"/>
                <w:szCs w:val="22"/>
                <w:shd w:val="clear" w:color="auto" w:fill="FFFFFF"/>
              </w:rPr>
            </w:pPr>
            <w:r w:rsidRPr="00CE6874">
              <w:rPr>
                <w:rFonts w:cs="Arial"/>
                <w:sz w:val="22"/>
                <w:szCs w:val="22"/>
                <w:shd w:val="clear" w:color="auto" w:fill="FFFFFF"/>
              </w:rPr>
              <w:t xml:space="preserve">Price </w:t>
            </w:r>
            <w:r w:rsidR="00A066BA" w:rsidRPr="00CE6874">
              <w:rPr>
                <w:rFonts w:cs="Arial"/>
                <w:sz w:val="22"/>
                <w:szCs w:val="22"/>
                <w:shd w:val="clear" w:color="auto" w:fill="FFFFFF"/>
              </w:rPr>
              <w:t>Score =</w:t>
            </w:r>
            <w:r w:rsidRPr="00CE6874">
              <w:rPr>
                <w:rFonts w:cs="Arial"/>
                <w:sz w:val="22"/>
                <w:szCs w:val="22"/>
                <w:shd w:val="clear" w:color="auto" w:fill="FFFFFF"/>
              </w:rPr>
              <w:t xml:space="preserve">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0D917C9A" w14:textId="7967405A" w:rsidR="005E6294" w:rsidRDefault="005E6294" w:rsidP="005E6294">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450B420D" w14:textId="2165D8BE" w:rsidR="00F52BE8" w:rsidRPr="005F6D0A" w:rsidRDefault="005E6294" w:rsidP="005E6294">
            <w:pPr>
              <w:rPr>
                <w:rFonts w:cs="Arial"/>
                <w:sz w:val="22"/>
                <w:szCs w:val="22"/>
              </w:rPr>
            </w:pPr>
            <w:r w:rsidRPr="00CE6874">
              <w:rPr>
                <w:rFonts w:cs="Arial"/>
                <w:sz w:val="22"/>
                <w:szCs w:val="22"/>
                <w:shd w:val="clear" w:color="auto" w:fill="FFFFFF"/>
              </w:rPr>
              <w:lastRenderedPageBreak/>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tc>
      </w:tr>
    </w:tbl>
    <w:p w14:paraId="63B7A6DD" w14:textId="77777777" w:rsidR="00F52BE8" w:rsidRDefault="00F52BE8" w:rsidP="00F52BE8">
      <w:pPr>
        <w:rPr>
          <w:rFonts w:cs="Arial"/>
          <w:b/>
          <w:sz w:val="32"/>
          <w:szCs w:val="32"/>
          <w:u w:val="single"/>
        </w:rPr>
        <w:sectPr w:rsidR="00F52BE8" w:rsidSect="001C0DC6">
          <w:footerReference w:type="default" r:id="rId10"/>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Pr="00D20EF9" w:rsidRDefault="00F52BE8" w:rsidP="00F52BE8">
      <w:pPr>
        <w:pStyle w:val="ListNumber2"/>
        <w:numPr>
          <w:ilvl w:val="0"/>
          <w:numId w:val="0"/>
        </w:numPr>
        <w:ind w:left="720" w:hanging="720"/>
        <w:rPr>
          <w:rFonts w:cs="Arial"/>
          <w:sz w:val="22"/>
          <w:szCs w:val="22"/>
          <w:u w:val="single"/>
        </w:rPr>
      </w:pPr>
      <w:r w:rsidRPr="00D20EF9">
        <w:rPr>
          <w:rFonts w:cs="Arial"/>
          <w:sz w:val="22"/>
          <w:szCs w:val="22"/>
          <w:u w:val="single"/>
        </w:rPr>
        <w:t>Tendering Timetable</w:t>
      </w:r>
    </w:p>
    <w:p w14:paraId="45905FFA" w14:textId="77777777" w:rsidR="00F52BE8" w:rsidRPr="00D20EF9" w:rsidRDefault="00F52BE8" w:rsidP="00F52BE8">
      <w:pPr>
        <w:pStyle w:val="ListNumber2"/>
        <w:numPr>
          <w:ilvl w:val="0"/>
          <w:numId w:val="0"/>
        </w:numPr>
        <w:ind w:left="720" w:hanging="720"/>
        <w:rPr>
          <w:rFonts w:cs="Arial"/>
          <w:b/>
          <w:sz w:val="22"/>
          <w:szCs w:val="22"/>
        </w:rPr>
      </w:pPr>
      <w:r w:rsidRPr="00D20EF9">
        <w:rPr>
          <w:sz w:val="22"/>
          <w:szCs w:val="22"/>
        </w:rPr>
        <w:t>The timescales for the procurement process are as follows:</w:t>
      </w:r>
    </w:p>
    <w:p w14:paraId="4EBED5C2" w14:textId="77777777" w:rsidR="00F52BE8" w:rsidRPr="00D20EF9" w:rsidRDefault="00F52BE8" w:rsidP="00F52BE8">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D20EF9" w14:paraId="31E72B94" w14:textId="77777777" w:rsidTr="00BA6A2C">
        <w:tc>
          <w:tcPr>
            <w:tcW w:w="4795" w:type="dxa"/>
            <w:shd w:val="clear" w:color="auto" w:fill="auto"/>
          </w:tcPr>
          <w:p w14:paraId="0A1B4873" w14:textId="77777777" w:rsidR="00F52BE8" w:rsidRPr="00D20EF9" w:rsidRDefault="00F52BE8" w:rsidP="00335497">
            <w:pPr>
              <w:pStyle w:val="ListNumber"/>
              <w:numPr>
                <w:ilvl w:val="0"/>
                <w:numId w:val="0"/>
              </w:numPr>
              <w:spacing w:before="0" w:after="0"/>
              <w:rPr>
                <w:rFonts w:cs="Arial"/>
                <w:b/>
                <w:sz w:val="22"/>
                <w:szCs w:val="22"/>
              </w:rPr>
            </w:pPr>
            <w:bookmarkStart w:id="1" w:name="_Hlk96544763"/>
            <w:r w:rsidRPr="00D20EF9">
              <w:rPr>
                <w:rFonts w:cs="Arial"/>
                <w:b/>
                <w:sz w:val="22"/>
                <w:szCs w:val="22"/>
              </w:rPr>
              <w:t>Element</w:t>
            </w:r>
          </w:p>
        </w:tc>
        <w:tc>
          <w:tcPr>
            <w:tcW w:w="3507" w:type="dxa"/>
            <w:shd w:val="clear" w:color="auto" w:fill="auto"/>
          </w:tcPr>
          <w:p w14:paraId="53B71681" w14:textId="77777777" w:rsidR="00F52BE8" w:rsidRPr="00D20EF9" w:rsidRDefault="00F52BE8" w:rsidP="00335497">
            <w:pPr>
              <w:pStyle w:val="ListNumber"/>
              <w:numPr>
                <w:ilvl w:val="0"/>
                <w:numId w:val="0"/>
              </w:numPr>
              <w:spacing w:before="0" w:after="0"/>
              <w:rPr>
                <w:rFonts w:cs="Arial"/>
                <w:b/>
                <w:sz w:val="22"/>
                <w:szCs w:val="22"/>
              </w:rPr>
            </w:pPr>
            <w:r w:rsidRPr="00D20EF9">
              <w:rPr>
                <w:rFonts w:cs="Arial"/>
                <w:b/>
                <w:sz w:val="22"/>
                <w:szCs w:val="22"/>
              </w:rPr>
              <w:t>Timescale</w:t>
            </w:r>
          </w:p>
        </w:tc>
      </w:tr>
      <w:tr w:rsidR="00F52BE8" w:rsidRPr="00D20EF9" w14:paraId="01810814" w14:textId="77777777" w:rsidTr="00BA6A2C">
        <w:tc>
          <w:tcPr>
            <w:tcW w:w="4795" w:type="dxa"/>
            <w:shd w:val="clear" w:color="auto" w:fill="auto"/>
          </w:tcPr>
          <w:p w14:paraId="0C7FA901" w14:textId="77777777" w:rsidR="00F52BE8" w:rsidRPr="00D20EF9" w:rsidRDefault="00F52BE8" w:rsidP="00335497">
            <w:pPr>
              <w:pStyle w:val="ListNumber"/>
              <w:numPr>
                <w:ilvl w:val="0"/>
                <w:numId w:val="0"/>
              </w:numPr>
              <w:spacing w:before="0" w:after="0"/>
              <w:rPr>
                <w:rFonts w:cs="Arial"/>
                <w:sz w:val="22"/>
                <w:szCs w:val="22"/>
              </w:rPr>
            </w:pPr>
            <w:r w:rsidRPr="00D20EF9">
              <w:rPr>
                <w:rFonts w:cs="Arial"/>
                <w:sz w:val="22"/>
                <w:szCs w:val="22"/>
              </w:rPr>
              <w:t>Invitation to tender issued</w:t>
            </w:r>
          </w:p>
        </w:tc>
        <w:tc>
          <w:tcPr>
            <w:tcW w:w="3507" w:type="dxa"/>
            <w:shd w:val="clear" w:color="auto" w:fill="auto"/>
          </w:tcPr>
          <w:p w14:paraId="188355D8" w14:textId="10AF466C" w:rsidR="00F52BE8" w:rsidRPr="00D20EF9" w:rsidRDefault="00BF74F5" w:rsidP="00335497">
            <w:pPr>
              <w:pStyle w:val="ListNumber"/>
              <w:numPr>
                <w:ilvl w:val="0"/>
                <w:numId w:val="0"/>
              </w:numPr>
              <w:spacing w:before="0" w:after="0"/>
              <w:rPr>
                <w:rFonts w:cs="Arial"/>
                <w:sz w:val="22"/>
                <w:szCs w:val="22"/>
              </w:rPr>
            </w:pPr>
            <w:r>
              <w:rPr>
                <w:rFonts w:cs="Arial"/>
                <w:sz w:val="22"/>
                <w:szCs w:val="22"/>
              </w:rPr>
              <w:t>0</w:t>
            </w:r>
            <w:r w:rsidR="005E6294">
              <w:rPr>
                <w:rFonts w:cs="Arial"/>
                <w:sz w:val="22"/>
                <w:szCs w:val="22"/>
              </w:rPr>
              <w:t>5 August 2022</w:t>
            </w:r>
          </w:p>
        </w:tc>
      </w:tr>
      <w:tr w:rsidR="00F52BE8" w:rsidRPr="00D20EF9" w14:paraId="53056EF8" w14:textId="77777777" w:rsidTr="00BA6A2C">
        <w:tc>
          <w:tcPr>
            <w:tcW w:w="4795" w:type="dxa"/>
            <w:shd w:val="clear" w:color="auto" w:fill="auto"/>
          </w:tcPr>
          <w:p w14:paraId="4E1F9B1E" w14:textId="77777777" w:rsidR="00F52BE8" w:rsidRPr="00D20EF9" w:rsidRDefault="00F52BE8" w:rsidP="00335497">
            <w:pPr>
              <w:pStyle w:val="ListNumber"/>
              <w:numPr>
                <w:ilvl w:val="0"/>
                <w:numId w:val="0"/>
              </w:numPr>
              <w:spacing w:before="0" w:after="0"/>
              <w:rPr>
                <w:rFonts w:cs="Arial"/>
                <w:sz w:val="22"/>
                <w:szCs w:val="22"/>
              </w:rPr>
            </w:pPr>
            <w:r w:rsidRPr="00D20EF9">
              <w:rPr>
                <w:rFonts w:cs="Arial"/>
                <w:sz w:val="22"/>
                <w:szCs w:val="22"/>
              </w:rPr>
              <w:t>Deadline for the submission of clarification questions</w:t>
            </w:r>
          </w:p>
        </w:tc>
        <w:tc>
          <w:tcPr>
            <w:tcW w:w="3507" w:type="dxa"/>
            <w:shd w:val="clear" w:color="auto" w:fill="auto"/>
          </w:tcPr>
          <w:p w14:paraId="2D8E9C0D" w14:textId="0CD11BC8" w:rsidR="00F52BE8" w:rsidRPr="00D20EF9" w:rsidRDefault="005E6294" w:rsidP="00335497">
            <w:pPr>
              <w:pStyle w:val="ListNumber"/>
              <w:numPr>
                <w:ilvl w:val="0"/>
                <w:numId w:val="0"/>
              </w:numPr>
              <w:spacing w:before="0" w:after="0"/>
              <w:rPr>
                <w:rFonts w:cs="Arial"/>
                <w:sz w:val="22"/>
                <w:szCs w:val="22"/>
              </w:rPr>
            </w:pPr>
            <w:r>
              <w:rPr>
                <w:rFonts w:cs="Arial"/>
                <w:sz w:val="22"/>
                <w:szCs w:val="22"/>
              </w:rPr>
              <w:t>22 August 2022 17:00hrs</w:t>
            </w:r>
          </w:p>
        </w:tc>
      </w:tr>
      <w:tr w:rsidR="00F52BE8" w:rsidRPr="00D20EF9" w14:paraId="3400FC76" w14:textId="77777777" w:rsidTr="00BA6A2C">
        <w:tc>
          <w:tcPr>
            <w:tcW w:w="4795" w:type="dxa"/>
            <w:shd w:val="clear" w:color="auto" w:fill="auto"/>
          </w:tcPr>
          <w:p w14:paraId="127F0E8B" w14:textId="77777777" w:rsidR="00F52BE8" w:rsidRPr="00D20EF9" w:rsidRDefault="00F52BE8" w:rsidP="00335497">
            <w:pPr>
              <w:pStyle w:val="ListNumber"/>
              <w:numPr>
                <w:ilvl w:val="0"/>
                <w:numId w:val="0"/>
              </w:numPr>
              <w:spacing w:before="0" w:after="0"/>
              <w:rPr>
                <w:rFonts w:cs="Arial"/>
                <w:sz w:val="22"/>
                <w:szCs w:val="22"/>
              </w:rPr>
            </w:pPr>
            <w:r w:rsidRPr="00D20EF9">
              <w:rPr>
                <w:rFonts w:cs="Arial"/>
                <w:sz w:val="22"/>
                <w:szCs w:val="22"/>
              </w:rPr>
              <w:t>Deadline for submission of proposals</w:t>
            </w:r>
          </w:p>
        </w:tc>
        <w:tc>
          <w:tcPr>
            <w:tcW w:w="3507" w:type="dxa"/>
            <w:shd w:val="clear" w:color="auto" w:fill="auto"/>
          </w:tcPr>
          <w:p w14:paraId="2F5D93EF" w14:textId="5DAB5380" w:rsidR="00F52BE8" w:rsidRPr="00D20EF9" w:rsidRDefault="00BF74F5" w:rsidP="00335497">
            <w:pPr>
              <w:pStyle w:val="ListNumber"/>
              <w:numPr>
                <w:ilvl w:val="0"/>
                <w:numId w:val="0"/>
              </w:numPr>
              <w:spacing w:before="0" w:after="0"/>
              <w:rPr>
                <w:rFonts w:cs="Arial"/>
                <w:sz w:val="22"/>
                <w:szCs w:val="22"/>
              </w:rPr>
            </w:pPr>
            <w:r>
              <w:rPr>
                <w:rFonts w:cs="Arial"/>
                <w:sz w:val="22"/>
                <w:szCs w:val="22"/>
              </w:rPr>
              <w:t>26 August 2022 10:00hrs</w:t>
            </w:r>
          </w:p>
        </w:tc>
      </w:tr>
      <w:tr w:rsidR="00F52BE8" w:rsidRPr="00D20EF9" w14:paraId="4980ADEC" w14:textId="77777777" w:rsidTr="00BA6A2C">
        <w:tc>
          <w:tcPr>
            <w:tcW w:w="4795" w:type="dxa"/>
            <w:shd w:val="clear" w:color="auto" w:fill="auto"/>
          </w:tcPr>
          <w:p w14:paraId="0725ED44" w14:textId="77777777" w:rsidR="00F52BE8" w:rsidRPr="00D20EF9" w:rsidRDefault="00F52BE8" w:rsidP="00335497">
            <w:pPr>
              <w:pStyle w:val="ListNumber"/>
              <w:numPr>
                <w:ilvl w:val="0"/>
                <w:numId w:val="0"/>
              </w:numPr>
              <w:spacing w:before="0" w:after="0"/>
              <w:rPr>
                <w:rFonts w:cs="Arial"/>
                <w:sz w:val="22"/>
                <w:szCs w:val="22"/>
              </w:rPr>
            </w:pPr>
            <w:r w:rsidRPr="00D20EF9">
              <w:rPr>
                <w:rFonts w:cs="Arial"/>
                <w:sz w:val="22"/>
                <w:szCs w:val="22"/>
              </w:rPr>
              <w:t>Award contract</w:t>
            </w:r>
          </w:p>
        </w:tc>
        <w:tc>
          <w:tcPr>
            <w:tcW w:w="3507" w:type="dxa"/>
            <w:shd w:val="clear" w:color="auto" w:fill="auto"/>
          </w:tcPr>
          <w:p w14:paraId="550C074B" w14:textId="454B1303" w:rsidR="00F52BE8" w:rsidRPr="00D20EF9" w:rsidRDefault="00AF7F24" w:rsidP="00335497">
            <w:pPr>
              <w:pStyle w:val="ListNumber"/>
              <w:numPr>
                <w:ilvl w:val="0"/>
                <w:numId w:val="0"/>
              </w:numPr>
              <w:spacing w:before="0" w:after="0"/>
              <w:rPr>
                <w:rFonts w:cs="Arial"/>
                <w:sz w:val="22"/>
                <w:szCs w:val="22"/>
              </w:rPr>
            </w:pPr>
            <w:r w:rsidRPr="00D20EF9">
              <w:rPr>
                <w:rFonts w:cs="Arial"/>
                <w:sz w:val="22"/>
                <w:szCs w:val="22"/>
              </w:rPr>
              <w:t>06</w:t>
            </w:r>
            <w:r w:rsidR="00BF74F5">
              <w:rPr>
                <w:rFonts w:cs="Arial"/>
                <w:sz w:val="22"/>
                <w:szCs w:val="22"/>
              </w:rPr>
              <w:t xml:space="preserve"> September 2022</w:t>
            </w:r>
          </w:p>
        </w:tc>
      </w:tr>
      <w:tr w:rsidR="00F52BE8" w:rsidRPr="00D20EF9" w14:paraId="6D8D1611" w14:textId="77777777" w:rsidTr="00BA6A2C">
        <w:tc>
          <w:tcPr>
            <w:tcW w:w="4795" w:type="dxa"/>
            <w:shd w:val="clear" w:color="auto" w:fill="auto"/>
          </w:tcPr>
          <w:p w14:paraId="689D233A" w14:textId="77777777" w:rsidR="00F52BE8" w:rsidRPr="00D20EF9" w:rsidRDefault="00F52BE8" w:rsidP="00335497">
            <w:pPr>
              <w:pStyle w:val="ListNumber"/>
              <w:numPr>
                <w:ilvl w:val="0"/>
                <w:numId w:val="0"/>
              </w:numPr>
              <w:spacing w:before="0" w:after="0"/>
              <w:rPr>
                <w:rFonts w:cs="Arial"/>
                <w:sz w:val="22"/>
                <w:szCs w:val="22"/>
              </w:rPr>
            </w:pPr>
            <w:r w:rsidRPr="00D20EF9">
              <w:rPr>
                <w:rFonts w:cs="Arial"/>
                <w:sz w:val="22"/>
                <w:szCs w:val="22"/>
              </w:rPr>
              <w:t>Project Inception Meeting</w:t>
            </w:r>
          </w:p>
        </w:tc>
        <w:tc>
          <w:tcPr>
            <w:tcW w:w="3507" w:type="dxa"/>
            <w:shd w:val="clear" w:color="auto" w:fill="auto"/>
          </w:tcPr>
          <w:p w14:paraId="6F5D68DF" w14:textId="03075309" w:rsidR="00F52BE8" w:rsidRPr="00D20EF9" w:rsidRDefault="00CF25AB" w:rsidP="00335497">
            <w:pPr>
              <w:pStyle w:val="ListNumber"/>
              <w:numPr>
                <w:ilvl w:val="0"/>
                <w:numId w:val="0"/>
              </w:numPr>
              <w:spacing w:before="0" w:after="0"/>
              <w:rPr>
                <w:rFonts w:cs="Arial"/>
                <w:sz w:val="22"/>
                <w:szCs w:val="22"/>
              </w:rPr>
            </w:pPr>
            <w:r>
              <w:rPr>
                <w:rFonts w:cs="Arial"/>
                <w:sz w:val="22"/>
                <w:szCs w:val="22"/>
              </w:rPr>
              <w:t>w/c 12</w:t>
            </w:r>
            <w:r w:rsidR="00BF74F5">
              <w:rPr>
                <w:rFonts w:cs="Arial"/>
                <w:sz w:val="22"/>
                <w:szCs w:val="22"/>
              </w:rPr>
              <w:t xml:space="preserve"> September 2022</w:t>
            </w:r>
          </w:p>
        </w:tc>
      </w:tr>
      <w:bookmarkEnd w:id="1"/>
    </w:tbl>
    <w:p w14:paraId="1624FD2D" w14:textId="77777777" w:rsidR="00BA6A2C" w:rsidRPr="00D20EF9" w:rsidRDefault="00BA6A2C" w:rsidP="00F52BE8">
      <w:pPr>
        <w:jc w:val="both"/>
        <w:rPr>
          <w:rFonts w:cs="Arial"/>
          <w:sz w:val="22"/>
          <w:szCs w:val="22"/>
          <w:u w:val="single"/>
        </w:rPr>
      </w:pPr>
    </w:p>
    <w:p w14:paraId="6DE10873" w14:textId="64045B07" w:rsidR="00F52BE8" w:rsidRPr="00D20EF9" w:rsidRDefault="00F52BE8" w:rsidP="00F52BE8">
      <w:pPr>
        <w:jc w:val="both"/>
        <w:rPr>
          <w:rFonts w:cs="Arial"/>
          <w:sz w:val="22"/>
          <w:szCs w:val="22"/>
          <w:u w:val="single"/>
        </w:rPr>
      </w:pPr>
      <w:r w:rsidRPr="00D20EF9">
        <w:rPr>
          <w:rFonts w:cs="Arial"/>
          <w:sz w:val="22"/>
          <w:szCs w:val="22"/>
          <w:u w:val="single"/>
        </w:rPr>
        <w:t>Tendering Instructions and Guidance</w:t>
      </w:r>
    </w:p>
    <w:p w14:paraId="6D0E075B" w14:textId="77777777" w:rsidR="00F52BE8" w:rsidRPr="00D20EF9" w:rsidRDefault="00F52BE8" w:rsidP="00F52BE8">
      <w:pPr>
        <w:jc w:val="both"/>
        <w:rPr>
          <w:rFonts w:cs="Arial"/>
          <w:b/>
          <w:sz w:val="22"/>
          <w:szCs w:val="22"/>
        </w:rPr>
      </w:pPr>
      <w:r w:rsidRPr="00D20EF9">
        <w:rPr>
          <w:rFonts w:cs="Arial"/>
          <w:b/>
          <w:sz w:val="22"/>
          <w:szCs w:val="22"/>
        </w:rPr>
        <w:t>Amendments to ITT document</w:t>
      </w:r>
    </w:p>
    <w:p w14:paraId="4E3D1755" w14:textId="77777777" w:rsidR="00F52BE8" w:rsidRPr="00D20EF9" w:rsidRDefault="00F52BE8" w:rsidP="00F52BE8">
      <w:pPr>
        <w:pStyle w:val="ListNumber"/>
        <w:numPr>
          <w:ilvl w:val="0"/>
          <w:numId w:val="0"/>
        </w:numPr>
        <w:rPr>
          <w:rFonts w:cs="Arial"/>
          <w:b/>
          <w:sz w:val="22"/>
          <w:szCs w:val="22"/>
        </w:rPr>
      </w:pPr>
      <w:r w:rsidRPr="00D20EF9">
        <w:rPr>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D20EF9" w:rsidRDefault="00F52BE8" w:rsidP="00F52BE8">
      <w:pPr>
        <w:keepNext/>
        <w:jc w:val="both"/>
        <w:rPr>
          <w:b/>
          <w:sz w:val="22"/>
          <w:szCs w:val="22"/>
        </w:rPr>
      </w:pPr>
      <w:r w:rsidRPr="00D20EF9">
        <w:rPr>
          <w:b/>
          <w:sz w:val="22"/>
          <w:szCs w:val="22"/>
        </w:rPr>
        <w:t>Clarifications &amp; Queries</w:t>
      </w:r>
    </w:p>
    <w:p w14:paraId="71DAA3CE" w14:textId="77777777" w:rsidR="00F52BE8" w:rsidRPr="00D20EF9" w:rsidRDefault="00F52BE8" w:rsidP="00F52BE8">
      <w:pPr>
        <w:pStyle w:val="ListNumber"/>
        <w:numPr>
          <w:ilvl w:val="0"/>
          <w:numId w:val="0"/>
        </w:numPr>
        <w:rPr>
          <w:sz w:val="22"/>
          <w:szCs w:val="22"/>
        </w:rPr>
      </w:pPr>
      <w:r w:rsidRPr="00D20EF9">
        <w:rPr>
          <w:sz w:val="22"/>
          <w:szCs w:val="22"/>
        </w:rPr>
        <w:t xml:space="preserve">Please note that, for audit purposes, any query in connection with the tender should be submitted </w:t>
      </w:r>
      <w:r w:rsidRPr="00D20EF9">
        <w:rPr>
          <w:bCs/>
          <w:sz w:val="22"/>
          <w:szCs w:val="22"/>
        </w:rPr>
        <w:t>via the ORR eTendering portal.</w:t>
      </w:r>
      <w:r w:rsidRPr="00D20EF9">
        <w:rPr>
          <w:b/>
          <w:bCs/>
          <w:sz w:val="22"/>
          <w:szCs w:val="22"/>
        </w:rPr>
        <w:t xml:space="preserve"> </w:t>
      </w:r>
      <w:r w:rsidRPr="00D20EF9">
        <w:rPr>
          <w:sz w:val="22"/>
          <w:szCs w:val="22"/>
        </w:rPr>
        <w:t xml:space="preserve">The response, as well as the nature of the query, will be notified to all suppliers without disclosing the name of the Supplier who initiated the query. </w:t>
      </w:r>
    </w:p>
    <w:p w14:paraId="6BCB06C0" w14:textId="77777777" w:rsidR="00F52BE8" w:rsidRPr="00D20EF9" w:rsidRDefault="00F52BE8" w:rsidP="00F52BE8">
      <w:pPr>
        <w:jc w:val="both"/>
        <w:rPr>
          <w:rFonts w:cs="Arial"/>
          <w:b/>
          <w:sz w:val="22"/>
          <w:szCs w:val="22"/>
        </w:rPr>
      </w:pPr>
      <w:r w:rsidRPr="00D20EF9">
        <w:rPr>
          <w:rFonts w:cs="Arial"/>
          <w:b/>
          <w:sz w:val="22"/>
          <w:szCs w:val="22"/>
        </w:rPr>
        <w:t>Submission Process</w:t>
      </w:r>
    </w:p>
    <w:p w14:paraId="66CEE9C3" w14:textId="77777777" w:rsidR="00F52BE8" w:rsidRPr="00D20EF9" w:rsidRDefault="00F52BE8" w:rsidP="00F52BE8">
      <w:pPr>
        <w:pStyle w:val="ListNumber"/>
        <w:numPr>
          <w:ilvl w:val="0"/>
          <w:numId w:val="0"/>
        </w:numPr>
        <w:rPr>
          <w:sz w:val="22"/>
          <w:szCs w:val="22"/>
        </w:rPr>
      </w:pPr>
      <w:r w:rsidRPr="00D20EF9">
        <w:rPr>
          <w:sz w:val="22"/>
          <w:szCs w:val="22"/>
        </w:rPr>
        <w:t>Tenders must be uploaded to the ORR eTendering portal</w:t>
      </w:r>
      <w:r w:rsidRPr="00D20EF9">
        <w:rPr>
          <w:b/>
          <w:sz w:val="22"/>
          <w:szCs w:val="22"/>
        </w:rPr>
        <w:t xml:space="preserve"> no later</w:t>
      </w:r>
      <w:r w:rsidRPr="00D20EF9">
        <w:rPr>
          <w:sz w:val="22"/>
          <w:szCs w:val="22"/>
        </w:rPr>
        <w:t xml:space="preserve"> than the submission date and time shown above. Tenders uploaded after the closing date and time may not be accepted. Bidders have the facility to upload later versions of </w:t>
      </w:r>
      <w:r w:rsidRPr="00D20EF9">
        <w:rPr>
          <w:rFonts w:cs="Arial"/>
          <w:sz w:val="22"/>
          <w:szCs w:val="22"/>
        </w:rPr>
        <w:t xml:space="preserve">tenders until the closing date/time. </w:t>
      </w:r>
    </w:p>
    <w:p w14:paraId="2AEABAFA" w14:textId="77777777" w:rsidR="00F52BE8" w:rsidRPr="00D20EF9" w:rsidRDefault="00F52BE8" w:rsidP="00F52BE8">
      <w:pPr>
        <w:pStyle w:val="ListNumber"/>
        <w:numPr>
          <w:ilvl w:val="0"/>
          <w:numId w:val="0"/>
        </w:numPr>
        <w:rPr>
          <w:sz w:val="22"/>
          <w:szCs w:val="22"/>
        </w:rPr>
      </w:pPr>
      <w:r w:rsidRPr="00D20EF9">
        <w:rPr>
          <w:sz w:val="22"/>
          <w:szCs w:val="22"/>
        </w:rPr>
        <w:t>Please submit the Form of Tender and Disclaimer certificate along with your proposal. If you are already registered on our eTendering portal but have forgotten your login details, please contact the portal administrator.</w:t>
      </w:r>
    </w:p>
    <w:p w14:paraId="0A13DA32" w14:textId="77777777" w:rsidR="00F52BE8" w:rsidRPr="00D20EF9" w:rsidRDefault="00F52BE8" w:rsidP="00F52BE8">
      <w:pPr>
        <w:pStyle w:val="ListNumber"/>
        <w:numPr>
          <w:ilvl w:val="0"/>
          <w:numId w:val="0"/>
        </w:numPr>
        <w:rPr>
          <w:sz w:val="22"/>
          <w:szCs w:val="22"/>
        </w:rPr>
      </w:pPr>
      <w:r w:rsidRPr="00D20EF9">
        <w:rPr>
          <w:sz w:val="22"/>
          <w:szCs w:val="22"/>
        </w:rPr>
        <w:t xml:space="preserve">An evaluation team will evaluate all tenders correctly submitted against the stated evaluation criteria. </w:t>
      </w:r>
    </w:p>
    <w:p w14:paraId="36A66DAE" w14:textId="77777777" w:rsidR="00F52BE8" w:rsidRPr="00D20EF9" w:rsidRDefault="00F52BE8" w:rsidP="00F52BE8">
      <w:pPr>
        <w:pStyle w:val="ListNumber"/>
        <w:numPr>
          <w:ilvl w:val="0"/>
          <w:numId w:val="0"/>
        </w:numPr>
        <w:rPr>
          <w:sz w:val="22"/>
          <w:szCs w:val="22"/>
        </w:rPr>
      </w:pPr>
      <w:r w:rsidRPr="00D20EF9">
        <w:rPr>
          <w:sz w:val="22"/>
          <w:szCs w:val="22"/>
        </w:rPr>
        <w:t xml:space="preserve">By issuing this Invitation to Tender ORR does not undertake to accept the lowest tender, or part or all of any tender. No part of the tender submitted will be returned to the supplier </w:t>
      </w:r>
    </w:p>
    <w:p w14:paraId="29CA8AEC" w14:textId="241174D3" w:rsidR="00F52BE8" w:rsidRDefault="00F52BE8" w:rsidP="00F52BE8">
      <w:pPr>
        <w:jc w:val="both"/>
        <w:rPr>
          <w:rFonts w:cs="Arial"/>
          <w:b/>
        </w:rPr>
      </w:pPr>
    </w:p>
    <w:p w14:paraId="4CBB9573" w14:textId="77777777" w:rsidR="00BA6A2C" w:rsidRDefault="00BA6A2C" w:rsidP="00F52BE8">
      <w:pPr>
        <w:jc w:val="both"/>
        <w:rPr>
          <w:rFonts w:cs="Arial"/>
          <w:b/>
        </w:rPr>
      </w:pPr>
    </w:p>
    <w:p w14:paraId="5A4049FD" w14:textId="77777777" w:rsidR="00F52BE8" w:rsidRPr="00D20EF9" w:rsidRDefault="00F52BE8" w:rsidP="00F52BE8">
      <w:pPr>
        <w:jc w:val="both"/>
        <w:rPr>
          <w:rFonts w:cs="Arial"/>
          <w:sz w:val="22"/>
          <w:szCs w:val="22"/>
        </w:rPr>
      </w:pPr>
      <w:r w:rsidRPr="00D20EF9">
        <w:rPr>
          <w:rFonts w:cs="Arial"/>
          <w:b/>
          <w:sz w:val="22"/>
          <w:szCs w:val="22"/>
        </w:rPr>
        <w:t>Cost &amp; Pricing Information</w:t>
      </w:r>
    </w:p>
    <w:p w14:paraId="6F6348F9" w14:textId="77777777" w:rsidR="00F52BE8" w:rsidRPr="00D20EF9" w:rsidRDefault="00F52BE8" w:rsidP="00F52BE8">
      <w:pPr>
        <w:pStyle w:val="ListNumber"/>
        <w:numPr>
          <w:ilvl w:val="0"/>
          <w:numId w:val="0"/>
        </w:numPr>
        <w:rPr>
          <w:sz w:val="22"/>
          <w:szCs w:val="22"/>
        </w:rPr>
      </w:pPr>
      <w:r w:rsidRPr="00D20EF9">
        <w:rPr>
          <w:sz w:val="22"/>
          <w:szCs w:val="22"/>
        </w:rPr>
        <w:t xml:space="preserve">Tender costs remain the responsibility of those tendering. This includes any costs or expenses incurred by the supplier in connection with the preparation or delivery or in </w:t>
      </w:r>
      <w:r w:rsidRPr="00D20EF9">
        <w:rPr>
          <w:sz w:val="22"/>
          <w:szCs w:val="22"/>
        </w:rPr>
        <w:lastRenderedPageBreak/>
        <w:t>the evaluation of the tender. All details of the tender, including prices and rates, are to remain valid for acceptance for a period of 90 days from the tender closing date.</w:t>
      </w:r>
    </w:p>
    <w:p w14:paraId="4EF35F09" w14:textId="77777777" w:rsidR="00F52BE8" w:rsidRPr="00D20EF9" w:rsidRDefault="00F52BE8" w:rsidP="00F52BE8">
      <w:pPr>
        <w:pStyle w:val="ListNumber"/>
        <w:numPr>
          <w:ilvl w:val="0"/>
          <w:numId w:val="0"/>
        </w:numPr>
        <w:rPr>
          <w:sz w:val="22"/>
          <w:szCs w:val="22"/>
        </w:rPr>
      </w:pPr>
      <w:r w:rsidRPr="00D20EF9">
        <w:rPr>
          <w:sz w:val="22"/>
          <w:szCs w:val="22"/>
        </w:rPr>
        <w:t>Tender prices must be in Sterling.</w:t>
      </w:r>
    </w:p>
    <w:p w14:paraId="6991A95E" w14:textId="77777777" w:rsidR="00F52BE8" w:rsidRPr="00D20EF9" w:rsidRDefault="00F52BE8" w:rsidP="00F52BE8">
      <w:pPr>
        <w:pStyle w:val="ListNumber"/>
        <w:numPr>
          <w:ilvl w:val="0"/>
          <w:numId w:val="0"/>
        </w:numPr>
        <w:rPr>
          <w:sz w:val="22"/>
          <w:szCs w:val="22"/>
        </w:rPr>
      </w:pPr>
      <w:r w:rsidRPr="00D20EF9">
        <w:rPr>
          <w:sz w:val="22"/>
          <w:szCs w:val="22"/>
        </w:rPr>
        <w:t>Once the contract has been awarded, any additional costs incurred which are not reflected in the tender submission will not be accepted for payment.</w:t>
      </w:r>
    </w:p>
    <w:p w14:paraId="141B77D5" w14:textId="77777777" w:rsidR="00F52BE8" w:rsidRPr="00D20EF9" w:rsidRDefault="00F52BE8" w:rsidP="00F52BE8">
      <w:pPr>
        <w:pStyle w:val="ListNumber"/>
        <w:numPr>
          <w:ilvl w:val="0"/>
          <w:numId w:val="0"/>
        </w:numPr>
        <w:rPr>
          <w:b/>
          <w:sz w:val="22"/>
          <w:szCs w:val="22"/>
        </w:rPr>
      </w:pPr>
    </w:p>
    <w:p w14:paraId="7CD0E371" w14:textId="77777777" w:rsidR="00F52BE8" w:rsidRPr="00D20EF9" w:rsidRDefault="00F52BE8" w:rsidP="00F52BE8">
      <w:pPr>
        <w:pStyle w:val="ListNumber"/>
        <w:numPr>
          <w:ilvl w:val="0"/>
          <w:numId w:val="0"/>
        </w:numPr>
        <w:rPr>
          <w:b/>
          <w:sz w:val="22"/>
          <w:szCs w:val="22"/>
        </w:rPr>
      </w:pPr>
      <w:r w:rsidRPr="00D20EF9">
        <w:rPr>
          <w:b/>
          <w:sz w:val="22"/>
          <w:szCs w:val="22"/>
        </w:rPr>
        <w:t>References</w:t>
      </w:r>
    </w:p>
    <w:p w14:paraId="74B267AD" w14:textId="77777777" w:rsidR="00F52BE8" w:rsidRPr="00D20EF9" w:rsidRDefault="00F52BE8" w:rsidP="00F52BE8">
      <w:pPr>
        <w:pStyle w:val="ListNumber"/>
        <w:numPr>
          <w:ilvl w:val="0"/>
          <w:numId w:val="0"/>
        </w:numPr>
        <w:rPr>
          <w:sz w:val="22"/>
          <w:szCs w:val="22"/>
        </w:rPr>
      </w:pPr>
      <w:r w:rsidRPr="00D20EF9">
        <w:rPr>
          <w:sz w:val="22"/>
          <w:szCs w:val="22"/>
        </w:rPr>
        <w:t>References provided as part of the tender may be approached during the tender stage</w:t>
      </w:r>
    </w:p>
    <w:p w14:paraId="7B403AF9" w14:textId="77777777" w:rsidR="00F52BE8" w:rsidRPr="00D20EF9" w:rsidRDefault="00F52BE8" w:rsidP="00F52BE8">
      <w:pPr>
        <w:pStyle w:val="ListNumber"/>
        <w:numPr>
          <w:ilvl w:val="0"/>
          <w:numId w:val="0"/>
        </w:numPr>
        <w:rPr>
          <w:sz w:val="22"/>
          <w:szCs w:val="22"/>
        </w:rPr>
      </w:pPr>
    </w:p>
    <w:p w14:paraId="6A236EA5" w14:textId="77777777" w:rsidR="00F52BE8" w:rsidRPr="00D20EF9" w:rsidRDefault="00F52BE8" w:rsidP="00F52BE8">
      <w:pPr>
        <w:pStyle w:val="ListNumber"/>
        <w:numPr>
          <w:ilvl w:val="0"/>
          <w:numId w:val="0"/>
        </w:numPr>
        <w:rPr>
          <w:b/>
          <w:sz w:val="22"/>
          <w:szCs w:val="22"/>
        </w:rPr>
      </w:pPr>
      <w:r w:rsidRPr="00D20EF9">
        <w:rPr>
          <w:b/>
          <w:sz w:val="22"/>
          <w:szCs w:val="22"/>
        </w:rPr>
        <w:t>Contractual Information</w:t>
      </w:r>
    </w:p>
    <w:p w14:paraId="6C58AA72" w14:textId="77777777" w:rsidR="00F52BE8" w:rsidRPr="00D20EF9" w:rsidRDefault="00F52BE8" w:rsidP="00F52BE8">
      <w:pPr>
        <w:pStyle w:val="Default"/>
        <w:rPr>
          <w:sz w:val="22"/>
          <w:szCs w:val="22"/>
        </w:rPr>
      </w:pPr>
      <w:r w:rsidRPr="00D20EF9">
        <w:rPr>
          <w:sz w:val="22"/>
          <w:szCs w:val="22"/>
        </w:rPr>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D20EF9" w:rsidRDefault="00F52BE8" w:rsidP="00F52BE8">
      <w:pPr>
        <w:pStyle w:val="Default"/>
        <w:rPr>
          <w:sz w:val="22"/>
          <w:szCs w:val="22"/>
        </w:rPr>
      </w:pPr>
    </w:p>
    <w:p w14:paraId="4935BB62" w14:textId="77777777" w:rsidR="00F52BE8" w:rsidRPr="00D20EF9" w:rsidRDefault="00F52BE8" w:rsidP="00F52BE8">
      <w:pPr>
        <w:pStyle w:val="Default"/>
        <w:rPr>
          <w:sz w:val="22"/>
          <w:szCs w:val="22"/>
        </w:rPr>
      </w:pPr>
      <w:r w:rsidRPr="00D20EF9">
        <w:rPr>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Pr="005F6D0A" w:rsidRDefault="00F52BE8" w:rsidP="00F52BE8">
      <w:pPr>
        <w:pStyle w:val="Default"/>
        <w:rPr>
          <w:sz w:val="22"/>
          <w:szCs w:val="22"/>
        </w:rPr>
      </w:pPr>
    </w:p>
    <w:p w14:paraId="3787E3A5" w14:textId="77777777" w:rsidR="00F52BE8" w:rsidRPr="00D20EF9" w:rsidRDefault="00F52BE8" w:rsidP="00F52BE8">
      <w:pPr>
        <w:pStyle w:val="Default"/>
        <w:rPr>
          <w:sz w:val="22"/>
          <w:szCs w:val="22"/>
        </w:rPr>
      </w:pPr>
      <w:r w:rsidRPr="00D20EF9">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7334F6C6" w14:textId="77777777" w:rsidR="00F52BE8" w:rsidRPr="00D20EF9" w:rsidRDefault="00F52BE8" w:rsidP="00F52BE8">
      <w:pPr>
        <w:pStyle w:val="Default"/>
        <w:rPr>
          <w:sz w:val="22"/>
          <w:szCs w:val="22"/>
        </w:rPr>
      </w:pPr>
    </w:p>
    <w:p w14:paraId="51EBEEDB" w14:textId="77777777" w:rsidR="00F52BE8" w:rsidRPr="00D20EF9" w:rsidRDefault="00F52BE8" w:rsidP="00F52BE8">
      <w:pPr>
        <w:pStyle w:val="Default"/>
        <w:rPr>
          <w:sz w:val="22"/>
          <w:szCs w:val="22"/>
        </w:rPr>
      </w:pPr>
      <w:r w:rsidRPr="00D20EF9">
        <w:rPr>
          <w:sz w:val="22"/>
          <w:szCs w:val="22"/>
        </w:rPr>
        <w:t>The ORR does not expect to negotiate individual terms and expects to contract on the basis of those terms alone. If you do not agree to the Conditions of Contract then your tender may be deselected on that basis alone and not considered further.</w:t>
      </w:r>
    </w:p>
    <w:p w14:paraId="63373B2C" w14:textId="77777777" w:rsidR="00F52BE8" w:rsidRPr="00D20EF9" w:rsidRDefault="00F52BE8" w:rsidP="00F52BE8">
      <w:pPr>
        <w:pStyle w:val="ListNumber"/>
        <w:numPr>
          <w:ilvl w:val="0"/>
          <w:numId w:val="0"/>
        </w:numPr>
        <w:rPr>
          <w:sz w:val="22"/>
          <w:szCs w:val="22"/>
        </w:rPr>
      </w:pPr>
      <w:r w:rsidRPr="00D20EF9">
        <w:rPr>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D20EF9" w:rsidRDefault="00F52BE8" w:rsidP="00F52BE8">
      <w:pPr>
        <w:pStyle w:val="Default"/>
        <w:rPr>
          <w:sz w:val="22"/>
          <w:szCs w:val="22"/>
        </w:rPr>
      </w:pPr>
      <w:r w:rsidRPr="00D20EF9">
        <w:rPr>
          <w:sz w:val="22"/>
          <w:szCs w:val="22"/>
        </w:rPr>
        <w:t xml:space="preserve">Any services arising from this ITT will be carried out pursuant to the contract which comprises of: </w:t>
      </w:r>
    </w:p>
    <w:p w14:paraId="35BF4192" w14:textId="77777777" w:rsidR="00F52BE8" w:rsidRPr="00D20EF9" w:rsidRDefault="00F52BE8" w:rsidP="00F52BE8">
      <w:pPr>
        <w:pStyle w:val="Default"/>
        <w:rPr>
          <w:sz w:val="22"/>
          <w:szCs w:val="22"/>
        </w:rPr>
      </w:pPr>
    </w:p>
    <w:p w14:paraId="054342C1" w14:textId="77777777" w:rsidR="00F52BE8" w:rsidRPr="00D20EF9" w:rsidRDefault="00F52BE8" w:rsidP="00F52BE8">
      <w:pPr>
        <w:pStyle w:val="Default"/>
        <w:numPr>
          <w:ilvl w:val="0"/>
          <w:numId w:val="17"/>
        </w:numPr>
        <w:rPr>
          <w:sz w:val="22"/>
          <w:szCs w:val="22"/>
        </w:rPr>
      </w:pPr>
      <w:r w:rsidRPr="00D20EF9">
        <w:rPr>
          <w:sz w:val="22"/>
          <w:szCs w:val="22"/>
        </w:rPr>
        <w:t xml:space="preserve">ORR Terms &amp; Conditions; </w:t>
      </w:r>
    </w:p>
    <w:p w14:paraId="006488E2" w14:textId="77777777" w:rsidR="00F52BE8" w:rsidRPr="00D20EF9" w:rsidRDefault="00F52BE8" w:rsidP="00F52BE8">
      <w:pPr>
        <w:pStyle w:val="Default"/>
        <w:rPr>
          <w:sz w:val="22"/>
          <w:szCs w:val="22"/>
        </w:rPr>
      </w:pPr>
    </w:p>
    <w:p w14:paraId="2BE4045E" w14:textId="77777777" w:rsidR="00F52BE8" w:rsidRPr="00D20EF9" w:rsidRDefault="00F52BE8" w:rsidP="00F52BE8">
      <w:pPr>
        <w:pStyle w:val="Default"/>
        <w:numPr>
          <w:ilvl w:val="0"/>
          <w:numId w:val="17"/>
        </w:numPr>
        <w:rPr>
          <w:sz w:val="22"/>
          <w:szCs w:val="22"/>
        </w:rPr>
      </w:pPr>
      <w:r w:rsidRPr="00D20EF9">
        <w:rPr>
          <w:sz w:val="22"/>
          <w:szCs w:val="22"/>
        </w:rPr>
        <w:t>Service Schedules;</w:t>
      </w:r>
    </w:p>
    <w:p w14:paraId="658861D0" w14:textId="77777777" w:rsidR="00F52BE8" w:rsidRPr="00D20EF9" w:rsidRDefault="00F52BE8" w:rsidP="00F52BE8">
      <w:pPr>
        <w:pStyle w:val="Default"/>
        <w:rPr>
          <w:sz w:val="22"/>
          <w:szCs w:val="22"/>
        </w:rPr>
      </w:pPr>
    </w:p>
    <w:p w14:paraId="3C1D64B8" w14:textId="77777777" w:rsidR="00F52BE8" w:rsidRPr="00D20EF9" w:rsidRDefault="00F52BE8" w:rsidP="00F52BE8">
      <w:pPr>
        <w:pStyle w:val="Default"/>
        <w:numPr>
          <w:ilvl w:val="0"/>
          <w:numId w:val="17"/>
        </w:numPr>
        <w:rPr>
          <w:sz w:val="22"/>
          <w:szCs w:val="22"/>
        </w:rPr>
      </w:pPr>
      <w:r w:rsidRPr="00D20EF9">
        <w:rPr>
          <w:sz w:val="22"/>
          <w:szCs w:val="22"/>
        </w:rPr>
        <w:t xml:space="preserve">this Invite to Tender &amp; Statement of Requirement document; and </w:t>
      </w:r>
    </w:p>
    <w:p w14:paraId="4EADBFDC" w14:textId="77777777" w:rsidR="00F52BE8" w:rsidRPr="00D20EF9" w:rsidRDefault="00F52BE8" w:rsidP="00F52BE8">
      <w:pPr>
        <w:pStyle w:val="Default"/>
        <w:rPr>
          <w:sz w:val="22"/>
          <w:szCs w:val="22"/>
        </w:rPr>
      </w:pPr>
    </w:p>
    <w:p w14:paraId="7AA62CAA" w14:textId="77777777" w:rsidR="00F52BE8" w:rsidRPr="00D20EF9" w:rsidRDefault="00F52BE8" w:rsidP="00F52BE8">
      <w:pPr>
        <w:pStyle w:val="Default"/>
        <w:numPr>
          <w:ilvl w:val="0"/>
          <w:numId w:val="17"/>
        </w:numPr>
        <w:rPr>
          <w:sz w:val="22"/>
          <w:szCs w:val="22"/>
        </w:rPr>
      </w:pPr>
      <w:r w:rsidRPr="00D20EF9">
        <w:rPr>
          <w:sz w:val="22"/>
          <w:szCs w:val="22"/>
        </w:rPr>
        <w:t>the chosen supplier’s successful tender.</w:t>
      </w:r>
    </w:p>
    <w:p w14:paraId="540C7C7A" w14:textId="77777777" w:rsidR="00F52BE8" w:rsidRPr="00D20EF9" w:rsidRDefault="00F52BE8" w:rsidP="00F52BE8">
      <w:pPr>
        <w:pStyle w:val="ListNumber"/>
        <w:numPr>
          <w:ilvl w:val="0"/>
          <w:numId w:val="0"/>
        </w:numPr>
        <w:rPr>
          <w:sz w:val="22"/>
          <w:szCs w:val="22"/>
        </w:rPr>
      </w:pPr>
    </w:p>
    <w:p w14:paraId="7E1044EF" w14:textId="77777777" w:rsidR="00F52BE8" w:rsidRPr="00D20EF9" w:rsidRDefault="00F52BE8" w:rsidP="00F52BE8">
      <w:pPr>
        <w:pStyle w:val="Heading2"/>
        <w:rPr>
          <w:sz w:val="22"/>
          <w:szCs w:val="22"/>
        </w:rPr>
      </w:pPr>
      <w:r w:rsidRPr="00D20EF9">
        <w:rPr>
          <w:sz w:val="22"/>
          <w:szCs w:val="22"/>
        </w:rPr>
        <w:t>ORR’s Transparency Obligations and the Freedom of Information Act 2000 (the Act)</w:t>
      </w:r>
    </w:p>
    <w:p w14:paraId="51318540" w14:textId="77777777" w:rsidR="00F52BE8" w:rsidRPr="00D20EF9" w:rsidRDefault="00F52BE8" w:rsidP="00F52BE8">
      <w:pPr>
        <w:pStyle w:val="ListNumber"/>
        <w:numPr>
          <w:ilvl w:val="0"/>
          <w:numId w:val="0"/>
        </w:numPr>
        <w:rPr>
          <w:sz w:val="22"/>
          <w:szCs w:val="22"/>
        </w:rPr>
      </w:pPr>
      <w:r w:rsidRPr="00D20EF9">
        <w:rPr>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Pr="00D20EF9" w:rsidRDefault="00F52BE8" w:rsidP="00F52BE8">
      <w:pPr>
        <w:pStyle w:val="ListNumber"/>
        <w:numPr>
          <w:ilvl w:val="0"/>
          <w:numId w:val="0"/>
        </w:numPr>
        <w:rPr>
          <w:sz w:val="22"/>
          <w:szCs w:val="22"/>
        </w:rPr>
      </w:pPr>
      <w:r w:rsidRPr="00D20EF9">
        <w:rPr>
          <w:sz w:val="22"/>
          <w:szCs w:val="22"/>
        </w:rPr>
        <w:t>Typically the following information will be published:</w:t>
      </w:r>
    </w:p>
    <w:p w14:paraId="52FE27C8" w14:textId="77777777" w:rsidR="00F52BE8" w:rsidRPr="00D20EF9" w:rsidRDefault="00F52BE8" w:rsidP="00F52BE8">
      <w:pPr>
        <w:pStyle w:val="ListNumber"/>
        <w:numPr>
          <w:ilvl w:val="0"/>
          <w:numId w:val="23"/>
        </w:numPr>
        <w:rPr>
          <w:sz w:val="22"/>
          <w:szCs w:val="22"/>
        </w:rPr>
      </w:pPr>
      <w:r w:rsidRPr="00D20EF9">
        <w:rPr>
          <w:sz w:val="22"/>
          <w:szCs w:val="22"/>
        </w:rPr>
        <w:t>contract price and any incentivisation mechanisms</w:t>
      </w:r>
    </w:p>
    <w:p w14:paraId="7B491146" w14:textId="77777777" w:rsidR="00F52BE8" w:rsidRPr="00D20EF9" w:rsidRDefault="00F52BE8" w:rsidP="00F52BE8">
      <w:pPr>
        <w:pStyle w:val="ListNumber"/>
        <w:numPr>
          <w:ilvl w:val="0"/>
          <w:numId w:val="23"/>
        </w:numPr>
        <w:rPr>
          <w:sz w:val="22"/>
          <w:szCs w:val="22"/>
        </w:rPr>
      </w:pPr>
      <w:r w:rsidRPr="00D20EF9">
        <w:rPr>
          <w:sz w:val="22"/>
          <w:szCs w:val="22"/>
        </w:rPr>
        <w:t>performance metrics and management of them</w:t>
      </w:r>
    </w:p>
    <w:p w14:paraId="3D28A0AB" w14:textId="77777777" w:rsidR="00F52BE8" w:rsidRPr="00D20EF9" w:rsidRDefault="00F52BE8" w:rsidP="00F52BE8">
      <w:pPr>
        <w:pStyle w:val="ListNumber"/>
        <w:numPr>
          <w:ilvl w:val="0"/>
          <w:numId w:val="23"/>
        </w:numPr>
        <w:rPr>
          <w:sz w:val="22"/>
          <w:szCs w:val="22"/>
        </w:rPr>
      </w:pPr>
      <w:r w:rsidRPr="00D20EF9">
        <w:rPr>
          <w:sz w:val="22"/>
          <w:szCs w:val="22"/>
        </w:rPr>
        <w:t>plans for management of underperformance and its financial impact</w:t>
      </w:r>
    </w:p>
    <w:p w14:paraId="5AA88BDF" w14:textId="77777777" w:rsidR="00F52BE8" w:rsidRPr="00D20EF9" w:rsidRDefault="00F52BE8" w:rsidP="00F52BE8">
      <w:pPr>
        <w:pStyle w:val="ListNumber"/>
        <w:numPr>
          <w:ilvl w:val="0"/>
          <w:numId w:val="23"/>
        </w:numPr>
        <w:rPr>
          <w:sz w:val="22"/>
          <w:szCs w:val="22"/>
        </w:rPr>
      </w:pPr>
      <w:r w:rsidRPr="00D20EF9">
        <w:rPr>
          <w:sz w:val="22"/>
          <w:szCs w:val="22"/>
        </w:rPr>
        <w:t>governance arrangements including through supply chains where significant contract value rests with subcontractors</w:t>
      </w:r>
    </w:p>
    <w:p w14:paraId="0F0ADC5B" w14:textId="77777777" w:rsidR="00F52BE8" w:rsidRPr="00D20EF9" w:rsidRDefault="00F52BE8" w:rsidP="00F52BE8">
      <w:pPr>
        <w:pStyle w:val="ListNumber"/>
        <w:numPr>
          <w:ilvl w:val="0"/>
          <w:numId w:val="23"/>
        </w:numPr>
        <w:rPr>
          <w:sz w:val="22"/>
          <w:szCs w:val="22"/>
        </w:rPr>
      </w:pPr>
      <w:r w:rsidRPr="00D20EF9">
        <w:rPr>
          <w:sz w:val="22"/>
          <w:szCs w:val="22"/>
        </w:rPr>
        <w:t>resource plans</w:t>
      </w:r>
    </w:p>
    <w:p w14:paraId="2EB44994" w14:textId="77777777" w:rsidR="00F52BE8" w:rsidRPr="00D20EF9" w:rsidRDefault="00F52BE8" w:rsidP="00F52BE8">
      <w:pPr>
        <w:pStyle w:val="ListNumber"/>
        <w:numPr>
          <w:ilvl w:val="0"/>
          <w:numId w:val="23"/>
        </w:numPr>
        <w:rPr>
          <w:sz w:val="22"/>
          <w:szCs w:val="22"/>
        </w:rPr>
      </w:pPr>
      <w:r w:rsidRPr="00D20EF9">
        <w:rPr>
          <w:sz w:val="22"/>
          <w:szCs w:val="22"/>
        </w:rPr>
        <w:t>service improvement plans</w:t>
      </w:r>
    </w:p>
    <w:p w14:paraId="55778749" w14:textId="77777777" w:rsidR="00F52BE8" w:rsidRPr="00D20EF9" w:rsidRDefault="00F52BE8" w:rsidP="00F52BE8">
      <w:pPr>
        <w:pStyle w:val="ListNumber"/>
        <w:numPr>
          <w:ilvl w:val="0"/>
          <w:numId w:val="0"/>
        </w:numPr>
        <w:rPr>
          <w:sz w:val="22"/>
          <w:szCs w:val="22"/>
        </w:rPr>
      </w:pPr>
      <w:r w:rsidRPr="00D20EF9">
        <w:rPr>
          <w:sz w:val="22"/>
          <w:szCs w:val="22"/>
        </w:rPr>
        <w:t xml:space="preserve">Where appropriate to do so information will be updated as required during the life of the contract so it remains current; </w:t>
      </w:r>
    </w:p>
    <w:p w14:paraId="658DD129" w14:textId="77777777" w:rsidR="00F52BE8" w:rsidRPr="00D20EF9" w:rsidRDefault="00F52BE8" w:rsidP="00D20EF9">
      <w:pPr>
        <w:pStyle w:val="ListNumber"/>
        <w:numPr>
          <w:ilvl w:val="0"/>
          <w:numId w:val="0"/>
        </w:numPr>
        <w:jc w:val="both"/>
        <w:rPr>
          <w:sz w:val="22"/>
          <w:szCs w:val="22"/>
        </w:rPr>
      </w:pPr>
    </w:p>
    <w:p w14:paraId="0C9E0357" w14:textId="77777777" w:rsidR="00F52BE8" w:rsidRPr="00D20EF9" w:rsidRDefault="00F52BE8" w:rsidP="00D20EF9">
      <w:pPr>
        <w:pStyle w:val="ListNumber"/>
        <w:numPr>
          <w:ilvl w:val="0"/>
          <w:numId w:val="0"/>
        </w:numPr>
        <w:jc w:val="both"/>
        <w:rPr>
          <w:sz w:val="22"/>
          <w:szCs w:val="22"/>
        </w:rPr>
      </w:pPr>
      <w:r w:rsidRPr="00D20EF9">
        <w:rPr>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64FDC871" w:rsidR="00F52BE8" w:rsidRDefault="00F52BE8" w:rsidP="00F52BE8">
      <w:pPr>
        <w:pStyle w:val="ListNumber"/>
        <w:keepNext/>
        <w:keepLines/>
        <w:numPr>
          <w:ilvl w:val="0"/>
          <w:numId w:val="0"/>
        </w:numPr>
        <w:rPr>
          <w:lang w:eastAsia="zh-CN"/>
        </w:rPr>
      </w:pPr>
      <w:r>
        <w:rPr>
          <w:lang w:eastAsia="zh-CN"/>
        </w:rPr>
        <w:lastRenderedPageBreak/>
        <w:t>Please use the following matrix: to list such information:</w:t>
      </w:r>
    </w:p>
    <w:p w14:paraId="76FF90CB" w14:textId="7349B33D" w:rsidR="00D20EF9" w:rsidRDefault="00D20EF9" w:rsidP="00F52BE8">
      <w:pPr>
        <w:pStyle w:val="ListNumber"/>
        <w:keepNext/>
        <w:keepLines/>
        <w:numPr>
          <w:ilvl w:val="0"/>
          <w:numId w:val="0"/>
        </w:numPr>
        <w:rPr>
          <w:b/>
          <w:lang w:eastAsia="zh-CN"/>
        </w:rPr>
      </w:pPr>
    </w:p>
    <w:p w14:paraId="6D6E1F99" w14:textId="54A844CE" w:rsidR="00D20EF9" w:rsidRDefault="00D20EF9" w:rsidP="00F52BE8">
      <w:pPr>
        <w:pStyle w:val="ListNumber"/>
        <w:keepNext/>
        <w:keepLines/>
        <w:numPr>
          <w:ilvl w:val="0"/>
          <w:numId w:val="0"/>
        </w:numPr>
        <w:rPr>
          <w:b/>
          <w:lang w:eastAsia="zh-CN"/>
        </w:rPr>
      </w:pPr>
    </w:p>
    <w:p w14:paraId="566469AD" w14:textId="77777777" w:rsidR="00D20EF9" w:rsidRDefault="00D20EF9" w:rsidP="00F52BE8">
      <w:pPr>
        <w:pStyle w:val="ListNumber"/>
        <w:keepNext/>
        <w:keepLines/>
        <w:numPr>
          <w:ilvl w:val="0"/>
          <w:numId w:val="0"/>
        </w:numPr>
        <w:rPr>
          <w:b/>
          <w:lang w:eastAsia="zh-CN"/>
        </w:rPr>
      </w:pPr>
    </w:p>
    <w:p w14:paraId="38D3CBA6" w14:textId="77777777" w:rsidR="00D20EF9" w:rsidRDefault="00D20EF9" w:rsidP="00F52BE8">
      <w:pPr>
        <w:pStyle w:val="ListNumber"/>
        <w:keepNext/>
        <w:keepLines/>
        <w:numPr>
          <w:ilvl w:val="0"/>
          <w:numId w:val="0"/>
        </w:num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D20EF9">
        <w:trPr>
          <w:trHeight w:val="443"/>
        </w:trPr>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215A99"/>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42B5" w14:textId="77777777" w:rsidR="00751CA7" w:rsidRDefault="00751CA7">
      <w:pPr>
        <w:spacing w:after="0"/>
      </w:pPr>
      <w:r>
        <w:separator/>
      </w:r>
    </w:p>
  </w:endnote>
  <w:endnote w:type="continuationSeparator" w:id="0">
    <w:p w14:paraId="7526D897" w14:textId="77777777" w:rsidR="00751CA7" w:rsidRDefault="00751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93DB7C2"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6A8F" w14:textId="77777777" w:rsidR="00751CA7" w:rsidRDefault="00751CA7">
      <w:pPr>
        <w:spacing w:after="0"/>
      </w:pPr>
      <w:r>
        <w:separator/>
      </w:r>
    </w:p>
  </w:footnote>
  <w:footnote w:type="continuationSeparator" w:id="0">
    <w:p w14:paraId="0A7A690D" w14:textId="77777777" w:rsidR="00751CA7" w:rsidRDefault="00751C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BD0F79C"/>
    <w:lvl w:ilvl="0">
      <w:start w:val="1"/>
      <w:numFmt w:val="decimal"/>
      <w:lvlText w:val="%1."/>
      <w:lvlJc w:val="left"/>
      <w:pPr>
        <w:tabs>
          <w:tab w:val="num" w:pos="360"/>
        </w:tabs>
        <w:ind w:left="360" w:hanging="360"/>
      </w:pPr>
    </w:lvl>
  </w:abstractNum>
  <w:abstractNum w:abstractNumId="1" w15:restartNumberingAfterBreak="0">
    <w:nsid w:val="07ED2D67"/>
    <w:multiLevelType w:val="hybridMultilevel"/>
    <w:tmpl w:val="E5F45A66"/>
    <w:lvl w:ilvl="0" w:tplc="B9C43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B5C21"/>
    <w:multiLevelType w:val="hybridMultilevel"/>
    <w:tmpl w:val="4972E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B0DD9"/>
    <w:multiLevelType w:val="multilevel"/>
    <w:tmpl w:val="F1B8CA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E179F"/>
    <w:multiLevelType w:val="hybridMultilevel"/>
    <w:tmpl w:val="DA90738E"/>
    <w:lvl w:ilvl="0" w:tplc="762E67BC">
      <w:start w:val="1"/>
      <w:numFmt w:val="bullet"/>
      <w:lvlText w:val="•"/>
      <w:lvlJc w:val="left"/>
      <w:pPr>
        <w:tabs>
          <w:tab w:val="num" w:pos="720"/>
        </w:tabs>
        <w:ind w:left="720" w:hanging="360"/>
      </w:pPr>
      <w:rPr>
        <w:rFonts w:ascii="Arial" w:hAnsi="Arial" w:hint="default"/>
      </w:rPr>
    </w:lvl>
    <w:lvl w:ilvl="1" w:tplc="EEF00728">
      <w:numFmt w:val="bullet"/>
      <w:lvlText w:val="•"/>
      <w:lvlJc w:val="left"/>
      <w:pPr>
        <w:tabs>
          <w:tab w:val="num" w:pos="1440"/>
        </w:tabs>
        <w:ind w:left="1440" w:hanging="360"/>
      </w:pPr>
      <w:rPr>
        <w:rFonts w:ascii="Arial" w:hAnsi="Arial" w:hint="default"/>
      </w:rPr>
    </w:lvl>
    <w:lvl w:ilvl="2" w:tplc="0616D6D0" w:tentative="1">
      <w:start w:val="1"/>
      <w:numFmt w:val="bullet"/>
      <w:lvlText w:val="•"/>
      <w:lvlJc w:val="left"/>
      <w:pPr>
        <w:tabs>
          <w:tab w:val="num" w:pos="2160"/>
        </w:tabs>
        <w:ind w:left="2160" w:hanging="360"/>
      </w:pPr>
      <w:rPr>
        <w:rFonts w:ascii="Arial" w:hAnsi="Arial" w:hint="default"/>
      </w:rPr>
    </w:lvl>
    <w:lvl w:ilvl="3" w:tplc="A34E7CD8" w:tentative="1">
      <w:start w:val="1"/>
      <w:numFmt w:val="bullet"/>
      <w:lvlText w:val="•"/>
      <w:lvlJc w:val="left"/>
      <w:pPr>
        <w:tabs>
          <w:tab w:val="num" w:pos="2880"/>
        </w:tabs>
        <w:ind w:left="2880" w:hanging="360"/>
      </w:pPr>
      <w:rPr>
        <w:rFonts w:ascii="Arial" w:hAnsi="Arial" w:hint="default"/>
      </w:rPr>
    </w:lvl>
    <w:lvl w:ilvl="4" w:tplc="032E5B38" w:tentative="1">
      <w:start w:val="1"/>
      <w:numFmt w:val="bullet"/>
      <w:lvlText w:val="•"/>
      <w:lvlJc w:val="left"/>
      <w:pPr>
        <w:tabs>
          <w:tab w:val="num" w:pos="3600"/>
        </w:tabs>
        <w:ind w:left="3600" w:hanging="360"/>
      </w:pPr>
      <w:rPr>
        <w:rFonts w:ascii="Arial" w:hAnsi="Arial" w:hint="default"/>
      </w:rPr>
    </w:lvl>
    <w:lvl w:ilvl="5" w:tplc="E6501EA2" w:tentative="1">
      <w:start w:val="1"/>
      <w:numFmt w:val="bullet"/>
      <w:lvlText w:val="•"/>
      <w:lvlJc w:val="left"/>
      <w:pPr>
        <w:tabs>
          <w:tab w:val="num" w:pos="4320"/>
        </w:tabs>
        <w:ind w:left="4320" w:hanging="360"/>
      </w:pPr>
      <w:rPr>
        <w:rFonts w:ascii="Arial" w:hAnsi="Arial" w:hint="default"/>
      </w:rPr>
    </w:lvl>
    <w:lvl w:ilvl="6" w:tplc="98B286D8" w:tentative="1">
      <w:start w:val="1"/>
      <w:numFmt w:val="bullet"/>
      <w:lvlText w:val="•"/>
      <w:lvlJc w:val="left"/>
      <w:pPr>
        <w:tabs>
          <w:tab w:val="num" w:pos="5040"/>
        </w:tabs>
        <w:ind w:left="5040" w:hanging="360"/>
      </w:pPr>
      <w:rPr>
        <w:rFonts w:ascii="Arial" w:hAnsi="Arial" w:hint="default"/>
      </w:rPr>
    </w:lvl>
    <w:lvl w:ilvl="7" w:tplc="6D82B218" w:tentative="1">
      <w:start w:val="1"/>
      <w:numFmt w:val="bullet"/>
      <w:lvlText w:val="•"/>
      <w:lvlJc w:val="left"/>
      <w:pPr>
        <w:tabs>
          <w:tab w:val="num" w:pos="5760"/>
        </w:tabs>
        <w:ind w:left="5760" w:hanging="360"/>
      </w:pPr>
      <w:rPr>
        <w:rFonts w:ascii="Arial" w:hAnsi="Arial" w:hint="default"/>
      </w:rPr>
    </w:lvl>
    <w:lvl w:ilvl="8" w:tplc="E8B041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701E48"/>
    <w:multiLevelType w:val="hybridMultilevel"/>
    <w:tmpl w:val="A67C54EC"/>
    <w:lvl w:ilvl="0" w:tplc="FF1A221A">
      <w:start w:val="1"/>
      <w:numFmt w:val="lowerLetter"/>
      <w:lvlText w:val="%1)"/>
      <w:lvlJc w:val="left"/>
      <w:pPr>
        <w:ind w:left="788" w:hanging="4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3B0065"/>
    <w:multiLevelType w:val="hybridMultilevel"/>
    <w:tmpl w:val="46385D8A"/>
    <w:lvl w:ilvl="0" w:tplc="D024711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912B5"/>
    <w:multiLevelType w:val="hybridMultilevel"/>
    <w:tmpl w:val="0AAA949C"/>
    <w:lvl w:ilvl="0" w:tplc="951834A0">
      <w:start w:val="1"/>
      <w:numFmt w:val="decimal"/>
      <w:lvlText w:val="%1."/>
      <w:lvlJc w:val="left"/>
      <w:pPr>
        <w:ind w:left="720" w:hanging="360"/>
      </w:pPr>
      <w:rPr>
        <w:rFonts w:ascii="Arial" w:hAnsi="Arial" w:cs="Arial" w:hint="default"/>
      </w:rPr>
    </w:lvl>
    <w:lvl w:ilvl="1" w:tplc="D436C892">
      <w:start w:val="1"/>
      <w:numFmt w:val="lowerLetter"/>
      <w:lvlText w:val="%2."/>
      <w:lvlJc w:val="left"/>
      <w:pPr>
        <w:ind w:left="1440" w:hanging="360"/>
      </w:pPr>
    </w:lvl>
    <w:lvl w:ilvl="2" w:tplc="452634DC">
      <w:start w:val="1"/>
      <w:numFmt w:val="lowerRoman"/>
      <w:lvlText w:val="%3."/>
      <w:lvlJc w:val="right"/>
      <w:pPr>
        <w:ind w:left="2160" w:hanging="180"/>
      </w:pPr>
    </w:lvl>
    <w:lvl w:ilvl="3" w:tplc="433CC1F4">
      <w:start w:val="1"/>
      <w:numFmt w:val="decimal"/>
      <w:lvlText w:val="%4."/>
      <w:lvlJc w:val="left"/>
      <w:pPr>
        <w:ind w:left="2880" w:hanging="360"/>
      </w:pPr>
    </w:lvl>
    <w:lvl w:ilvl="4" w:tplc="5358EDFA">
      <w:start w:val="1"/>
      <w:numFmt w:val="lowerLetter"/>
      <w:lvlText w:val="%5."/>
      <w:lvlJc w:val="left"/>
      <w:pPr>
        <w:ind w:left="3600" w:hanging="360"/>
      </w:pPr>
    </w:lvl>
    <w:lvl w:ilvl="5" w:tplc="364A2B5C">
      <w:start w:val="1"/>
      <w:numFmt w:val="lowerRoman"/>
      <w:lvlText w:val="%6."/>
      <w:lvlJc w:val="right"/>
      <w:pPr>
        <w:ind w:left="4320" w:hanging="180"/>
      </w:pPr>
    </w:lvl>
    <w:lvl w:ilvl="6" w:tplc="DBDC3286">
      <w:start w:val="1"/>
      <w:numFmt w:val="decimal"/>
      <w:lvlText w:val="%7."/>
      <w:lvlJc w:val="left"/>
      <w:pPr>
        <w:ind w:left="5040" w:hanging="360"/>
      </w:pPr>
    </w:lvl>
    <w:lvl w:ilvl="7" w:tplc="8C3445D6">
      <w:start w:val="1"/>
      <w:numFmt w:val="lowerLetter"/>
      <w:lvlText w:val="%8."/>
      <w:lvlJc w:val="left"/>
      <w:pPr>
        <w:ind w:left="5760" w:hanging="360"/>
      </w:pPr>
    </w:lvl>
    <w:lvl w:ilvl="8" w:tplc="7CEC0508">
      <w:start w:val="1"/>
      <w:numFmt w:val="lowerRoman"/>
      <w:lvlText w:val="%9."/>
      <w:lvlJc w:val="right"/>
      <w:pPr>
        <w:ind w:left="6480" w:hanging="180"/>
      </w:pPr>
    </w:lvl>
  </w:abstractNum>
  <w:abstractNum w:abstractNumId="14" w15:restartNumberingAfterBreak="0">
    <w:nsid w:val="2E4000FE"/>
    <w:multiLevelType w:val="hybridMultilevel"/>
    <w:tmpl w:val="C78A718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81B4C"/>
    <w:multiLevelType w:val="hybridMultilevel"/>
    <w:tmpl w:val="667296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1C3B40"/>
    <w:multiLevelType w:val="hybridMultilevel"/>
    <w:tmpl w:val="6D6AF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1F71FE"/>
    <w:multiLevelType w:val="hybridMultilevel"/>
    <w:tmpl w:val="12D84E4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260DDE"/>
    <w:multiLevelType w:val="hybridMultilevel"/>
    <w:tmpl w:val="329E305C"/>
    <w:lvl w:ilvl="0" w:tplc="B9C43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35567F"/>
    <w:multiLevelType w:val="hybridMultilevel"/>
    <w:tmpl w:val="3B0A403E"/>
    <w:lvl w:ilvl="0" w:tplc="16A649F8">
      <w:start w:val="1"/>
      <w:numFmt w:val="decimal"/>
      <w:lvlText w:val="%1."/>
      <w:lvlJc w:val="left"/>
      <w:pPr>
        <w:ind w:left="720" w:hanging="360"/>
      </w:pPr>
    </w:lvl>
    <w:lvl w:ilvl="1" w:tplc="FFECB0A2">
      <w:start w:val="1"/>
      <w:numFmt w:val="lowerLetter"/>
      <w:lvlText w:val="%2."/>
      <w:lvlJc w:val="left"/>
      <w:pPr>
        <w:ind w:left="1440" w:hanging="360"/>
      </w:pPr>
    </w:lvl>
    <w:lvl w:ilvl="2" w:tplc="AF88A520">
      <w:start w:val="1"/>
      <w:numFmt w:val="lowerRoman"/>
      <w:lvlText w:val="%3."/>
      <w:lvlJc w:val="right"/>
      <w:pPr>
        <w:ind w:left="2160" w:hanging="180"/>
      </w:pPr>
    </w:lvl>
    <w:lvl w:ilvl="3" w:tplc="4CAA9620">
      <w:start w:val="1"/>
      <w:numFmt w:val="decimal"/>
      <w:lvlText w:val="%4."/>
      <w:lvlJc w:val="left"/>
      <w:pPr>
        <w:ind w:left="2880" w:hanging="360"/>
      </w:pPr>
    </w:lvl>
    <w:lvl w:ilvl="4" w:tplc="E23A8464">
      <w:start w:val="1"/>
      <w:numFmt w:val="lowerLetter"/>
      <w:lvlText w:val="%5."/>
      <w:lvlJc w:val="left"/>
      <w:pPr>
        <w:ind w:left="3600" w:hanging="360"/>
      </w:pPr>
    </w:lvl>
    <w:lvl w:ilvl="5" w:tplc="77E64F48">
      <w:start w:val="1"/>
      <w:numFmt w:val="lowerRoman"/>
      <w:lvlText w:val="%6."/>
      <w:lvlJc w:val="right"/>
      <w:pPr>
        <w:ind w:left="4320" w:hanging="180"/>
      </w:pPr>
    </w:lvl>
    <w:lvl w:ilvl="6" w:tplc="0992657A">
      <w:start w:val="1"/>
      <w:numFmt w:val="decimal"/>
      <w:lvlText w:val="%7."/>
      <w:lvlJc w:val="left"/>
      <w:pPr>
        <w:ind w:left="5040" w:hanging="360"/>
      </w:pPr>
    </w:lvl>
    <w:lvl w:ilvl="7" w:tplc="71227D9C">
      <w:start w:val="1"/>
      <w:numFmt w:val="lowerLetter"/>
      <w:lvlText w:val="%8."/>
      <w:lvlJc w:val="left"/>
      <w:pPr>
        <w:ind w:left="5760" w:hanging="360"/>
      </w:pPr>
    </w:lvl>
    <w:lvl w:ilvl="8" w:tplc="25F8EA48">
      <w:start w:val="1"/>
      <w:numFmt w:val="lowerRoman"/>
      <w:lvlText w:val="%9."/>
      <w:lvlJc w:val="right"/>
      <w:pPr>
        <w:ind w:left="6480" w:hanging="180"/>
      </w:pPr>
    </w:lvl>
  </w:abstractNum>
  <w:abstractNum w:abstractNumId="26" w15:restartNumberingAfterBreak="0">
    <w:nsid w:val="43B11655"/>
    <w:multiLevelType w:val="hybridMultilevel"/>
    <w:tmpl w:val="CF884806"/>
    <w:lvl w:ilvl="0" w:tplc="88EAF08E">
      <w:start w:val="1"/>
      <w:numFmt w:val="bullet"/>
      <w:lvlText w:val=""/>
      <w:lvlJc w:val="left"/>
      <w:pPr>
        <w:ind w:left="720" w:hanging="360"/>
      </w:pPr>
      <w:rPr>
        <w:rFonts w:ascii="Symbol" w:hAnsi="Symbol" w:hint="default"/>
      </w:rPr>
    </w:lvl>
    <w:lvl w:ilvl="1" w:tplc="FC109FBC">
      <w:start w:val="1"/>
      <w:numFmt w:val="bullet"/>
      <w:lvlText w:val="o"/>
      <w:lvlJc w:val="left"/>
      <w:pPr>
        <w:ind w:left="1440" w:hanging="360"/>
      </w:pPr>
      <w:rPr>
        <w:rFonts w:ascii="Courier New" w:hAnsi="Courier New" w:hint="default"/>
      </w:rPr>
    </w:lvl>
    <w:lvl w:ilvl="2" w:tplc="83F6EF2E">
      <w:start w:val="1"/>
      <w:numFmt w:val="bullet"/>
      <w:lvlText w:val=""/>
      <w:lvlJc w:val="left"/>
      <w:pPr>
        <w:ind w:left="2160" w:hanging="360"/>
      </w:pPr>
      <w:rPr>
        <w:rFonts w:ascii="Wingdings" w:hAnsi="Wingdings" w:hint="default"/>
      </w:rPr>
    </w:lvl>
    <w:lvl w:ilvl="3" w:tplc="43B853D8">
      <w:start w:val="1"/>
      <w:numFmt w:val="bullet"/>
      <w:lvlText w:val=""/>
      <w:lvlJc w:val="left"/>
      <w:pPr>
        <w:ind w:left="2880" w:hanging="360"/>
      </w:pPr>
      <w:rPr>
        <w:rFonts w:ascii="Symbol" w:hAnsi="Symbol" w:hint="default"/>
      </w:rPr>
    </w:lvl>
    <w:lvl w:ilvl="4" w:tplc="ED848678">
      <w:start w:val="1"/>
      <w:numFmt w:val="bullet"/>
      <w:lvlText w:val="o"/>
      <w:lvlJc w:val="left"/>
      <w:pPr>
        <w:ind w:left="3600" w:hanging="360"/>
      </w:pPr>
      <w:rPr>
        <w:rFonts w:ascii="Courier New" w:hAnsi="Courier New" w:hint="default"/>
      </w:rPr>
    </w:lvl>
    <w:lvl w:ilvl="5" w:tplc="3B406D04">
      <w:start w:val="1"/>
      <w:numFmt w:val="bullet"/>
      <w:lvlText w:val=""/>
      <w:lvlJc w:val="left"/>
      <w:pPr>
        <w:ind w:left="4320" w:hanging="360"/>
      </w:pPr>
      <w:rPr>
        <w:rFonts w:ascii="Wingdings" w:hAnsi="Wingdings" w:hint="default"/>
      </w:rPr>
    </w:lvl>
    <w:lvl w:ilvl="6" w:tplc="94F871F8">
      <w:start w:val="1"/>
      <w:numFmt w:val="bullet"/>
      <w:lvlText w:val=""/>
      <w:lvlJc w:val="left"/>
      <w:pPr>
        <w:ind w:left="5040" w:hanging="360"/>
      </w:pPr>
      <w:rPr>
        <w:rFonts w:ascii="Symbol" w:hAnsi="Symbol" w:hint="default"/>
      </w:rPr>
    </w:lvl>
    <w:lvl w:ilvl="7" w:tplc="D33660DA">
      <w:start w:val="1"/>
      <w:numFmt w:val="bullet"/>
      <w:lvlText w:val="o"/>
      <w:lvlJc w:val="left"/>
      <w:pPr>
        <w:ind w:left="5760" w:hanging="360"/>
      </w:pPr>
      <w:rPr>
        <w:rFonts w:ascii="Courier New" w:hAnsi="Courier New" w:hint="default"/>
      </w:rPr>
    </w:lvl>
    <w:lvl w:ilvl="8" w:tplc="F1E445A6">
      <w:start w:val="1"/>
      <w:numFmt w:val="bullet"/>
      <w:lvlText w:val=""/>
      <w:lvlJc w:val="left"/>
      <w:pPr>
        <w:ind w:left="6480" w:hanging="360"/>
      </w:pPr>
      <w:rPr>
        <w:rFonts w:ascii="Wingdings" w:hAnsi="Wingdings" w:hint="default"/>
      </w:rPr>
    </w:lvl>
  </w:abstractNum>
  <w:abstractNum w:abstractNumId="27" w15:restartNumberingAfterBreak="0">
    <w:nsid w:val="443A1618"/>
    <w:multiLevelType w:val="hybridMultilevel"/>
    <w:tmpl w:val="845C2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E1D54"/>
    <w:multiLevelType w:val="hybridMultilevel"/>
    <w:tmpl w:val="CD7E09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0A1C13"/>
    <w:multiLevelType w:val="hybridMultilevel"/>
    <w:tmpl w:val="60C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D7D59"/>
    <w:multiLevelType w:val="hybridMultilevel"/>
    <w:tmpl w:val="5C580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99608E5"/>
    <w:multiLevelType w:val="hybridMultilevel"/>
    <w:tmpl w:val="D0D638AC"/>
    <w:lvl w:ilvl="0" w:tplc="08090001">
      <w:start w:val="1"/>
      <w:numFmt w:val="bullet"/>
      <w:lvlText w:val=""/>
      <w:lvlJc w:val="left"/>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6" w15:restartNumberingAfterBreak="0">
    <w:nsid w:val="5AD279B4"/>
    <w:multiLevelType w:val="hybridMultilevel"/>
    <w:tmpl w:val="EFBEE12A"/>
    <w:lvl w:ilvl="0" w:tplc="CDB8C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3241CF"/>
    <w:multiLevelType w:val="hybridMultilevel"/>
    <w:tmpl w:val="A97A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A493E"/>
    <w:multiLevelType w:val="hybridMultilevel"/>
    <w:tmpl w:val="4B2E9F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2E6CED"/>
    <w:multiLevelType w:val="hybridMultilevel"/>
    <w:tmpl w:val="2CBA656E"/>
    <w:lvl w:ilvl="0" w:tplc="B9C43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3512898">
    <w:abstractNumId w:val="25"/>
  </w:num>
  <w:num w:numId="2" w16cid:durableId="892813133">
    <w:abstractNumId w:val="13"/>
  </w:num>
  <w:num w:numId="3" w16cid:durableId="516165358">
    <w:abstractNumId w:val="26"/>
  </w:num>
  <w:num w:numId="4" w16cid:durableId="403338779">
    <w:abstractNumId w:val="39"/>
  </w:num>
  <w:num w:numId="5" w16cid:durableId="354232136">
    <w:abstractNumId w:val="34"/>
  </w:num>
  <w:num w:numId="6" w16cid:durableId="1544946525">
    <w:abstractNumId w:val="16"/>
  </w:num>
  <w:num w:numId="7" w16cid:durableId="348221848">
    <w:abstractNumId w:val="38"/>
  </w:num>
  <w:num w:numId="8" w16cid:durableId="1959023492">
    <w:abstractNumId w:val="23"/>
  </w:num>
  <w:num w:numId="9" w16cid:durableId="62606508">
    <w:abstractNumId w:val="4"/>
  </w:num>
  <w:num w:numId="10" w16cid:durableId="1867521489">
    <w:abstractNumId w:val="33"/>
  </w:num>
  <w:num w:numId="11" w16cid:durableId="1379235522">
    <w:abstractNumId w:val="11"/>
  </w:num>
  <w:num w:numId="12" w16cid:durableId="589703707">
    <w:abstractNumId w:val="18"/>
  </w:num>
  <w:num w:numId="13" w16cid:durableId="1360475885">
    <w:abstractNumId w:val="32"/>
  </w:num>
  <w:num w:numId="14" w16cid:durableId="271937456">
    <w:abstractNumId w:val="45"/>
  </w:num>
  <w:num w:numId="15" w16cid:durableId="1488324043">
    <w:abstractNumId w:val="12"/>
  </w:num>
  <w:num w:numId="16" w16cid:durableId="39062294">
    <w:abstractNumId w:val="8"/>
  </w:num>
  <w:num w:numId="17" w16cid:durableId="1088772658">
    <w:abstractNumId w:val="29"/>
  </w:num>
  <w:num w:numId="18" w16cid:durableId="1076511493">
    <w:abstractNumId w:val="46"/>
  </w:num>
  <w:num w:numId="19" w16cid:durableId="1321271685">
    <w:abstractNumId w:val="5"/>
  </w:num>
  <w:num w:numId="20" w16cid:durableId="292250885">
    <w:abstractNumId w:val="43"/>
  </w:num>
  <w:num w:numId="21" w16cid:durableId="1388265213">
    <w:abstractNumId w:val="22"/>
  </w:num>
  <w:num w:numId="22" w16cid:durableId="947614569">
    <w:abstractNumId w:val="20"/>
  </w:num>
  <w:num w:numId="23" w16cid:durableId="507910479">
    <w:abstractNumId w:val="37"/>
  </w:num>
  <w:num w:numId="24" w16cid:durableId="213591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3175460">
    <w:abstractNumId w:val="21"/>
  </w:num>
  <w:num w:numId="26" w16cid:durableId="1195998133">
    <w:abstractNumId w:val="42"/>
  </w:num>
  <w:num w:numId="27" w16cid:durableId="811871195">
    <w:abstractNumId w:val="47"/>
  </w:num>
  <w:num w:numId="28" w16cid:durableId="852063358">
    <w:abstractNumId w:val="3"/>
  </w:num>
  <w:num w:numId="29" w16cid:durableId="626620763">
    <w:abstractNumId w:val="35"/>
  </w:num>
  <w:num w:numId="30" w16cid:durableId="2100103819">
    <w:abstractNumId w:val="14"/>
  </w:num>
  <w:num w:numId="31" w16cid:durableId="1923759226">
    <w:abstractNumId w:val="40"/>
  </w:num>
  <w:num w:numId="32" w16cid:durableId="169490844">
    <w:abstractNumId w:val="10"/>
  </w:num>
  <w:num w:numId="33" w16cid:durableId="884146190">
    <w:abstractNumId w:val="0"/>
  </w:num>
  <w:num w:numId="34" w16cid:durableId="1760784602">
    <w:abstractNumId w:val="30"/>
  </w:num>
  <w:num w:numId="35" w16cid:durableId="437453982">
    <w:abstractNumId w:val="15"/>
  </w:num>
  <w:num w:numId="36" w16cid:durableId="1515264946">
    <w:abstractNumId w:val="27"/>
  </w:num>
  <w:num w:numId="37" w16cid:durableId="1701512071">
    <w:abstractNumId w:val="2"/>
  </w:num>
  <w:num w:numId="38" w16cid:durableId="533274173">
    <w:abstractNumId w:val="31"/>
  </w:num>
  <w:num w:numId="39" w16cid:durableId="1891570891">
    <w:abstractNumId w:val="41"/>
  </w:num>
  <w:num w:numId="40" w16cid:durableId="2099323949">
    <w:abstractNumId w:val="19"/>
  </w:num>
  <w:num w:numId="41" w16cid:durableId="143859941">
    <w:abstractNumId w:val="17"/>
  </w:num>
  <w:num w:numId="42" w16cid:durableId="330914126">
    <w:abstractNumId w:val="6"/>
  </w:num>
  <w:num w:numId="43" w16cid:durableId="785731014">
    <w:abstractNumId w:val="36"/>
  </w:num>
  <w:num w:numId="44" w16cid:durableId="1772434747">
    <w:abstractNumId w:val="24"/>
  </w:num>
  <w:num w:numId="45" w16cid:durableId="406389846">
    <w:abstractNumId w:val="1"/>
  </w:num>
  <w:num w:numId="46" w16cid:durableId="883177054">
    <w:abstractNumId w:val="44"/>
  </w:num>
  <w:num w:numId="47" w16cid:durableId="4791434">
    <w:abstractNumId w:val="7"/>
  </w:num>
  <w:num w:numId="48" w16cid:durableId="11904161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23A7E"/>
    <w:rsid w:val="000254ED"/>
    <w:rsid w:val="00030EF4"/>
    <w:rsid w:val="00040D95"/>
    <w:rsid w:val="00065437"/>
    <w:rsid w:val="00067D7D"/>
    <w:rsid w:val="0007082B"/>
    <w:rsid w:val="00080656"/>
    <w:rsid w:val="00081E84"/>
    <w:rsid w:val="00084817"/>
    <w:rsid w:val="0008661E"/>
    <w:rsid w:val="00094460"/>
    <w:rsid w:val="000A3EB5"/>
    <w:rsid w:val="000A4A95"/>
    <w:rsid w:val="000B5042"/>
    <w:rsid w:val="000C119E"/>
    <w:rsid w:val="000E1D22"/>
    <w:rsid w:val="000F7AC6"/>
    <w:rsid w:val="000F7F34"/>
    <w:rsid w:val="00115A89"/>
    <w:rsid w:val="00115EC2"/>
    <w:rsid w:val="00116BED"/>
    <w:rsid w:val="00125D6C"/>
    <w:rsid w:val="00144894"/>
    <w:rsid w:val="001516AA"/>
    <w:rsid w:val="001677C3"/>
    <w:rsid w:val="00175B3E"/>
    <w:rsid w:val="00182C50"/>
    <w:rsid w:val="001845B5"/>
    <w:rsid w:val="0019043C"/>
    <w:rsid w:val="001A476F"/>
    <w:rsid w:val="001A5D12"/>
    <w:rsid w:val="001B6755"/>
    <w:rsid w:val="001D0B18"/>
    <w:rsid w:val="001D324E"/>
    <w:rsid w:val="001E00DA"/>
    <w:rsid w:val="001F3F1F"/>
    <w:rsid w:val="00204265"/>
    <w:rsid w:val="00210B4B"/>
    <w:rsid w:val="00215A99"/>
    <w:rsid w:val="00215DAA"/>
    <w:rsid w:val="002166B5"/>
    <w:rsid w:val="002377F4"/>
    <w:rsid w:val="00243C6B"/>
    <w:rsid w:val="00245CBB"/>
    <w:rsid w:val="002533EC"/>
    <w:rsid w:val="002654AD"/>
    <w:rsid w:val="0026586F"/>
    <w:rsid w:val="002770D5"/>
    <w:rsid w:val="00284750"/>
    <w:rsid w:val="00290296"/>
    <w:rsid w:val="00296648"/>
    <w:rsid w:val="002970F4"/>
    <w:rsid w:val="002A23B4"/>
    <w:rsid w:val="002B2BBE"/>
    <w:rsid w:val="002B3A2C"/>
    <w:rsid w:val="002B3B45"/>
    <w:rsid w:val="002B7AE6"/>
    <w:rsid w:val="002B7B2F"/>
    <w:rsid w:val="002D6DB0"/>
    <w:rsid w:val="002F1AEE"/>
    <w:rsid w:val="0030385D"/>
    <w:rsid w:val="00310762"/>
    <w:rsid w:val="00315B27"/>
    <w:rsid w:val="00324035"/>
    <w:rsid w:val="00332C7E"/>
    <w:rsid w:val="0033716D"/>
    <w:rsid w:val="00340866"/>
    <w:rsid w:val="00346B63"/>
    <w:rsid w:val="0036169A"/>
    <w:rsid w:val="00362F01"/>
    <w:rsid w:val="003A2348"/>
    <w:rsid w:val="003B3ECA"/>
    <w:rsid w:val="003D2E4A"/>
    <w:rsid w:val="003E217F"/>
    <w:rsid w:val="003E2E1F"/>
    <w:rsid w:val="003E7F52"/>
    <w:rsid w:val="003F5F67"/>
    <w:rsid w:val="00411D1B"/>
    <w:rsid w:val="00433A87"/>
    <w:rsid w:val="00435928"/>
    <w:rsid w:val="00436711"/>
    <w:rsid w:val="004374D6"/>
    <w:rsid w:val="00476BD4"/>
    <w:rsid w:val="00483D27"/>
    <w:rsid w:val="0049438A"/>
    <w:rsid w:val="004A5C55"/>
    <w:rsid w:val="004E3DF3"/>
    <w:rsid w:val="004E5F8D"/>
    <w:rsid w:val="004E684F"/>
    <w:rsid w:val="004F0A74"/>
    <w:rsid w:val="004F6653"/>
    <w:rsid w:val="0052126A"/>
    <w:rsid w:val="00522C56"/>
    <w:rsid w:val="0052593F"/>
    <w:rsid w:val="00525D55"/>
    <w:rsid w:val="00527135"/>
    <w:rsid w:val="0053731D"/>
    <w:rsid w:val="005654A4"/>
    <w:rsid w:val="00567CA0"/>
    <w:rsid w:val="005815C4"/>
    <w:rsid w:val="00591AB9"/>
    <w:rsid w:val="00591ADB"/>
    <w:rsid w:val="00591B64"/>
    <w:rsid w:val="005A5F38"/>
    <w:rsid w:val="005C4439"/>
    <w:rsid w:val="005E6294"/>
    <w:rsid w:val="005E7159"/>
    <w:rsid w:val="005F6D0A"/>
    <w:rsid w:val="00601E36"/>
    <w:rsid w:val="00603F4E"/>
    <w:rsid w:val="00616C5F"/>
    <w:rsid w:val="0062579C"/>
    <w:rsid w:val="00626BC6"/>
    <w:rsid w:val="006277A7"/>
    <w:rsid w:val="00642340"/>
    <w:rsid w:val="0065726B"/>
    <w:rsid w:val="006777DC"/>
    <w:rsid w:val="00697DB8"/>
    <w:rsid w:val="006A16CB"/>
    <w:rsid w:val="006B17A5"/>
    <w:rsid w:val="006B73D6"/>
    <w:rsid w:val="006C17C4"/>
    <w:rsid w:val="006C4461"/>
    <w:rsid w:val="006D7383"/>
    <w:rsid w:val="006F406A"/>
    <w:rsid w:val="00710956"/>
    <w:rsid w:val="007206F4"/>
    <w:rsid w:val="0072094C"/>
    <w:rsid w:val="00751CA7"/>
    <w:rsid w:val="0077139E"/>
    <w:rsid w:val="00776B45"/>
    <w:rsid w:val="007777A6"/>
    <w:rsid w:val="007A4312"/>
    <w:rsid w:val="007D5264"/>
    <w:rsid w:val="007F2193"/>
    <w:rsid w:val="007F3353"/>
    <w:rsid w:val="00800789"/>
    <w:rsid w:val="0080102B"/>
    <w:rsid w:val="008024D2"/>
    <w:rsid w:val="008106A7"/>
    <w:rsid w:val="008134EB"/>
    <w:rsid w:val="00843BFA"/>
    <w:rsid w:val="00847992"/>
    <w:rsid w:val="00880CF1"/>
    <w:rsid w:val="00882B54"/>
    <w:rsid w:val="00882C9B"/>
    <w:rsid w:val="008837B0"/>
    <w:rsid w:val="00884144"/>
    <w:rsid w:val="00890CBA"/>
    <w:rsid w:val="008A0937"/>
    <w:rsid w:val="008A26BE"/>
    <w:rsid w:val="008B78B4"/>
    <w:rsid w:val="008C5632"/>
    <w:rsid w:val="008D4F20"/>
    <w:rsid w:val="008E1A64"/>
    <w:rsid w:val="008F2553"/>
    <w:rsid w:val="00907369"/>
    <w:rsid w:val="00907461"/>
    <w:rsid w:val="00920816"/>
    <w:rsid w:val="009241A9"/>
    <w:rsid w:val="00925896"/>
    <w:rsid w:val="0092683D"/>
    <w:rsid w:val="009270F4"/>
    <w:rsid w:val="00927AED"/>
    <w:rsid w:val="00931EBB"/>
    <w:rsid w:val="00941718"/>
    <w:rsid w:val="0094223B"/>
    <w:rsid w:val="009434F0"/>
    <w:rsid w:val="009515A5"/>
    <w:rsid w:val="009562BE"/>
    <w:rsid w:val="00961158"/>
    <w:rsid w:val="00961B57"/>
    <w:rsid w:val="00983398"/>
    <w:rsid w:val="009878A7"/>
    <w:rsid w:val="00987F07"/>
    <w:rsid w:val="009B7C73"/>
    <w:rsid w:val="009D0FE7"/>
    <w:rsid w:val="009E641D"/>
    <w:rsid w:val="00A00865"/>
    <w:rsid w:val="00A066BA"/>
    <w:rsid w:val="00A069D9"/>
    <w:rsid w:val="00A06A44"/>
    <w:rsid w:val="00A12A87"/>
    <w:rsid w:val="00A22575"/>
    <w:rsid w:val="00A66A3D"/>
    <w:rsid w:val="00A75D2F"/>
    <w:rsid w:val="00A81533"/>
    <w:rsid w:val="00A86F8A"/>
    <w:rsid w:val="00A91D0D"/>
    <w:rsid w:val="00A9489B"/>
    <w:rsid w:val="00A974F7"/>
    <w:rsid w:val="00AA00D4"/>
    <w:rsid w:val="00AA7D1B"/>
    <w:rsid w:val="00AB3760"/>
    <w:rsid w:val="00AC52CB"/>
    <w:rsid w:val="00AD28D3"/>
    <w:rsid w:val="00AD2D1F"/>
    <w:rsid w:val="00AD47DF"/>
    <w:rsid w:val="00AE08A1"/>
    <w:rsid w:val="00AF51A2"/>
    <w:rsid w:val="00AF6A39"/>
    <w:rsid w:val="00AF7F24"/>
    <w:rsid w:val="00B01DBB"/>
    <w:rsid w:val="00B05613"/>
    <w:rsid w:val="00B139A4"/>
    <w:rsid w:val="00B155B2"/>
    <w:rsid w:val="00B24609"/>
    <w:rsid w:val="00B30B1D"/>
    <w:rsid w:val="00B435C0"/>
    <w:rsid w:val="00B62ABC"/>
    <w:rsid w:val="00B86986"/>
    <w:rsid w:val="00B92057"/>
    <w:rsid w:val="00BA6A2C"/>
    <w:rsid w:val="00BC1899"/>
    <w:rsid w:val="00BC284B"/>
    <w:rsid w:val="00BD0ABD"/>
    <w:rsid w:val="00BD6A18"/>
    <w:rsid w:val="00BE010D"/>
    <w:rsid w:val="00BE2881"/>
    <w:rsid w:val="00BE35BF"/>
    <w:rsid w:val="00BF5F9C"/>
    <w:rsid w:val="00BF74F5"/>
    <w:rsid w:val="00C00695"/>
    <w:rsid w:val="00C03D75"/>
    <w:rsid w:val="00C07D1D"/>
    <w:rsid w:val="00C16CC9"/>
    <w:rsid w:val="00C237F0"/>
    <w:rsid w:val="00C2475B"/>
    <w:rsid w:val="00C25098"/>
    <w:rsid w:val="00C319EB"/>
    <w:rsid w:val="00C32A5E"/>
    <w:rsid w:val="00C36354"/>
    <w:rsid w:val="00C525AA"/>
    <w:rsid w:val="00C70F8D"/>
    <w:rsid w:val="00C83D67"/>
    <w:rsid w:val="00CA4904"/>
    <w:rsid w:val="00CB1497"/>
    <w:rsid w:val="00CC634C"/>
    <w:rsid w:val="00CD1353"/>
    <w:rsid w:val="00CD31A5"/>
    <w:rsid w:val="00CD34D4"/>
    <w:rsid w:val="00CF0798"/>
    <w:rsid w:val="00CF25AB"/>
    <w:rsid w:val="00D125CC"/>
    <w:rsid w:val="00D2023C"/>
    <w:rsid w:val="00D20EF9"/>
    <w:rsid w:val="00D22CBB"/>
    <w:rsid w:val="00D33135"/>
    <w:rsid w:val="00D474F8"/>
    <w:rsid w:val="00D53B93"/>
    <w:rsid w:val="00D573B5"/>
    <w:rsid w:val="00D74997"/>
    <w:rsid w:val="00D815AB"/>
    <w:rsid w:val="00D92C01"/>
    <w:rsid w:val="00D95798"/>
    <w:rsid w:val="00DA3CD9"/>
    <w:rsid w:val="00DB0917"/>
    <w:rsid w:val="00DB160D"/>
    <w:rsid w:val="00DC03D4"/>
    <w:rsid w:val="00DC24E4"/>
    <w:rsid w:val="00DD4D52"/>
    <w:rsid w:val="00DD6BA5"/>
    <w:rsid w:val="00DE4763"/>
    <w:rsid w:val="00DE6991"/>
    <w:rsid w:val="00DF6F4D"/>
    <w:rsid w:val="00E050DD"/>
    <w:rsid w:val="00E05F31"/>
    <w:rsid w:val="00E067BF"/>
    <w:rsid w:val="00E1428F"/>
    <w:rsid w:val="00E16231"/>
    <w:rsid w:val="00E21C59"/>
    <w:rsid w:val="00E36C4C"/>
    <w:rsid w:val="00E462D7"/>
    <w:rsid w:val="00E52760"/>
    <w:rsid w:val="00E545F0"/>
    <w:rsid w:val="00E577ED"/>
    <w:rsid w:val="00E64A76"/>
    <w:rsid w:val="00E669F3"/>
    <w:rsid w:val="00E76EAB"/>
    <w:rsid w:val="00E81847"/>
    <w:rsid w:val="00E832B5"/>
    <w:rsid w:val="00E8512C"/>
    <w:rsid w:val="00E871B8"/>
    <w:rsid w:val="00E921E7"/>
    <w:rsid w:val="00E93261"/>
    <w:rsid w:val="00E93EE3"/>
    <w:rsid w:val="00E952DD"/>
    <w:rsid w:val="00EB02C6"/>
    <w:rsid w:val="00EB5DCA"/>
    <w:rsid w:val="00EC49E8"/>
    <w:rsid w:val="00EC75FB"/>
    <w:rsid w:val="00EE36F5"/>
    <w:rsid w:val="00EF42EF"/>
    <w:rsid w:val="00EF67AA"/>
    <w:rsid w:val="00F030D3"/>
    <w:rsid w:val="00F12670"/>
    <w:rsid w:val="00F151FF"/>
    <w:rsid w:val="00F15914"/>
    <w:rsid w:val="00F25705"/>
    <w:rsid w:val="00F26B55"/>
    <w:rsid w:val="00F2758D"/>
    <w:rsid w:val="00F304DE"/>
    <w:rsid w:val="00F308EE"/>
    <w:rsid w:val="00F41A9F"/>
    <w:rsid w:val="00F44287"/>
    <w:rsid w:val="00F50B84"/>
    <w:rsid w:val="00F52BE8"/>
    <w:rsid w:val="00F55D3A"/>
    <w:rsid w:val="00F603BA"/>
    <w:rsid w:val="00F762AC"/>
    <w:rsid w:val="00F836CA"/>
    <w:rsid w:val="00F856A6"/>
    <w:rsid w:val="00FC655B"/>
    <w:rsid w:val="00FF728D"/>
    <w:rsid w:val="08957E40"/>
    <w:rsid w:val="1B8347D2"/>
    <w:rsid w:val="1BED5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5"/>
      </w:numPr>
      <w:suppressAutoHyphens/>
      <w:spacing w:before="120" w:after="120"/>
    </w:pPr>
  </w:style>
  <w:style w:type="paragraph" w:styleId="ListNumber3">
    <w:name w:val="List Number 3"/>
    <w:basedOn w:val="Normal"/>
    <w:rsid w:val="00F52BE8"/>
    <w:pPr>
      <w:numPr>
        <w:ilvl w:val="2"/>
        <w:numId w:val="5"/>
      </w:numPr>
      <w:suppressAutoHyphens/>
      <w:spacing w:before="120" w:after="120"/>
    </w:pPr>
    <w:rPr>
      <w:bCs/>
    </w:rPr>
  </w:style>
  <w:style w:type="paragraph" w:styleId="ListNumber">
    <w:name w:val="List Number"/>
    <w:rsid w:val="00F52BE8"/>
    <w:pPr>
      <w:numPr>
        <w:numId w:val="5"/>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uiPriority w:val="99"/>
    <w:rsid w:val="00F52BE8"/>
    <w:pPr>
      <w:tabs>
        <w:tab w:val="center" w:pos="4153"/>
        <w:tab w:val="right" w:pos="8306"/>
      </w:tabs>
    </w:pPr>
  </w:style>
  <w:style w:type="character" w:customStyle="1" w:styleId="HeaderChar">
    <w:name w:val="Header Char"/>
    <w:basedOn w:val="DefaultParagraphFont"/>
    <w:link w:val="Header"/>
    <w:uiPriority w:val="99"/>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Revision">
    <w:name w:val="Revision"/>
    <w:hidden/>
    <w:uiPriority w:val="99"/>
    <w:semiHidden/>
    <w:rsid w:val="00115A89"/>
    <w:pPr>
      <w:spacing w:after="0" w:line="240" w:lineRule="auto"/>
    </w:pPr>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115A89"/>
    <w:rPr>
      <w:sz w:val="16"/>
      <w:szCs w:val="16"/>
    </w:rPr>
  </w:style>
  <w:style w:type="paragraph" w:styleId="CommentText">
    <w:name w:val="annotation text"/>
    <w:basedOn w:val="Normal"/>
    <w:link w:val="CommentTextChar"/>
    <w:uiPriority w:val="99"/>
    <w:unhideWhenUsed/>
    <w:rsid w:val="00115A89"/>
    <w:rPr>
      <w:sz w:val="20"/>
    </w:rPr>
  </w:style>
  <w:style w:type="character" w:customStyle="1" w:styleId="CommentTextChar">
    <w:name w:val="Comment Text Char"/>
    <w:basedOn w:val="DefaultParagraphFont"/>
    <w:link w:val="CommentText"/>
    <w:uiPriority w:val="99"/>
    <w:rsid w:val="00115A8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15A89"/>
    <w:rPr>
      <w:b/>
      <w:bCs/>
    </w:rPr>
  </w:style>
  <w:style w:type="character" w:customStyle="1" w:styleId="CommentSubjectChar">
    <w:name w:val="Comment Subject Char"/>
    <w:basedOn w:val="CommentTextChar"/>
    <w:link w:val="CommentSubject"/>
    <w:uiPriority w:val="99"/>
    <w:semiHidden/>
    <w:rsid w:val="00115A89"/>
    <w:rPr>
      <w:rFonts w:ascii="Arial" w:eastAsia="Times New Roman" w:hAnsi="Arial" w:cs="Times New Roman"/>
      <w:b/>
      <w:bCs/>
      <w:sz w:val="20"/>
      <w:szCs w:val="20"/>
      <w:lang w:val="en-GB"/>
    </w:rPr>
  </w:style>
  <w:style w:type="paragraph" w:customStyle="1" w:styleId="Standard">
    <w:name w:val="Standard"/>
    <w:rsid w:val="00C16CC9"/>
    <w:pPr>
      <w:suppressAutoHyphens/>
      <w:autoSpaceDN w:val="0"/>
      <w:spacing w:before="240" w:after="240" w:line="240" w:lineRule="auto"/>
      <w:textAlignment w:val="baseline"/>
    </w:pPr>
    <w:rPr>
      <w:rFonts w:ascii="Arial" w:eastAsia="SimSun" w:hAnsi="Arial" w:cs="Arial"/>
      <w:szCs w:val="24"/>
      <w:lang w:val="en-GB" w:eastAsia="zh-CN" w:bidi="hi-IN"/>
    </w:rPr>
  </w:style>
  <w:style w:type="character" w:styleId="UnresolvedMention">
    <w:name w:val="Unresolved Mention"/>
    <w:basedOn w:val="DefaultParagraphFont"/>
    <w:uiPriority w:val="99"/>
    <w:semiHidden/>
    <w:unhideWhenUsed/>
    <w:rsid w:val="00A75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928083635">
      <w:bodyDiv w:val="1"/>
      <w:marLeft w:val="0"/>
      <w:marRight w:val="0"/>
      <w:marTop w:val="0"/>
      <w:marBottom w:val="0"/>
      <w:divBdr>
        <w:top w:val="none" w:sz="0" w:space="0" w:color="auto"/>
        <w:left w:val="none" w:sz="0" w:space="0" w:color="auto"/>
        <w:bottom w:val="none" w:sz="0" w:space="0" w:color="auto"/>
        <w:right w:val="none" w:sz="0" w:space="0" w:color="auto"/>
      </w:divBdr>
      <w:divsChild>
        <w:div w:id="2120291558">
          <w:marLeft w:val="446"/>
          <w:marRight w:val="0"/>
          <w:marTop w:val="0"/>
          <w:marBottom w:val="0"/>
          <w:divBdr>
            <w:top w:val="none" w:sz="0" w:space="0" w:color="auto"/>
            <w:left w:val="none" w:sz="0" w:space="0" w:color="auto"/>
            <w:bottom w:val="none" w:sz="0" w:space="0" w:color="auto"/>
            <w:right w:val="none" w:sz="0" w:space="0" w:color="auto"/>
          </w:divBdr>
        </w:div>
        <w:div w:id="914509886">
          <w:marLeft w:val="446"/>
          <w:marRight w:val="0"/>
          <w:marTop w:val="0"/>
          <w:marBottom w:val="0"/>
          <w:divBdr>
            <w:top w:val="none" w:sz="0" w:space="0" w:color="auto"/>
            <w:left w:val="none" w:sz="0" w:space="0" w:color="auto"/>
            <w:bottom w:val="none" w:sz="0" w:space="0" w:color="auto"/>
            <w:right w:val="none" w:sz="0" w:space="0" w:color="auto"/>
          </w:divBdr>
        </w:div>
        <w:div w:id="1396204967">
          <w:marLeft w:val="1022"/>
          <w:marRight w:val="0"/>
          <w:marTop w:val="0"/>
          <w:marBottom w:val="0"/>
          <w:divBdr>
            <w:top w:val="none" w:sz="0" w:space="0" w:color="auto"/>
            <w:left w:val="none" w:sz="0" w:space="0" w:color="auto"/>
            <w:bottom w:val="none" w:sz="0" w:space="0" w:color="auto"/>
            <w:right w:val="none" w:sz="0" w:space="0" w:color="auto"/>
          </w:divBdr>
        </w:div>
        <w:div w:id="760682296">
          <w:marLeft w:val="1022"/>
          <w:marRight w:val="0"/>
          <w:marTop w:val="0"/>
          <w:marBottom w:val="0"/>
          <w:divBdr>
            <w:top w:val="none" w:sz="0" w:space="0" w:color="auto"/>
            <w:left w:val="none" w:sz="0" w:space="0" w:color="auto"/>
            <w:bottom w:val="none" w:sz="0" w:space="0" w:color="auto"/>
            <w:right w:val="none" w:sz="0" w:space="0" w:color="auto"/>
          </w:divBdr>
        </w:div>
        <w:div w:id="1956979626">
          <w:marLeft w:val="1022"/>
          <w:marRight w:val="0"/>
          <w:marTop w:val="0"/>
          <w:marBottom w:val="0"/>
          <w:divBdr>
            <w:top w:val="none" w:sz="0" w:space="0" w:color="auto"/>
            <w:left w:val="none" w:sz="0" w:space="0" w:color="auto"/>
            <w:bottom w:val="none" w:sz="0" w:space="0" w:color="auto"/>
            <w:right w:val="none" w:sz="0" w:space="0" w:color="auto"/>
          </w:divBdr>
        </w:div>
      </w:divsChild>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36811/smart-motorway-safety-evidence-stocktake-and-action-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18</Pages>
  <Words>4010</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Dinkele, Harriet</cp:lastModifiedBy>
  <cp:revision>6</cp:revision>
  <cp:lastPrinted>2022-02-24T12:45:00Z</cp:lastPrinted>
  <dcterms:created xsi:type="dcterms:W3CDTF">2022-08-05T08:50:00Z</dcterms:created>
  <dcterms:modified xsi:type="dcterms:W3CDTF">2022-08-05T10:55:00Z</dcterms:modified>
</cp:coreProperties>
</file>