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13 (Implementation Plan and Testing)</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 Implementation</w:t>
      </w: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240" w:before="240" w:line="240" w:lineRule="auto"/>
        <w:ind w:left="1080" w:right="0" w:hanging="360"/>
        <w:jc w:val="both"/>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923"/>
        </w:tabs>
        <w:spacing w:after="120" w:before="120" w:line="240" w:lineRule="auto"/>
        <w:ind w:left="1789" w:right="0" w:hanging="56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72.0" w:type="dxa"/>
        <w:jc w:val="left"/>
        <w:tblInd w:w="1791.0" w:type="dxa"/>
        <w:tblLayout w:type="fixed"/>
        <w:tblLook w:val="0000"/>
      </w:tblPr>
      <w:tblGrid>
        <w:gridCol w:w="2996"/>
        <w:gridCol w:w="5176"/>
        <w:tblGridChange w:id="0">
          <w:tblGrid>
            <w:gridCol w:w="2996"/>
            <w:gridCol w:w="5176"/>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9"/>
                <w:tab w:val="left" w:leader="none" w:pos="279"/>
              </w:tabs>
              <w:spacing w:after="120" w:before="0" w:line="240" w:lineRule="auto"/>
              <w:ind w:left="288" w:right="0" w:hanging="28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Achievement of a Milestone by its Milestone Date; or</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9"/>
                <w:tab w:val="left" w:leader="none" w:pos="279"/>
              </w:tabs>
              <w:spacing w:after="120" w:before="0" w:line="240" w:lineRule="auto"/>
              <w:ind w:left="288" w:right="0" w:hanging="28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design, development, testing or implementation of a Deliverable by the relevant date set out in the Implementation Plan;</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"Deliverable Item"</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or feature in the supply of the Deliverables delivered or to be delivered by the Supplier at or before a Milestone Date listed in the Implementation Plan;</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"Milestone Payment"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payment identified in the Implementation Plan to be made following the issue of a Satisfaction Certificate in respect of Achievement of the relevant Milestone;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Period"</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7.1;</w:t>
            </w:r>
            <w:r w:rsidDel="00000000" w:rsidR="00000000" w:rsidRPr="00000000">
              <w:rPr>
                <w:rtl w:val="0"/>
              </w:rPr>
            </w:r>
          </w:p>
        </w:tc>
      </w:tr>
    </w:tbl>
    <w:p w:rsidR="00000000" w:rsidDel="00000000" w:rsidP="00000000" w:rsidRDefault="00000000" w:rsidRPr="00000000" w14:paraId="0000000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240" w:before="240" w:line="240" w:lineRule="auto"/>
        <w:ind w:left="108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Agreeing and following the Implementation Plan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of the Implementation Plan is set out in the Annex to this Schedule.  The Supplier shall provide a further draft Implementation Plan twenty (20) Working Days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Call-Off Contract Start Date.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Implementation Plan: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contain information at the level of detail necessary to manage the implementation stage effectively and as the Buyer may otherwise require; and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take account of all dependencies known to, or which should reasonably be known to, the Supplier.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monitor its performance against the Implementation Plan and Milestones (if any) and report to the Buyer on such performance.</w:t>
      </w: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240" w:before="240" w:line="240" w:lineRule="auto"/>
        <w:ind w:left="108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Reviewing and changing the Implementation Plan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4.3, the Supplier shall keep the Implementation Plan under review in accordance with the Buyer’s instructions and ensure that it is updated on a regular basis.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the right to require the Supplier to include any reasonable changes or provisions in each version of the Implementation Plan.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to any Milestones, Milestone Payments and Delay Payments shall only be made in accordance with the Variation Procedure.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in relation to compliance with the Implementation Plan shall be of the essence and failure of the Supplier to comply with the Implementation Plan shall be a material Default.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7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240" w:before="240" w:line="240" w:lineRule="auto"/>
        <w:ind w:left="108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requirements before the Start Date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do not access the Buyer's IT systems, or any IT systems linked to the Buyer, unless they have satisfied the Buyer's security requirements.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providing all necessary information to the Buyer to facilitate security clearances for Supplier Staff and Subcontractors in accordance with the Buyer's requirements.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names of all Supplier Staff and Subcontractors and inform the Buyer of any alterations and additions as they take place throughout the Call-Off Contract.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property requires Supplier Staff or Subcontractors to be accompanied by the Buyer’s Authorised Representative, the Buyer must be given reasonable notice of such a requirement, except in the case of emergency access.</w:t>
      </w:r>
      <w:r w:rsidDel="00000000" w:rsidR="00000000" w:rsidRPr="00000000">
        <w:rPr>
          <w:rtl w:val="0"/>
        </w:rPr>
      </w:r>
    </w:p>
    <w:p w:rsidR="00000000" w:rsidDel="00000000" w:rsidP="00000000" w:rsidRDefault="00000000" w:rsidRPr="00000000" w14:paraId="0000002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240" w:before="240" w:line="240" w:lineRule="auto"/>
        <w:ind w:left="108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to do if there is a Delay</w:t>
      </w:r>
      <w:r w:rsidDel="00000000" w:rsidR="00000000" w:rsidRPr="00000000">
        <w:rPr>
          <w:rtl w:val="0"/>
        </w:rPr>
      </w:r>
    </w:p>
    <w:p w:rsidR="00000000" w:rsidDel="00000000" w:rsidP="00000000" w:rsidRDefault="00000000" w:rsidRPr="00000000" w14:paraId="0000002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becomes aware that there is, or there is reasonably likely to be, a Delay under this Contract it shall:</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soon as practically possible and no later than within two (2) Working Days from becoming aware of the Delay or anticipated Delay;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its notification an explanation of the actual or anticipated impact of the Delay;</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Buyer’s instructions in order to address the impact of the Delay or anticipated Delay; and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eliminate or mitigate the consequences of any Delay or anticipated Delay.</w:t>
      </w:r>
      <w:r w:rsidDel="00000000" w:rsidR="00000000" w:rsidRPr="00000000">
        <w:rPr>
          <w:rtl w:val="0"/>
        </w:rPr>
      </w:r>
    </w:p>
    <w:p w:rsidR="00000000" w:rsidDel="00000000" w:rsidP="00000000" w:rsidRDefault="00000000" w:rsidRPr="00000000" w14:paraId="0000002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240" w:before="240" w:line="240" w:lineRule="auto"/>
        <w:ind w:left="108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for a Delay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 any Delay Payment is a price adjustment and not an estimate of the Loss that may be suffered by the Buyer as a result of the Supplier’s failure to Achieve the corresponding Milestone;</w:t>
      </w:r>
      <w:r w:rsidDel="00000000" w:rsidR="00000000" w:rsidRPr="00000000">
        <w:rPr>
          <w:rtl w:val="0"/>
        </w:rPr>
      </w:r>
    </w:p>
    <w:p w:rsidR="00000000" w:rsidDel="00000000" w:rsidP="00000000" w:rsidRDefault="00000000" w:rsidRPr="00000000" w14:paraId="0000002D">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be the Buyer's exclusive financial remedy for the Supplier’s failure to Achieve a Milestone by its Milestone Date except where: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5"/>
          <w:tab w:val="left" w:leader="none" w:pos="5547"/>
        </w:tabs>
        <w:spacing w:after="120" w:before="120" w:line="240" w:lineRule="auto"/>
        <w:ind w:left="3420" w:right="0" w:hanging="99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otherwise entitled to or does terminate this Contract pursuant to Clause 10.4 (When CCS or the Buyer can end this contract); or</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5"/>
          <w:tab w:val="left" w:leader="none" w:pos="5547"/>
        </w:tabs>
        <w:spacing w:after="120" w:before="120" w:line="240" w:lineRule="auto"/>
        <w:ind w:left="3420" w:right="0" w:hanging="99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exceeds the number of days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 Period Limit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specified in the Implementation Plan commencing on the relevant Milestone Date;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Payments will accrue on a daily basis from the relevant Milestone Date until the date when the Milestone is Achieved;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payment or other act or omission of the Buyer shall in any way affect the rights of the Buyer to recover the Delay Payments or be deemed to be a waiver of the right of the Buyer to recover any such damages; and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not be subject to or count towards any limitation on liability set out in Clause 11 (How much you can be held responsible for).</w:t>
      </w:r>
      <w:r w:rsidDel="00000000" w:rsidR="00000000" w:rsidRPr="00000000">
        <w:rPr>
          <w:rtl w:val="0"/>
        </w:rPr>
      </w:r>
    </w:p>
    <w:p w:rsidR="00000000" w:rsidDel="00000000" w:rsidP="00000000" w:rsidRDefault="00000000" w:rsidRPr="00000000" w14:paraId="0000003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240" w:before="240" w:line="240" w:lineRule="auto"/>
        <w:ind w:left="108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Plan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Implementation Period will be a six (6) Month period.</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54"/>
        </w:tabs>
        <w:spacing w:after="120" w:before="120" w:line="240" w:lineRule="auto"/>
        <w:ind w:left="1620" w:right="0" w:hanging="54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the Implementation Plan, the Supplier shall:</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cooperatively and in partnership with the Buyer, incumbent supplier, and other Framework Supplier(s), where applicable, to understand the scope of Services to ensure a mutually beneficial handover of the Services;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with the incumbent supplier and Buyer to assess the scope of the Services and prepare a plan which demonstrates how they will mobilise the Services;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liaise with the incumbent Supplier to enable the full completion of the Implementation Period activities; and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produce a Implementation Plan, to be agreed by the Buyer, for carrying out the requirements within the Implementation Period including, key Milestones and dependencies.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90"/>
        </w:tabs>
        <w:spacing w:after="120" w:before="120" w:line="240" w:lineRule="auto"/>
        <w:ind w:left="1656"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Implementation Plan will include detail stating:</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work with the incumbent Supplier and the Buyer Authorised Representative to capture and load up information such as asset data ; and</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communications plan, to be produced and implemented by the Supplier, but to be agreed with the Buyer, including the frequency, responsibility for and nature of communication with the Buyer and end users of the Services.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790"/>
        </w:tabs>
        <w:spacing w:after="120" w:before="120" w:line="240" w:lineRule="auto"/>
        <w:ind w:left="1656"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the Supplier shall:</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appoint a Supplier Authorised Representative who shall be responsible for the management of the Implementation Period, to ensure that the Implementation Period is planned and resourced adequately, and who will act as a point of contact for the Buyer;</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mobilise all the Services specified in the Specification within the Call-Off Contract;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produce a Implementation Plan report for each Buyer Premises to encompass programmes that will fulfil all the Buyer's obligations to landlords and other tenants: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540"/>
          <w:tab w:val="left" w:leader="none" w:pos="5682"/>
        </w:tabs>
        <w:spacing w:after="120" w:before="120" w:line="240" w:lineRule="auto"/>
        <w:ind w:left="3555"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540"/>
          <w:tab w:val="left" w:leader="none" w:pos="5682"/>
        </w:tabs>
        <w:spacing w:after="120" w:before="120" w:line="240" w:lineRule="auto"/>
        <w:ind w:left="3555"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 and report progress against the Implementation Plan;</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 and maintain a Implementation risk and issue register in conjunction with the Buyer detailing how risks and issues will be effectively communicated to the Buyer in order to mitigate them;</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361"/>
          <w:tab w:val="left" w:leader="none" w:pos="4503"/>
        </w:tabs>
        <w:spacing w:after="120" w:before="120" w:line="240" w:lineRule="auto"/>
        <w:ind w:left="237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risks associated with the Implementation Period are minimised to ensure a seamless change of control between incumbent provider and the Supplier.</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5"/>
          <w:tab w:val="left" w:leader="none" w:pos="4467"/>
        </w:tabs>
        <w:spacing w:after="120" w:before="120" w:line="240" w:lineRule="auto"/>
        <w:ind w:left="2340" w:right="0" w:hanging="129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2070"/>
        </w:tabs>
        <w:spacing w:after="120" w:before="120" w:line="240" w:lineRule="auto"/>
        <w:ind w:left="936" w:right="0" w:hanging="57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1: Implementation Plan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4"/>
        </w:tabs>
        <w:spacing w:after="120" w:before="120" w:line="240" w:lineRule="auto"/>
        <w:ind w:left="-216" w:right="0" w:firstLine="0"/>
        <w:jc w:val="left"/>
        <w:rPr>
          <w:sz w:val="24"/>
          <w:szCs w:val="24"/>
        </w:rPr>
      </w:pPr>
      <w:r w:rsidDel="00000000" w:rsidR="00000000" w:rsidRPr="00000000">
        <w:rPr>
          <w:sz w:val="24"/>
          <w:szCs w:val="24"/>
          <w:rtl w:val="0"/>
        </w:rPr>
        <w:t xml:space="preserve">REDACTED TEXT under FOIA Section 43 Commercial Interests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4"/>
        </w:tabs>
        <w:spacing w:after="120" w:before="120" w:line="240" w:lineRule="auto"/>
        <w:ind w:left="-216" w:right="0" w:firstLine="0"/>
        <w:jc w:val="left"/>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4"/>
        </w:tabs>
        <w:spacing w:after="120" w:before="120" w:line="240" w:lineRule="auto"/>
        <w:ind w:left="360" w:right="0" w:hanging="576"/>
        <w:jc w:val="left"/>
        <w:rPr>
          <w:rFonts w:ascii="Arial" w:cs="Arial" w:eastAsia="Arial" w:hAnsi="Arial"/>
          <w:b w:val="0"/>
          <w:i w:val="0"/>
          <w:smallCaps w:val="0"/>
          <w:strike w:val="0"/>
          <w:color w:val="000000"/>
          <w:sz w:val="22"/>
          <w:szCs w:val="22"/>
          <w:u w:val="none"/>
          <w:shd w:fill="auto" w:val="clear"/>
          <w:vertAlign w:val="baseline"/>
        </w:rPr>
        <w:sectPr>
          <w:headerReference r:id="rId7" w:type="default"/>
          <w:footerReference r:id="rId8" w:type="defaul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6in1rg" w:id="4"/>
      <w:bookmarkEnd w:id="4"/>
      <w:r w:rsidDel="00000000" w:rsidR="00000000" w:rsidRPr="00000000">
        <w:rPr>
          <w:rtl w:val="0"/>
        </w:rPr>
      </w:r>
    </w:p>
    <w:sectPr>
      <w:headerReference r:id="rId9" w:type="default"/>
      <w:footerReference r:id="rId10"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RM6168 – Estate Management Services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RM6168 – Estate Management Services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13: (Implementation Plan and Testing)</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2020</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Call-Off Schedule 13: (Implementation Plan and Testing)</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931"/>
        <w:tab w:val="right" w:leader="none" w:pos="10444"/>
      </w:tabs>
      <w:spacing w:after="0" w:before="0" w:line="240" w:lineRule="auto"/>
      <w:ind w:left="1418" w:right="0" w:firstLine="141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70" w:hanging="170"/>
      </w:pPr>
      <w:rPr>
        <w:sz w:val="24"/>
        <w:szCs w:val="24"/>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502" w:hanging="360"/>
      </w:pPr>
      <w:rPr>
        <w:rFonts w:ascii="Arial" w:cs="Arial" w:eastAsia="Arial" w:hAnsi="Arial"/>
        <w:b w:val="1"/>
        <w:smallCaps w:val="0"/>
        <w:strike w:val="0"/>
        <w:color w:val="000000"/>
        <w:sz w:val="24"/>
        <w:szCs w:val="24"/>
        <w:u w:val="none"/>
        <w:vertAlign w:val="baseline"/>
      </w:rPr>
    </w:lvl>
    <w:lvl w:ilvl="1">
      <w:start w:val="1"/>
      <w:numFmt w:val="decimal"/>
      <w:lvlText w:val="%1.%2"/>
      <w:lvlJc w:val="left"/>
      <w:pPr>
        <w:ind w:left="644" w:hanging="357.9999999999999"/>
      </w:pPr>
      <w:rPr>
        <w:b w:val="1"/>
        <w:i w:val="0"/>
        <w:smallCaps w:val="0"/>
        <w:strike w:val="0"/>
        <w:color w:val="000000"/>
        <w:sz w:val="24"/>
        <w:szCs w:val="24"/>
        <w:u w:val="none"/>
        <w:vertAlign w:val="baseline"/>
      </w:rPr>
    </w:lvl>
    <w:lvl w:ilvl="2">
      <w:start w:val="1"/>
      <w:numFmt w:val="decimal"/>
      <w:lvlText w:val="%1.%2.%3"/>
      <w:lvlJc w:val="left"/>
      <w:pPr>
        <w:ind w:left="578" w:hanging="720"/>
      </w:pPr>
      <w:rPr>
        <w:b w:val="0"/>
        <w:i w:val="0"/>
        <w:smallCaps w:val="0"/>
        <w:strike w:val="0"/>
        <w:color w:val="000000"/>
        <w:sz w:val="24"/>
        <w:szCs w:val="24"/>
        <w:u w:val="none"/>
        <w:vertAlign w:val="baseline"/>
      </w:rPr>
    </w:lvl>
    <w:lvl w:ilvl="3">
      <w:start w:val="1"/>
      <w:numFmt w:val="lowerLetter"/>
      <w:lvlText w:val="(%4)"/>
      <w:lvlJc w:val="left"/>
      <w:pPr>
        <w:ind w:left="3130" w:hanging="720"/>
      </w:pPr>
      <w:rPr>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suppressAutoHyphens w:val="1"/>
      <w:jc w:val="both"/>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after="240"/>
      <w:ind w:left="1418"/>
      <w:jc w:val="both"/>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Standard"/>
  </w:style>
  <w:style w:type="paragraph" w:styleId="Footer">
    <w:name w:val="footer"/>
    <w:basedOn w:val="Standard"/>
  </w:style>
  <w:style w:type="character" w:styleId="ListLabel1" w:customStyle="1">
    <w:name w:val="ListLabel 1"/>
    <w:rPr>
      <w:rFonts w:ascii="Arial Bold" w:cs="Arial" w:eastAsia="Arial" w:hAnsi="Arial Bold"/>
      <w:b w:val="1"/>
      <w:caps w:val="0"/>
      <w:smallCaps w:val="0"/>
      <w:strike w:val="0"/>
      <w:dstrike w:val="0"/>
      <w:color w:val="000000"/>
      <w:position w:val="0"/>
      <w:sz w:val="24"/>
      <w:u w:val="none"/>
      <w:vertAlign w:val="baseline"/>
    </w:rPr>
  </w:style>
  <w:style w:type="character" w:styleId="ListLabel2" w:customStyle="1">
    <w:name w:val="ListLabel 2"/>
    <w:rPr>
      <w:rFonts w:cs="Arial" w:eastAsia="Arial"/>
      <w:b w:val="1"/>
      <w:i w:val="0"/>
      <w:caps w:val="0"/>
      <w:smallCaps w:val="0"/>
      <w:strike w:val="0"/>
      <w:dstrike w:val="0"/>
      <w:color w:val="000000"/>
      <w:position w:val="0"/>
      <w:sz w:val="24"/>
      <w:u w:val="none"/>
      <w:vertAlign w:val="baseline"/>
    </w:rPr>
  </w:style>
  <w:style w:type="character" w:styleId="ListLabel3" w:customStyle="1">
    <w:name w:val="ListLabel 3"/>
    <w:rPr>
      <w:b w:val="0"/>
      <w:i w:val="0"/>
      <w:caps w:val="0"/>
      <w:smallCaps w:val="0"/>
      <w:strike w:val="0"/>
      <w:dstrike w:val="0"/>
      <w:color w:val="000000"/>
      <w:position w:val="0"/>
      <w:sz w:val="24"/>
      <w:u w:val="none"/>
      <w:vertAlign w:val="baseline"/>
    </w:rPr>
  </w:style>
  <w:style w:type="character" w:styleId="ListLabel4" w:customStyle="1">
    <w:name w:val="ListLabel 4"/>
    <w:rPr>
      <w:rFonts w:cs="Calibri" w:eastAsia="Calibri"/>
      <w:b w:val="0"/>
      <w:i w:val="0"/>
      <w:caps w:val="0"/>
      <w:smallCaps w:val="0"/>
      <w:strike w:val="0"/>
      <w:dstrike w:val="0"/>
      <w:color w:val="000000"/>
      <w:position w:val="0"/>
      <w:sz w:val="24"/>
      <w:u w:val="none"/>
      <w:vertAlign w:val="baseline"/>
    </w:rPr>
  </w:style>
  <w:style w:type="character" w:styleId="ListLabel5" w:customStyle="1">
    <w:name w:val="ListLabel 5"/>
    <w:rPr>
      <w:b w:val="0"/>
      <w:i w:val="0"/>
      <w:caps w:val="0"/>
      <w:smallCaps w:val="0"/>
      <w:strike w:val="0"/>
      <w:dstrike w:val="0"/>
      <w:color w:val="000000"/>
      <w:position w:val="0"/>
      <w:u w:val="none"/>
      <w:vertAlign w:val="baseline"/>
    </w:rPr>
  </w:style>
  <w:style w:type="character" w:styleId="ListLabel6" w:customStyle="1">
    <w:name w:val="ListLabel 6"/>
    <w:rPr>
      <w:b w:val="0"/>
      <w:i w:val="0"/>
      <w:caps w:val="0"/>
      <w:smallCaps w:val="0"/>
      <w:strike w:val="0"/>
      <w:dstrike w:val="0"/>
      <w:color w:val="000000"/>
      <w:position w:val="0"/>
      <w:u w:val="none"/>
      <w:vertAlign w:val="baseline"/>
    </w:rPr>
  </w:style>
  <w:style w:type="character" w:styleId="ListLabel7" w:customStyle="1">
    <w:name w:val="ListLabel 7"/>
    <w:rPr>
      <w:rFonts w:ascii="Arial Bold" w:cs="Arial" w:eastAsia="Arial" w:hAnsi="Arial Bold"/>
      <w:b w:val="1"/>
      <w:caps w:val="0"/>
      <w:smallCaps w:val="0"/>
      <w:strike w:val="0"/>
      <w:dstrike w:val="0"/>
      <w:color w:val="000000"/>
      <w:position w:val="0"/>
      <w:sz w:val="24"/>
      <w:u w:val="none"/>
      <w:vertAlign w:val="baseline"/>
    </w:rPr>
  </w:style>
  <w:style w:type="character" w:styleId="ListLabel8" w:customStyle="1">
    <w:name w:val="ListLabel 8"/>
    <w:rPr>
      <w:rFonts w:cs="Arial" w:eastAsia="Arial"/>
      <w:b w:val="1"/>
      <w:i w:val="0"/>
      <w:caps w:val="0"/>
      <w:smallCaps w:val="0"/>
      <w:strike w:val="0"/>
      <w:dstrike w:val="0"/>
      <w:color w:val="000000"/>
      <w:position w:val="0"/>
      <w:sz w:val="24"/>
      <w:u w:val="none"/>
      <w:vertAlign w:val="baseline"/>
    </w:rPr>
  </w:style>
  <w:style w:type="character" w:styleId="ListLabel9" w:customStyle="1">
    <w:name w:val="ListLabel 9"/>
    <w:rPr>
      <w:b w:val="0"/>
      <w:i w:val="0"/>
      <w:caps w:val="0"/>
      <w:smallCaps w:val="0"/>
      <w:strike w:val="0"/>
      <w:dstrike w:val="0"/>
      <w:color w:val="000000"/>
      <w:position w:val="0"/>
      <w:sz w:val="24"/>
      <w:u w:val="none"/>
      <w:vertAlign w:val="baseline"/>
    </w:rPr>
  </w:style>
  <w:style w:type="character" w:styleId="ListLabel10" w:customStyle="1">
    <w:name w:val="ListLabel 10"/>
    <w:rPr>
      <w:rFonts w:cs="Calibri" w:eastAsia="Calibri"/>
      <w:b w:val="0"/>
      <w:i w:val="0"/>
      <w:caps w:val="0"/>
      <w:smallCaps w:val="0"/>
      <w:strike w:val="0"/>
      <w:dstrike w:val="0"/>
      <w:color w:val="000000"/>
      <w:position w:val="0"/>
      <w:u w:val="none"/>
      <w:vertAlign w:val="baseline"/>
    </w:rPr>
  </w:style>
  <w:style w:type="character" w:styleId="ListLabel11" w:customStyle="1">
    <w:name w:val="ListLabel 11"/>
    <w:rPr>
      <w:b w:val="0"/>
      <w:i w:val="0"/>
      <w:caps w:val="0"/>
      <w:smallCaps w:val="0"/>
      <w:strike w:val="0"/>
      <w:dstrike w:val="0"/>
      <w:color w:val="000000"/>
      <w:position w:val="0"/>
      <w:u w:val="none"/>
      <w:vertAlign w:val="baseline"/>
    </w:rPr>
  </w:style>
  <w:style w:type="character" w:styleId="ListLabel12" w:customStyle="1">
    <w:name w:val="ListLabel 12"/>
    <w:rPr>
      <w:b w:val="0"/>
      <w:i w:val="0"/>
      <w:caps w:val="0"/>
      <w:smallCaps w:val="0"/>
      <w:strike w:val="0"/>
      <w:dstrike w:val="0"/>
      <w:color w:val="000000"/>
      <w:position w:val="0"/>
      <w:u w:val="none"/>
      <w:vertAlign w:val="baseline"/>
    </w:rPr>
  </w:style>
  <w:style w:type="character" w:styleId="ListLabel13" w:customStyle="1">
    <w:name w:val="ListLabel 13"/>
    <w:rPr>
      <w:sz w:val="24"/>
      <w:szCs w:val="22"/>
    </w:rPr>
  </w:style>
  <w:style w:type="character" w:styleId="ListLabel14" w:customStyle="1">
    <w:name w:val="ListLabel 14"/>
    <w:rPr>
      <w:rFonts w:cs="Calibri" w:eastAsia="Calibri"/>
      <w:b w:val="0"/>
      <w:i w:val="0"/>
      <w:caps w:val="0"/>
      <w:smallCaps w:val="0"/>
      <w:strike w:val="0"/>
      <w:dstrike w:val="0"/>
      <w:color w:val="000000"/>
      <w:position w:val="0"/>
      <w:u w:val="none"/>
      <w:vertAlign w:val="baseline"/>
    </w:rPr>
  </w:style>
  <w:style w:type="character" w:styleId="ListLabel15" w:customStyle="1">
    <w:name w:val="ListLabel 15"/>
    <w:rPr>
      <w:rFonts w:cs="Arial" w:eastAsia="Arial"/>
      <w:sz w:val="22"/>
      <w:szCs w:val="22"/>
    </w:rPr>
  </w:style>
  <w:style w:type="character" w:styleId="ListLabel16" w:customStyle="1">
    <w:name w:val="ListLabel 16"/>
    <w:rPr>
      <w:rFonts w:ascii="Arial Bold" w:cs="Arial" w:eastAsia="Arial" w:hAnsi="Arial Bold"/>
      <w:b w:val="1"/>
      <w:caps w:val="0"/>
      <w:smallCaps w:val="0"/>
      <w:strike w:val="0"/>
      <w:dstrike w:val="0"/>
      <w:color w:val="000000"/>
      <w:position w:val="0"/>
      <w:sz w:val="24"/>
      <w:u w:val="none"/>
      <w:vertAlign w:val="baseline"/>
    </w:rPr>
  </w:style>
  <w:style w:type="character" w:styleId="ListLabel17" w:customStyle="1">
    <w:name w:val="ListLabel 17"/>
    <w:rPr>
      <w:rFonts w:cs="Arial" w:eastAsia="Arial"/>
      <w:b w:val="0"/>
      <w:i w:val="0"/>
      <w:caps w:val="0"/>
      <w:smallCaps w:val="0"/>
      <w:strike w:val="0"/>
      <w:dstrike w:val="0"/>
      <w:color w:val="000000"/>
      <w:position w:val="0"/>
      <w:sz w:val="24"/>
      <w:u w:val="none"/>
      <w:vertAlign w:val="baseline"/>
    </w:rPr>
  </w:style>
  <w:style w:type="character" w:styleId="ListLabel18" w:customStyle="1">
    <w:name w:val="ListLabel 18"/>
    <w:rPr>
      <w:b w:val="0"/>
      <w:i w:val="0"/>
      <w:caps w:val="0"/>
      <w:smallCaps w:val="0"/>
      <w:strike w:val="0"/>
      <w:dstrike w:val="0"/>
      <w:color w:val="000000"/>
      <w:position w:val="0"/>
      <w:sz w:val="24"/>
      <w:u w:val="none"/>
      <w:vertAlign w:val="baseline"/>
    </w:rPr>
  </w:style>
  <w:style w:type="character" w:styleId="ListLabel19" w:customStyle="1">
    <w:name w:val="ListLabel 19"/>
    <w:rPr>
      <w:rFonts w:cs="Calibri" w:eastAsia="Calibri"/>
      <w:b w:val="0"/>
      <w:i w:val="0"/>
      <w:caps w:val="0"/>
      <w:smallCaps w:val="0"/>
      <w:strike w:val="0"/>
      <w:dstrike w:val="0"/>
      <w:color w:val="000000"/>
      <w:position w:val="0"/>
      <w:sz w:val="24"/>
      <w:u w:val="none"/>
      <w:vertAlign w:val="baseline"/>
    </w:rPr>
  </w:style>
  <w:style w:type="character" w:styleId="ListLabel20" w:customStyle="1">
    <w:name w:val="ListLabel 20"/>
    <w:rPr>
      <w:b w:val="0"/>
      <w:i w:val="0"/>
      <w:caps w:val="0"/>
      <w:smallCaps w:val="0"/>
      <w:strike w:val="0"/>
      <w:dstrike w:val="0"/>
      <w:color w:val="000000"/>
      <w:position w:val="0"/>
      <w:u w:val="none"/>
      <w:vertAlign w:val="baseline"/>
    </w:rPr>
  </w:style>
  <w:style w:type="character" w:styleId="ListLabel21" w:customStyle="1">
    <w:name w:val="ListLabel 21"/>
    <w:rPr>
      <w:b w:val="0"/>
      <w:i w:val="0"/>
      <w:caps w:val="0"/>
      <w:smallCaps w:val="0"/>
      <w:strike w:val="0"/>
      <w:dstrike w:val="0"/>
      <w:color w:val="000000"/>
      <w:position w:val="0"/>
      <w:u w:val="none"/>
      <w:vertAlign w:val="baseline"/>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numbering" w:styleId="WWNum3" w:customStyle="1">
    <w:name w:val="WWNum3"/>
    <w:basedOn w:val="NoList"/>
    <w:pPr>
      <w:numPr>
        <w:numId w:val="4"/>
      </w:numPr>
    </w:pPr>
  </w:style>
  <w:style w:type="numbering" w:styleId="WWNum4" w:customStyle="1">
    <w:name w:val="WWNum4"/>
    <w:basedOn w:val="NoList"/>
    <w:pPr>
      <w:numPr>
        <w:numId w:val="5"/>
      </w:numPr>
    </w:pPr>
  </w:style>
  <w:style w:type="paragraph" w:styleId="Revision">
    <w:name w:val="Revision"/>
    <w:hidden w:val="1"/>
    <w:uiPriority w:val="99"/>
    <w:semiHidden w:val="1"/>
    <w:rsid w:val="00785F6A"/>
    <w:pPr>
      <w:widowControl w:val="1"/>
      <w:autoSpaceDN w:val="1"/>
      <w:textAlignment w:val="auto"/>
    </w:pPr>
    <w:rPr>
      <w:rFonts w:cs="Mangal"/>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6cUCcwmZZ9oAk7d97FOS+XV3TQ==">CgMxLjAyCGguZ2pkZ3hzMgloLjMwajB6bGwyCWguMWZvYjl0ZTIJaC4zem55c2g3MgloLjI2aW4xcmc4AHIhMS1QOG9FYUUtZWc2b0lJRmI1VDZZSG0wdTQwYUpKUHI0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2025-03-28T13:50:00Z</dcterms:created>
  <dc:creator>Caroline Peake</dc:creator>
</cp:coreProperties>
</file>