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B0C" w:rsidRPr="00457068"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r>
        <w:rPr>
          <w:rFonts w:asciiTheme="minorHAnsi" w:hAnsiTheme="minorHAnsi" w:cstheme="minorHAnsi"/>
          <w:b/>
          <w:sz w:val="24"/>
        </w:rPr>
        <w:tab/>
      </w:r>
      <w:r>
        <w:rPr>
          <w:rFonts w:asciiTheme="minorHAnsi" w:hAnsiTheme="minorHAnsi" w:cstheme="minorHAnsi"/>
          <w:b/>
          <w:sz w:val="24"/>
        </w:rPr>
        <w:tab/>
      </w:r>
      <w:r w:rsidR="00AF4C0F" w:rsidRPr="00457068">
        <w:rPr>
          <w:rFonts w:asciiTheme="minorHAnsi" w:hAnsiTheme="minorHAnsi" w:cstheme="minorHAnsi"/>
          <w:b/>
          <w:sz w:val="28"/>
          <w:szCs w:val="28"/>
        </w:rPr>
        <w:t xml:space="preserve">Technical Support </w:t>
      </w:r>
      <w:r w:rsidR="00842FD6" w:rsidRPr="00457068">
        <w:rPr>
          <w:rFonts w:asciiTheme="minorHAnsi" w:hAnsiTheme="minorHAnsi" w:cstheme="minorHAnsi"/>
          <w:b/>
          <w:sz w:val="28"/>
          <w:szCs w:val="28"/>
        </w:rPr>
        <w:t>–</w:t>
      </w:r>
      <w:r w:rsidR="00AF4C0F" w:rsidRPr="00457068">
        <w:rPr>
          <w:rFonts w:asciiTheme="minorHAnsi" w:hAnsiTheme="minorHAnsi" w:cstheme="minorHAnsi"/>
          <w:b/>
          <w:sz w:val="28"/>
          <w:szCs w:val="28"/>
        </w:rPr>
        <w:t xml:space="preserve"> </w:t>
      </w:r>
      <w:r w:rsidR="00842FD6" w:rsidRPr="00457068">
        <w:rPr>
          <w:rFonts w:asciiTheme="minorHAnsi" w:hAnsiTheme="minorHAnsi" w:cstheme="minorHAnsi"/>
          <w:b/>
          <w:sz w:val="28"/>
          <w:szCs w:val="28"/>
        </w:rPr>
        <w:t xml:space="preserve">Work Order </w:t>
      </w:r>
      <w:r w:rsidR="00AF4C0F" w:rsidRPr="00457068">
        <w:rPr>
          <w:rFonts w:asciiTheme="minorHAnsi" w:hAnsiTheme="minorHAnsi" w:cstheme="minorHAnsi"/>
          <w:b/>
          <w:sz w:val="28"/>
          <w:szCs w:val="28"/>
        </w:rPr>
        <w:t>Specification</w:t>
      </w:r>
    </w:p>
    <w:tbl>
      <w:tblPr>
        <w:tblStyle w:val="TableGrid"/>
        <w:tblW w:w="0" w:type="auto"/>
        <w:jc w:val="center"/>
        <w:tblLook w:val="04A0" w:firstRow="1" w:lastRow="0" w:firstColumn="1" w:lastColumn="0" w:noHBand="0" w:noVBand="1"/>
      </w:tblPr>
      <w:tblGrid>
        <w:gridCol w:w="9709"/>
      </w:tblGrid>
      <w:tr w:rsidR="00AF4C0F" w:rsidRPr="003F1457" w:rsidTr="00971BA8">
        <w:trPr>
          <w:jc w:val="center"/>
        </w:trPr>
        <w:tc>
          <w:tcPr>
            <w:tcW w:w="9709" w:type="dxa"/>
            <w:shd w:val="clear" w:color="auto" w:fill="006D68"/>
          </w:tcPr>
          <w:p w:rsidR="00AF4C0F" w:rsidRPr="002C62C2" w:rsidRDefault="00CE3E85" w:rsidP="00CE3E85">
            <w:pPr>
              <w:pStyle w:val="Header"/>
              <w:tabs>
                <w:tab w:val="left" w:pos="0"/>
              </w:tabs>
              <w:spacing w:before="120" w:after="120"/>
              <w:jc w:val="both"/>
              <w:rPr>
                <w:rFonts w:asciiTheme="minorHAnsi" w:hAnsiTheme="minorHAnsi" w:cstheme="minorHAnsi"/>
                <w:b/>
                <w:iCs/>
                <w:color w:val="FFFFFF" w:themeColor="background1"/>
                <w:sz w:val="24"/>
              </w:rPr>
            </w:pPr>
            <w:r>
              <w:rPr>
                <w:rFonts w:asciiTheme="minorHAnsi" w:hAnsiTheme="minorHAnsi" w:cstheme="minorHAnsi"/>
                <w:b/>
                <w:iCs/>
                <w:color w:val="FFFFFF" w:themeColor="background1"/>
                <w:sz w:val="24"/>
              </w:rPr>
              <w:t>Title:  Provision of Technical Support on Sizewell C Site-Specific External Hazards Assessment</w:t>
            </w:r>
          </w:p>
        </w:tc>
      </w:tr>
      <w:tr w:rsidR="00AF4C0F" w:rsidTr="00971BA8">
        <w:trPr>
          <w:jc w:val="center"/>
        </w:trPr>
        <w:tc>
          <w:tcPr>
            <w:tcW w:w="9709" w:type="dxa"/>
          </w:tcPr>
          <w:p w:rsidR="00AF4C0F" w:rsidRPr="002C62C2" w:rsidRDefault="00AF4C0F" w:rsidP="001650ED">
            <w:pPr>
              <w:pStyle w:val="TSHeadingNumbered1"/>
              <w:tabs>
                <w:tab w:val="left" w:pos="0"/>
              </w:tabs>
              <w:ind w:left="0" w:firstLine="0"/>
              <w:jc w:val="both"/>
              <w:rPr>
                <w:rFonts w:asciiTheme="minorHAnsi" w:hAnsiTheme="minorHAnsi" w:cstheme="minorHAnsi"/>
              </w:rPr>
            </w:pPr>
            <w:r w:rsidRPr="002C62C2">
              <w:rPr>
                <w:rFonts w:asciiTheme="minorHAnsi" w:hAnsiTheme="minorHAnsi" w:cstheme="minorHAnsi"/>
              </w:rPr>
              <w:t>Background to the project</w:t>
            </w:r>
          </w:p>
          <w:p w:rsidR="002C62C2" w:rsidRDefault="00CE3E85" w:rsidP="001650ED">
            <w:pPr>
              <w:pStyle w:val="TSNumberedParagraph11"/>
              <w:tabs>
                <w:tab w:val="left" w:pos="0"/>
              </w:tabs>
              <w:overflowPunct w:val="0"/>
              <w:autoSpaceDE w:val="0"/>
              <w:autoSpaceDN w:val="0"/>
              <w:adjustRightInd w:val="0"/>
              <w:jc w:val="both"/>
              <w:textAlignment w:val="baseline"/>
              <w:rPr>
                <w:rFonts w:asciiTheme="minorHAnsi" w:hAnsiTheme="minorHAnsi" w:cstheme="minorHAnsi"/>
              </w:rPr>
            </w:pPr>
            <w:r>
              <w:rPr>
                <w:rFonts w:asciiTheme="minorHAnsi" w:hAnsiTheme="minorHAnsi" w:cstheme="minorHAnsi"/>
              </w:rPr>
              <w:t xml:space="preserve">NNB </w:t>
            </w:r>
            <w:proofErr w:type="spellStart"/>
            <w:r>
              <w:rPr>
                <w:rFonts w:asciiTheme="minorHAnsi" w:hAnsiTheme="minorHAnsi" w:cstheme="minorHAnsi"/>
              </w:rPr>
              <w:t>GenCo</w:t>
            </w:r>
            <w:proofErr w:type="spellEnd"/>
            <w:r>
              <w:rPr>
                <w:rFonts w:asciiTheme="minorHAnsi" w:hAnsiTheme="minorHAnsi" w:cstheme="minorHAnsi"/>
              </w:rPr>
              <w:t xml:space="preserve"> </w:t>
            </w:r>
            <w:r w:rsidR="00F47CE4">
              <w:rPr>
                <w:rFonts w:asciiTheme="minorHAnsi" w:hAnsiTheme="minorHAnsi" w:cstheme="minorHAnsi"/>
              </w:rPr>
              <w:t xml:space="preserve">(NNB) </w:t>
            </w:r>
            <w:r>
              <w:rPr>
                <w:rFonts w:asciiTheme="minorHAnsi" w:hAnsiTheme="minorHAnsi" w:cstheme="minorHAnsi"/>
              </w:rPr>
              <w:t>submit</w:t>
            </w:r>
            <w:r w:rsidR="0055467A">
              <w:rPr>
                <w:rFonts w:asciiTheme="minorHAnsi" w:hAnsiTheme="minorHAnsi" w:cstheme="minorHAnsi"/>
              </w:rPr>
              <w:t>ted</w:t>
            </w:r>
            <w:r>
              <w:rPr>
                <w:rFonts w:asciiTheme="minorHAnsi" w:hAnsiTheme="minorHAnsi" w:cstheme="minorHAnsi"/>
              </w:rPr>
              <w:t xml:space="preserve"> its Nuclear Site Licence (NSL) Application at the end June 2020 to construct and operate </w:t>
            </w:r>
            <w:r w:rsidR="00F47CE4">
              <w:rPr>
                <w:rFonts w:asciiTheme="minorHAnsi" w:hAnsiTheme="minorHAnsi" w:cstheme="minorHAnsi"/>
              </w:rPr>
              <w:t>two UK-</w:t>
            </w:r>
            <w:r>
              <w:rPr>
                <w:rFonts w:asciiTheme="minorHAnsi" w:hAnsiTheme="minorHAnsi" w:cstheme="minorHAnsi"/>
              </w:rPr>
              <w:t>EPRs at the Sizewell C (SZC) site</w:t>
            </w:r>
            <w:r w:rsidR="005A61D5">
              <w:rPr>
                <w:rFonts w:asciiTheme="minorHAnsi" w:hAnsiTheme="minorHAnsi" w:cstheme="minorHAnsi"/>
              </w:rPr>
              <w:t xml:space="preserve"> in Suffolk</w:t>
            </w:r>
            <w:r>
              <w:rPr>
                <w:rFonts w:asciiTheme="minorHAnsi" w:hAnsiTheme="minorHAnsi" w:cstheme="minorHAnsi"/>
              </w:rPr>
              <w:t xml:space="preserve">. The activities described within this work order specification are required to support ONR’s decision on whether to grant such a license. </w:t>
            </w:r>
            <w:bookmarkStart w:id="0" w:name="_GoBack"/>
            <w:bookmarkEnd w:id="0"/>
          </w:p>
          <w:p w:rsidR="00502FE0" w:rsidRPr="00502FE0" w:rsidRDefault="00F47CE4" w:rsidP="001650ED">
            <w:pPr>
              <w:pStyle w:val="TSNumberedParagraph11"/>
              <w:tabs>
                <w:tab w:val="left" w:pos="0"/>
              </w:tabs>
              <w:overflowPunct w:val="0"/>
              <w:autoSpaceDE w:val="0"/>
              <w:autoSpaceDN w:val="0"/>
              <w:adjustRightInd w:val="0"/>
              <w:jc w:val="both"/>
              <w:textAlignment w:val="baseline"/>
              <w:rPr>
                <w:rFonts w:asciiTheme="minorHAnsi" w:hAnsiTheme="minorHAnsi"/>
              </w:rPr>
            </w:pPr>
            <w:r>
              <w:rPr>
                <w:rFonts w:asciiTheme="minorHAnsi" w:hAnsiTheme="minorHAnsi" w:cstheme="minorHAnsi"/>
              </w:rPr>
              <w:t xml:space="preserve">As part of the licensing process, NNB must demonstrate that the proposed site is suitable to support construction, operation and decommissioning of twin UK-EPR nuclear power station. NNB’s Justification of Site Suitability Report (JSSR) will set out why NNB considers the proposed site to be suitable. </w:t>
            </w:r>
          </w:p>
          <w:p w:rsidR="002303EF" w:rsidRPr="002303EF" w:rsidRDefault="005A61D5" w:rsidP="001650ED">
            <w:pPr>
              <w:pStyle w:val="TSNumberedParagraph11"/>
              <w:tabs>
                <w:tab w:val="clear" w:pos="-31680"/>
                <w:tab w:val="left" w:pos="0"/>
              </w:tabs>
              <w:overflowPunct w:val="0"/>
              <w:autoSpaceDE w:val="0"/>
              <w:autoSpaceDN w:val="0"/>
              <w:adjustRightInd w:val="0"/>
              <w:jc w:val="both"/>
              <w:textAlignment w:val="baseline"/>
              <w:rPr>
                <w:rFonts w:asciiTheme="minorHAnsi" w:hAnsiTheme="minorHAnsi" w:cstheme="minorHAnsi"/>
              </w:rPr>
            </w:pPr>
            <w:r>
              <w:rPr>
                <w:rFonts w:asciiTheme="minorHAnsi" w:hAnsiTheme="minorHAnsi" w:cstheme="minorHAnsi"/>
              </w:rPr>
              <w:t>The</w:t>
            </w:r>
            <w:r w:rsidR="00F47CE4">
              <w:rPr>
                <w:rFonts w:asciiTheme="minorHAnsi" w:hAnsiTheme="minorHAnsi" w:cstheme="minorHAnsi"/>
              </w:rPr>
              <w:t xml:space="preserve"> Site Data Summary Report</w:t>
            </w:r>
            <w:r w:rsidR="00A243D3">
              <w:rPr>
                <w:rFonts w:asciiTheme="minorHAnsi" w:hAnsiTheme="minorHAnsi" w:cstheme="minorHAnsi"/>
              </w:rPr>
              <w:t xml:space="preserve"> (SDSR)</w:t>
            </w:r>
            <w:r w:rsidR="00F47CE4">
              <w:rPr>
                <w:rFonts w:asciiTheme="minorHAnsi" w:hAnsiTheme="minorHAnsi" w:cstheme="minorHAnsi"/>
              </w:rPr>
              <w:t xml:space="preserve"> </w:t>
            </w:r>
            <w:r w:rsidR="00F86DB0">
              <w:rPr>
                <w:rFonts w:asciiTheme="minorHAnsi" w:hAnsiTheme="minorHAnsi" w:cstheme="minorHAnsi"/>
              </w:rPr>
              <w:t>supports</w:t>
            </w:r>
            <w:r w:rsidR="00A243D3">
              <w:rPr>
                <w:rFonts w:asciiTheme="minorHAnsi" w:hAnsiTheme="minorHAnsi" w:cstheme="minorHAnsi"/>
              </w:rPr>
              <w:t xml:space="preserve"> the JSSR and its purpose is to summarise the site specific external hazards characterisation (in terms of magnitude and associated return period/frequency of each external haza</w:t>
            </w:r>
            <w:r w:rsidR="00D578A7">
              <w:rPr>
                <w:rFonts w:asciiTheme="minorHAnsi" w:hAnsiTheme="minorHAnsi" w:cstheme="minorHAnsi"/>
              </w:rPr>
              <w:t>rd) and to identify a suitable d</w:t>
            </w:r>
            <w:r w:rsidR="00A243D3">
              <w:rPr>
                <w:rFonts w:asciiTheme="minorHAnsi" w:hAnsiTheme="minorHAnsi" w:cstheme="minorHAnsi"/>
              </w:rPr>
              <w:t xml:space="preserve">esign </w:t>
            </w:r>
            <w:r w:rsidR="00D578A7">
              <w:rPr>
                <w:rFonts w:asciiTheme="minorHAnsi" w:hAnsiTheme="minorHAnsi" w:cstheme="minorHAnsi"/>
              </w:rPr>
              <w:t>b</w:t>
            </w:r>
            <w:r w:rsidR="00A243D3">
              <w:rPr>
                <w:rFonts w:asciiTheme="minorHAnsi" w:hAnsiTheme="minorHAnsi" w:cstheme="minorHAnsi"/>
              </w:rPr>
              <w:t xml:space="preserve">asis for each external hazard applicable to the SZC site. </w:t>
            </w:r>
            <w:r w:rsidR="002303EF">
              <w:rPr>
                <w:rFonts w:asciiTheme="minorHAnsi" w:hAnsiTheme="minorHAnsi" w:cstheme="minorHAnsi"/>
              </w:rPr>
              <w:t xml:space="preserve">The SDSR will </w:t>
            </w:r>
            <w:r w:rsidR="002303EF" w:rsidRPr="002303EF">
              <w:rPr>
                <w:rFonts w:asciiTheme="minorHAnsi" w:hAnsiTheme="minorHAnsi" w:cstheme="minorHAnsi"/>
              </w:rPr>
              <w:t xml:space="preserve">be underpinned by a suite of external hazards analysis documents covering </w:t>
            </w:r>
            <w:r w:rsidR="002303EF">
              <w:rPr>
                <w:rFonts w:asciiTheme="minorHAnsi" w:hAnsiTheme="minorHAnsi" w:cstheme="minorHAnsi"/>
              </w:rPr>
              <w:t>m</w:t>
            </w:r>
            <w:r w:rsidR="002303EF" w:rsidRPr="002303EF">
              <w:rPr>
                <w:rFonts w:asciiTheme="minorHAnsi" w:hAnsiTheme="minorHAnsi" w:cstheme="minorHAnsi"/>
              </w:rPr>
              <w:t xml:space="preserve">eteorological, </w:t>
            </w:r>
            <w:r w:rsidR="002303EF">
              <w:rPr>
                <w:rFonts w:asciiTheme="minorHAnsi" w:hAnsiTheme="minorHAnsi" w:cstheme="minorHAnsi"/>
              </w:rPr>
              <w:t>h</w:t>
            </w:r>
            <w:r w:rsidR="002303EF" w:rsidRPr="002303EF">
              <w:rPr>
                <w:rFonts w:asciiTheme="minorHAnsi" w:hAnsiTheme="minorHAnsi" w:cstheme="minorHAnsi"/>
              </w:rPr>
              <w:t>ydrological</w:t>
            </w:r>
            <w:r w:rsidR="002303EF">
              <w:rPr>
                <w:rFonts w:asciiTheme="minorHAnsi" w:hAnsiTheme="minorHAnsi" w:cstheme="minorHAnsi"/>
              </w:rPr>
              <w:t>,</w:t>
            </w:r>
            <w:r w:rsidR="002303EF" w:rsidRPr="002303EF">
              <w:rPr>
                <w:rFonts w:asciiTheme="minorHAnsi" w:hAnsiTheme="minorHAnsi" w:cstheme="minorHAnsi"/>
              </w:rPr>
              <w:t xml:space="preserve"> </w:t>
            </w:r>
            <w:r w:rsidR="002303EF">
              <w:rPr>
                <w:rFonts w:asciiTheme="minorHAnsi" w:hAnsiTheme="minorHAnsi" w:cstheme="minorHAnsi"/>
              </w:rPr>
              <w:t>m</w:t>
            </w:r>
            <w:r w:rsidR="002303EF" w:rsidRPr="002303EF">
              <w:rPr>
                <w:rFonts w:asciiTheme="minorHAnsi" w:hAnsiTheme="minorHAnsi" w:cstheme="minorHAnsi"/>
              </w:rPr>
              <w:t xml:space="preserve">arine, </w:t>
            </w:r>
            <w:r w:rsidR="002303EF">
              <w:rPr>
                <w:rFonts w:asciiTheme="minorHAnsi" w:hAnsiTheme="minorHAnsi" w:cstheme="minorHAnsi"/>
              </w:rPr>
              <w:t>seismic, b</w:t>
            </w:r>
            <w:r w:rsidR="002303EF" w:rsidRPr="002303EF">
              <w:rPr>
                <w:rFonts w:asciiTheme="minorHAnsi" w:hAnsiTheme="minorHAnsi" w:cstheme="minorHAnsi"/>
              </w:rPr>
              <w:t xml:space="preserve">iological and </w:t>
            </w:r>
            <w:r w:rsidR="002303EF">
              <w:rPr>
                <w:rFonts w:asciiTheme="minorHAnsi" w:hAnsiTheme="minorHAnsi" w:cstheme="minorHAnsi"/>
              </w:rPr>
              <w:t>m</w:t>
            </w:r>
            <w:r w:rsidR="002303EF" w:rsidRPr="002303EF">
              <w:rPr>
                <w:rFonts w:asciiTheme="minorHAnsi" w:hAnsiTheme="minorHAnsi" w:cstheme="minorHAnsi"/>
              </w:rPr>
              <w:t>an-made hazard</w:t>
            </w:r>
            <w:r w:rsidR="00DE371B">
              <w:rPr>
                <w:rFonts w:asciiTheme="minorHAnsi" w:hAnsiTheme="minorHAnsi" w:cstheme="minorHAnsi"/>
              </w:rPr>
              <w:t>s</w:t>
            </w:r>
            <w:r w:rsidR="002303EF" w:rsidRPr="002303EF">
              <w:rPr>
                <w:rFonts w:asciiTheme="minorHAnsi" w:hAnsiTheme="minorHAnsi" w:cstheme="minorHAnsi"/>
              </w:rPr>
              <w:t xml:space="preserve">. </w:t>
            </w:r>
            <w:r w:rsidR="00A243D3">
              <w:rPr>
                <w:rFonts w:asciiTheme="minorHAnsi" w:hAnsiTheme="minorHAnsi" w:cstheme="minorHAnsi"/>
              </w:rPr>
              <w:t xml:space="preserve">The </w:t>
            </w:r>
            <w:r w:rsidR="00F86DB0">
              <w:rPr>
                <w:rFonts w:asciiTheme="minorHAnsi" w:hAnsiTheme="minorHAnsi" w:cstheme="minorHAnsi"/>
              </w:rPr>
              <w:t xml:space="preserve">JSSR, </w:t>
            </w:r>
            <w:r w:rsidR="00A243D3">
              <w:rPr>
                <w:rFonts w:asciiTheme="minorHAnsi" w:hAnsiTheme="minorHAnsi" w:cstheme="minorHAnsi"/>
              </w:rPr>
              <w:t>SDSR and its supporting references will therefore be key documents in ONR’s External Hazards assessment of NNB</w:t>
            </w:r>
            <w:r w:rsidR="005073E3">
              <w:rPr>
                <w:rFonts w:asciiTheme="minorHAnsi" w:hAnsiTheme="minorHAnsi" w:cstheme="minorHAnsi"/>
              </w:rPr>
              <w:t>’</w:t>
            </w:r>
            <w:r w:rsidR="00A243D3">
              <w:rPr>
                <w:rFonts w:asciiTheme="minorHAnsi" w:hAnsiTheme="minorHAnsi" w:cstheme="minorHAnsi"/>
              </w:rPr>
              <w:t xml:space="preserve">s NSL application. </w:t>
            </w:r>
            <w:r w:rsidR="002303EF">
              <w:rPr>
                <w:rFonts w:asciiTheme="minorHAnsi" w:hAnsiTheme="minorHAnsi" w:cstheme="minorHAnsi"/>
              </w:rPr>
              <w:t xml:space="preserve"> </w:t>
            </w:r>
          </w:p>
          <w:p w:rsidR="00DE371B" w:rsidRDefault="00035498" w:rsidP="001650ED">
            <w:pPr>
              <w:pStyle w:val="TSNumberedParagraph11"/>
              <w:tabs>
                <w:tab w:val="clear" w:pos="-31680"/>
                <w:tab w:val="left" w:pos="0"/>
              </w:tabs>
              <w:overflowPunct w:val="0"/>
              <w:autoSpaceDE w:val="0"/>
              <w:autoSpaceDN w:val="0"/>
              <w:adjustRightInd w:val="0"/>
              <w:jc w:val="both"/>
              <w:textAlignment w:val="baseline"/>
              <w:rPr>
                <w:rFonts w:asciiTheme="minorHAnsi" w:hAnsiTheme="minorHAnsi" w:cstheme="minorHAnsi"/>
              </w:rPr>
            </w:pPr>
            <w:r>
              <w:rPr>
                <w:rFonts w:asciiTheme="minorHAnsi" w:hAnsiTheme="minorHAnsi" w:cstheme="minorHAnsi"/>
              </w:rPr>
              <w:t>A</w:t>
            </w:r>
            <w:r w:rsidR="00DE371B" w:rsidRPr="009277FD">
              <w:rPr>
                <w:rFonts w:asciiTheme="minorHAnsi" w:hAnsiTheme="minorHAnsi" w:cstheme="minorHAnsi"/>
              </w:rPr>
              <w:t xml:space="preserve"> key aspect of</w:t>
            </w:r>
            <w:r w:rsidR="00DE371B">
              <w:rPr>
                <w:rFonts w:asciiTheme="minorHAnsi" w:hAnsiTheme="minorHAnsi" w:cstheme="minorHAnsi"/>
              </w:rPr>
              <w:t xml:space="preserve"> NNB’s SZC NSL application is replication of the </w:t>
            </w:r>
            <w:r>
              <w:rPr>
                <w:rFonts w:asciiTheme="minorHAnsi" w:hAnsiTheme="minorHAnsi" w:cstheme="minorHAnsi"/>
              </w:rPr>
              <w:t xml:space="preserve">Hinkley Point C (HPC) </w:t>
            </w:r>
            <w:r w:rsidR="00DE371B">
              <w:rPr>
                <w:rFonts w:asciiTheme="minorHAnsi" w:hAnsiTheme="minorHAnsi" w:cstheme="minorHAnsi"/>
              </w:rPr>
              <w:t>design</w:t>
            </w:r>
            <w:r>
              <w:rPr>
                <w:rFonts w:asciiTheme="minorHAnsi" w:hAnsiTheme="minorHAnsi" w:cstheme="minorHAnsi"/>
              </w:rPr>
              <w:t>, which is currently under construction</w:t>
            </w:r>
            <w:r w:rsidR="00DE371B">
              <w:rPr>
                <w:rFonts w:asciiTheme="minorHAnsi" w:hAnsiTheme="minorHAnsi" w:cstheme="minorHAnsi"/>
              </w:rPr>
              <w:t xml:space="preserve">. Specifically in relation to External Hazards, NNB’s focus is on demonstrating that the HPC external hazards design bases are suitable for the SZC site-specific hazards. </w:t>
            </w:r>
            <w:r w:rsidR="00AD65F2" w:rsidRPr="009C5AA7">
              <w:rPr>
                <w:rFonts w:asciiTheme="minorHAnsi" w:hAnsiTheme="minorHAnsi" w:cstheme="minorHAnsi"/>
              </w:rPr>
              <w:t xml:space="preserve">See paragraph </w:t>
            </w:r>
            <w:r w:rsidR="009C5AA7" w:rsidRPr="009C5AA7">
              <w:rPr>
                <w:rFonts w:asciiTheme="minorHAnsi" w:hAnsiTheme="minorHAnsi" w:cstheme="minorHAnsi"/>
              </w:rPr>
              <w:fldChar w:fldCharType="begin"/>
            </w:r>
            <w:r w:rsidR="009C5AA7" w:rsidRPr="009C5AA7">
              <w:rPr>
                <w:rFonts w:asciiTheme="minorHAnsi" w:hAnsiTheme="minorHAnsi" w:cstheme="minorHAnsi"/>
              </w:rPr>
              <w:instrText xml:space="preserve"> REF _Ref43460953 \r \h </w:instrText>
            </w:r>
            <w:r w:rsidR="009C5AA7">
              <w:rPr>
                <w:rFonts w:asciiTheme="minorHAnsi" w:hAnsiTheme="minorHAnsi" w:cstheme="minorHAnsi"/>
              </w:rPr>
              <w:instrText xml:space="preserve"> \* MERGEFORMAT </w:instrText>
            </w:r>
            <w:r w:rsidR="009C5AA7" w:rsidRPr="009C5AA7">
              <w:rPr>
                <w:rFonts w:asciiTheme="minorHAnsi" w:hAnsiTheme="minorHAnsi" w:cstheme="minorHAnsi"/>
              </w:rPr>
            </w:r>
            <w:r w:rsidR="009C5AA7" w:rsidRPr="009C5AA7">
              <w:rPr>
                <w:rFonts w:asciiTheme="minorHAnsi" w:hAnsiTheme="minorHAnsi" w:cstheme="minorHAnsi"/>
              </w:rPr>
              <w:fldChar w:fldCharType="separate"/>
            </w:r>
            <w:r w:rsidR="009C5AA7" w:rsidRPr="009C5AA7">
              <w:rPr>
                <w:rFonts w:asciiTheme="minorHAnsi" w:hAnsiTheme="minorHAnsi" w:cstheme="minorHAnsi"/>
              </w:rPr>
              <w:t>2.3</w:t>
            </w:r>
            <w:r w:rsidR="009C5AA7" w:rsidRPr="009C5AA7">
              <w:rPr>
                <w:rFonts w:asciiTheme="minorHAnsi" w:hAnsiTheme="minorHAnsi" w:cstheme="minorHAnsi"/>
              </w:rPr>
              <w:fldChar w:fldCharType="end"/>
            </w:r>
            <w:r w:rsidR="009C5AA7" w:rsidRPr="009C5AA7">
              <w:rPr>
                <w:rFonts w:asciiTheme="minorHAnsi" w:hAnsiTheme="minorHAnsi" w:cstheme="minorHAnsi"/>
              </w:rPr>
              <w:t xml:space="preserve"> and </w:t>
            </w:r>
            <w:r w:rsidR="009C5AA7" w:rsidRPr="009C5AA7">
              <w:rPr>
                <w:rFonts w:asciiTheme="minorHAnsi" w:hAnsiTheme="minorHAnsi" w:cstheme="minorHAnsi"/>
              </w:rPr>
              <w:fldChar w:fldCharType="begin"/>
            </w:r>
            <w:r w:rsidR="009C5AA7" w:rsidRPr="009C5AA7">
              <w:rPr>
                <w:rFonts w:asciiTheme="minorHAnsi" w:hAnsiTheme="minorHAnsi" w:cstheme="minorHAnsi"/>
              </w:rPr>
              <w:instrText xml:space="preserve"> REF _Ref43460954 \r \h </w:instrText>
            </w:r>
            <w:r w:rsidR="009C5AA7">
              <w:rPr>
                <w:rFonts w:asciiTheme="minorHAnsi" w:hAnsiTheme="minorHAnsi" w:cstheme="minorHAnsi"/>
              </w:rPr>
              <w:instrText xml:space="preserve"> \* MERGEFORMAT </w:instrText>
            </w:r>
            <w:r w:rsidR="009C5AA7" w:rsidRPr="009C5AA7">
              <w:rPr>
                <w:rFonts w:asciiTheme="minorHAnsi" w:hAnsiTheme="minorHAnsi" w:cstheme="minorHAnsi"/>
              </w:rPr>
            </w:r>
            <w:r w:rsidR="009C5AA7" w:rsidRPr="009C5AA7">
              <w:rPr>
                <w:rFonts w:asciiTheme="minorHAnsi" w:hAnsiTheme="minorHAnsi" w:cstheme="minorHAnsi"/>
              </w:rPr>
              <w:fldChar w:fldCharType="separate"/>
            </w:r>
            <w:r w:rsidR="009C5AA7" w:rsidRPr="009C5AA7">
              <w:rPr>
                <w:rFonts w:asciiTheme="minorHAnsi" w:hAnsiTheme="minorHAnsi" w:cstheme="minorHAnsi"/>
              </w:rPr>
              <w:t>2.4</w:t>
            </w:r>
            <w:r w:rsidR="009C5AA7" w:rsidRPr="009C5AA7">
              <w:rPr>
                <w:rFonts w:asciiTheme="minorHAnsi" w:hAnsiTheme="minorHAnsi" w:cstheme="minorHAnsi"/>
              </w:rPr>
              <w:fldChar w:fldCharType="end"/>
            </w:r>
            <w:r w:rsidR="009C5AA7" w:rsidRPr="009C5AA7">
              <w:rPr>
                <w:rFonts w:asciiTheme="minorHAnsi" w:hAnsiTheme="minorHAnsi" w:cstheme="minorHAnsi"/>
              </w:rPr>
              <w:t>.</w:t>
            </w:r>
          </w:p>
          <w:p w:rsidR="002303EF" w:rsidRPr="00AD65F2" w:rsidRDefault="002303EF" w:rsidP="001650ED">
            <w:pPr>
              <w:pStyle w:val="TSNumberedParagraph11"/>
              <w:tabs>
                <w:tab w:val="clear" w:pos="-31680"/>
                <w:tab w:val="left" w:pos="0"/>
              </w:tabs>
              <w:overflowPunct w:val="0"/>
              <w:autoSpaceDE w:val="0"/>
              <w:autoSpaceDN w:val="0"/>
              <w:adjustRightInd w:val="0"/>
              <w:jc w:val="both"/>
              <w:textAlignment w:val="baseline"/>
              <w:rPr>
                <w:rFonts w:asciiTheme="minorHAnsi" w:hAnsiTheme="minorHAnsi" w:cstheme="minorHAnsi"/>
                <w:strike/>
              </w:rPr>
            </w:pPr>
            <w:r w:rsidRPr="00AD65F2">
              <w:rPr>
                <w:rFonts w:asciiTheme="minorHAnsi" w:hAnsiTheme="minorHAnsi" w:cstheme="minorHAnsi"/>
              </w:rPr>
              <w:t>External hazards provide a</w:t>
            </w:r>
            <w:r w:rsidR="00035498" w:rsidRPr="00AD65F2">
              <w:rPr>
                <w:rFonts w:asciiTheme="minorHAnsi" w:hAnsiTheme="minorHAnsi" w:cstheme="minorHAnsi"/>
              </w:rPr>
              <w:t>n</w:t>
            </w:r>
            <w:r w:rsidRPr="00AD65F2">
              <w:rPr>
                <w:rFonts w:asciiTheme="minorHAnsi" w:hAnsiTheme="minorHAnsi" w:cstheme="minorHAnsi"/>
              </w:rPr>
              <w:t xml:space="preserve"> input to other discipline areas, such as Civil Engineering and Probabilistic Safety Analysis (PSA)</w:t>
            </w:r>
            <w:r w:rsidR="00035498" w:rsidRPr="00AD65F2">
              <w:rPr>
                <w:rFonts w:asciiTheme="minorHAnsi" w:hAnsiTheme="minorHAnsi" w:cstheme="minorHAnsi"/>
              </w:rPr>
              <w:t>. T</w:t>
            </w:r>
            <w:r w:rsidRPr="00AD65F2">
              <w:rPr>
                <w:rFonts w:asciiTheme="minorHAnsi" w:hAnsiTheme="minorHAnsi" w:cstheme="minorHAnsi"/>
              </w:rPr>
              <w:t xml:space="preserve">here </w:t>
            </w:r>
            <w:r w:rsidR="00035498" w:rsidRPr="00AD65F2">
              <w:rPr>
                <w:rFonts w:asciiTheme="minorHAnsi" w:hAnsiTheme="minorHAnsi" w:cstheme="minorHAnsi"/>
              </w:rPr>
              <w:t>is</w:t>
            </w:r>
            <w:r w:rsidRPr="00AD65F2">
              <w:rPr>
                <w:rFonts w:asciiTheme="minorHAnsi" w:hAnsiTheme="minorHAnsi" w:cstheme="minorHAnsi"/>
              </w:rPr>
              <w:t xml:space="preserve"> a need to understand how the hazards information </w:t>
            </w:r>
            <w:r w:rsidR="00035498" w:rsidRPr="00AD65F2">
              <w:rPr>
                <w:rFonts w:asciiTheme="minorHAnsi" w:hAnsiTheme="minorHAnsi" w:cstheme="minorHAnsi"/>
              </w:rPr>
              <w:t>is</w:t>
            </w:r>
            <w:r w:rsidRPr="00AD65F2">
              <w:rPr>
                <w:rFonts w:asciiTheme="minorHAnsi" w:hAnsiTheme="minorHAnsi" w:cstheme="minorHAnsi"/>
              </w:rPr>
              <w:t xml:space="preserve"> used to derive loads for plant design, the plant response to such hazards in general terms, and how this information </w:t>
            </w:r>
            <w:r w:rsidR="00035498" w:rsidRPr="00AD65F2">
              <w:rPr>
                <w:rFonts w:asciiTheme="minorHAnsi" w:hAnsiTheme="minorHAnsi" w:cstheme="minorHAnsi"/>
              </w:rPr>
              <w:t>will</w:t>
            </w:r>
            <w:r w:rsidRPr="00AD65F2">
              <w:rPr>
                <w:rFonts w:asciiTheme="minorHAnsi" w:hAnsiTheme="minorHAnsi" w:cstheme="minorHAnsi"/>
              </w:rPr>
              <w:t xml:space="preserve"> be used </w:t>
            </w:r>
            <w:r w:rsidR="00035498" w:rsidRPr="00AD65F2">
              <w:rPr>
                <w:rFonts w:asciiTheme="minorHAnsi" w:hAnsiTheme="minorHAnsi" w:cstheme="minorHAnsi"/>
              </w:rPr>
              <w:t xml:space="preserve">to develop the site-specific </w:t>
            </w:r>
            <w:r w:rsidR="00FC6CD3" w:rsidRPr="00AD65F2">
              <w:rPr>
                <w:rFonts w:asciiTheme="minorHAnsi" w:hAnsiTheme="minorHAnsi" w:cstheme="minorHAnsi"/>
              </w:rPr>
              <w:t>Pre-</w:t>
            </w:r>
            <w:r w:rsidRPr="00AD65F2">
              <w:rPr>
                <w:rFonts w:asciiTheme="minorHAnsi" w:hAnsiTheme="minorHAnsi" w:cstheme="minorHAnsi"/>
              </w:rPr>
              <w:t>Construction Safety Report</w:t>
            </w:r>
            <w:r w:rsidR="00017C84" w:rsidRPr="00AD65F2">
              <w:rPr>
                <w:rFonts w:asciiTheme="minorHAnsi" w:hAnsiTheme="minorHAnsi" w:cstheme="minorHAnsi"/>
              </w:rPr>
              <w:t xml:space="preserve"> (PCS</w:t>
            </w:r>
            <w:r w:rsidR="00017C84" w:rsidRPr="001E1DC1">
              <w:rPr>
                <w:rFonts w:asciiTheme="minorHAnsi" w:hAnsiTheme="minorHAnsi" w:cstheme="minorHAnsi"/>
              </w:rPr>
              <w:t>R)</w:t>
            </w:r>
            <w:r w:rsidRPr="001E1DC1">
              <w:rPr>
                <w:rFonts w:asciiTheme="minorHAnsi" w:hAnsiTheme="minorHAnsi" w:cstheme="minorHAnsi"/>
              </w:rPr>
              <w:t>.</w:t>
            </w:r>
          </w:p>
          <w:p w:rsidR="009277FD" w:rsidRPr="0000192B" w:rsidRDefault="009277FD" w:rsidP="001650ED">
            <w:pPr>
              <w:pStyle w:val="TSNumberedParagraph11"/>
              <w:numPr>
                <w:ilvl w:val="0"/>
                <w:numId w:val="0"/>
              </w:numPr>
              <w:ind w:left="720" w:hanging="720"/>
              <w:jc w:val="both"/>
              <w:rPr>
                <w:rFonts w:asciiTheme="minorHAnsi" w:hAnsiTheme="minorHAnsi" w:cstheme="minorHAnsi"/>
                <w:u w:val="single"/>
              </w:rPr>
            </w:pPr>
            <w:r w:rsidRPr="0000192B">
              <w:rPr>
                <w:rFonts w:asciiTheme="minorHAnsi" w:hAnsiTheme="minorHAnsi" w:cstheme="minorHAnsi"/>
                <w:u w:val="single"/>
              </w:rPr>
              <w:t>Regulatory considerations for the purposes of granting a site licence</w:t>
            </w:r>
          </w:p>
          <w:p w:rsidR="009277FD" w:rsidRPr="00AD65F2" w:rsidRDefault="00035498" w:rsidP="001650ED">
            <w:pPr>
              <w:pStyle w:val="TSNumberedParagraph11"/>
              <w:jc w:val="both"/>
              <w:rPr>
                <w:rFonts w:asciiTheme="minorHAnsi" w:hAnsiTheme="minorHAnsi"/>
              </w:rPr>
            </w:pPr>
            <w:r w:rsidRPr="00AD65F2">
              <w:rPr>
                <w:rFonts w:asciiTheme="minorHAnsi" w:hAnsiTheme="minorHAnsi"/>
              </w:rPr>
              <w:t xml:space="preserve">Site licensing requires ONR to form a judgment that the SZC site is suitable to support construction and operation of two UK-EPRs. It </w:t>
            </w:r>
            <w:r w:rsidR="009277FD" w:rsidRPr="00AD65F2">
              <w:rPr>
                <w:rFonts w:asciiTheme="minorHAnsi" w:hAnsiTheme="minorHAnsi"/>
              </w:rPr>
              <w:t xml:space="preserve">should </w:t>
            </w:r>
            <w:r w:rsidRPr="00AD65F2">
              <w:rPr>
                <w:rFonts w:asciiTheme="minorHAnsi" w:hAnsiTheme="minorHAnsi"/>
              </w:rPr>
              <w:t xml:space="preserve">be </w:t>
            </w:r>
            <w:r w:rsidR="009277FD" w:rsidRPr="00AD65F2">
              <w:rPr>
                <w:rFonts w:asciiTheme="minorHAnsi" w:hAnsiTheme="minorHAnsi"/>
              </w:rPr>
              <w:t>recognise</w:t>
            </w:r>
            <w:r w:rsidRPr="00AD65F2">
              <w:rPr>
                <w:rFonts w:asciiTheme="minorHAnsi" w:hAnsiTheme="minorHAnsi"/>
              </w:rPr>
              <w:t>d</w:t>
            </w:r>
            <w:r w:rsidR="009277FD" w:rsidRPr="00AD65F2">
              <w:rPr>
                <w:rFonts w:asciiTheme="minorHAnsi" w:hAnsiTheme="minorHAnsi"/>
              </w:rPr>
              <w:t xml:space="preserve"> that when ONR makes a judgment to grant a nuclear licence for an organisation to operate a nuclear facility on a site, it is not </w:t>
            </w:r>
            <w:proofErr w:type="spellStart"/>
            <w:r w:rsidR="009277FD" w:rsidRPr="00AD65F2">
              <w:rPr>
                <w:rFonts w:asciiTheme="minorHAnsi" w:hAnsiTheme="minorHAnsi"/>
              </w:rPr>
              <w:t>permissioning</w:t>
            </w:r>
            <w:proofErr w:type="spellEnd"/>
            <w:r w:rsidR="009277FD" w:rsidRPr="00AD65F2">
              <w:rPr>
                <w:rFonts w:asciiTheme="minorHAnsi" w:hAnsiTheme="minorHAnsi"/>
              </w:rPr>
              <w:t xml:space="preserve"> the construction activities that will subsequently take place, or the operational activities once construction is complete. </w:t>
            </w:r>
            <w:r w:rsidRPr="00AD65F2">
              <w:rPr>
                <w:rFonts w:asciiTheme="minorHAnsi" w:hAnsiTheme="minorHAnsi"/>
              </w:rPr>
              <w:t xml:space="preserve">Such activities will ultimately be permissioned through an agreed </w:t>
            </w:r>
            <w:proofErr w:type="spellStart"/>
            <w:r w:rsidRPr="00AD65F2">
              <w:rPr>
                <w:rFonts w:asciiTheme="minorHAnsi" w:hAnsiTheme="minorHAnsi"/>
              </w:rPr>
              <w:t>permissioning</w:t>
            </w:r>
            <w:proofErr w:type="spellEnd"/>
            <w:r w:rsidRPr="00AD65F2">
              <w:rPr>
                <w:rFonts w:asciiTheme="minorHAnsi" w:hAnsiTheme="minorHAnsi"/>
              </w:rPr>
              <w:t xml:space="preserve"> regime, which will require ONR assessment of the duty holder’s </w:t>
            </w:r>
            <w:r w:rsidR="00FC6CD3" w:rsidRPr="00AD65F2">
              <w:rPr>
                <w:rFonts w:asciiTheme="minorHAnsi" w:hAnsiTheme="minorHAnsi"/>
              </w:rPr>
              <w:t xml:space="preserve">future </w:t>
            </w:r>
            <w:r w:rsidRPr="00AD65F2">
              <w:rPr>
                <w:rFonts w:asciiTheme="minorHAnsi" w:hAnsiTheme="minorHAnsi"/>
              </w:rPr>
              <w:t>safety cases.</w:t>
            </w:r>
            <w:r w:rsidR="00AD65F2" w:rsidRPr="00AD65F2">
              <w:rPr>
                <w:rFonts w:asciiTheme="minorHAnsi" w:hAnsiTheme="minorHAnsi"/>
              </w:rPr>
              <w:t xml:space="preserve"> See ONR’s </w:t>
            </w:r>
            <w:r w:rsidR="00AD65F2">
              <w:rPr>
                <w:rFonts w:asciiTheme="minorHAnsi" w:hAnsiTheme="minorHAnsi"/>
              </w:rPr>
              <w:t>“</w:t>
            </w:r>
            <w:r w:rsidR="00AD65F2" w:rsidRPr="00AD65F2">
              <w:rPr>
                <w:rFonts w:asciiTheme="minorHAnsi" w:hAnsiTheme="minorHAnsi" w:cstheme="minorHAnsi"/>
              </w:rPr>
              <w:t>Licensing Nuclear Installations</w:t>
            </w:r>
            <w:r w:rsidR="00AD65F2">
              <w:rPr>
                <w:rFonts w:asciiTheme="minorHAnsi" w:hAnsiTheme="minorHAnsi" w:cstheme="minorHAnsi"/>
              </w:rPr>
              <w:t>” for more</w:t>
            </w:r>
            <w:r w:rsidR="0087569D">
              <w:rPr>
                <w:rFonts w:asciiTheme="minorHAnsi" w:hAnsiTheme="minorHAnsi" w:cstheme="minorHAnsi"/>
              </w:rPr>
              <w:t xml:space="preserve"> information on site licensing [1]</w:t>
            </w:r>
            <w:r w:rsidR="00AD65F2">
              <w:rPr>
                <w:rFonts w:asciiTheme="minorHAnsi" w:hAnsiTheme="minorHAnsi" w:cstheme="minorHAnsi"/>
              </w:rPr>
              <w:t>.</w:t>
            </w:r>
          </w:p>
          <w:p w:rsidR="00EF3CAE" w:rsidRPr="0000192B" w:rsidRDefault="009277FD" w:rsidP="001650ED">
            <w:pPr>
              <w:pStyle w:val="TSNumberedParagraph11"/>
              <w:tabs>
                <w:tab w:val="clear" w:pos="-31680"/>
                <w:tab w:val="left" w:pos="0"/>
              </w:tabs>
              <w:overflowPunct w:val="0"/>
              <w:autoSpaceDE w:val="0"/>
              <w:autoSpaceDN w:val="0"/>
              <w:adjustRightInd w:val="0"/>
              <w:jc w:val="both"/>
              <w:textAlignment w:val="baseline"/>
              <w:rPr>
                <w:rFonts w:asciiTheme="minorHAnsi" w:hAnsiTheme="minorHAnsi" w:cstheme="minorHAnsi"/>
              </w:rPr>
            </w:pPr>
            <w:r w:rsidRPr="0000192B">
              <w:rPr>
                <w:rFonts w:asciiTheme="minorHAnsi" w:hAnsiTheme="minorHAnsi" w:cstheme="minorHAnsi"/>
              </w:rPr>
              <w:t>The scope of work under this invitation to tender is restricted to providing an overview of the hazards analysis presented in the suite of documents in the context of site suitability and site licensing. That is to say that the site external hazards have been evaluated using modern</w:t>
            </w:r>
            <w:r w:rsidR="00035498">
              <w:rPr>
                <w:rFonts w:asciiTheme="minorHAnsi" w:hAnsiTheme="minorHAnsi" w:cstheme="minorHAnsi"/>
              </w:rPr>
              <w:t xml:space="preserve"> standards and</w:t>
            </w:r>
            <w:r w:rsidR="008318B5">
              <w:rPr>
                <w:rFonts w:asciiTheme="minorHAnsi" w:hAnsiTheme="minorHAnsi" w:cstheme="minorHAnsi"/>
              </w:rPr>
              <w:t xml:space="preserve"> R</w:t>
            </w:r>
            <w:r w:rsidR="00AD65F2">
              <w:rPr>
                <w:rFonts w:asciiTheme="minorHAnsi" w:hAnsiTheme="minorHAnsi" w:cstheme="minorHAnsi"/>
              </w:rPr>
              <w:t xml:space="preserve">elevant </w:t>
            </w:r>
            <w:r w:rsidR="008318B5">
              <w:rPr>
                <w:rFonts w:asciiTheme="minorHAnsi" w:hAnsiTheme="minorHAnsi" w:cstheme="minorHAnsi"/>
              </w:rPr>
              <w:t>G</w:t>
            </w:r>
            <w:r w:rsidR="00035498">
              <w:rPr>
                <w:rFonts w:asciiTheme="minorHAnsi" w:hAnsiTheme="minorHAnsi" w:cstheme="minorHAnsi"/>
              </w:rPr>
              <w:t xml:space="preserve">ood </w:t>
            </w:r>
            <w:r w:rsidR="008318B5">
              <w:rPr>
                <w:rFonts w:asciiTheme="minorHAnsi" w:hAnsiTheme="minorHAnsi" w:cstheme="minorHAnsi"/>
              </w:rPr>
              <w:t>P</w:t>
            </w:r>
            <w:r w:rsidR="00035498">
              <w:rPr>
                <w:rFonts w:asciiTheme="minorHAnsi" w:hAnsiTheme="minorHAnsi" w:cstheme="minorHAnsi"/>
              </w:rPr>
              <w:t>ractice</w:t>
            </w:r>
            <w:r w:rsidRPr="0000192B">
              <w:rPr>
                <w:rFonts w:asciiTheme="minorHAnsi" w:hAnsiTheme="minorHAnsi" w:cstheme="minorHAnsi"/>
              </w:rPr>
              <w:t xml:space="preserve">, and would not prevent, in principle, the safe construction, operation and decommissioning of the reactors. </w:t>
            </w:r>
          </w:p>
          <w:p w:rsidR="00EF3CAE" w:rsidRPr="0000192B" w:rsidRDefault="00EF3CAE" w:rsidP="001650ED">
            <w:pPr>
              <w:pStyle w:val="TSNumberedParagraph11"/>
              <w:numPr>
                <w:ilvl w:val="0"/>
                <w:numId w:val="0"/>
              </w:numPr>
              <w:tabs>
                <w:tab w:val="left" w:pos="0"/>
              </w:tabs>
              <w:overflowPunct w:val="0"/>
              <w:autoSpaceDE w:val="0"/>
              <w:autoSpaceDN w:val="0"/>
              <w:adjustRightInd w:val="0"/>
              <w:jc w:val="both"/>
              <w:textAlignment w:val="baseline"/>
              <w:rPr>
                <w:rFonts w:asciiTheme="minorHAnsi" w:hAnsiTheme="minorHAnsi" w:cstheme="minorHAnsi"/>
                <w:u w:val="single"/>
              </w:rPr>
            </w:pPr>
            <w:r w:rsidRPr="0000192B">
              <w:rPr>
                <w:rFonts w:asciiTheme="minorHAnsi" w:hAnsiTheme="minorHAnsi" w:cstheme="minorHAnsi"/>
                <w:u w:val="single"/>
              </w:rPr>
              <w:lastRenderedPageBreak/>
              <w:t>Other interfacing work packages</w:t>
            </w:r>
          </w:p>
          <w:p w:rsidR="009277FD" w:rsidRPr="0000192B" w:rsidRDefault="009277FD" w:rsidP="001650ED">
            <w:pPr>
              <w:pStyle w:val="TSNumberedParagraph11"/>
              <w:tabs>
                <w:tab w:val="left" w:pos="0"/>
              </w:tabs>
              <w:overflowPunct w:val="0"/>
              <w:autoSpaceDE w:val="0"/>
              <w:autoSpaceDN w:val="0"/>
              <w:adjustRightInd w:val="0"/>
              <w:jc w:val="both"/>
              <w:textAlignment w:val="baseline"/>
              <w:rPr>
                <w:rFonts w:asciiTheme="minorHAnsi" w:hAnsiTheme="minorHAnsi" w:cstheme="minorHAnsi"/>
              </w:rPr>
            </w:pPr>
            <w:r w:rsidRPr="0000192B">
              <w:rPr>
                <w:rFonts w:asciiTheme="minorHAnsi" w:hAnsiTheme="minorHAnsi" w:cstheme="minorHAnsi"/>
              </w:rPr>
              <w:t xml:space="preserve">This work will underpin ONR’s assessment of the </w:t>
            </w:r>
            <w:r w:rsidR="00EF3CAE" w:rsidRPr="0000192B">
              <w:rPr>
                <w:rFonts w:asciiTheme="minorHAnsi" w:hAnsiTheme="minorHAnsi" w:cstheme="minorHAnsi"/>
              </w:rPr>
              <w:t>external hazards aspects of the JSSR</w:t>
            </w:r>
            <w:r w:rsidR="00017C84">
              <w:rPr>
                <w:rFonts w:asciiTheme="minorHAnsi" w:hAnsiTheme="minorHAnsi" w:cstheme="minorHAnsi"/>
              </w:rPr>
              <w:t>,</w:t>
            </w:r>
            <w:r w:rsidR="00EF3CAE" w:rsidRPr="0000192B">
              <w:rPr>
                <w:rFonts w:asciiTheme="minorHAnsi" w:hAnsiTheme="minorHAnsi" w:cstheme="minorHAnsi"/>
              </w:rPr>
              <w:t xml:space="preserve"> SDSR</w:t>
            </w:r>
            <w:r w:rsidR="00017C84">
              <w:rPr>
                <w:rFonts w:asciiTheme="minorHAnsi" w:hAnsiTheme="minorHAnsi" w:cstheme="minorHAnsi"/>
              </w:rPr>
              <w:t xml:space="preserve"> and its supporting references</w:t>
            </w:r>
            <w:r w:rsidRPr="0000192B">
              <w:rPr>
                <w:rFonts w:asciiTheme="minorHAnsi" w:hAnsiTheme="minorHAnsi" w:cstheme="minorHAnsi"/>
              </w:rPr>
              <w:t xml:space="preserve">.  Other interfacing work packages are: </w:t>
            </w:r>
          </w:p>
          <w:p w:rsidR="00BB6E13" w:rsidRPr="00B10AF5" w:rsidRDefault="00BB6E13" w:rsidP="001650ED">
            <w:pPr>
              <w:pStyle w:val="TSBullet1Square"/>
              <w:jc w:val="both"/>
              <w:rPr>
                <w:rFonts w:asciiTheme="minorHAnsi" w:hAnsiTheme="minorHAnsi"/>
              </w:rPr>
            </w:pPr>
            <w:r w:rsidRPr="00B10AF5">
              <w:rPr>
                <w:rFonts w:asciiTheme="minorHAnsi" w:hAnsiTheme="minorHAnsi"/>
              </w:rPr>
              <w:t xml:space="preserve">SZC Platform Height ALARP Analysis ONR assessment – Complete </w:t>
            </w:r>
          </w:p>
          <w:p w:rsidR="00B10AF5" w:rsidRPr="0000192B" w:rsidRDefault="00B10AF5" w:rsidP="001650ED">
            <w:pPr>
              <w:pStyle w:val="TSBullet1Square"/>
              <w:jc w:val="both"/>
              <w:rPr>
                <w:rFonts w:asciiTheme="minorHAnsi" w:hAnsiTheme="minorHAnsi"/>
              </w:rPr>
            </w:pPr>
            <w:r w:rsidRPr="0000192B">
              <w:rPr>
                <w:rFonts w:asciiTheme="minorHAnsi" w:hAnsiTheme="minorHAnsi"/>
              </w:rPr>
              <w:t>Detailed assessment of the Probabilistic Seismic Hazard Analysis and Capable Faulting Study</w:t>
            </w:r>
            <w:r w:rsidR="001E1DC1">
              <w:rPr>
                <w:rFonts w:asciiTheme="minorHAnsi" w:hAnsiTheme="minorHAnsi"/>
              </w:rPr>
              <w:t xml:space="preserve"> </w:t>
            </w:r>
            <w:r w:rsidRPr="0000192B">
              <w:rPr>
                <w:rFonts w:asciiTheme="minorHAnsi" w:hAnsiTheme="minorHAnsi"/>
              </w:rPr>
              <w:t xml:space="preserve">by the ONR </w:t>
            </w:r>
            <w:r w:rsidRPr="009C5AA7">
              <w:rPr>
                <w:rFonts w:asciiTheme="minorHAnsi" w:hAnsiTheme="minorHAnsi"/>
              </w:rPr>
              <w:t>Expert Panel</w:t>
            </w:r>
            <w:r w:rsidR="001E1DC1" w:rsidRPr="009C5AA7">
              <w:rPr>
                <w:rFonts w:asciiTheme="minorHAnsi" w:hAnsiTheme="minorHAnsi"/>
              </w:rPr>
              <w:t xml:space="preserve">, see </w:t>
            </w:r>
            <w:r w:rsidR="009C5AA7" w:rsidRPr="009C5AA7">
              <w:rPr>
                <w:rFonts w:asciiTheme="minorHAnsi" w:hAnsiTheme="minorHAnsi"/>
              </w:rPr>
              <w:t xml:space="preserve">paragraph </w:t>
            </w:r>
            <w:r w:rsidR="009C5AA7" w:rsidRPr="009C5AA7">
              <w:rPr>
                <w:rFonts w:asciiTheme="minorHAnsi" w:hAnsiTheme="minorHAnsi"/>
              </w:rPr>
              <w:fldChar w:fldCharType="begin"/>
            </w:r>
            <w:r w:rsidR="009C5AA7" w:rsidRPr="009C5AA7">
              <w:rPr>
                <w:rFonts w:asciiTheme="minorHAnsi" w:hAnsiTheme="minorHAnsi"/>
              </w:rPr>
              <w:instrText xml:space="preserve"> REF _Ref43460996 \r \h </w:instrText>
            </w:r>
            <w:r w:rsidR="009C5AA7">
              <w:rPr>
                <w:rFonts w:asciiTheme="minorHAnsi" w:hAnsiTheme="minorHAnsi"/>
              </w:rPr>
              <w:instrText xml:space="preserve"> \* MERGEFORMAT </w:instrText>
            </w:r>
            <w:r w:rsidR="009C5AA7" w:rsidRPr="009C5AA7">
              <w:rPr>
                <w:rFonts w:asciiTheme="minorHAnsi" w:hAnsiTheme="minorHAnsi"/>
              </w:rPr>
            </w:r>
            <w:r w:rsidR="009C5AA7" w:rsidRPr="009C5AA7">
              <w:rPr>
                <w:rFonts w:asciiTheme="minorHAnsi" w:hAnsiTheme="minorHAnsi"/>
              </w:rPr>
              <w:fldChar w:fldCharType="separate"/>
            </w:r>
            <w:r w:rsidR="009C5AA7" w:rsidRPr="009C5AA7">
              <w:rPr>
                <w:rFonts w:asciiTheme="minorHAnsi" w:hAnsiTheme="minorHAnsi"/>
              </w:rPr>
              <w:t>2.5</w:t>
            </w:r>
            <w:r w:rsidR="009C5AA7" w:rsidRPr="009C5AA7">
              <w:rPr>
                <w:rFonts w:asciiTheme="minorHAnsi" w:hAnsiTheme="minorHAnsi"/>
              </w:rPr>
              <w:fldChar w:fldCharType="end"/>
            </w:r>
            <w:r w:rsidR="009C5AA7" w:rsidRPr="009C5AA7">
              <w:rPr>
                <w:rFonts w:asciiTheme="minorHAnsi" w:hAnsiTheme="minorHAnsi"/>
              </w:rPr>
              <w:t>-</w:t>
            </w:r>
            <w:r w:rsidR="009C5AA7" w:rsidRPr="009C5AA7">
              <w:rPr>
                <w:rFonts w:asciiTheme="minorHAnsi" w:hAnsiTheme="minorHAnsi"/>
              </w:rPr>
              <w:fldChar w:fldCharType="begin"/>
            </w:r>
            <w:r w:rsidR="009C5AA7" w:rsidRPr="009C5AA7">
              <w:rPr>
                <w:rFonts w:asciiTheme="minorHAnsi" w:hAnsiTheme="minorHAnsi"/>
              </w:rPr>
              <w:instrText xml:space="preserve"> REF _Ref43460998 \r \h </w:instrText>
            </w:r>
            <w:r w:rsidR="009C5AA7">
              <w:rPr>
                <w:rFonts w:asciiTheme="minorHAnsi" w:hAnsiTheme="minorHAnsi"/>
              </w:rPr>
              <w:instrText xml:space="preserve"> \* MERGEFORMAT </w:instrText>
            </w:r>
            <w:r w:rsidR="009C5AA7" w:rsidRPr="009C5AA7">
              <w:rPr>
                <w:rFonts w:asciiTheme="minorHAnsi" w:hAnsiTheme="minorHAnsi"/>
              </w:rPr>
            </w:r>
            <w:r w:rsidR="009C5AA7" w:rsidRPr="009C5AA7">
              <w:rPr>
                <w:rFonts w:asciiTheme="minorHAnsi" w:hAnsiTheme="minorHAnsi"/>
              </w:rPr>
              <w:fldChar w:fldCharType="separate"/>
            </w:r>
            <w:r w:rsidR="009C5AA7" w:rsidRPr="009C5AA7">
              <w:rPr>
                <w:rFonts w:asciiTheme="minorHAnsi" w:hAnsiTheme="minorHAnsi"/>
              </w:rPr>
              <w:t>2.7</w:t>
            </w:r>
            <w:r w:rsidR="009C5AA7" w:rsidRPr="009C5AA7">
              <w:rPr>
                <w:rFonts w:asciiTheme="minorHAnsi" w:hAnsiTheme="minorHAnsi"/>
              </w:rPr>
              <w:fldChar w:fldCharType="end"/>
            </w:r>
            <w:r w:rsidRPr="009C5AA7">
              <w:rPr>
                <w:rFonts w:asciiTheme="minorHAnsi" w:hAnsiTheme="minorHAnsi"/>
              </w:rPr>
              <w:t>.</w:t>
            </w:r>
            <w:r w:rsidRPr="0000192B">
              <w:rPr>
                <w:rFonts w:asciiTheme="minorHAnsi" w:hAnsiTheme="minorHAnsi"/>
              </w:rPr>
              <w:t xml:space="preserve">  </w:t>
            </w:r>
          </w:p>
          <w:p w:rsidR="00B10AF5" w:rsidRPr="00C62335" w:rsidRDefault="00B10AF5" w:rsidP="001650ED">
            <w:pPr>
              <w:pStyle w:val="TSBullet1Square"/>
              <w:jc w:val="both"/>
              <w:rPr>
                <w:rFonts w:asciiTheme="minorHAnsi" w:hAnsiTheme="minorHAnsi"/>
              </w:rPr>
            </w:pPr>
            <w:r w:rsidRPr="00C62335">
              <w:rPr>
                <w:rFonts w:asciiTheme="minorHAnsi" w:hAnsiTheme="minorHAnsi"/>
              </w:rPr>
              <w:t>Detailed assessment of meteorological (including fluvial &amp; pluvial), coastal flooding analyses and results by the ONR Expert</w:t>
            </w:r>
            <w:r w:rsidR="001E1DC1">
              <w:rPr>
                <w:rFonts w:asciiTheme="minorHAnsi" w:hAnsiTheme="minorHAnsi"/>
              </w:rPr>
              <w:t xml:space="preserve"> Panel, </w:t>
            </w:r>
            <w:r w:rsidR="00F14D56" w:rsidRPr="009C5AA7">
              <w:rPr>
                <w:rFonts w:asciiTheme="minorHAnsi" w:hAnsiTheme="minorHAnsi"/>
              </w:rPr>
              <w:t xml:space="preserve">see paragraph </w:t>
            </w:r>
            <w:r w:rsidR="00F14D56" w:rsidRPr="009C5AA7">
              <w:rPr>
                <w:rFonts w:asciiTheme="minorHAnsi" w:hAnsiTheme="minorHAnsi"/>
              </w:rPr>
              <w:fldChar w:fldCharType="begin"/>
            </w:r>
            <w:r w:rsidR="00F14D56" w:rsidRPr="009C5AA7">
              <w:rPr>
                <w:rFonts w:asciiTheme="minorHAnsi" w:hAnsiTheme="minorHAnsi"/>
              </w:rPr>
              <w:instrText xml:space="preserve"> REF _Ref43460996 \r \h </w:instrText>
            </w:r>
            <w:r w:rsidR="00F14D56">
              <w:rPr>
                <w:rFonts w:asciiTheme="minorHAnsi" w:hAnsiTheme="minorHAnsi"/>
              </w:rPr>
              <w:instrText xml:space="preserve"> \* MERGEFORMAT </w:instrText>
            </w:r>
            <w:r w:rsidR="00F14D56" w:rsidRPr="009C5AA7">
              <w:rPr>
                <w:rFonts w:asciiTheme="minorHAnsi" w:hAnsiTheme="minorHAnsi"/>
              </w:rPr>
            </w:r>
            <w:r w:rsidR="00F14D56" w:rsidRPr="009C5AA7">
              <w:rPr>
                <w:rFonts w:asciiTheme="minorHAnsi" w:hAnsiTheme="minorHAnsi"/>
              </w:rPr>
              <w:fldChar w:fldCharType="separate"/>
            </w:r>
            <w:r w:rsidR="00F14D56" w:rsidRPr="009C5AA7">
              <w:rPr>
                <w:rFonts w:asciiTheme="minorHAnsi" w:hAnsiTheme="minorHAnsi"/>
              </w:rPr>
              <w:t>2.5</w:t>
            </w:r>
            <w:r w:rsidR="00F14D56" w:rsidRPr="009C5AA7">
              <w:rPr>
                <w:rFonts w:asciiTheme="minorHAnsi" w:hAnsiTheme="minorHAnsi"/>
              </w:rPr>
              <w:fldChar w:fldCharType="end"/>
            </w:r>
            <w:r w:rsidR="00F14D56" w:rsidRPr="009C5AA7">
              <w:rPr>
                <w:rFonts w:asciiTheme="minorHAnsi" w:hAnsiTheme="minorHAnsi"/>
              </w:rPr>
              <w:t>-</w:t>
            </w:r>
            <w:r w:rsidR="00F14D56" w:rsidRPr="009C5AA7">
              <w:rPr>
                <w:rFonts w:asciiTheme="minorHAnsi" w:hAnsiTheme="minorHAnsi"/>
              </w:rPr>
              <w:fldChar w:fldCharType="begin"/>
            </w:r>
            <w:r w:rsidR="00F14D56" w:rsidRPr="009C5AA7">
              <w:rPr>
                <w:rFonts w:asciiTheme="minorHAnsi" w:hAnsiTheme="minorHAnsi"/>
              </w:rPr>
              <w:instrText xml:space="preserve"> REF _Ref43460998 \r \h </w:instrText>
            </w:r>
            <w:r w:rsidR="00F14D56">
              <w:rPr>
                <w:rFonts w:asciiTheme="minorHAnsi" w:hAnsiTheme="minorHAnsi"/>
              </w:rPr>
              <w:instrText xml:space="preserve"> \* MERGEFORMAT </w:instrText>
            </w:r>
            <w:r w:rsidR="00F14D56" w:rsidRPr="009C5AA7">
              <w:rPr>
                <w:rFonts w:asciiTheme="minorHAnsi" w:hAnsiTheme="minorHAnsi"/>
              </w:rPr>
            </w:r>
            <w:r w:rsidR="00F14D56" w:rsidRPr="009C5AA7">
              <w:rPr>
                <w:rFonts w:asciiTheme="minorHAnsi" w:hAnsiTheme="minorHAnsi"/>
              </w:rPr>
              <w:fldChar w:fldCharType="separate"/>
            </w:r>
            <w:r w:rsidR="00F14D56" w:rsidRPr="009C5AA7">
              <w:rPr>
                <w:rFonts w:asciiTheme="minorHAnsi" w:hAnsiTheme="minorHAnsi"/>
              </w:rPr>
              <w:t>2.7</w:t>
            </w:r>
            <w:r w:rsidR="00F14D56" w:rsidRPr="009C5AA7">
              <w:rPr>
                <w:rFonts w:asciiTheme="minorHAnsi" w:hAnsiTheme="minorHAnsi"/>
              </w:rPr>
              <w:fldChar w:fldCharType="end"/>
            </w:r>
            <w:r w:rsidR="001E1DC1" w:rsidRPr="0000192B">
              <w:rPr>
                <w:rFonts w:asciiTheme="minorHAnsi" w:hAnsiTheme="minorHAnsi"/>
              </w:rPr>
              <w:t xml:space="preserve">.  </w:t>
            </w:r>
            <w:r w:rsidRPr="00C62335">
              <w:rPr>
                <w:rFonts w:asciiTheme="minorHAnsi" w:hAnsiTheme="minorHAnsi"/>
              </w:rPr>
              <w:t xml:space="preserve"> </w:t>
            </w:r>
          </w:p>
          <w:p w:rsidR="009277FD" w:rsidRPr="0000192B" w:rsidRDefault="00DE371B" w:rsidP="001650ED">
            <w:pPr>
              <w:pStyle w:val="TSBullet1Square"/>
              <w:jc w:val="both"/>
              <w:rPr>
                <w:rFonts w:asciiTheme="minorHAnsi" w:hAnsiTheme="minorHAnsi"/>
              </w:rPr>
            </w:pPr>
            <w:r w:rsidRPr="0000192B">
              <w:rPr>
                <w:rFonts w:asciiTheme="minorHAnsi" w:hAnsiTheme="minorHAnsi"/>
              </w:rPr>
              <w:t xml:space="preserve">Engineering </w:t>
            </w:r>
            <w:r w:rsidR="00FC6CD3">
              <w:rPr>
                <w:rFonts w:asciiTheme="minorHAnsi" w:hAnsiTheme="minorHAnsi"/>
              </w:rPr>
              <w:t xml:space="preserve">and Internal Hazards </w:t>
            </w:r>
            <w:r w:rsidRPr="0000192B">
              <w:rPr>
                <w:rFonts w:asciiTheme="minorHAnsi" w:hAnsiTheme="minorHAnsi"/>
              </w:rPr>
              <w:t xml:space="preserve">aspects of </w:t>
            </w:r>
            <w:r w:rsidR="009277FD" w:rsidRPr="0000192B">
              <w:rPr>
                <w:rFonts w:asciiTheme="minorHAnsi" w:hAnsiTheme="minorHAnsi"/>
              </w:rPr>
              <w:t xml:space="preserve">ONR’s assessment of the </w:t>
            </w:r>
            <w:r w:rsidR="00EF3CAE" w:rsidRPr="0000192B">
              <w:rPr>
                <w:rFonts w:asciiTheme="minorHAnsi" w:hAnsiTheme="minorHAnsi"/>
              </w:rPr>
              <w:t>JSSR</w:t>
            </w:r>
            <w:r w:rsidR="0000192B" w:rsidRPr="0000192B">
              <w:rPr>
                <w:rFonts w:asciiTheme="minorHAnsi" w:hAnsiTheme="minorHAnsi"/>
              </w:rPr>
              <w:t xml:space="preserve"> and SDSR</w:t>
            </w:r>
            <w:r w:rsidR="009277FD" w:rsidRPr="0000192B">
              <w:rPr>
                <w:rFonts w:asciiTheme="minorHAnsi" w:hAnsiTheme="minorHAnsi"/>
              </w:rPr>
              <w:t>.</w:t>
            </w:r>
          </w:p>
          <w:p w:rsidR="009277FD" w:rsidRPr="0000192B" w:rsidRDefault="009277FD" w:rsidP="001650ED">
            <w:pPr>
              <w:pStyle w:val="TSNumberedParagraph11"/>
              <w:numPr>
                <w:ilvl w:val="0"/>
                <w:numId w:val="0"/>
              </w:numPr>
              <w:ind w:left="720" w:hanging="720"/>
              <w:jc w:val="both"/>
              <w:rPr>
                <w:rFonts w:asciiTheme="minorHAnsi" w:hAnsiTheme="minorHAnsi" w:cstheme="minorHAnsi"/>
                <w:u w:val="single"/>
              </w:rPr>
            </w:pPr>
            <w:r w:rsidRPr="0000192B">
              <w:rPr>
                <w:rFonts w:asciiTheme="minorHAnsi" w:hAnsiTheme="minorHAnsi" w:cstheme="minorHAnsi"/>
                <w:u w:val="single"/>
              </w:rPr>
              <w:t>Resources available to ONR</w:t>
            </w:r>
          </w:p>
          <w:p w:rsidR="009277FD" w:rsidRPr="0000192B" w:rsidRDefault="009277FD" w:rsidP="001650ED">
            <w:pPr>
              <w:pStyle w:val="TSNumberedParagraph11"/>
              <w:jc w:val="both"/>
              <w:rPr>
                <w:rFonts w:asciiTheme="minorHAnsi" w:hAnsiTheme="minorHAnsi" w:cstheme="minorHAnsi"/>
              </w:rPr>
            </w:pPr>
            <w:r w:rsidRPr="0000192B">
              <w:rPr>
                <w:rFonts w:asciiTheme="minorHAnsi" w:hAnsiTheme="minorHAnsi" w:cstheme="minorHAnsi"/>
              </w:rPr>
              <w:t>These consist of:</w:t>
            </w:r>
          </w:p>
          <w:p w:rsidR="009277FD" w:rsidRPr="004F543C" w:rsidRDefault="0000192B" w:rsidP="001650ED">
            <w:pPr>
              <w:pStyle w:val="TSBullet1Square"/>
              <w:jc w:val="both"/>
              <w:rPr>
                <w:rFonts w:asciiTheme="minorHAnsi" w:hAnsiTheme="minorHAnsi"/>
              </w:rPr>
            </w:pPr>
            <w:r w:rsidRPr="004F543C">
              <w:rPr>
                <w:rFonts w:asciiTheme="minorHAnsi" w:hAnsiTheme="minorHAnsi"/>
              </w:rPr>
              <w:t>E</w:t>
            </w:r>
            <w:r w:rsidR="009277FD" w:rsidRPr="004F543C">
              <w:rPr>
                <w:rFonts w:asciiTheme="minorHAnsi" w:hAnsiTheme="minorHAnsi"/>
              </w:rPr>
              <w:t>xternal hazards specialist inspectors, one of whom is the Project Officer.</w:t>
            </w:r>
          </w:p>
          <w:p w:rsidR="0047606A" w:rsidRDefault="0047606A" w:rsidP="001650ED">
            <w:pPr>
              <w:pStyle w:val="TSBullet1Square"/>
              <w:spacing w:after="0"/>
              <w:jc w:val="both"/>
              <w:rPr>
                <w:rFonts w:asciiTheme="minorHAnsi" w:hAnsiTheme="minorHAnsi"/>
              </w:rPr>
            </w:pPr>
            <w:r>
              <w:rPr>
                <w:rFonts w:asciiTheme="minorHAnsi" w:hAnsiTheme="minorHAnsi"/>
              </w:rPr>
              <w:t xml:space="preserve">The ONR </w:t>
            </w:r>
            <w:r w:rsidR="00EF3CAE" w:rsidRPr="004F543C">
              <w:rPr>
                <w:rFonts w:asciiTheme="minorHAnsi" w:hAnsiTheme="minorHAnsi"/>
              </w:rPr>
              <w:t>E</w:t>
            </w:r>
            <w:r w:rsidR="009277FD" w:rsidRPr="004F543C">
              <w:rPr>
                <w:rFonts w:asciiTheme="minorHAnsi" w:hAnsiTheme="minorHAnsi"/>
              </w:rPr>
              <w:t xml:space="preserve">xpert </w:t>
            </w:r>
            <w:r w:rsidR="00EF3CAE" w:rsidRPr="004F543C">
              <w:rPr>
                <w:rFonts w:asciiTheme="minorHAnsi" w:hAnsiTheme="minorHAnsi"/>
              </w:rPr>
              <w:t>Panel on N</w:t>
            </w:r>
            <w:r w:rsidR="009277FD" w:rsidRPr="004F543C">
              <w:rPr>
                <w:rFonts w:asciiTheme="minorHAnsi" w:hAnsiTheme="minorHAnsi"/>
              </w:rPr>
              <w:t xml:space="preserve">atural </w:t>
            </w:r>
            <w:r w:rsidR="00EF3CAE" w:rsidRPr="004F543C">
              <w:rPr>
                <w:rFonts w:asciiTheme="minorHAnsi" w:hAnsiTheme="minorHAnsi"/>
              </w:rPr>
              <w:t>H</w:t>
            </w:r>
            <w:r w:rsidR="009277FD" w:rsidRPr="004F543C">
              <w:rPr>
                <w:rFonts w:asciiTheme="minorHAnsi" w:hAnsiTheme="minorHAnsi"/>
              </w:rPr>
              <w:t xml:space="preserve">azards. </w:t>
            </w:r>
            <w:r w:rsidR="00F14D56">
              <w:rPr>
                <w:rFonts w:asciiTheme="minorHAnsi" w:hAnsiTheme="minorHAnsi"/>
              </w:rPr>
              <w:t>S</w:t>
            </w:r>
            <w:r w:rsidR="00F14D56" w:rsidRPr="009C5AA7">
              <w:rPr>
                <w:rFonts w:asciiTheme="minorHAnsi" w:hAnsiTheme="minorHAnsi"/>
              </w:rPr>
              <w:t xml:space="preserve">ee paragraph </w:t>
            </w:r>
            <w:r w:rsidR="00F14D56" w:rsidRPr="009C5AA7">
              <w:rPr>
                <w:rFonts w:asciiTheme="minorHAnsi" w:hAnsiTheme="minorHAnsi"/>
              </w:rPr>
              <w:fldChar w:fldCharType="begin"/>
            </w:r>
            <w:r w:rsidR="00F14D56" w:rsidRPr="009C5AA7">
              <w:rPr>
                <w:rFonts w:asciiTheme="minorHAnsi" w:hAnsiTheme="minorHAnsi"/>
              </w:rPr>
              <w:instrText xml:space="preserve"> REF _Ref43460996 \r \h </w:instrText>
            </w:r>
            <w:r w:rsidR="00F14D56">
              <w:rPr>
                <w:rFonts w:asciiTheme="minorHAnsi" w:hAnsiTheme="minorHAnsi"/>
              </w:rPr>
              <w:instrText xml:space="preserve"> \* MERGEFORMAT </w:instrText>
            </w:r>
            <w:r w:rsidR="00F14D56" w:rsidRPr="009C5AA7">
              <w:rPr>
                <w:rFonts w:asciiTheme="minorHAnsi" w:hAnsiTheme="minorHAnsi"/>
              </w:rPr>
            </w:r>
            <w:r w:rsidR="00F14D56" w:rsidRPr="009C5AA7">
              <w:rPr>
                <w:rFonts w:asciiTheme="minorHAnsi" w:hAnsiTheme="minorHAnsi"/>
              </w:rPr>
              <w:fldChar w:fldCharType="separate"/>
            </w:r>
            <w:r w:rsidR="00F14D56" w:rsidRPr="009C5AA7">
              <w:rPr>
                <w:rFonts w:asciiTheme="minorHAnsi" w:hAnsiTheme="minorHAnsi"/>
              </w:rPr>
              <w:t>2.5</w:t>
            </w:r>
            <w:r w:rsidR="00F14D56" w:rsidRPr="009C5AA7">
              <w:rPr>
                <w:rFonts w:asciiTheme="minorHAnsi" w:hAnsiTheme="minorHAnsi"/>
              </w:rPr>
              <w:fldChar w:fldCharType="end"/>
            </w:r>
            <w:r w:rsidR="00F14D56" w:rsidRPr="009C5AA7">
              <w:rPr>
                <w:rFonts w:asciiTheme="minorHAnsi" w:hAnsiTheme="minorHAnsi"/>
              </w:rPr>
              <w:t>-</w:t>
            </w:r>
            <w:r w:rsidR="00F14D56" w:rsidRPr="009C5AA7">
              <w:rPr>
                <w:rFonts w:asciiTheme="minorHAnsi" w:hAnsiTheme="minorHAnsi"/>
              </w:rPr>
              <w:fldChar w:fldCharType="begin"/>
            </w:r>
            <w:r w:rsidR="00F14D56" w:rsidRPr="009C5AA7">
              <w:rPr>
                <w:rFonts w:asciiTheme="minorHAnsi" w:hAnsiTheme="minorHAnsi"/>
              </w:rPr>
              <w:instrText xml:space="preserve"> REF _Ref43460998 \r \h </w:instrText>
            </w:r>
            <w:r w:rsidR="00F14D56">
              <w:rPr>
                <w:rFonts w:asciiTheme="minorHAnsi" w:hAnsiTheme="minorHAnsi"/>
              </w:rPr>
              <w:instrText xml:space="preserve"> \* MERGEFORMAT </w:instrText>
            </w:r>
            <w:r w:rsidR="00F14D56" w:rsidRPr="009C5AA7">
              <w:rPr>
                <w:rFonts w:asciiTheme="minorHAnsi" w:hAnsiTheme="minorHAnsi"/>
              </w:rPr>
            </w:r>
            <w:r w:rsidR="00F14D56" w:rsidRPr="009C5AA7">
              <w:rPr>
                <w:rFonts w:asciiTheme="minorHAnsi" w:hAnsiTheme="minorHAnsi"/>
              </w:rPr>
              <w:fldChar w:fldCharType="separate"/>
            </w:r>
            <w:r w:rsidR="00F14D56" w:rsidRPr="009C5AA7">
              <w:rPr>
                <w:rFonts w:asciiTheme="minorHAnsi" w:hAnsiTheme="minorHAnsi"/>
              </w:rPr>
              <w:t>2.7</w:t>
            </w:r>
            <w:r w:rsidR="00F14D56" w:rsidRPr="009C5AA7">
              <w:rPr>
                <w:rFonts w:asciiTheme="minorHAnsi" w:hAnsiTheme="minorHAnsi"/>
              </w:rPr>
              <w:fldChar w:fldCharType="end"/>
            </w:r>
            <w:r>
              <w:rPr>
                <w:rFonts w:asciiTheme="minorHAnsi" w:hAnsiTheme="minorHAnsi"/>
              </w:rPr>
              <w:t>.</w:t>
            </w:r>
            <w:r w:rsidR="00F2181B">
              <w:rPr>
                <w:rFonts w:asciiTheme="minorHAnsi" w:hAnsiTheme="minorHAnsi"/>
              </w:rPr>
              <w:t xml:space="preserve"> </w:t>
            </w:r>
          </w:p>
          <w:p w:rsidR="009C7421" w:rsidRDefault="009277FD" w:rsidP="001650ED">
            <w:pPr>
              <w:pStyle w:val="TSBullet1Square"/>
              <w:spacing w:after="0"/>
              <w:jc w:val="both"/>
              <w:rPr>
                <w:rFonts w:asciiTheme="minorHAnsi" w:hAnsiTheme="minorHAnsi"/>
              </w:rPr>
            </w:pPr>
            <w:r w:rsidRPr="0000192B">
              <w:rPr>
                <w:rFonts w:asciiTheme="minorHAnsi" w:hAnsiTheme="minorHAnsi"/>
              </w:rPr>
              <w:t>ONR specialist inspec</w:t>
            </w:r>
            <w:r w:rsidR="00605AEE">
              <w:rPr>
                <w:rFonts w:asciiTheme="minorHAnsi" w:hAnsiTheme="minorHAnsi"/>
              </w:rPr>
              <w:t>tors in interfacing disciplines, e</w:t>
            </w:r>
            <w:r w:rsidRPr="0000192B">
              <w:rPr>
                <w:rFonts w:asciiTheme="minorHAnsi" w:hAnsiTheme="minorHAnsi"/>
              </w:rPr>
              <w:t>specially relevant</w:t>
            </w:r>
            <w:r w:rsidR="00605AEE">
              <w:rPr>
                <w:rFonts w:asciiTheme="minorHAnsi" w:hAnsiTheme="minorHAnsi"/>
              </w:rPr>
              <w:t xml:space="preserve"> </w:t>
            </w:r>
            <w:r w:rsidR="004F543C">
              <w:rPr>
                <w:rFonts w:asciiTheme="minorHAnsi" w:hAnsiTheme="minorHAnsi"/>
              </w:rPr>
              <w:t xml:space="preserve">is </w:t>
            </w:r>
            <w:r w:rsidRPr="0000192B">
              <w:rPr>
                <w:rFonts w:asciiTheme="minorHAnsi" w:hAnsiTheme="minorHAnsi"/>
              </w:rPr>
              <w:t>civil engineering</w:t>
            </w:r>
            <w:r w:rsidR="00605AEE">
              <w:rPr>
                <w:rFonts w:asciiTheme="minorHAnsi" w:hAnsiTheme="minorHAnsi"/>
              </w:rPr>
              <w:t>.</w:t>
            </w:r>
          </w:p>
          <w:p w:rsidR="0047606A" w:rsidRPr="0000192B" w:rsidRDefault="0047606A" w:rsidP="001650ED">
            <w:pPr>
              <w:pStyle w:val="TSBullet1Square"/>
              <w:numPr>
                <w:ilvl w:val="0"/>
                <w:numId w:val="0"/>
              </w:numPr>
              <w:spacing w:after="0"/>
              <w:ind w:left="1440"/>
              <w:jc w:val="both"/>
              <w:rPr>
                <w:rFonts w:asciiTheme="minorHAnsi" w:hAnsiTheme="minorHAnsi"/>
              </w:rPr>
            </w:pPr>
          </w:p>
        </w:tc>
      </w:tr>
      <w:tr w:rsidR="00AF4C0F" w:rsidTr="00971BA8">
        <w:trPr>
          <w:jc w:val="center"/>
        </w:trPr>
        <w:tc>
          <w:tcPr>
            <w:tcW w:w="9709" w:type="dxa"/>
          </w:tcPr>
          <w:p w:rsidR="00AF4C0F" w:rsidRPr="002C62C2" w:rsidRDefault="00AF4C0F" w:rsidP="001650ED">
            <w:pPr>
              <w:pStyle w:val="TSHeadingNumbered1"/>
              <w:tabs>
                <w:tab w:val="left" w:pos="0"/>
              </w:tabs>
              <w:ind w:left="0" w:firstLine="0"/>
              <w:jc w:val="both"/>
              <w:rPr>
                <w:rFonts w:asciiTheme="minorHAnsi" w:hAnsiTheme="minorHAnsi" w:cstheme="minorHAnsi"/>
              </w:rPr>
            </w:pPr>
            <w:r w:rsidRPr="002C62C2">
              <w:rPr>
                <w:rFonts w:asciiTheme="minorHAnsi" w:hAnsiTheme="minorHAnsi" w:cstheme="minorHAnsi"/>
              </w:rPr>
              <w:lastRenderedPageBreak/>
              <w:t>SCOPE OF THE SERVICES REQUIRED</w:t>
            </w:r>
          </w:p>
          <w:p w:rsidR="006D5C23" w:rsidRPr="006D5C23" w:rsidRDefault="006D5C23" w:rsidP="001650ED">
            <w:pPr>
              <w:pStyle w:val="TSBullet1Square"/>
              <w:numPr>
                <w:ilvl w:val="0"/>
                <w:numId w:val="0"/>
              </w:numPr>
              <w:jc w:val="both"/>
              <w:rPr>
                <w:rFonts w:asciiTheme="minorHAnsi" w:hAnsiTheme="minorHAnsi"/>
                <w:u w:val="single"/>
              </w:rPr>
            </w:pPr>
            <w:r w:rsidRPr="006D5C23">
              <w:rPr>
                <w:rFonts w:asciiTheme="minorHAnsi" w:hAnsiTheme="minorHAnsi"/>
                <w:u w:val="single"/>
              </w:rPr>
              <w:t xml:space="preserve">Overview </w:t>
            </w:r>
          </w:p>
          <w:p w:rsidR="006D5C23" w:rsidRPr="00B10AF5" w:rsidRDefault="006D5C23" w:rsidP="001650ED">
            <w:pPr>
              <w:pStyle w:val="TSNumberedParagraph11"/>
              <w:jc w:val="both"/>
              <w:rPr>
                <w:rFonts w:asciiTheme="minorHAnsi" w:hAnsiTheme="minorHAnsi"/>
              </w:rPr>
            </w:pPr>
            <w:r w:rsidRPr="00ED4FC9">
              <w:rPr>
                <w:rFonts w:asciiTheme="minorHAnsi" w:hAnsiTheme="minorHAnsi"/>
              </w:rPr>
              <w:t xml:space="preserve">The Technical Support Contractor </w:t>
            </w:r>
            <w:r w:rsidR="008318B5">
              <w:rPr>
                <w:rFonts w:asciiTheme="minorHAnsi" w:hAnsiTheme="minorHAnsi"/>
              </w:rPr>
              <w:t xml:space="preserve">(TSC) </w:t>
            </w:r>
            <w:r w:rsidRPr="00ED4FC9">
              <w:rPr>
                <w:rFonts w:asciiTheme="minorHAnsi" w:hAnsiTheme="minorHAnsi"/>
              </w:rPr>
              <w:t xml:space="preserve">will provide </w:t>
            </w:r>
            <w:r w:rsidRPr="00ED4FC9">
              <w:rPr>
                <w:rFonts w:asciiTheme="minorHAnsi" w:hAnsiTheme="minorHAnsi"/>
                <w:szCs w:val="22"/>
              </w:rPr>
              <w:t>an understanding of the hazards from an engineering perspective and their likely nuclear impact,</w:t>
            </w:r>
            <w:r>
              <w:rPr>
                <w:rFonts w:asciiTheme="minorHAnsi" w:hAnsiTheme="minorHAnsi"/>
                <w:szCs w:val="22"/>
              </w:rPr>
              <w:t xml:space="preserve"> via</w:t>
            </w:r>
            <w:r w:rsidRPr="00B10AF5">
              <w:rPr>
                <w:rFonts w:asciiTheme="minorHAnsi" w:hAnsiTheme="minorHAnsi"/>
              </w:rPr>
              <w:t xml:space="preserve"> the following:</w:t>
            </w:r>
          </w:p>
          <w:p w:rsidR="006D5C23" w:rsidRDefault="006D5C23" w:rsidP="001650ED">
            <w:pPr>
              <w:pStyle w:val="TSBullet1Square"/>
              <w:jc w:val="both"/>
              <w:rPr>
                <w:rFonts w:asciiTheme="minorHAnsi" w:hAnsiTheme="minorHAnsi"/>
                <w:szCs w:val="22"/>
              </w:rPr>
            </w:pPr>
            <w:r w:rsidRPr="000B5745">
              <w:rPr>
                <w:rFonts w:asciiTheme="minorHAnsi" w:hAnsiTheme="minorHAnsi"/>
                <w:szCs w:val="22"/>
              </w:rPr>
              <w:t>A review of the external hazards documentation</w:t>
            </w:r>
            <w:r>
              <w:rPr>
                <w:rFonts w:asciiTheme="minorHAnsi" w:hAnsiTheme="minorHAnsi"/>
                <w:szCs w:val="22"/>
              </w:rPr>
              <w:t xml:space="preserve"> </w:t>
            </w:r>
            <w:r w:rsidRPr="00F14D56">
              <w:rPr>
                <w:rFonts w:asciiTheme="minorHAnsi" w:hAnsiTheme="minorHAnsi"/>
                <w:szCs w:val="22"/>
              </w:rPr>
              <w:t xml:space="preserve">(see </w:t>
            </w:r>
            <w:r w:rsidR="00F14D56" w:rsidRPr="00F14D56">
              <w:rPr>
                <w:rFonts w:asciiTheme="minorHAnsi" w:hAnsiTheme="minorHAnsi"/>
                <w:szCs w:val="22"/>
              </w:rPr>
              <w:t xml:space="preserve">paragraph </w:t>
            </w:r>
            <w:r w:rsidR="00F14D56" w:rsidRPr="00F14D56">
              <w:rPr>
                <w:rFonts w:asciiTheme="minorHAnsi" w:hAnsiTheme="minorHAnsi"/>
                <w:szCs w:val="22"/>
              </w:rPr>
              <w:fldChar w:fldCharType="begin"/>
            </w:r>
            <w:r w:rsidR="00F14D56" w:rsidRPr="00F14D56">
              <w:rPr>
                <w:rFonts w:asciiTheme="minorHAnsi" w:hAnsiTheme="minorHAnsi"/>
                <w:szCs w:val="22"/>
              </w:rPr>
              <w:instrText xml:space="preserve"> REF _Ref43461086 \r \h </w:instrText>
            </w:r>
            <w:r w:rsidR="00F14D56">
              <w:rPr>
                <w:rFonts w:asciiTheme="minorHAnsi" w:hAnsiTheme="minorHAnsi"/>
                <w:szCs w:val="22"/>
              </w:rPr>
              <w:instrText xml:space="preserve"> \* MERGEFORMAT </w:instrText>
            </w:r>
            <w:r w:rsidR="00F14D56" w:rsidRPr="00F14D56">
              <w:rPr>
                <w:rFonts w:asciiTheme="minorHAnsi" w:hAnsiTheme="minorHAnsi"/>
                <w:szCs w:val="22"/>
              </w:rPr>
            </w:r>
            <w:r w:rsidR="00F14D56" w:rsidRPr="00F14D56">
              <w:rPr>
                <w:rFonts w:asciiTheme="minorHAnsi" w:hAnsiTheme="minorHAnsi"/>
                <w:szCs w:val="22"/>
              </w:rPr>
              <w:fldChar w:fldCharType="separate"/>
            </w:r>
            <w:r w:rsidR="00F14D56" w:rsidRPr="00F14D56">
              <w:rPr>
                <w:rFonts w:asciiTheme="minorHAnsi" w:hAnsiTheme="minorHAnsi"/>
                <w:szCs w:val="22"/>
              </w:rPr>
              <w:t>2.8</w:t>
            </w:r>
            <w:r w:rsidR="00F14D56" w:rsidRPr="00F14D56">
              <w:rPr>
                <w:rFonts w:asciiTheme="minorHAnsi" w:hAnsiTheme="minorHAnsi"/>
                <w:szCs w:val="22"/>
              </w:rPr>
              <w:fldChar w:fldCharType="end"/>
            </w:r>
            <w:r w:rsidRPr="00F14D56">
              <w:rPr>
                <w:rFonts w:asciiTheme="minorHAnsi" w:hAnsiTheme="minorHAnsi"/>
                <w:szCs w:val="22"/>
              </w:rPr>
              <w:t>)</w:t>
            </w:r>
            <w:r w:rsidRPr="00DD42C7">
              <w:rPr>
                <w:rFonts w:asciiTheme="minorHAnsi" w:hAnsiTheme="minorHAnsi"/>
                <w:szCs w:val="22"/>
              </w:rPr>
              <w:t xml:space="preserve"> sufficient</w:t>
            </w:r>
            <w:r w:rsidRPr="000B5745">
              <w:rPr>
                <w:rFonts w:asciiTheme="minorHAnsi" w:hAnsiTheme="minorHAnsi"/>
                <w:szCs w:val="22"/>
              </w:rPr>
              <w:t xml:space="preserve"> to advise the specialist external hazards inspectors on the following matters:</w:t>
            </w:r>
          </w:p>
          <w:p w:rsidR="006D5C23" w:rsidRDefault="006D5C23" w:rsidP="001650ED">
            <w:pPr>
              <w:pStyle w:val="TSBullet2Circle"/>
              <w:jc w:val="both"/>
              <w:rPr>
                <w:rFonts w:asciiTheme="minorHAnsi" w:hAnsiTheme="minorHAnsi"/>
              </w:rPr>
            </w:pPr>
            <w:r w:rsidRPr="00C62335">
              <w:rPr>
                <w:rFonts w:asciiTheme="minorHAnsi" w:hAnsiTheme="minorHAnsi"/>
              </w:rPr>
              <w:t>Adequacy of the hazard identification,</w:t>
            </w:r>
            <w:r>
              <w:rPr>
                <w:rFonts w:asciiTheme="minorHAnsi" w:hAnsiTheme="minorHAnsi"/>
              </w:rPr>
              <w:t xml:space="preserve"> characterisation and</w:t>
            </w:r>
            <w:r w:rsidRPr="00C62335">
              <w:rPr>
                <w:rFonts w:asciiTheme="minorHAnsi" w:hAnsiTheme="minorHAnsi"/>
              </w:rPr>
              <w:t xml:space="preserve"> screening</w:t>
            </w:r>
            <w:r>
              <w:rPr>
                <w:rFonts w:asciiTheme="minorHAnsi" w:hAnsiTheme="minorHAnsi"/>
              </w:rPr>
              <w:t xml:space="preserve"> process</w:t>
            </w:r>
            <w:r w:rsidRPr="00C62335">
              <w:rPr>
                <w:rFonts w:asciiTheme="minorHAnsi" w:hAnsiTheme="minorHAnsi"/>
              </w:rPr>
              <w:t>,</w:t>
            </w:r>
            <w:r>
              <w:rPr>
                <w:rFonts w:asciiTheme="minorHAnsi" w:hAnsiTheme="minorHAnsi"/>
              </w:rPr>
              <w:t xml:space="preserve"> including </w:t>
            </w:r>
            <w:r w:rsidRPr="00C62335">
              <w:rPr>
                <w:rFonts w:asciiTheme="minorHAnsi" w:hAnsiTheme="minorHAnsi"/>
              </w:rPr>
              <w:t>hazard combinations</w:t>
            </w:r>
            <w:r>
              <w:rPr>
                <w:rFonts w:asciiTheme="minorHAnsi" w:hAnsiTheme="minorHAnsi"/>
              </w:rPr>
              <w:t>.</w:t>
            </w:r>
            <w:r w:rsidRPr="00C62335">
              <w:rPr>
                <w:rFonts w:asciiTheme="minorHAnsi" w:hAnsiTheme="minorHAnsi"/>
              </w:rPr>
              <w:t xml:space="preserve"> </w:t>
            </w:r>
          </w:p>
          <w:p w:rsidR="006D5C23" w:rsidRPr="00C62335" w:rsidRDefault="006D5C23" w:rsidP="001650ED">
            <w:pPr>
              <w:pStyle w:val="TSBullet2Circle"/>
              <w:jc w:val="both"/>
              <w:rPr>
                <w:rFonts w:asciiTheme="minorHAnsi" w:hAnsiTheme="minorHAnsi"/>
              </w:rPr>
            </w:pPr>
            <w:r>
              <w:rPr>
                <w:rFonts w:asciiTheme="minorHAnsi" w:hAnsiTheme="minorHAnsi"/>
              </w:rPr>
              <w:t>Adequacy of the</w:t>
            </w:r>
            <w:r w:rsidRPr="00C62335">
              <w:rPr>
                <w:rFonts w:asciiTheme="minorHAnsi" w:hAnsiTheme="minorHAnsi"/>
              </w:rPr>
              <w:t xml:space="preserve"> selec</w:t>
            </w:r>
            <w:r>
              <w:rPr>
                <w:rFonts w:asciiTheme="minorHAnsi" w:hAnsiTheme="minorHAnsi"/>
              </w:rPr>
              <w:t xml:space="preserve">ted </w:t>
            </w:r>
            <w:r w:rsidRPr="00C62335">
              <w:rPr>
                <w:rFonts w:asciiTheme="minorHAnsi" w:hAnsiTheme="minorHAnsi"/>
              </w:rPr>
              <w:t xml:space="preserve">hazards for detailed analysis and development of design bases and beyond design basis hazard descriptions. </w:t>
            </w:r>
            <w:r>
              <w:rPr>
                <w:rFonts w:asciiTheme="minorHAnsi" w:hAnsiTheme="minorHAnsi"/>
              </w:rPr>
              <w:t>Advise ONR on w</w:t>
            </w:r>
            <w:r w:rsidRPr="00C62335">
              <w:rPr>
                <w:rFonts w:asciiTheme="minorHAnsi" w:hAnsiTheme="minorHAnsi"/>
              </w:rPr>
              <w:t>hich hazards are likely to pose the most si</w:t>
            </w:r>
            <w:r>
              <w:rPr>
                <w:rFonts w:asciiTheme="minorHAnsi" w:hAnsiTheme="minorHAnsi"/>
              </w:rPr>
              <w:t>gnificant nuclear safety threat.</w:t>
            </w:r>
          </w:p>
          <w:p w:rsidR="006D5C23" w:rsidRPr="00F14D56" w:rsidRDefault="006D5C23" w:rsidP="001650ED">
            <w:pPr>
              <w:pStyle w:val="TSBullet2Circle"/>
              <w:jc w:val="both"/>
              <w:rPr>
                <w:rFonts w:asciiTheme="minorHAnsi" w:hAnsiTheme="minorHAnsi"/>
              </w:rPr>
            </w:pPr>
            <w:r w:rsidRPr="00C62335">
              <w:rPr>
                <w:rFonts w:asciiTheme="minorHAnsi" w:hAnsiTheme="minorHAnsi"/>
              </w:rPr>
              <w:t xml:space="preserve">Whether the submitted documents provide an adequate description and definition of the site challenge from external hazards, suitable for both NSL granting and as supporting documents to the </w:t>
            </w:r>
            <w:r>
              <w:rPr>
                <w:rFonts w:asciiTheme="minorHAnsi" w:hAnsiTheme="minorHAnsi"/>
              </w:rPr>
              <w:t>future development of</w:t>
            </w:r>
            <w:r w:rsidRPr="00C62335">
              <w:rPr>
                <w:rFonts w:asciiTheme="minorHAnsi" w:hAnsiTheme="minorHAnsi"/>
              </w:rPr>
              <w:t xml:space="preserve"> </w:t>
            </w:r>
            <w:r>
              <w:rPr>
                <w:rFonts w:asciiTheme="minorHAnsi" w:hAnsiTheme="minorHAnsi"/>
              </w:rPr>
              <w:t>a</w:t>
            </w:r>
            <w:r w:rsidRPr="00C62335">
              <w:rPr>
                <w:rFonts w:asciiTheme="minorHAnsi" w:hAnsiTheme="minorHAnsi"/>
              </w:rPr>
              <w:t xml:space="preserve"> Pre-Construction Safety </w:t>
            </w:r>
            <w:r w:rsidRPr="00F14D56">
              <w:rPr>
                <w:rFonts w:asciiTheme="minorHAnsi" w:hAnsiTheme="minorHAnsi"/>
              </w:rPr>
              <w:t>Report.</w:t>
            </w:r>
          </w:p>
          <w:p w:rsidR="007C55D1" w:rsidRPr="00C62335" w:rsidRDefault="007C55D1" w:rsidP="001650ED">
            <w:pPr>
              <w:pStyle w:val="TSBullet2Circle"/>
              <w:jc w:val="both"/>
              <w:rPr>
                <w:rFonts w:asciiTheme="minorHAnsi" w:hAnsiTheme="minorHAnsi"/>
              </w:rPr>
            </w:pPr>
            <w:r>
              <w:rPr>
                <w:rFonts w:asciiTheme="minorHAnsi" w:hAnsiTheme="minorHAnsi"/>
              </w:rPr>
              <w:t xml:space="preserve">Advise on the long-term stability of the external hazards values </w:t>
            </w:r>
            <w:r w:rsidR="00346D74">
              <w:rPr>
                <w:rFonts w:asciiTheme="minorHAnsi" w:hAnsiTheme="minorHAnsi"/>
              </w:rPr>
              <w:t xml:space="preserve">(site challenge) </w:t>
            </w:r>
            <w:r>
              <w:rPr>
                <w:rFonts w:asciiTheme="minorHAnsi" w:hAnsiTheme="minorHAnsi"/>
              </w:rPr>
              <w:t>given the timescales until the first Periodic Safety Review.</w:t>
            </w:r>
          </w:p>
          <w:p w:rsidR="006D5C23" w:rsidRPr="00F14D56" w:rsidRDefault="006D5C23" w:rsidP="001650ED">
            <w:pPr>
              <w:pStyle w:val="TSBullet2Circle"/>
              <w:jc w:val="both"/>
              <w:rPr>
                <w:rFonts w:asciiTheme="minorHAnsi" w:hAnsiTheme="minorHAnsi"/>
              </w:rPr>
            </w:pPr>
            <w:r w:rsidRPr="00F14D56">
              <w:rPr>
                <w:rFonts w:asciiTheme="minorHAnsi" w:hAnsiTheme="minorHAnsi"/>
              </w:rPr>
              <w:t>Ad</w:t>
            </w:r>
            <w:r w:rsidR="00306D25">
              <w:rPr>
                <w:rFonts w:asciiTheme="minorHAnsi" w:hAnsiTheme="minorHAnsi"/>
              </w:rPr>
              <w:t xml:space="preserve">equacy of the HPC design bases </w:t>
            </w:r>
            <w:r w:rsidRPr="00F14D56">
              <w:rPr>
                <w:rFonts w:asciiTheme="minorHAnsi" w:hAnsiTheme="minorHAnsi"/>
              </w:rPr>
              <w:t>or SZC Design Changes given the SZC site-specific hazards</w:t>
            </w:r>
            <w:r w:rsidR="00306D25">
              <w:rPr>
                <w:rFonts w:asciiTheme="minorHAnsi" w:hAnsiTheme="minorHAnsi"/>
              </w:rPr>
              <w:t xml:space="preserve"> (site challenge)</w:t>
            </w:r>
            <w:r w:rsidRPr="00F14D56">
              <w:rPr>
                <w:rFonts w:asciiTheme="minorHAnsi" w:hAnsiTheme="minorHAnsi"/>
              </w:rPr>
              <w:t>, including consideration of</w:t>
            </w:r>
            <w:r w:rsidR="001668E2" w:rsidRPr="00F14D56">
              <w:rPr>
                <w:rFonts w:asciiTheme="minorHAnsi" w:hAnsiTheme="minorHAnsi"/>
              </w:rPr>
              <w:t xml:space="preserve"> </w:t>
            </w:r>
            <w:r w:rsidR="00F14D56">
              <w:rPr>
                <w:rFonts w:asciiTheme="minorHAnsi" w:hAnsiTheme="minorHAnsi"/>
              </w:rPr>
              <w:t>m</w:t>
            </w:r>
            <w:r w:rsidRPr="00F14D56">
              <w:rPr>
                <w:rFonts w:asciiTheme="minorHAnsi" w:hAnsiTheme="minorHAnsi"/>
              </w:rPr>
              <w:t>argin</w:t>
            </w:r>
            <w:r w:rsidR="00F14D56">
              <w:rPr>
                <w:rFonts w:asciiTheme="minorHAnsi" w:hAnsiTheme="minorHAnsi"/>
              </w:rPr>
              <w:t>.</w:t>
            </w:r>
            <w:r w:rsidRPr="00F14D56">
              <w:rPr>
                <w:rFonts w:asciiTheme="minorHAnsi" w:hAnsiTheme="minorHAnsi"/>
              </w:rPr>
              <w:t xml:space="preserve"> </w:t>
            </w:r>
            <w:r w:rsidR="00F14D56" w:rsidRPr="00F14D56">
              <w:rPr>
                <w:rFonts w:asciiTheme="minorHAnsi" w:hAnsiTheme="minorHAnsi" w:cstheme="minorHAnsi"/>
              </w:rPr>
              <w:t xml:space="preserve">See paragraph </w:t>
            </w:r>
            <w:r w:rsidR="00F14D56" w:rsidRPr="00F14D56">
              <w:rPr>
                <w:rFonts w:asciiTheme="minorHAnsi" w:hAnsiTheme="minorHAnsi" w:cstheme="minorHAnsi"/>
              </w:rPr>
              <w:fldChar w:fldCharType="begin"/>
            </w:r>
            <w:r w:rsidR="00F14D56" w:rsidRPr="00F14D56">
              <w:rPr>
                <w:rFonts w:asciiTheme="minorHAnsi" w:hAnsiTheme="minorHAnsi" w:cstheme="minorHAnsi"/>
              </w:rPr>
              <w:instrText xml:space="preserve"> REF _Ref43460953 \r \h  \* MERGEFORMAT </w:instrText>
            </w:r>
            <w:r w:rsidR="00F14D56" w:rsidRPr="00F14D56">
              <w:rPr>
                <w:rFonts w:asciiTheme="minorHAnsi" w:hAnsiTheme="minorHAnsi" w:cstheme="minorHAnsi"/>
              </w:rPr>
            </w:r>
            <w:r w:rsidR="00F14D56" w:rsidRPr="00F14D56">
              <w:rPr>
                <w:rFonts w:asciiTheme="minorHAnsi" w:hAnsiTheme="minorHAnsi" w:cstheme="minorHAnsi"/>
              </w:rPr>
              <w:fldChar w:fldCharType="separate"/>
            </w:r>
            <w:r w:rsidR="00F14D56" w:rsidRPr="00F14D56">
              <w:rPr>
                <w:rFonts w:asciiTheme="minorHAnsi" w:hAnsiTheme="minorHAnsi" w:cstheme="minorHAnsi"/>
              </w:rPr>
              <w:t>2.3</w:t>
            </w:r>
            <w:r w:rsidR="00F14D56" w:rsidRPr="00F14D56">
              <w:rPr>
                <w:rFonts w:asciiTheme="minorHAnsi" w:hAnsiTheme="minorHAnsi" w:cstheme="minorHAnsi"/>
              </w:rPr>
              <w:fldChar w:fldCharType="end"/>
            </w:r>
            <w:r w:rsidR="00F14D56" w:rsidRPr="00F14D56">
              <w:rPr>
                <w:rFonts w:asciiTheme="minorHAnsi" w:hAnsiTheme="minorHAnsi" w:cstheme="minorHAnsi"/>
              </w:rPr>
              <w:t xml:space="preserve"> and </w:t>
            </w:r>
            <w:r w:rsidR="00F14D56" w:rsidRPr="00F14D56">
              <w:rPr>
                <w:rFonts w:asciiTheme="minorHAnsi" w:hAnsiTheme="minorHAnsi" w:cstheme="minorHAnsi"/>
              </w:rPr>
              <w:fldChar w:fldCharType="begin"/>
            </w:r>
            <w:r w:rsidR="00F14D56" w:rsidRPr="00F14D56">
              <w:rPr>
                <w:rFonts w:asciiTheme="minorHAnsi" w:hAnsiTheme="minorHAnsi" w:cstheme="minorHAnsi"/>
              </w:rPr>
              <w:instrText xml:space="preserve"> REF _Ref43460954 \r \h  \* MERGEFORMAT </w:instrText>
            </w:r>
            <w:r w:rsidR="00F14D56" w:rsidRPr="00F14D56">
              <w:rPr>
                <w:rFonts w:asciiTheme="minorHAnsi" w:hAnsiTheme="minorHAnsi" w:cstheme="minorHAnsi"/>
              </w:rPr>
            </w:r>
            <w:r w:rsidR="00F14D56" w:rsidRPr="00F14D56">
              <w:rPr>
                <w:rFonts w:asciiTheme="minorHAnsi" w:hAnsiTheme="minorHAnsi" w:cstheme="minorHAnsi"/>
              </w:rPr>
              <w:fldChar w:fldCharType="separate"/>
            </w:r>
            <w:r w:rsidR="00F14D56" w:rsidRPr="00F14D56">
              <w:rPr>
                <w:rFonts w:asciiTheme="minorHAnsi" w:hAnsiTheme="minorHAnsi" w:cstheme="minorHAnsi"/>
              </w:rPr>
              <w:t>2.4</w:t>
            </w:r>
            <w:r w:rsidR="00F14D56" w:rsidRPr="00F14D56">
              <w:rPr>
                <w:rFonts w:asciiTheme="minorHAnsi" w:hAnsiTheme="minorHAnsi" w:cstheme="minorHAnsi"/>
              </w:rPr>
              <w:fldChar w:fldCharType="end"/>
            </w:r>
            <w:r w:rsidR="00F14D56" w:rsidRPr="00F14D56">
              <w:rPr>
                <w:rFonts w:asciiTheme="minorHAnsi" w:hAnsiTheme="minorHAnsi" w:cstheme="minorHAnsi"/>
              </w:rPr>
              <w:t>.</w:t>
            </w:r>
          </w:p>
          <w:p w:rsidR="006D5C23" w:rsidRPr="00C62335" w:rsidRDefault="006D5C23" w:rsidP="001650ED">
            <w:pPr>
              <w:pStyle w:val="TSBullet2Circle"/>
              <w:jc w:val="both"/>
              <w:rPr>
                <w:rFonts w:asciiTheme="minorHAnsi" w:hAnsiTheme="minorHAnsi"/>
              </w:rPr>
            </w:pPr>
            <w:r>
              <w:rPr>
                <w:rFonts w:asciiTheme="minorHAnsi" w:hAnsiTheme="minorHAnsi"/>
              </w:rPr>
              <w:t>Advise w</w:t>
            </w:r>
            <w:r w:rsidRPr="00C62335">
              <w:rPr>
                <w:rFonts w:asciiTheme="minorHAnsi" w:hAnsiTheme="minorHAnsi"/>
              </w:rPr>
              <w:t xml:space="preserve">hether there are any design basis, beyond design basis implications, or combinations of external hazards that are likely to preclude the site as viable. </w:t>
            </w:r>
            <w:r>
              <w:rPr>
                <w:rFonts w:asciiTheme="minorHAnsi" w:hAnsiTheme="minorHAnsi"/>
              </w:rPr>
              <w:t>Further, advise</w:t>
            </w:r>
            <w:r w:rsidRPr="00C62335">
              <w:rPr>
                <w:rFonts w:asciiTheme="minorHAnsi" w:hAnsiTheme="minorHAnsi"/>
              </w:rPr>
              <w:t xml:space="preserve"> if there are any implications that might affect the granting of a NSL or be problematic subsequently for implementing the HPC design on the site.</w:t>
            </w:r>
          </w:p>
          <w:p w:rsidR="006D5C23" w:rsidRDefault="006D5C23" w:rsidP="001650ED">
            <w:pPr>
              <w:pStyle w:val="TSBullet2Circle"/>
              <w:jc w:val="both"/>
              <w:rPr>
                <w:rFonts w:asciiTheme="minorHAnsi" w:hAnsiTheme="minorHAnsi"/>
              </w:rPr>
            </w:pPr>
            <w:r>
              <w:rPr>
                <w:rFonts w:asciiTheme="minorHAnsi" w:hAnsiTheme="minorHAnsi"/>
              </w:rPr>
              <w:t>Advise w</w:t>
            </w:r>
            <w:r w:rsidRPr="00C62335">
              <w:rPr>
                <w:rFonts w:asciiTheme="minorHAnsi" w:hAnsiTheme="minorHAnsi"/>
              </w:rPr>
              <w:t xml:space="preserve">hether the methods used are consistent with </w:t>
            </w:r>
            <w:r>
              <w:rPr>
                <w:rFonts w:asciiTheme="minorHAnsi" w:hAnsiTheme="minorHAnsi"/>
              </w:rPr>
              <w:t xml:space="preserve">modern standards and </w:t>
            </w:r>
            <w:r w:rsidR="008318B5">
              <w:rPr>
                <w:rFonts w:asciiTheme="minorHAnsi" w:hAnsiTheme="minorHAnsi"/>
              </w:rPr>
              <w:t>recognised R</w:t>
            </w:r>
            <w:r w:rsidRPr="00C62335">
              <w:rPr>
                <w:rFonts w:asciiTheme="minorHAnsi" w:hAnsiTheme="minorHAnsi"/>
              </w:rPr>
              <w:t xml:space="preserve">elevant </w:t>
            </w:r>
            <w:r w:rsidR="008318B5">
              <w:rPr>
                <w:rFonts w:asciiTheme="minorHAnsi" w:hAnsiTheme="minorHAnsi"/>
              </w:rPr>
              <w:t>G</w:t>
            </w:r>
            <w:r w:rsidRPr="00C62335">
              <w:rPr>
                <w:rFonts w:asciiTheme="minorHAnsi" w:hAnsiTheme="minorHAnsi"/>
              </w:rPr>
              <w:t xml:space="preserve">ood </w:t>
            </w:r>
            <w:r w:rsidR="008318B5">
              <w:rPr>
                <w:rFonts w:asciiTheme="minorHAnsi" w:hAnsiTheme="minorHAnsi"/>
              </w:rPr>
              <w:t>P</w:t>
            </w:r>
            <w:r w:rsidRPr="00C62335">
              <w:rPr>
                <w:rFonts w:asciiTheme="minorHAnsi" w:hAnsiTheme="minorHAnsi"/>
              </w:rPr>
              <w:t xml:space="preserve">ractice and whether sufficient rigour </w:t>
            </w:r>
            <w:r>
              <w:rPr>
                <w:rFonts w:asciiTheme="minorHAnsi" w:hAnsiTheme="minorHAnsi"/>
              </w:rPr>
              <w:t xml:space="preserve">has </w:t>
            </w:r>
            <w:r w:rsidRPr="00C62335">
              <w:rPr>
                <w:rFonts w:asciiTheme="minorHAnsi" w:hAnsiTheme="minorHAnsi"/>
              </w:rPr>
              <w:t>been applied</w:t>
            </w:r>
            <w:r>
              <w:rPr>
                <w:rFonts w:asciiTheme="minorHAnsi" w:hAnsiTheme="minorHAnsi"/>
              </w:rPr>
              <w:t>.</w:t>
            </w:r>
          </w:p>
          <w:p w:rsidR="006D5C23" w:rsidRDefault="006D5C23" w:rsidP="001650ED">
            <w:pPr>
              <w:pStyle w:val="TSBullet1Square"/>
              <w:jc w:val="both"/>
              <w:rPr>
                <w:rFonts w:asciiTheme="minorHAnsi" w:hAnsiTheme="minorHAnsi"/>
                <w:szCs w:val="22"/>
              </w:rPr>
            </w:pPr>
            <w:r>
              <w:rPr>
                <w:rFonts w:asciiTheme="minorHAnsi" w:hAnsiTheme="minorHAnsi"/>
                <w:szCs w:val="22"/>
              </w:rPr>
              <w:t>Identify t</w:t>
            </w:r>
            <w:r w:rsidRPr="000B5745">
              <w:rPr>
                <w:rFonts w:asciiTheme="minorHAnsi" w:hAnsiTheme="minorHAnsi"/>
                <w:szCs w:val="22"/>
              </w:rPr>
              <w:t>he likely implications of external hazards on other discipline areas, especially civil engineering.</w:t>
            </w:r>
          </w:p>
          <w:p w:rsidR="006D5C23" w:rsidRPr="000C34C4" w:rsidRDefault="006D5C23" w:rsidP="001650ED">
            <w:pPr>
              <w:pStyle w:val="TSBullet1Square"/>
              <w:jc w:val="both"/>
              <w:rPr>
                <w:rFonts w:asciiTheme="minorHAnsi" w:hAnsiTheme="minorHAnsi"/>
                <w:szCs w:val="22"/>
              </w:rPr>
            </w:pPr>
            <w:r w:rsidRPr="000C34C4">
              <w:rPr>
                <w:rFonts w:asciiTheme="minorHAnsi" w:hAnsiTheme="minorHAnsi"/>
                <w:szCs w:val="22"/>
              </w:rPr>
              <w:lastRenderedPageBreak/>
              <w:t xml:space="preserve">Interface technically with relevant expert panel members and other specialists, as required to confirm that the technical methods used for hazard analysis are sufficient to meet the </w:t>
            </w:r>
            <w:r>
              <w:rPr>
                <w:rFonts w:asciiTheme="minorHAnsi" w:hAnsiTheme="minorHAnsi"/>
                <w:szCs w:val="22"/>
              </w:rPr>
              <w:t>expectations of Relevant Good Practice</w:t>
            </w:r>
            <w:r w:rsidRPr="000C34C4">
              <w:rPr>
                <w:rFonts w:asciiTheme="minorHAnsi" w:hAnsiTheme="minorHAnsi"/>
                <w:szCs w:val="22"/>
              </w:rPr>
              <w:t>.</w:t>
            </w:r>
          </w:p>
          <w:p w:rsidR="006D5C23" w:rsidRDefault="006D5C23" w:rsidP="001650ED">
            <w:pPr>
              <w:pStyle w:val="TSBullet1Square"/>
              <w:jc w:val="both"/>
              <w:rPr>
                <w:rFonts w:asciiTheme="minorHAnsi" w:hAnsiTheme="minorHAnsi"/>
                <w:szCs w:val="22"/>
              </w:rPr>
            </w:pPr>
            <w:r w:rsidRPr="000C34C4">
              <w:rPr>
                <w:rFonts w:asciiTheme="minorHAnsi" w:hAnsiTheme="minorHAnsi"/>
                <w:szCs w:val="22"/>
              </w:rPr>
              <w:t xml:space="preserve">Identify areas that are likely to lie outside the technical competency of existing resources available to the project, and be able to source such expertise, either internally within your organisation, or under sub-contract. The identification of such issues may not be feasible before award of contract, but the expectation that if such issues are identified, then the successful bidder would be able to source relevant expertise. Additional costs incurred to be advised to the Project Officer and negotiated as a contract extension. ONR is not aware of any such issues at this time.  </w:t>
            </w:r>
          </w:p>
          <w:p w:rsidR="006D5C23" w:rsidRPr="00F14D56" w:rsidRDefault="006D5C23" w:rsidP="001650ED">
            <w:pPr>
              <w:pStyle w:val="TSNumberedParagraph11"/>
              <w:jc w:val="both"/>
              <w:rPr>
                <w:rFonts w:asciiTheme="minorHAnsi" w:hAnsiTheme="minorHAnsi"/>
                <w:szCs w:val="22"/>
              </w:rPr>
            </w:pPr>
            <w:r w:rsidRPr="000B5745">
              <w:rPr>
                <w:rFonts w:asciiTheme="minorHAnsi" w:hAnsiTheme="minorHAnsi"/>
                <w:szCs w:val="22"/>
              </w:rPr>
              <w:t>Note that the scope of this work does not include detailed assessment of whether the site is suitable for locating and founding safety related nuclear reactor structures.  This is primarily the responsibility of civil engineering inspectors</w:t>
            </w:r>
            <w:r>
              <w:rPr>
                <w:rFonts w:asciiTheme="minorHAnsi" w:hAnsiTheme="minorHAnsi"/>
                <w:szCs w:val="22"/>
              </w:rPr>
              <w:t>,</w:t>
            </w:r>
            <w:r w:rsidRPr="000B5745">
              <w:rPr>
                <w:rFonts w:asciiTheme="minorHAnsi" w:hAnsiTheme="minorHAnsi"/>
                <w:szCs w:val="22"/>
              </w:rPr>
              <w:t xml:space="preserve"> which will be addressed separately.  However</w:t>
            </w:r>
            <w:r>
              <w:rPr>
                <w:rFonts w:asciiTheme="minorHAnsi" w:hAnsiTheme="minorHAnsi"/>
                <w:szCs w:val="22"/>
              </w:rPr>
              <w:t>,</w:t>
            </w:r>
            <w:r w:rsidRPr="000B5745">
              <w:rPr>
                <w:rFonts w:asciiTheme="minorHAnsi" w:hAnsiTheme="minorHAnsi"/>
                <w:szCs w:val="22"/>
              </w:rPr>
              <w:t xml:space="preserve"> there </w:t>
            </w:r>
            <w:r w:rsidRPr="00F14D56">
              <w:rPr>
                <w:rFonts w:asciiTheme="minorHAnsi" w:hAnsiTheme="minorHAnsi"/>
                <w:szCs w:val="22"/>
              </w:rPr>
              <w:t>may be a need for interfacing with such work streams.</w:t>
            </w:r>
          </w:p>
          <w:p w:rsidR="006D5C23" w:rsidRPr="00F14D56" w:rsidRDefault="006D5C23" w:rsidP="001650ED">
            <w:pPr>
              <w:pStyle w:val="TSBullet1Square"/>
              <w:numPr>
                <w:ilvl w:val="0"/>
                <w:numId w:val="0"/>
              </w:numPr>
              <w:jc w:val="both"/>
              <w:rPr>
                <w:rFonts w:asciiTheme="minorHAnsi" w:hAnsiTheme="minorHAnsi"/>
                <w:u w:val="single"/>
              </w:rPr>
            </w:pPr>
            <w:r w:rsidRPr="00F14D56">
              <w:rPr>
                <w:rFonts w:asciiTheme="minorHAnsi" w:hAnsiTheme="minorHAnsi"/>
                <w:u w:val="single"/>
              </w:rPr>
              <w:t>Specific Sizewell C considerations</w:t>
            </w:r>
          </w:p>
          <w:p w:rsidR="001E1DC1" w:rsidRDefault="001E1DC1" w:rsidP="001650ED">
            <w:pPr>
              <w:pStyle w:val="TSNumberedParagraph11"/>
              <w:jc w:val="both"/>
              <w:rPr>
                <w:rFonts w:asciiTheme="minorHAnsi" w:hAnsiTheme="minorHAnsi"/>
              </w:rPr>
            </w:pPr>
            <w:bookmarkStart w:id="1" w:name="_Ref43460953"/>
            <w:r w:rsidRPr="001E1DC1">
              <w:rPr>
                <w:rFonts w:asciiTheme="minorHAnsi" w:hAnsiTheme="minorHAnsi"/>
              </w:rPr>
              <w:t>A key aspect of NNB’s SZC NSL application is replication of t</w:t>
            </w:r>
            <w:r w:rsidR="001668E2">
              <w:rPr>
                <w:rFonts w:asciiTheme="minorHAnsi" w:hAnsiTheme="minorHAnsi"/>
              </w:rPr>
              <w:t xml:space="preserve">he Hinkley Point C </w:t>
            </w:r>
            <w:r>
              <w:rPr>
                <w:rFonts w:asciiTheme="minorHAnsi" w:hAnsiTheme="minorHAnsi"/>
              </w:rPr>
              <w:t>design. As external hazards are often site-specific this means that NNB need</w:t>
            </w:r>
            <w:r w:rsidR="00B775BC">
              <w:rPr>
                <w:rFonts w:asciiTheme="minorHAnsi" w:hAnsiTheme="minorHAnsi"/>
              </w:rPr>
              <w:t>s</w:t>
            </w:r>
            <w:r>
              <w:rPr>
                <w:rFonts w:asciiTheme="minorHAnsi" w:hAnsiTheme="minorHAnsi"/>
              </w:rPr>
              <w:t xml:space="preserve"> to adequately justify its SZC approach, depending on the hazard this may be via:</w:t>
            </w:r>
            <w:bookmarkEnd w:id="1"/>
          </w:p>
          <w:p w:rsidR="001E1DC1" w:rsidRPr="00B7566D" w:rsidRDefault="001E1DC1" w:rsidP="001650ED">
            <w:pPr>
              <w:pStyle w:val="TSBullet1Square"/>
              <w:jc w:val="both"/>
              <w:rPr>
                <w:rFonts w:asciiTheme="minorHAnsi" w:hAnsiTheme="minorHAnsi"/>
              </w:rPr>
            </w:pPr>
            <w:r w:rsidRPr="00B7566D">
              <w:rPr>
                <w:rFonts w:asciiTheme="minorHAnsi" w:hAnsiTheme="minorHAnsi"/>
              </w:rPr>
              <w:t>Demonstrating that the SZC site challenge is bounded by the HPC de</w:t>
            </w:r>
            <w:r w:rsidR="00B7566D" w:rsidRPr="00B7566D">
              <w:rPr>
                <w:rFonts w:asciiTheme="minorHAnsi" w:hAnsiTheme="minorHAnsi"/>
              </w:rPr>
              <w:t>sign basis, with adequate margin.</w:t>
            </w:r>
          </w:p>
          <w:p w:rsidR="00B7566D" w:rsidRPr="00B7566D" w:rsidRDefault="00B7566D" w:rsidP="001650ED">
            <w:pPr>
              <w:pStyle w:val="TSBullet1Square"/>
              <w:jc w:val="both"/>
              <w:rPr>
                <w:rFonts w:asciiTheme="minorHAnsi" w:hAnsiTheme="minorHAnsi"/>
              </w:rPr>
            </w:pPr>
            <w:r w:rsidRPr="00B7566D">
              <w:rPr>
                <w:rFonts w:asciiTheme="minorHAnsi" w:hAnsiTheme="minorHAnsi"/>
              </w:rPr>
              <w:t>Where the SZC site challenge is not bounded by the HPC design basis, a SZC Design Change is implemented and therefore a specific SZC design basis is defined with adequate margin.</w:t>
            </w:r>
          </w:p>
          <w:p w:rsidR="00B7566D" w:rsidRPr="00B7566D" w:rsidRDefault="00D93913" w:rsidP="001650ED">
            <w:pPr>
              <w:pStyle w:val="TSBullet1Square"/>
              <w:jc w:val="both"/>
            </w:pPr>
            <w:r>
              <w:rPr>
                <w:rFonts w:asciiTheme="minorHAnsi" w:hAnsiTheme="minorHAnsi"/>
              </w:rPr>
              <w:t>Or, w</w:t>
            </w:r>
            <w:r w:rsidR="00B7566D" w:rsidRPr="00B7566D">
              <w:rPr>
                <w:rFonts w:asciiTheme="minorHAnsi" w:hAnsiTheme="minorHAnsi"/>
              </w:rPr>
              <w:t xml:space="preserve">here the SZC site challenge is not bounded by the HPC design basis, adequate justification is provided as to why the use of the HPC design basis is suitable.  </w:t>
            </w:r>
          </w:p>
          <w:p w:rsidR="00B7566D" w:rsidRPr="00B775BC" w:rsidRDefault="00B775BC" w:rsidP="001650ED">
            <w:pPr>
              <w:pStyle w:val="TSNumberedParagraph11"/>
              <w:jc w:val="both"/>
              <w:rPr>
                <w:rFonts w:asciiTheme="minorHAnsi" w:hAnsiTheme="minorHAnsi"/>
              </w:rPr>
            </w:pPr>
            <w:bookmarkStart w:id="2" w:name="_Ref43460954"/>
            <w:r w:rsidRPr="00B775BC">
              <w:rPr>
                <w:rFonts w:asciiTheme="minorHAnsi" w:hAnsiTheme="minorHAnsi"/>
              </w:rPr>
              <w:t xml:space="preserve">In all </w:t>
            </w:r>
            <w:r>
              <w:rPr>
                <w:rFonts w:asciiTheme="minorHAnsi" w:hAnsiTheme="minorHAnsi"/>
              </w:rPr>
              <w:t xml:space="preserve">of the above cases, ONR will need confidence that the SZC site challenge has been derived in line with </w:t>
            </w:r>
            <w:r w:rsidR="008318B5">
              <w:rPr>
                <w:rFonts w:asciiTheme="minorHAnsi" w:hAnsiTheme="minorHAnsi"/>
              </w:rPr>
              <w:t>R</w:t>
            </w:r>
            <w:r>
              <w:rPr>
                <w:rFonts w:asciiTheme="minorHAnsi" w:hAnsiTheme="minorHAnsi"/>
              </w:rPr>
              <w:t xml:space="preserve">elevant </w:t>
            </w:r>
            <w:r w:rsidR="008318B5">
              <w:rPr>
                <w:rFonts w:asciiTheme="minorHAnsi" w:hAnsiTheme="minorHAnsi"/>
              </w:rPr>
              <w:t>G</w:t>
            </w:r>
            <w:r>
              <w:rPr>
                <w:rFonts w:asciiTheme="minorHAnsi" w:hAnsiTheme="minorHAnsi"/>
              </w:rPr>
              <w:t xml:space="preserve">ood </w:t>
            </w:r>
            <w:r w:rsidR="008318B5">
              <w:rPr>
                <w:rFonts w:asciiTheme="minorHAnsi" w:hAnsiTheme="minorHAnsi"/>
              </w:rPr>
              <w:t>P</w:t>
            </w:r>
            <w:r>
              <w:rPr>
                <w:rFonts w:asciiTheme="minorHAnsi" w:hAnsiTheme="minorHAnsi"/>
              </w:rPr>
              <w:t xml:space="preserve">ractice. </w:t>
            </w:r>
            <w:r w:rsidR="001668E2">
              <w:rPr>
                <w:rFonts w:asciiTheme="minorHAnsi" w:hAnsiTheme="minorHAnsi"/>
              </w:rPr>
              <w:t xml:space="preserve">This will allow ONR to form a judgment as to the adequacy of the </w:t>
            </w:r>
            <w:r w:rsidR="00661F55">
              <w:rPr>
                <w:rFonts w:asciiTheme="minorHAnsi" w:hAnsiTheme="minorHAnsi"/>
              </w:rPr>
              <w:t>external hazards design bases</w:t>
            </w:r>
            <w:r w:rsidR="001668E2">
              <w:rPr>
                <w:rFonts w:asciiTheme="minorHAnsi" w:hAnsiTheme="minorHAnsi"/>
              </w:rPr>
              <w:t>.</w:t>
            </w:r>
            <w:bookmarkEnd w:id="2"/>
            <w:r w:rsidR="001668E2">
              <w:rPr>
                <w:rFonts w:asciiTheme="minorHAnsi" w:hAnsiTheme="minorHAnsi"/>
              </w:rPr>
              <w:t xml:space="preserve"> </w:t>
            </w:r>
          </w:p>
          <w:p w:rsidR="006D5C23" w:rsidRDefault="00306D25" w:rsidP="001650ED">
            <w:pPr>
              <w:jc w:val="both"/>
              <w:rPr>
                <w:rFonts w:asciiTheme="minorHAnsi" w:hAnsiTheme="minorHAnsi"/>
                <w:u w:val="single"/>
              </w:rPr>
            </w:pPr>
            <w:r>
              <w:rPr>
                <w:rFonts w:asciiTheme="minorHAnsi" w:hAnsiTheme="minorHAnsi"/>
                <w:u w:val="single"/>
              </w:rPr>
              <w:t>TSC e</w:t>
            </w:r>
            <w:r w:rsidR="006D5C23" w:rsidRPr="008F7E78">
              <w:rPr>
                <w:rFonts w:asciiTheme="minorHAnsi" w:hAnsiTheme="minorHAnsi"/>
                <w:u w:val="single"/>
              </w:rPr>
              <w:t>xperience and interface with ONR Expert Panel work</w:t>
            </w:r>
          </w:p>
          <w:p w:rsidR="006D5C23" w:rsidRPr="008F7E78" w:rsidRDefault="006D5C23" w:rsidP="001650ED">
            <w:pPr>
              <w:jc w:val="both"/>
              <w:rPr>
                <w:rFonts w:asciiTheme="minorHAnsi" w:hAnsiTheme="minorHAnsi"/>
                <w:u w:val="single"/>
              </w:rPr>
            </w:pPr>
          </w:p>
          <w:p w:rsidR="006D5C23" w:rsidRPr="00ED4FC9" w:rsidRDefault="006D5C23" w:rsidP="001650ED">
            <w:pPr>
              <w:pStyle w:val="TSNumberedParagraph11"/>
              <w:tabs>
                <w:tab w:val="clear" w:pos="-31680"/>
              </w:tabs>
              <w:jc w:val="both"/>
              <w:rPr>
                <w:rFonts w:asciiTheme="minorHAnsi" w:hAnsiTheme="minorHAnsi"/>
              </w:rPr>
            </w:pPr>
            <w:bookmarkStart w:id="3" w:name="_Ref43460996"/>
            <w:r w:rsidRPr="00ED4FC9">
              <w:rPr>
                <w:rFonts w:asciiTheme="minorHAnsi" w:hAnsiTheme="minorHAnsi"/>
              </w:rPr>
              <w:t xml:space="preserve">The </w:t>
            </w:r>
            <w:r w:rsidR="008318B5">
              <w:rPr>
                <w:rFonts w:asciiTheme="minorHAnsi" w:hAnsiTheme="minorHAnsi"/>
              </w:rPr>
              <w:t>TSC</w:t>
            </w:r>
            <w:r w:rsidR="00297507">
              <w:rPr>
                <w:rFonts w:asciiTheme="minorHAnsi" w:hAnsiTheme="minorHAnsi"/>
              </w:rPr>
              <w:t xml:space="preserve"> delivering this scope of work</w:t>
            </w:r>
            <w:r w:rsidRPr="00ED4FC9">
              <w:rPr>
                <w:rFonts w:asciiTheme="minorHAnsi" w:hAnsiTheme="minorHAnsi"/>
              </w:rPr>
              <w:t xml:space="preserve"> will need experience of reviewing and/or authoring external hazards safety cases and an understanding of the potential nuclear safety impact of external hazards on plant, as well as ONR’s regulatory </w:t>
            </w:r>
            <w:r w:rsidRPr="0087569D">
              <w:rPr>
                <w:rFonts w:asciiTheme="minorHAnsi" w:hAnsiTheme="minorHAnsi"/>
              </w:rPr>
              <w:t>expectations</w:t>
            </w:r>
            <w:r w:rsidR="00661F55" w:rsidRPr="0087569D">
              <w:rPr>
                <w:rFonts w:asciiTheme="minorHAnsi" w:hAnsiTheme="minorHAnsi"/>
              </w:rPr>
              <w:t xml:space="preserve"> [2 &amp; 3]</w:t>
            </w:r>
            <w:r w:rsidRPr="0087569D">
              <w:rPr>
                <w:rFonts w:asciiTheme="minorHAnsi" w:hAnsiTheme="minorHAnsi"/>
              </w:rPr>
              <w:t>. Ideally</w:t>
            </w:r>
            <w:r w:rsidRPr="00ED4FC9">
              <w:rPr>
                <w:rFonts w:asciiTheme="minorHAnsi" w:hAnsiTheme="minorHAnsi"/>
              </w:rPr>
              <w:t xml:space="preserve"> this experience would be related to NSL safety cases. The TSC must have a good understanding of the most common UK external hazards, e.g. </w:t>
            </w:r>
            <w:r w:rsidR="001E1DC1">
              <w:rPr>
                <w:rFonts w:asciiTheme="minorHAnsi" w:hAnsiTheme="minorHAnsi"/>
              </w:rPr>
              <w:t xml:space="preserve">meteorological hazards, </w:t>
            </w:r>
            <w:r w:rsidRPr="00ED4FC9">
              <w:rPr>
                <w:rFonts w:asciiTheme="minorHAnsi" w:hAnsiTheme="minorHAnsi"/>
              </w:rPr>
              <w:t xml:space="preserve">flooding from various sources, </w:t>
            </w:r>
            <w:r w:rsidR="001E1DC1">
              <w:rPr>
                <w:rFonts w:asciiTheme="minorHAnsi" w:hAnsiTheme="minorHAnsi"/>
              </w:rPr>
              <w:t>man-made hazards etc.</w:t>
            </w:r>
            <w:r w:rsidRPr="00ED4FC9">
              <w:rPr>
                <w:rFonts w:asciiTheme="minorHAnsi" w:hAnsiTheme="minorHAnsi"/>
              </w:rPr>
              <w:t>, and be familiar with, or be able to source expertise to assess the more esoteric hazards, if needed.</w:t>
            </w:r>
            <w:bookmarkEnd w:id="3"/>
          </w:p>
          <w:p w:rsidR="006D5C23" w:rsidRPr="00ED4FC9" w:rsidRDefault="006D5C23" w:rsidP="001650ED">
            <w:pPr>
              <w:pStyle w:val="TSNumberedParagraph11"/>
              <w:jc w:val="both"/>
              <w:rPr>
                <w:rFonts w:asciiTheme="minorHAnsi" w:hAnsiTheme="minorHAnsi"/>
              </w:rPr>
            </w:pPr>
            <w:r w:rsidRPr="00ED4FC9">
              <w:rPr>
                <w:rFonts w:asciiTheme="minorHAnsi" w:hAnsiTheme="minorHAnsi"/>
              </w:rPr>
              <w:t>For clarity, ONR’s Expert Panel will be conducting reviews into a number of</w:t>
            </w:r>
            <w:r w:rsidR="00661F55">
              <w:rPr>
                <w:rFonts w:asciiTheme="minorHAnsi" w:hAnsiTheme="minorHAnsi"/>
              </w:rPr>
              <w:t xml:space="preserve"> natural</w:t>
            </w:r>
            <w:r w:rsidRPr="00ED4FC9">
              <w:rPr>
                <w:rFonts w:asciiTheme="minorHAnsi" w:hAnsiTheme="minorHAnsi"/>
              </w:rPr>
              <w:t xml:space="preserve"> hazards. These reviews will be focused on the scientific derivation of the hazards. The Expert Panel will not comment o</w:t>
            </w:r>
            <w:r w:rsidR="000F228B">
              <w:rPr>
                <w:rFonts w:asciiTheme="minorHAnsi" w:hAnsiTheme="minorHAnsi"/>
              </w:rPr>
              <w:t>n</w:t>
            </w:r>
            <w:r w:rsidRPr="00ED4FC9">
              <w:rPr>
                <w:rFonts w:asciiTheme="minorHAnsi" w:hAnsiTheme="minorHAnsi"/>
              </w:rPr>
              <w:t xml:space="preserve"> the nuclear safety significance of the hazards or plant interaction. The ONR Expert Panel work should complement the TSC’s review, with limited overlap. The reviews conducted by the Expert Panel are likely to include:</w:t>
            </w:r>
          </w:p>
          <w:p w:rsidR="006D5C23" w:rsidRPr="008F7E78" w:rsidRDefault="006D5C23" w:rsidP="001650ED">
            <w:pPr>
              <w:pStyle w:val="TSBullet1Square"/>
              <w:jc w:val="both"/>
              <w:rPr>
                <w:rFonts w:asciiTheme="minorHAnsi" w:hAnsiTheme="minorHAnsi"/>
              </w:rPr>
            </w:pPr>
            <w:r w:rsidRPr="008F7E78">
              <w:rPr>
                <w:rFonts w:asciiTheme="minorHAnsi" w:hAnsiTheme="minorHAnsi"/>
              </w:rPr>
              <w:t>Seismic hazards (probabilistic seismic hazard analysis and capable faulting)</w:t>
            </w:r>
          </w:p>
          <w:p w:rsidR="006D5C23" w:rsidRPr="008F7E78" w:rsidRDefault="006D5C23" w:rsidP="001650ED">
            <w:pPr>
              <w:pStyle w:val="TSBullet1Square"/>
              <w:jc w:val="both"/>
              <w:rPr>
                <w:rFonts w:asciiTheme="minorHAnsi" w:hAnsiTheme="minorHAnsi"/>
              </w:rPr>
            </w:pPr>
            <w:r w:rsidRPr="008F7E78">
              <w:rPr>
                <w:rFonts w:asciiTheme="minorHAnsi" w:hAnsiTheme="minorHAnsi"/>
              </w:rPr>
              <w:t>Extreme high air temperature, including climate change</w:t>
            </w:r>
          </w:p>
          <w:p w:rsidR="006D5C23" w:rsidRPr="008F7E78" w:rsidRDefault="006D5C23" w:rsidP="001650ED">
            <w:pPr>
              <w:pStyle w:val="TSBullet1Square"/>
              <w:jc w:val="both"/>
              <w:rPr>
                <w:rFonts w:asciiTheme="minorHAnsi" w:hAnsiTheme="minorHAnsi"/>
              </w:rPr>
            </w:pPr>
            <w:r w:rsidRPr="008F7E78">
              <w:rPr>
                <w:rFonts w:asciiTheme="minorHAnsi" w:hAnsiTheme="minorHAnsi"/>
              </w:rPr>
              <w:t xml:space="preserve">External flooding, including climate change </w:t>
            </w:r>
          </w:p>
          <w:p w:rsidR="006D5C23" w:rsidRPr="00661F55" w:rsidRDefault="006D5C23" w:rsidP="001650ED">
            <w:pPr>
              <w:pStyle w:val="TSBullet1Square"/>
              <w:tabs>
                <w:tab w:val="clear" w:pos="-31680"/>
              </w:tabs>
              <w:jc w:val="both"/>
              <w:rPr>
                <w:rFonts w:asciiTheme="minorHAnsi" w:hAnsiTheme="minorHAnsi"/>
              </w:rPr>
            </w:pPr>
            <w:r w:rsidRPr="00661F55">
              <w:rPr>
                <w:rFonts w:asciiTheme="minorHAnsi" w:hAnsiTheme="minorHAnsi"/>
              </w:rPr>
              <w:t xml:space="preserve">Extreme high and low sea temperature </w:t>
            </w:r>
          </w:p>
          <w:p w:rsidR="00661F55" w:rsidRPr="00661F55" w:rsidRDefault="00661F55" w:rsidP="001650ED">
            <w:pPr>
              <w:pStyle w:val="TSNumberedParagraph11"/>
              <w:jc w:val="both"/>
              <w:rPr>
                <w:rFonts w:asciiTheme="minorHAnsi" w:hAnsiTheme="minorHAnsi"/>
              </w:rPr>
            </w:pPr>
            <w:bookmarkStart w:id="4" w:name="_Ref43460998"/>
            <w:r w:rsidRPr="00661F55">
              <w:rPr>
                <w:rFonts w:asciiTheme="minorHAnsi" w:hAnsiTheme="minorHAnsi"/>
              </w:rPr>
              <w:t xml:space="preserve">ONR will use the TSC deliverables and Expert Panel reviews to inform its NSL External Hazards Assessment and regulatory </w:t>
            </w:r>
            <w:r w:rsidR="008318B5">
              <w:rPr>
                <w:rFonts w:asciiTheme="minorHAnsi" w:hAnsiTheme="minorHAnsi"/>
              </w:rPr>
              <w:t>judg</w:t>
            </w:r>
            <w:r w:rsidRPr="00661F55">
              <w:rPr>
                <w:rFonts w:asciiTheme="minorHAnsi" w:hAnsiTheme="minorHAnsi"/>
              </w:rPr>
              <w:t>ments.</w:t>
            </w:r>
            <w:bookmarkEnd w:id="4"/>
            <w:r w:rsidRPr="00661F55">
              <w:rPr>
                <w:rFonts w:asciiTheme="minorHAnsi" w:hAnsiTheme="minorHAnsi"/>
              </w:rPr>
              <w:t xml:space="preserve"> </w:t>
            </w:r>
          </w:p>
          <w:p w:rsidR="000C51B6" w:rsidRDefault="000C51B6" w:rsidP="001650ED">
            <w:pPr>
              <w:pStyle w:val="TSNumberedParagraph11"/>
              <w:numPr>
                <w:ilvl w:val="0"/>
                <w:numId w:val="0"/>
              </w:numPr>
              <w:spacing w:after="0"/>
              <w:ind w:left="720" w:hanging="720"/>
              <w:jc w:val="both"/>
              <w:rPr>
                <w:rFonts w:asciiTheme="minorHAnsi" w:hAnsiTheme="minorHAnsi" w:cs="Arial"/>
                <w:iCs/>
                <w:u w:val="single"/>
              </w:rPr>
            </w:pPr>
          </w:p>
          <w:p w:rsidR="008F7E78" w:rsidRDefault="008F7E78" w:rsidP="001650ED">
            <w:pPr>
              <w:pStyle w:val="TSNumberedParagraph11"/>
              <w:numPr>
                <w:ilvl w:val="0"/>
                <w:numId w:val="0"/>
              </w:numPr>
              <w:spacing w:after="0"/>
              <w:ind w:left="720" w:hanging="720"/>
              <w:jc w:val="both"/>
              <w:rPr>
                <w:rFonts w:asciiTheme="minorHAnsi" w:hAnsiTheme="minorHAnsi" w:cs="Arial"/>
                <w:iCs/>
                <w:u w:val="single"/>
              </w:rPr>
            </w:pPr>
            <w:r w:rsidRPr="008F7E78">
              <w:rPr>
                <w:rFonts w:asciiTheme="minorHAnsi" w:hAnsiTheme="minorHAnsi" w:cs="Arial"/>
                <w:iCs/>
                <w:u w:val="single"/>
              </w:rPr>
              <w:t>Documentation and Assumptions</w:t>
            </w:r>
          </w:p>
          <w:p w:rsidR="008F7E78" w:rsidRPr="008F7E78" w:rsidRDefault="008F7E78" w:rsidP="001650ED">
            <w:pPr>
              <w:pStyle w:val="TSNumberedParagraph11"/>
              <w:numPr>
                <w:ilvl w:val="0"/>
                <w:numId w:val="0"/>
              </w:numPr>
              <w:spacing w:after="0"/>
              <w:ind w:left="720" w:hanging="720"/>
              <w:jc w:val="both"/>
              <w:rPr>
                <w:rFonts w:asciiTheme="minorHAnsi" w:hAnsiTheme="minorHAnsi" w:cs="Arial"/>
                <w:iCs/>
                <w:u w:val="single"/>
              </w:rPr>
            </w:pPr>
          </w:p>
          <w:p w:rsidR="00B64107" w:rsidRPr="00ED4FC9" w:rsidRDefault="000B5745" w:rsidP="001650ED">
            <w:pPr>
              <w:pStyle w:val="TSNumberedParagraph11"/>
              <w:spacing w:after="0"/>
              <w:jc w:val="both"/>
              <w:rPr>
                <w:rFonts w:asciiTheme="minorHAnsi" w:hAnsiTheme="minorHAnsi" w:cs="Arial"/>
                <w:iCs/>
              </w:rPr>
            </w:pPr>
            <w:bookmarkStart w:id="5" w:name="_Ref43461086"/>
            <w:r w:rsidRPr="00F429E7">
              <w:rPr>
                <w:rFonts w:asciiTheme="minorHAnsi" w:hAnsiTheme="minorHAnsi"/>
              </w:rPr>
              <w:t>The majority of NNB’s</w:t>
            </w:r>
            <w:r w:rsidR="00AB2865">
              <w:rPr>
                <w:rFonts w:asciiTheme="minorHAnsi" w:hAnsiTheme="minorHAnsi"/>
              </w:rPr>
              <w:t xml:space="preserve"> nuclear site licencing submissions </w:t>
            </w:r>
            <w:r w:rsidRPr="00F429E7">
              <w:rPr>
                <w:rFonts w:asciiTheme="minorHAnsi" w:hAnsiTheme="minorHAnsi"/>
              </w:rPr>
              <w:t xml:space="preserve">are planned for </w:t>
            </w:r>
            <w:r w:rsidR="00017C84">
              <w:rPr>
                <w:rFonts w:asciiTheme="minorHAnsi" w:hAnsiTheme="minorHAnsi"/>
              </w:rPr>
              <w:t xml:space="preserve">submission to ONR in </w:t>
            </w:r>
            <w:r w:rsidRPr="00F429E7">
              <w:rPr>
                <w:rFonts w:asciiTheme="minorHAnsi" w:hAnsiTheme="minorHAnsi"/>
              </w:rPr>
              <w:t>July 2020 (see Table 1). However, some hazards won’t be fully addressed until version 3 of the SDSR</w:t>
            </w:r>
            <w:r w:rsidR="00017C84">
              <w:rPr>
                <w:rFonts w:asciiTheme="minorHAnsi" w:hAnsiTheme="minorHAnsi"/>
              </w:rPr>
              <w:t>,</w:t>
            </w:r>
            <w:r w:rsidRPr="00F429E7">
              <w:rPr>
                <w:rFonts w:asciiTheme="minorHAnsi" w:hAnsiTheme="minorHAnsi"/>
              </w:rPr>
              <w:t xml:space="preserve"> which is currently scheduled for submission in May 2021</w:t>
            </w:r>
            <w:r w:rsidR="007306EE">
              <w:rPr>
                <w:rFonts w:asciiTheme="minorHAnsi" w:hAnsiTheme="minorHAnsi"/>
              </w:rPr>
              <w:t xml:space="preserve"> along with version 2 of the JSSR</w:t>
            </w:r>
            <w:r w:rsidRPr="00F429E7">
              <w:rPr>
                <w:rFonts w:asciiTheme="minorHAnsi" w:hAnsiTheme="minorHAnsi"/>
              </w:rPr>
              <w:t xml:space="preserve">. </w:t>
            </w:r>
            <w:r w:rsidR="00B1586D" w:rsidRPr="00F429E7">
              <w:rPr>
                <w:rFonts w:asciiTheme="minorHAnsi" w:hAnsiTheme="minorHAnsi"/>
              </w:rPr>
              <w:t xml:space="preserve">In addition to the planned </w:t>
            </w:r>
            <w:r w:rsidR="00B1586D" w:rsidRPr="000F16AB">
              <w:rPr>
                <w:rFonts w:asciiTheme="minorHAnsi" w:hAnsiTheme="minorHAnsi"/>
              </w:rPr>
              <w:t>submissions</w:t>
            </w:r>
            <w:r w:rsidR="004F543C" w:rsidRPr="000F16AB">
              <w:rPr>
                <w:rFonts w:asciiTheme="minorHAnsi" w:hAnsiTheme="minorHAnsi"/>
              </w:rPr>
              <w:t xml:space="preserve"> (</w:t>
            </w:r>
            <w:r w:rsidR="00A92F7C" w:rsidRPr="000F16AB">
              <w:rPr>
                <w:rFonts w:asciiTheme="minorHAnsi" w:hAnsiTheme="minorHAnsi"/>
              </w:rPr>
              <w:t>33</w:t>
            </w:r>
            <w:r w:rsidR="004F543C" w:rsidRPr="00F429E7">
              <w:rPr>
                <w:rFonts w:asciiTheme="minorHAnsi" w:hAnsiTheme="minorHAnsi"/>
              </w:rPr>
              <w:t xml:space="preserve"> references, see Table 1)</w:t>
            </w:r>
            <w:r w:rsidR="00B1586D" w:rsidRPr="00F429E7">
              <w:rPr>
                <w:rFonts w:asciiTheme="minorHAnsi" w:hAnsiTheme="minorHAnsi"/>
              </w:rPr>
              <w:t>, ONR will request further documents, as part of its sampling approach.</w:t>
            </w:r>
            <w:r w:rsidR="009B4558" w:rsidRPr="00F429E7">
              <w:rPr>
                <w:rFonts w:asciiTheme="minorHAnsi" w:hAnsiTheme="minorHAnsi"/>
              </w:rPr>
              <w:t xml:space="preserve"> </w:t>
            </w:r>
            <w:r w:rsidR="00F07209">
              <w:rPr>
                <w:rFonts w:asciiTheme="minorHAnsi" w:hAnsiTheme="minorHAnsi"/>
              </w:rPr>
              <w:t>T</w:t>
            </w:r>
            <w:r w:rsidR="00F429E7" w:rsidRPr="00F429E7">
              <w:rPr>
                <w:rFonts w:asciiTheme="minorHAnsi" w:hAnsiTheme="minorHAnsi"/>
                <w:szCs w:val="22"/>
              </w:rPr>
              <w:t xml:space="preserve">he </w:t>
            </w:r>
            <w:r w:rsidR="008318B5">
              <w:rPr>
                <w:rFonts w:asciiTheme="minorHAnsi" w:hAnsiTheme="minorHAnsi"/>
                <w:szCs w:val="22"/>
              </w:rPr>
              <w:t>TSC</w:t>
            </w:r>
            <w:r w:rsidR="00F429E7" w:rsidRPr="00F429E7">
              <w:rPr>
                <w:rFonts w:asciiTheme="minorHAnsi" w:hAnsiTheme="minorHAnsi"/>
                <w:szCs w:val="22"/>
              </w:rPr>
              <w:t>’s</w:t>
            </w:r>
            <w:r w:rsidR="00017C84">
              <w:rPr>
                <w:rFonts w:asciiTheme="minorHAnsi" w:hAnsiTheme="minorHAnsi"/>
                <w:szCs w:val="22"/>
              </w:rPr>
              <w:t xml:space="preserve"> </w:t>
            </w:r>
            <w:r w:rsidR="00F429E7" w:rsidRPr="00F429E7">
              <w:rPr>
                <w:rFonts w:asciiTheme="minorHAnsi" w:hAnsiTheme="minorHAnsi"/>
                <w:szCs w:val="22"/>
              </w:rPr>
              <w:t>review will need to consider</w:t>
            </w:r>
            <w:r w:rsidR="00F07209">
              <w:rPr>
                <w:rFonts w:asciiTheme="minorHAnsi" w:hAnsiTheme="minorHAnsi"/>
                <w:szCs w:val="22"/>
              </w:rPr>
              <w:t xml:space="preserve"> those references submitted to ONR as well as additional references</w:t>
            </w:r>
            <w:r w:rsidR="00F429E7" w:rsidRPr="00F429E7">
              <w:rPr>
                <w:rFonts w:asciiTheme="minorHAnsi" w:hAnsiTheme="minorHAnsi"/>
                <w:szCs w:val="22"/>
              </w:rPr>
              <w:t>,</w:t>
            </w:r>
            <w:r w:rsidR="00F07209">
              <w:rPr>
                <w:rFonts w:asciiTheme="minorHAnsi" w:hAnsiTheme="minorHAnsi"/>
                <w:szCs w:val="22"/>
              </w:rPr>
              <w:t xml:space="preserve"> of which</w:t>
            </w:r>
            <w:r w:rsidR="00F429E7" w:rsidRPr="00F429E7">
              <w:rPr>
                <w:rFonts w:asciiTheme="minorHAnsi" w:hAnsiTheme="minorHAnsi"/>
                <w:szCs w:val="22"/>
              </w:rPr>
              <w:t xml:space="preserve"> the number and scope are not yet known. For planning purposes assume</w:t>
            </w:r>
            <w:r w:rsidR="00B64107" w:rsidRPr="00F429E7">
              <w:rPr>
                <w:rFonts w:asciiTheme="minorHAnsi" w:hAnsiTheme="minorHAnsi"/>
              </w:rPr>
              <w:t>:</w:t>
            </w:r>
            <w:bookmarkEnd w:id="5"/>
          </w:p>
          <w:p w:rsidR="00ED4FC9" w:rsidRPr="00F429E7" w:rsidRDefault="00ED4FC9" w:rsidP="001650ED">
            <w:pPr>
              <w:pStyle w:val="TSNumberedParagraph11"/>
              <w:numPr>
                <w:ilvl w:val="0"/>
                <w:numId w:val="0"/>
              </w:numPr>
              <w:spacing w:after="0"/>
              <w:ind w:left="720"/>
              <w:jc w:val="both"/>
              <w:rPr>
                <w:rFonts w:asciiTheme="minorHAnsi" w:hAnsiTheme="minorHAnsi" w:cs="Arial"/>
                <w:iCs/>
              </w:rPr>
            </w:pPr>
          </w:p>
          <w:p w:rsidR="00F429E7" w:rsidRPr="00BA23AF" w:rsidRDefault="00F429E7" w:rsidP="001650ED">
            <w:pPr>
              <w:pStyle w:val="TSBullet1Square"/>
              <w:jc w:val="both"/>
              <w:rPr>
                <w:rFonts w:asciiTheme="minorHAnsi" w:hAnsiTheme="minorHAnsi"/>
              </w:rPr>
            </w:pPr>
            <w:r w:rsidRPr="00BA23AF">
              <w:rPr>
                <w:rFonts w:asciiTheme="minorHAnsi" w:hAnsiTheme="minorHAnsi"/>
              </w:rPr>
              <w:t>A total of 5</w:t>
            </w:r>
            <w:r w:rsidR="00B64107" w:rsidRPr="00BA23AF">
              <w:rPr>
                <w:rFonts w:asciiTheme="minorHAnsi" w:hAnsiTheme="minorHAnsi"/>
              </w:rPr>
              <w:t>0 reports</w:t>
            </w:r>
            <w:r w:rsidR="00AB2865">
              <w:rPr>
                <w:rFonts w:asciiTheme="minorHAnsi" w:hAnsiTheme="minorHAnsi"/>
              </w:rPr>
              <w:t xml:space="preserve"> (includes th</w:t>
            </w:r>
            <w:r w:rsidR="000F228B">
              <w:rPr>
                <w:rFonts w:asciiTheme="minorHAnsi" w:hAnsiTheme="minorHAnsi"/>
              </w:rPr>
              <w:t>e</w:t>
            </w:r>
            <w:r w:rsidR="0055467A">
              <w:rPr>
                <w:rFonts w:asciiTheme="minorHAnsi" w:hAnsiTheme="minorHAnsi"/>
              </w:rPr>
              <w:t xml:space="preserve"> </w:t>
            </w:r>
            <w:r w:rsidR="000F228B">
              <w:rPr>
                <w:rFonts w:asciiTheme="minorHAnsi" w:hAnsiTheme="minorHAnsi"/>
              </w:rPr>
              <w:t>33</w:t>
            </w:r>
            <w:r w:rsidR="00AB2865">
              <w:rPr>
                <w:rFonts w:asciiTheme="minorHAnsi" w:hAnsiTheme="minorHAnsi"/>
              </w:rPr>
              <w:t xml:space="preserve"> listed in Table 1</w:t>
            </w:r>
            <w:r w:rsidR="000F228B">
              <w:rPr>
                <w:rFonts w:asciiTheme="minorHAnsi" w:hAnsiTheme="minorHAnsi"/>
              </w:rPr>
              <w:t>, plus further documents for sampling</w:t>
            </w:r>
            <w:r w:rsidR="00AB2865">
              <w:rPr>
                <w:rFonts w:asciiTheme="minorHAnsi" w:hAnsiTheme="minorHAnsi"/>
              </w:rPr>
              <w:t>)</w:t>
            </w:r>
            <w:r w:rsidR="00B64107" w:rsidRPr="00BA23AF">
              <w:rPr>
                <w:rFonts w:asciiTheme="minorHAnsi" w:hAnsiTheme="minorHAnsi"/>
              </w:rPr>
              <w:t xml:space="preserve"> will be sample</w:t>
            </w:r>
            <w:r w:rsidR="00297507">
              <w:rPr>
                <w:rFonts w:asciiTheme="minorHAnsi" w:hAnsiTheme="minorHAnsi"/>
              </w:rPr>
              <w:t>d into under this scope of work</w:t>
            </w:r>
            <w:r w:rsidR="00B64107" w:rsidRPr="00BA23AF">
              <w:rPr>
                <w:rFonts w:asciiTheme="minorHAnsi" w:hAnsiTheme="minorHAnsi"/>
              </w:rPr>
              <w:t>, allow some flexibility in this assumption,</w:t>
            </w:r>
            <w:r w:rsidRPr="00BA23AF">
              <w:rPr>
                <w:rFonts w:asciiTheme="minorHAnsi" w:hAnsiTheme="minorHAnsi"/>
              </w:rPr>
              <w:t xml:space="preserve"> and note that the majority will not require extensive review. </w:t>
            </w:r>
          </w:p>
          <w:p w:rsidR="00F07209" w:rsidRPr="00BA23AF" w:rsidRDefault="00220406" w:rsidP="001650ED">
            <w:pPr>
              <w:pStyle w:val="TSBullet1Square"/>
              <w:jc w:val="both"/>
              <w:rPr>
                <w:rFonts w:asciiTheme="minorHAnsi" w:hAnsiTheme="minorHAnsi"/>
              </w:rPr>
            </w:pPr>
            <w:r>
              <w:rPr>
                <w:rFonts w:asciiTheme="minorHAnsi" w:hAnsiTheme="minorHAnsi"/>
              </w:rPr>
              <w:t xml:space="preserve">If the report length is not listed in Table 1, </w:t>
            </w:r>
            <w:r w:rsidR="006B3C42">
              <w:rPr>
                <w:rFonts w:asciiTheme="minorHAnsi" w:hAnsiTheme="minorHAnsi"/>
              </w:rPr>
              <w:t>t</w:t>
            </w:r>
            <w:r w:rsidR="00F07209" w:rsidRPr="00BA23AF">
              <w:rPr>
                <w:rFonts w:asciiTheme="minorHAnsi" w:hAnsiTheme="minorHAnsi"/>
              </w:rPr>
              <w:t>hat</w:t>
            </w:r>
            <w:r w:rsidR="006B3C42">
              <w:rPr>
                <w:rFonts w:asciiTheme="minorHAnsi" w:hAnsiTheme="minorHAnsi"/>
              </w:rPr>
              <w:t xml:space="preserve"> the</w:t>
            </w:r>
            <w:r w:rsidR="00F07209" w:rsidRPr="00BA23AF">
              <w:rPr>
                <w:rFonts w:asciiTheme="minorHAnsi" w:hAnsiTheme="minorHAnsi"/>
              </w:rPr>
              <w:t xml:space="preserve"> report is </w:t>
            </w:r>
            <w:r>
              <w:rPr>
                <w:rFonts w:asciiTheme="minorHAnsi" w:hAnsiTheme="minorHAnsi"/>
              </w:rPr>
              <w:t>1</w:t>
            </w:r>
            <w:r w:rsidR="00507AEA">
              <w:rPr>
                <w:rFonts w:asciiTheme="minorHAnsi" w:hAnsiTheme="minorHAnsi"/>
              </w:rPr>
              <w:t>0</w:t>
            </w:r>
            <w:r>
              <w:rPr>
                <w:rFonts w:asciiTheme="minorHAnsi" w:hAnsiTheme="minorHAnsi"/>
              </w:rPr>
              <w:t>0</w:t>
            </w:r>
            <w:r w:rsidR="00F07209" w:rsidRPr="00BA23AF">
              <w:rPr>
                <w:rFonts w:asciiTheme="minorHAnsi" w:hAnsiTheme="minorHAnsi"/>
              </w:rPr>
              <w:t xml:space="preserve"> pages in length. Th</w:t>
            </w:r>
            <w:r w:rsidR="000F16AB" w:rsidRPr="00BA23AF">
              <w:rPr>
                <w:rFonts w:asciiTheme="minorHAnsi" w:hAnsiTheme="minorHAnsi"/>
              </w:rPr>
              <w:t>is</w:t>
            </w:r>
            <w:r w:rsidR="00F07209" w:rsidRPr="00BA23AF">
              <w:rPr>
                <w:rFonts w:asciiTheme="minorHAnsi" w:hAnsiTheme="minorHAnsi"/>
              </w:rPr>
              <w:t xml:space="preserve"> should be used in estimating the amount of effort and resource required to complete the task. </w:t>
            </w:r>
          </w:p>
          <w:p w:rsidR="00B64107" w:rsidRPr="00F07209" w:rsidRDefault="00F429E7" w:rsidP="001650ED">
            <w:pPr>
              <w:pStyle w:val="TSBullet1Square"/>
              <w:jc w:val="both"/>
              <w:rPr>
                <w:rFonts w:asciiTheme="minorHAnsi" w:hAnsiTheme="minorHAnsi"/>
              </w:rPr>
            </w:pPr>
            <w:r w:rsidRPr="00F07209">
              <w:rPr>
                <w:rFonts w:asciiTheme="minorHAnsi" w:hAnsiTheme="minorHAnsi"/>
              </w:rPr>
              <w:t>That an</w:t>
            </w:r>
            <w:r w:rsidR="00B64107" w:rsidRPr="00F07209">
              <w:rPr>
                <w:rFonts w:asciiTheme="minorHAnsi" w:hAnsiTheme="minorHAnsi"/>
              </w:rPr>
              <w:t xml:space="preserve"> Independent Peer Review (IPR) report</w:t>
            </w:r>
            <w:r w:rsidRPr="00F07209">
              <w:rPr>
                <w:rFonts w:asciiTheme="minorHAnsi" w:hAnsiTheme="minorHAnsi"/>
              </w:rPr>
              <w:t xml:space="preserve"> </w:t>
            </w:r>
            <w:r w:rsidR="00AB2865">
              <w:rPr>
                <w:rFonts w:asciiTheme="minorHAnsi" w:hAnsiTheme="minorHAnsi"/>
              </w:rPr>
              <w:t xml:space="preserve">relating to the SDSR </w:t>
            </w:r>
            <w:r w:rsidRPr="00F07209">
              <w:rPr>
                <w:rFonts w:asciiTheme="minorHAnsi" w:hAnsiTheme="minorHAnsi"/>
              </w:rPr>
              <w:t>will be included in the total number of documents reviewed</w:t>
            </w:r>
            <w:r w:rsidR="00B64107" w:rsidRPr="00F07209">
              <w:rPr>
                <w:rFonts w:asciiTheme="minorHAnsi" w:hAnsiTheme="minorHAnsi"/>
              </w:rPr>
              <w:t xml:space="preserve">.  </w:t>
            </w:r>
          </w:p>
          <w:p w:rsidR="00B41E08" w:rsidRDefault="00AD65F2" w:rsidP="001650ED">
            <w:pPr>
              <w:pStyle w:val="TSBullet1Square"/>
              <w:jc w:val="both"/>
              <w:rPr>
                <w:rFonts w:asciiTheme="minorHAnsi" w:hAnsiTheme="minorHAnsi"/>
              </w:rPr>
            </w:pPr>
            <w:r>
              <w:rPr>
                <w:rFonts w:asciiTheme="minorHAnsi" w:hAnsiTheme="minorHAnsi"/>
              </w:rPr>
              <w:t>T</w:t>
            </w:r>
            <w:r w:rsidR="00B41E08" w:rsidRPr="00F07209">
              <w:rPr>
                <w:rFonts w:asciiTheme="minorHAnsi" w:hAnsiTheme="minorHAnsi"/>
              </w:rPr>
              <w:t xml:space="preserve">hat </w:t>
            </w:r>
            <w:r w:rsidR="00F07209" w:rsidRPr="00F07209">
              <w:rPr>
                <w:rFonts w:asciiTheme="minorHAnsi" w:hAnsiTheme="minorHAnsi"/>
              </w:rPr>
              <w:t xml:space="preserve">any </w:t>
            </w:r>
            <w:r w:rsidR="00B41E08" w:rsidRPr="00F07209">
              <w:rPr>
                <w:rFonts w:asciiTheme="minorHAnsi" w:hAnsiTheme="minorHAnsi"/>
              </w:rPr>
              <w:t xml:space="preserve">references or supporting information can be provided by </w:t>
            </w:r>
            <w:r w:rsidR="00F07209" w:rsidRPr="00F07209">
              <w:rPr>
                <w:rFonts w:asciiTheme="minorHAnsi" w:hAnsiTheme="minorHAnsi"/>
              </w:rPr>
              <w:t>NNB</w:t>
            </w:r>
            <w:r w:rsidR="00B41E08" w:rsidRPr="00F07209">
              <w:rPr>
                <w:rFonts w:asciiTheme="minorHAnsi" w:hAnsiTheme="minorHAnsi"/>
              </w:rPr>
              <w:t xml:space="preserve"> within 3 weeks of </w:t>
            </w:r>
            <w:r w:rsidR="00AA6449">
              <w:rPr>
                <w:rFonts w:asciiTheme="minorHAnsi" w:hAnsiTheme="minorHAnsi"/>
              </w:rPr>
              <w:t>ONR requesting the documentation</w:t>
            </w:r>
            <w:r w:rsidR="00B41E08" w:rsidRPr="00F07209">
              <w:rPr>
                <w:rFonts w:asciiTheme="minorHAnsi" w:hAnsiTheme="minorHAnsi"/>
              </w:rPr>
              <w:t>.</w:t>
            </w:r>
          </w:p>
          <w:p w:rsidR="00F2181B" w:rsidRPr="00F2181B" w:rsidRDefault="00F2181B" w:rsidP="001650ED">
            <w:pPr>
              <w:pStyle w:val="TSBullet1Square"/>
              <w:jc w:val="both"/>
              <w:rPr>
                <w:rFonts w:asciiTheme="minorHAnsi" w:hAnsiTheme="minorHAnsi"/>
              </w:rPr>
            </w:pPr>
            <w:r w:rsidRPr="00F2181B">
              <w:rPr>
                <w:rFonts w:asciiTheme="minorHAnsi" w:hAnsiTheme="minorHAnsi"/>
              </w:rPr>
              <w:t>All documentation is in English</w:t>
            </w:r>
            <w:r>
              <w:rPr>
                <w:rFonts w:asciiTheme="minorHAnsi" w:hAnsiTheme="minorHAnsi"/>
              </w:rPr>
              <w:t>.</w:t>
            </w:r>
          </w:p>
          <w:p w:rsidR="00F2181B" w:rsidRDefault="00F2181B" w:rsidP="001650ED">
            <w:pPr>
              <w:pStyle w:val="TSBullet1Square"/>
              <w:jc w:val="both"/>
              <w:rPr>
                <w:rFonts w:asciiTheme="minorHAnsi" w:hAnsiTheme="minorHAnsi"/>
              </w:rPr>
            </w:pPr>
            <w:r w:rsidRPr="00F2181B">
              <w:rPr>
                <w:rFonts w:asciiTheme="minorHAnsi" w:hAnsiTheme="minorHAnsi"/>
              </w:rPr>
              <w:t>All documentation has completed NNB governance process when submitted</w:t>
            </w:r>
            <w:r>
              <w:rPr>
                <w:rFonts w:asciiTheme="minorHAnsi" w:hAnsiTheme="minorHAnsi"/>
              </w:rPr>
              <w:t>.</w:t>
            </w:r>
          </w:p>
          <w:p w:rsidR="00306D25" w:rsidRPr="00EA0720" w:rsidRDefault="00306D25" w:rsidP="001650ED">
            <w:pPr>
              <w:pStyle w:val="TSBullet1Square"/>
              <w:jc w:val="both"/>
              <w:rPr>
                <w:rFonts w:asciiTheme="minorHAnsi" w:hAnsiTheme="minorHAnsi"/>
              </w:rPr>
            </w:pPr>
            <w:r w:rsidRPr="00EA0720">
              <w:rPr>
                <w:rFonts w:asciiTheme="minorHAnsi" w:hAnsiTheme="minorHAnsi"/>
              </w:rPr>
              <w:t>Malicious aircraft crash is out of scope for this tender.</w:t>
            </w:r>
          </w:p>
          <w:p w:rsidR="00957247" w:rsidRDefault="007306EE" w:rsidP="001650ED">
            <w:pPr>
              <w:pStyle w:val="TSBullet1Square"/>
              <w:jc w:val="both"/>
              <w:rPr>
                <w:rFonts w:asciiTheme="minorHAnsi" w:hAnsiTheme="minorHAnsi"/>
              </w:rPr>
            </w:pPr>
            <w:r>
              <w:rPr>
                <w:rFonts w:asciiTheme="minorHAnsi" w:hAnsiTheme="minorHAnsi"/>
              </w:rPr>
              <w:t>That due to the short timescales, t</w:t>
            </w:r>
            <w:r w:rsidRPr="007306EE">
              <w:rPr>
                <w:rFonts w:asciiTheme="minorHAnsi" w:hAnsiTheme="minorHAnsi"/>
              </w:rPr>
              <w:t>his scope of work does not include review of JSSR v.2 and SDSR v.3</w:t>
            </w:r>
            <w:r>
              <w:rPr>
                <w:rFonts w:asciiTheme="minorHAnsi" w:hAnsiTheme="minorHAnsi"/>
              </w:rPr>
              <w:t>.</w:t>
            </w:r>
            <w:r w:rsidR="00957247">
              <w:rPr>
                <w:rFonts w:asciiTheme="minorHAnsi" w:hAnsiTheme="minorHAnsi"/>
              </w:rPr>
              <w:t xml:space="preserve"> </w:t>
            </w:r>
          </w:p>
          <w:p w:rsidR="007C096F" w:rsidRPr="007C096F" w:rsidRDefault="007C096F" w:rsidP="001650ED">
            <w:pPr>
              <w:pStyle w:val="TSNumberedParagraph11"/>
              <w:numPr>
                <w:ilvl w:val="0"/>
                <w:numId w:val="0"/>
              </w:numPr>
              <w:jc w:val="both"/>
              <w:rPr>
                <w:rFonts w:asciiTheme="minorHAnsi" w:hAnsiTheme="minorHAnsi"/>
                <w:u w:val="single"/>
              </w:rPr>
            </w:pPr>
            <w:bookmarkStart w:id="6" w:name="_Ref437521862"/>
            <w:r w:rsidRPr="007C096F">
              <w:rPr>
                <w:rFonts w:asciiTheme="minorHAnsi" w:hAnsiTheme="minorHAnsi"/>
                <w:u w:val="single"/>
              </w:rPr>
              <w:t>Specific tasks for the project</w:t>
            </w:r>
          </w:p>
          <w:p w:rsidR="00F2181B" w:rsidRPr="00F2181B" w:rsidRDefault="008011D9" w:rsidP="001650ED">
            <w:pPr>
              <w:pStyle w:val="TSNumberedParagraph11"/>
              <w:jc w:val="both"/>
              <w:rPr>
                <w:rFonts w:asciiTheme="minorHAnsi" w:hAnsiTheme="minorHAnsi"/>
                <w:b/>
                <w:szCs w:val="22"/>
              </w:rPr>
            </w:pPr>
            <w:r w:rsidRPr="003F72D7">
              <w:rPr>
                <w:rFonts w:asciiTheme="minorHAnsi" w:hAnsiTheme="minorHAnsi"/>
                <w:b/>
                <w:szCs w:val="22"/>
              </w:rPr>
              <w:t>Task</w:t>
            </w:r>
            <w:r w:rsidR="007C096F" w:rsidRPr="003F72D7">
              <w:rPr>
                <w:rFonts w:asciiTheme="minorHAnsi" w:hAnsiTheme="minorHAnsi"/>
                <w:b/>
                <w:szCs w:val="22"/>
              </w:rPr>
              <w:t xml:space="preserve"> 1</w:t>
            </w:r>
            <w:bookmarkEnd w:id="6"/>
            <w:r w:rsidRPr="003F72D7">
              <w:rPr>
                <w:rFonts w:asciiTheme="minorHAnsi" w:hAnsiTheme="minorHAnsi"/>
                <w:szCs w:val="22"/>
              </w:rPr>
              <w:t xml:space="preserve"> </w:t>
            </w:r>
            <w:r w:rsidR="00F2181B" w:rsidRPr="00F2181B">
              <w:rPr>
                <w:rFonts w:asciiTheme="minorHAnsi" w:hAnsiTheme="minorHAnsi"/>
                <w:b/>
                <w:szCs w:val="22"/>
              </w:rPr>
              <w:t xml:space="preserve">– </w:t>
            </w:r>
            <w:r w:rsidR="004E03CD">
              <w:rPr>
                <w:rFonts w:asciiTheme="minorHAnsi" w:hAnsiTheme="minorHAnsi"/>
                <w:b/>
                <w:szCs w:val="22"/>
              </w:rPr>
              <w:t xml:space="preserve">Familiarisation and </w:t>
            </w:r>
            <w:r w:rsidR="00F2181B" w:rsidRPr="00F2181B">
              <w:rPr>
                <w:rFonts w:asciiTheme="minorHAnsi" w:hAnsiTheme="minorHAnsi"/>
                <w:b/>
                <w:szCs w:val="22"/>
              </w:rPr>
              <w:t>Gap Analysis</w:t>
            </w:r>
            <w:r w:rsidR="00F2181B">
              <w:rPr>
                <w:rFonts w:asciiTheme="minorHAnsi" w:hAnsiTheme="minorHAnsi"/>
                <w:b/>
                <w:szCs w:val="22"/>
              </w:rPr>
              <w:t xml:space="preserve"> of</w:t>
            </w:r>
            <w:r w:rsidR="00F2181B" w:rsidRPr="00F2181B">
              <w:rPr>
                <w:rFonts w:asciiTheme="minorHAnsi" w:hAnsiTheme="minorHAnsi"/>
                <w:b/>
                <w:szCs w:val="22"/>
              </w:rPr>
              <w:t xml:space="preserve"> all external hazards</w:t>
            </w:r>
          </w:p>
          <w:p w:rsidR="007C096F" w:rsidRPr="003F72D7" w:rsidRDefault="009D7FE9" w:rsidP="001650ED">
            <w:pPr>
              <w:pStyle w:val="TSNumberedParagraph11"/>
              <w:numPr>
                <w:ilvl w:val="0"/>
                <w:numId w:val="0"/>
              </w:numPr>
              <w:ind w:left="720"/>
              <w:jc w:val="both"/>
              <w:rPr>
                <w:rFonts w:asciiTheme="minorHAnsi" w:hAnsiTheme="minorHAnsi"/>
                <w:szCs w:val="22"/>
              </w:rPr>
            </w:pPr>
            <w:r>
              <w:rPr>
                <w:rFonts w:asciiTheme="minorHAnsi" w:hAnsiTheme="minorHAnsi" w:cs="Arial"/>
                <w:iCs/>
                <w:szCs w:val="22"/>
              </w:rPr>
              <w:t>Conduct a high-level review of</w:t>
            </w:r>
            <w:r w:rsidR="007C096F" w:rsidRPr="003F72D7">
              <w:rPr>
                <w:rFonts w:asciiTheme="minorHAnsi" w:hAnsiTheme="minorHAnsi" w:cs="Arial"/>
                <w:iCs/>
                <w:szCs w:val="22"/>
              </w:rPr>
              <w:t xml:space="preserve"> the </w:t>
            </w:r>
            <w:r w:rsidR="008011D9" w:rsidRPr="003F72D7">
              <w:rPr>
                <w:rFonts w:asciiTheme="minorHAnsi" w:hAnsiTheme="minorHAnsi" w:cs="Arial"/>
                <w:iCs/>
                <w:szCs w:val="22"/>
              </w:rPr>
              <w:t xml:space="preserve">Sizewell C </w:t>
            </w:r>
            <w:r w:rsidR="007C096F" w:rsidRPr="003F72D7">
              <w:rPr>
                <w:rFonts w:asciiTheme="minorHAnsi" w:hAnsiTheme="minorHAnsi" w:cs="Arial"/>
                <w:iCs/>
                <w:szCs w:val="22"/>
              </w:rPr>
              <w:t xml:space="preserve">hazards analysis </w:t>
            </w:r>
            <w:r w:rsidR="007C096F" w:rsidRPr="000B742F">
              <w:rPr>
                <w:rFonts w:asciiTheme="minorHAnsi" w:hAnsiTheme="minorHAnsi" w:cs="Arial"/>
                <w:iCs/>
                <w:szCs w:val="22"/>
              </w:rPr>
              <w:t xml:space="preserve">and IPR documents </w:t>
            </w:r>
            <w:r w:rsidR="000B742F" w:rsidRPr="000B742F">
              <w:rPr>
                <w:rFonts w:asciiTheme="minorHAnsi" w:hAnsiTheme="minorHAnsi" w:cs="Arial"/>
                <w:iCs/>
                <w:szCs w:val="22"/>
              </w:rPr>
              <w:t xml:space="preserve">(initial list provided in </w:t>
            </w:r>
            <w:r w:rsidR="007C096F" w:rsidRPr="000B742F">
              <w:rPr>
                <w:rFonts w:asciiTheme="minorHAnsi" w:hAnsiTheme="minorHAnsi" w:cs="Arial"/>
                <w:iCs/>
                <w:szCs w:val="22"/>
              </w:rPr>
              <w:t>Table</w:t>
            </w:r>
            <w:r w:rsidR="000B742F" w:rsidRPr="000B742F">
              <w:rPr>
                <w:rFonts w:asciiTheme="minorHAnsi" w:hAnsiTheme="minorHAnsi" w:cs="Arial"/>
                <w:iCs/>
                <w:szCs w:val="22"/>
              </w:rPr>
              <w:t xml:space="preserve"> 1)</w:t>
            </w:r>
            <w:r w:rsidR="000B742F">
              <w:rPr>
                <w:rFonts w:asciiTheme="minorHAnsi" w:hAnsiTheme="minorHAnsi" w:cs="Arial"/>
                <w:iCs/>
                <w:szCs w:val="22"/>
              </w:rPr>
              <w:t xml:space="preserve"> </w:t>
            </w:r>
            <w:r w:rsidR="007C096F" w:rsidRPr="003F72D7">
              <w:rPr>
                <w:rFonts w:asciiTheme="minorHAnsi" w:hAnsiTheme="minorHAnsi" w:cs="Arial"/>
                <w:iCs/>
                <w:szCs w:val="22"/>
              </w:rPr>
              <w:t xml:space="preserve">and identify areas </w:t>
            </w:r>
            <w:r w:rsidR="007C096F" w:rsidRPr="00A501D3">
              <w:rPr>
                <w:rFonts w:asciiTheme="minorHAnsi" w:hAnsiTheme="minorHAnsi" w:cs="Arial"/>
                <w:iCs/>
                <w:szCs w:val="22"/>
              </w:rPr>
              <w:t xml:space="preserve">where the approach adopted differs from the expectations in </w:t>
            </w:r>
            <w:r w:rsidR="00ED4FC9">
              <w:rPr>
                <w:rFonts w:asciiTheme="minorHAnsi" w:hAnsiTheme="minorHAnsi" w:cs="Arial"/>
                <w:iCs/>
                <w:szCs w:val="22"/>
              </w:rPr>
              <w:t xml:space="preserve">the </w:t>
            </w:r>
            <w:r w:rsidR="00ED4FC9" w:rsidRPr="00ED4FC9">
              <w:rPr>
                <w:rFonts w:asciiTheme="minorHAnsi" w:hAnsiTheme="minorHAnsi" w:cs="Arial"/>
                <w:iCs/>
                <w:szCs w:val="22"/>
              </w:rPr>
              <w:t xml:space="preserve">External Hazards Technical </w:t>
            </w:r>
            <w:r w:rsidR="00ED4FC9" w:rsidRPr="0087569D">
              <w:rPr>
                <w:rFonts w:asciiTheme="minorHAnsi" w:hAnsiTheme="minorHAnsi" w:cs="Arial"/>
                <w:iCs/>
                <w:szCs w:val="22"/>
              </w:rPr>
              <w:t>Assessment Guide (TAG 13) [</w:t>
            </w:r>
            <w:r w:rsidR="0087569D" w:rsidRPr="0087569D">
              <w:rPr>
                <w:rFonts w:asciiTheme="minorHAnsi" w:hAnsiTheme="minorHAnsi" w:cs="Arial"/>
                <w:iCs/>
                <w:szCs w:val="22"/>
              </w:rPr>
              <w:t>2</w:t>
            </w:r>
            <w:r w:rsidR="00ED4FC9" w:rsidRPr="0087569D">
              <w:rPr>
                <w:rFonts w:asciiTheme="minorHAnsi" w:hAnsiTheme="minorHAnsi" w:cs="Arial"/>
                <w:iCs/>
                <w:szCs w:val="22"/>
              </w:rPr>
              <w:t>] and the Safety Assessment Principles [</w:t>
            </w:r>
            <w:r w:rsidR="0087569D" w:rsidRPr="0087569D">
              <w:rPr>
                <w:rFonts w:asciiTheme="minorHAnsi" w:hAnsiTheme="minorHAnsi" w:cs="Arial"/>
                <w:iCs/>
                <w:szCs w:val="22"/>
              </w:rPr>
              <w:t>3</w:t>
            </w:r>
            <w:r w:rsidR="00ED4FC9" w:rsidRPr="0087569D">
              <w:rPr>
                <w:rFonts w:asciiTheme="minorHAnsi" w:hAnsiTheme="minorHAnsi" w:cs="Arial"/>
                <w:iCs/>
                <w:szCs w:val="22"/>
              </w:rPr>
              <w:t xml:space="preserve">] </w:t>
            </w:r>
            <w:r w:rsidR="007C096F" w:rsidRPr="0087569D">
              <w:rPr>
                <w:rFonts w:asciiTheme="minorHAnsi" w:hAnsiTheme="minorHAnsi" w:cs="Arial"/>
                <w:iCs/>
                <w:szCs w:val="22"/>
              </w:rPr>
              <w:t xml:space="preserve">and/or other </w:t>
            </w:r>
            <w:r w:rsidR="008318B5" w:rsidRPr="0087569D">
              <w:rPr>
                <w:rFonts w:asciiTheme="minorHAnsi" w:hAnsiTheme="minorHAnsi" w:cs="Arial"/>
                <w:iCs/>
                <w:szCs w:val="22"/>
              </w:rPr>
              <w:t>R</w:t>
            </w:r>
            <w:r w:rsidR="007C096F" w:rsidRPr="0087569D">
              <w:rPr>
                <w:rFonts w:asciiTheme="minorHAnsi" w:hAnsiTheme="minorHAnsi" w:cs="Arial"/>
                <w:iCs/>
                <w:szCs w:val="22"/>
              </w:rPr>
              <w:t xml:space="preserve">elevant </w:t>
            </w:r>
            <w:r w:rsidR="008318B5" w:rsidRPr="0087569D">
              <w:rPr>
                <w:rFonts w:asciiTheme="minorHAnsi" w:hAnsiTheme="minorHAnsi" w:cs="Arial"/>
                <w:iCs/>
                <w:szCs w:val="22"/>
              </w:rPr>
              <w:t>G</w:t>
            </w:r>
            <w:r w:rsidR="007C096F" w:rsidRPr="0087569D">
              <w:rPr>
                <w:rFonts w:asciiTheme="minorHAnsi" w:hAnsiTheme="minorHAnsi" w:cs="Arial"/>
                <w:iCs/>
                <w:szCs w:val="22"/>
              </w:rPr>
              <w:t xml:space="preserve">ood </w:t>
            </w:r>
            <w:r w:rsidR="008318B5" w:rsidRPr="0087569D">
              <w:rPr>
                <w:rFonts w:asciiTheme="minorHAnsi" w:hAnsiTheme="minorHAnsi" w:cs="Arial"/>
                <w:iCs/>
                <w:szCs w:val="22"/>
              </w:rPr>
              <w:t>P</w:t>
            </w:r>
            <w:r w:rsidR="007C096F" w:rsidRPr="0087569D">
              <w:rPr>
                <w:rFonts w:asciiTheme="minorHAnsi" w:hAnsiTheme="minorHAnsi" w:cs="Arial"/>
                <w:iCs/>
                <w:szCs w:val="22"/>
              </w:rPr>
              <w:t>ractice</w:t>
            </w:r>
            <w:r w:rsidR="007C096F" w:rsidRPr="00A501D3">
              <w:rPr>
                <w:rFonts w:asciiTheme="minorHAnsi" w:hAnsiTheme="minorHAnsi" w:cs="Arial"/>
                <w:iCs/>
                <w:szCs w:val="22"/>
              </w:rPr>
              <w:t>.</w:t>
            </w:r>
            <w:r w:rsidR="00ED4FC9">
              <w:t xml:space="preserve"> </w:t>
            </w:r>
          </w:p>
          <w:p w:rsidR="007C096F" w:rsidRPr="003F72D7" w:rsidRDefault="007C096F" w:rsidP="001650ED">
            <w:pPr>
              <w:pStyle w:val="Header"/>
              <w:tabs>
                <w:tab w:val="left" w:pos="720"/>
              </w:tabs>
              <w:spacing w:before="120" w:after="120"/>
              <w:ind w:left="709"/>
              <w:jc w:val="both"/>
              <w:rPr>
                <w:rFonts w:asciiTheme="minorHAnsi" w:hAnsiTheme="minorHAnsi" w:cs="Arial"/>
                <w:iCs/>
                <w:szCs w:val="22"/>
              </w:rPr>
            </w:pPr>
            <w:r w:rsidRPr="003F72D7">
              <w:rPr>
                <w:rFonts w:asciiTheme="minorHAnsi" w:hAnsiTheme="minorHAnsi" w:cs="Arial"/>
                <w:iCs/>
                <w:szCs w:val="22"/>
              </w:rPr>
              <w:t>Task 1 assessment summary:</w:t>
            </w:r>
          </w:p>
          <w:p w:rsidR="007C096F" w:rsidRPr="00220E16" w:rsidRDefault="007C096F" w:rsidP="001650ED">
            <w:pPr>
              <w:pStyle w:val="TSBullet1Square"/>
              <w:spacing w:after="0"/>
              <w:jc w:val="both"/>
              <w:rPr>
                <w:rFonts w:asciiTheme="minorHAnsi" w:hAnsiTheme="minorHAnsi"/>
                <w:szCs w:val="22"/>
              </w:rPr>
            </w:pPr>
            <w:r w:rsidRPr="00220E16">
              <w:rPr>
                <w:rFonts w:asciiTheme="minorHAnsi" w:hAnsiTheme="minorHAnsi"/>
                <w:szCs w:val="22"/>
              </w:rPr>
              <w:t xml:space="preserve">Technical assessment of the </w:t>
            </w:r>
            <w:r w:rsidR="008011D9" w:rsidRPr="00220E16">
              <w:rPr>
                <w:rFonts w:asciiTheme="minorHAnsi" w:hAnsiTheme="minorHAnsi"/>
                <w:szCs w:val="22"/>
              </w:rPr>
              <w:t>Sizewell C</w:t>
            </w:r>
            <w:r w:rsidRPr="00220E16">
              <w:rPr>
                <w:rFonts w:asciiTheme="minorHAnsi" w:hAnsiTheme="minorHAnsi"/>
                <w:szCs w:val="22"/>
              </w:rPr>
              <w:t xml:space="preserve"> hazards analysis and IPR documents </w:t>
            </w:r>
            <w:r w:rsidR="00220E16" w:rsidRPr="00220E16">
              <w:rPr>
                <w:rFonts w:asciiTheme="minorHAnsi" w:hAnsiTheme="minorHAnsi" w:cs="Arial"/>
                <w:iCs/>
                <w:szCs w:val="22"/>
              </w:rPr>
              <w:t>(initial list provided in Table 1)</w:t>
            </w:r>
            <w:r w:rsidRPr="00220E16">
              <w:rPr>
                <w:rFonts w:asciiTheme="minorHAnsi" w:hAnsiTheme="minorHAnsi"/>
                <w:szCs w:val="22"/>
              </w:rPr>
              <w:t>.</w:t>
            </w:r>
            <w:r w:rsidR="008011D9" w:rsidRPr="00220E16">
              <w:rPr>
                <w:rFonts w:asciiTheme="minorHAnsi" w:hAnsiTheme="minorHAnsi"/>
                <w:szCs w:val="22"/>
              </w:rPr>
              <w:t xml:space="preserve"> A</w:t>
            </w:r>
            <w:r w:rsidRPr="00220E16">
              <w:rPr>
                <w:rFonts w:asciiTheme="minorHAnsi" w:hAnsiTheme="minorHAnsi" w:cs="Arial"/>
                <w:iCs/>
                <w:szCs w:val="22"/>
              </w:rPr>
              <w:t>ssume:</w:t>
            </w:r>
          </w:p>
          <w:p w:rsidR="007C096F" w:rsidRPr="00C62335" w:rsidRDefault="008011D9" w:rsidP="001650ED">
            <w:pPr>
              <w:pStyle w:val="TSBullet2Circle"/>
              <w:jc w:val="both"/>
              <w:rPr>
                <w:rFonts w:asciiTheme="minorHAnsi" w:hAnsiTheme="minorHAnsi"/>
              </w:rPr>
            </w:pPr>
            <w:r w:rsidRPr="00C62335">
              <w:rPr>
                <w:rFonts w:asciiTheme="minorHAnsi" w:hAnsiTheme="minorHAnsi"/>
              </w:rPr>
              <w:t>One</w:t>
            </w:r>
            <w:r w:rsidR="007C096F" w:rsidRPr="00C62335">
              <w:rPr>
                <w:rFonts w:asciiTheme="minorHAnsi" w:hAnsiTheme="minorHAnsi"/>
              </w:rPr>
              <w:t xml:space="preserve"> project kick off meeting with ONR </w:t>
            </w:r>
            <w:r w:rsidRPr="00C62335">
              <w:rPr>
                <w:rFonts w:asciiTheme="minorHAnsi" w:hAnsiTheme="minorHAnsi"/>
              </w:rPr>
              <w:t>P</w:t>
            </w:r>
            <w:r w:rsidR="007C096F" w:rsidRPr="00C62335">
              <w:rPr>
                <w:rFonts w:asciiTheme="minorHAnsi" w:hAnsiTheme="minorHAnsi"/>
              </w:rPr>
              <w:t xml:space="preserve">roject </w:t>
            </w:r>
            <w:r w:rsidRPr="00C62335">
              <w:rPr>
                <w:rFonts w:asciiTheme="minorHAnsi" w:hAnsiTheme="minorHAnsi"/>
              </w:rPr>
              <w:t>O</w:t>
            </w:r>
            <w:r w:rsidR="007C096F" w:rsidRPr="00C62335">
              <w:rPr>
                <w:rFonts w:asciiTheme="minorHAnsi" w:hAnsiTheme="minorHAnsi"/>
              </w:rPr>
              <w:t>fficer</w:t>
            </w:r>
            <w:r w:rsidRPr="00C62335">
              <w:rPr>
                <w:rFonts w:asciiTheme="minorHAnsi" w:hAnsiTheme="minorHAnsi"/>
              </w:rPr>
              <w:t>. Given the current COVID-19 situation, assume that the meeting will be held remotely</w:t>
            </w:r>
            <w:r w:rsidR="001C02F1">
              <w:rPr>
                <w:rFonts w:asciiTheme="minorHAnsi" w:hAnsiTheme="minorHAnsi"/>
              </w:rPr>
              <w:t>*</w:t>
            </w:r>
            <w:r w:rsidRPr="00C62335">
              <w:rPr>
                <w:rFonts w:asciiTheme="minorHAnsi" w:hAnsiTheme="minorHAnsi"/>
              </w:rPr>
              <w:t xml:space="preserve">. </w:t>
            </w:r>
            <w:r w:rsidR="007C096F" w:rsidRPr="00C62335">
              <w:rPr>
                <w:rFonts w:asciiTheme="minorHAnsi" w:hAnsiTheme="minorHAnsi"/>
              </w:rPr>
              <w:t xml:space="preserve"> </w:t>
            </w:r>
          </w:p>
          <w:p w:rsidR="007C096F" w:rsidRPr="00C62335" w:rsidRDefault="008011D9" w:rsidP="001650ED">
            <w:pPr>
              <w:pStyle w:val="TSBullet2Circle"/>
              <w:spacing w:after="0"/>
              <w:jc w:val="both"/>
              <w:rPr>
                <w:rFonts w:asciiTheme="minorHAnsi" w:hAnsiTheme="minorHAnsi"/>
              </w:rPr>
            </w:pPr>
            <w:r w:rsidRPr="00C62335">
              <w:rPr>
                <w:rFonts w:asciiTheme="minorHAnsi" w:hAnsiTheme="minorHAnsi"/>
              </w:rPr>
              <w:t>M</w:t>
            </w:r>
            <w:r w:rsidR="007C096F" w:rsidRPr="00C62335">
              <w:rPr>
                <w:rFonts w:asciiTheme="minorHAnsi" w:hAnsiTheme="minorHAnsi"/>
              </w:rPr>
              <w:t>ont</w:t>
            </w:r>
            <w:r w:rsidRPr="00C62335">
              <w:rPr>
                <w:rFonts w:asciiTheme="minorHAnsi" w:hAnsiTheme="minorHAnsi"/>
              </w:rPr>
              <w:t>hly progress meetings with ONR P</w:t>
            </w:r>
            <w:r w:rsidR="007C096F" w:rsidRPr="00C62335">
              <w:rPr>
                <w:rFonts w:asciiTheme="minorHAnsi" w:hAnsiTheme="minorHAnsi"/>
              </w:rPr>
              <w:t xml:space="preserve">roject </w:t>
            </w:r>
            <w:r w:rsidRPr="00C62335">
              <w:rPr>
                <w:rFonts w:asciiTheme="minorHAnsi" w:hAnsiTheme="minorHAnsi"/>
              </w:rPr>
              <w:t>O</w:t>
            </w:r>
            <w:r w:rsidR="007C096F" w:rsidRPr="00C62335">
              <w:rPr>
                <w:rFonts w:asciiTheme="minorHAnsi" w:hAnsiTheme="minorHAnsi"/>
              </w:rPr>
              <w:t>fficer</w:t>
            </w:r>
            <w:r w:rsidR="00C62335" w:rsidRPr="00C62335">
              <w:rPr>
                <w:rFonts w:asciiTheme="minorHAnsi" w:hAnsiTheme="minorHAnsi"/>
              </w:rPr>
              <w:t xml:space="preserve">. </w:t>
            </w:r>
            <w:r w:rsidRPr="00C62335">
              <w:rPr>
                <w:rFonts w:asciiTheme="minorHAnsi" w:hAnsiTheme="minorHAnsi"/>
              </w:rPr>
              <w:t xml:space="preserve">Assume that the meetings will be held remotely until 2021 </w:t>
            </w:r>
            <w:r w:rsidR="00C62335" w:rsidRPr="00C62335">
              <w:rPr>
                <w:rFonts w:asciiTheme="minorHAnsi" w:hAnsiTheme="minorHAnsi"/>
              </w:rPr>
              <w:t>and</w:t>
            </w:r>
            <w:r w:rsidRPr="00C62335">
              <w:rPr>
                <w:rFonts w:asciiTheme="minorHAnsi" w:hAnsiTheme="minorHAnsi"/>
              </w:rPr>
              <w:t xml:space="preserve"> </w:t>
            </w:r>
            <w:r w:rsidR="007C096F" w:rsidRPr="00C62335">
              <w:rPr>
                <w:rFonts w:asciiTheme="minorHAnsi" w:hAnsiTheme="minorHAnsi"/>
              </w:rPr>
              <w:t xml:space="preserve">in ONR offices </w:t>
            </w:r>
            <w:r w:rsidRPr="00C62335">
              <w:rPr>
                <w:rFonts w:asciiTheme="minorHAnsi" w:hAnsiTheme="minorHAnsi"/>
              </w:rPr>
              <w:t xml:space="preserve">(Bootle) </w:t>
            </w:r>
            <w:r w:rsidR="008318B5">
              <w:rPr>
                <w:rFonts w:asciiTheme="minorHAnsi" w:hAnsiTheme="minorHAnsi"/>
              </w:rPr>
              <w:t>or the TSC’s</w:t>
            </w:r>
            <w:r w:rsidR="007C096F" w:rsidRPr="00C62335">
              <w:rPr>
                <w:rFonts w:asciiTheme="minorHAnsi" w:hAnsiTheme="minorHAnsi"/>
              </w:rPr>
              <w:t xml:space="preserve"> premises</w:t>
            </w:r>
            <w:r w:rsidRPr="00C62335">
              <w:rPr>
                <w:rFonts w:asciiTheme="minorHAnsi" w:hAnsiTheme="minorHAnsi"/>
              </w:rPr>
              <w:t xml:space="preserve"> during 2021</w:t>
            </w:r>
            <w:r w:rsidR="001C02F1">
              <w:rPr>
                <w:rFonts w:asciiTheme="minorHAnsi" w:hAnsiTheme="minorHAnsi"/>
              </w:rPr>
              <w:t>*</w:t>
            </w:r>
            <w:r w:rsidRPr="00C62335">
              <w:rPr>
                <w:rFonts w:asciiTheme="minorHAnsi" w:hAnsiTheme="minorHAnsi"/>
              </w:rPr>
              <w:t xml:space="preserve">. </w:t>
            </w:r>
          </w:p>
          <w:p w:rsidR="007C096F" w:rsidRPr="0098270E" w:rsidRDefault="007C096F" w:rsidP="001650ED">
            <w:pPr>
              <w:pStyle w:val="TSBullet1Square"/>
              <w:spacing w:after="0"/>
              <w:jc w:val="both"/>
              <w:rPr>
                <w:rFonts w:asciiTheme="minorHAnsi" w:hAnsiTheme="minorHAnsi" w:cs="Arial"/>
                <w:iCs/>
              </w:rPr>
            </w:pPr>
            <w:r w:rsidRPr="000357AC">
              <w:rPr>
                <w:rFonts w:asciiTheme="minorHAnsi" w:hAnsiTheme="minorHAnsi"/>
              </w:rPr>
              <w:t>Liaise with ONR expert panel members in relation to assessment of the meteorological (including fluvial &amp; pluvial), coastal flooding and tsunami hazards analyses</w:t>
            </w:r>
            <w:r w:rsidRPr="0098270E">
              <w:rPr>
                <w:rFonts w:asciiTheme="minorHAnsi" w:hAnsiTheme="minorHAnsi"/>
              </w:rPr>
              <w:t xml:space="preserve">. Liaise with seismic hazard expert panel members and other </w:t>
            </w:r>
            <w:r w:rsidR="009D7FE9">
              <w:rPr>
                <w:rFonts w:asciiTheme="minorHAnsi" w:hAnsiTheme="minorHAnsi"/>
              </w:rPr>
              <w:t xml:space="preserve">technical support contractors </w:t>
            </w:r>
            <w:r w:rsidRPr="0098270E">
              <w:rPr>
                <w:rFonts w:asciiTheme="minorHAnsi" w:hAnsiTheme="minorHAnsi"/>
              </w:rPr>
              <w:t>as required.</w:t>
            </w:r>
            <w:r w:rsidR="008011D9" w:rsidRPr="0098270E">
              <w:rPr>
                <w:rFonts w:asciiTheme="minorHAnsi" w:hAnsiTheme="minorHAnsi"/>
              </w:rPr>
              <w:t xml:space="preserve"> A</w:t>
            </w:r>
            <w:r w:rsidRPr="0098270E">
              <w:rPr>
                <w:rFonts w:asciiTheme="minorHAnsi" w:hAnsiTheme="minorHAnsi" w:cs="Arial"/>
                <w:iCs/>
              </w:rPr>
              <w:t xml:space="preserve">ssume: </w:t>
            </w:r>
          </w:p>
          <w:p w:rsidR="007C096F" w:rsidRPr="00C62335" w:rsidRDefault="007C096F" w:rsidP="001650ED">
            <w:pPr>
              <w:pStyle w:val="TSBullet2Circle"/>
              <w:jc w:val="both"/>
              <w:rPr>
                <w:rFonts w:asciiTheme="minorHAnsi" w:hAnsiTheme="minorHAnsi"/>
              </w:rPr>
            </w:pPr>
            <w:r w:rsidRPr="00C62335">
              <w:rPr>
                <w:rFonts w:asciiTheme="minorHAnsi" w:hAnsiTheme="minorHAnsi"/>
              </w:rPr>
              <w:t>One</w:t>
            </w:r>
            <w:r w:rsidR="0098270E" w:rsidRPr="00C62335">
              <w:rPr>
                <w:rFonts w:asciiTheme="minorHAnsi" w:hAnsiTheme="minorHAnsi"/>
              </w:rPr>
              <w:t xml:space="preserve"> ½-day</w:t>
            </w:r>
            <w:r w:rsidRPr="00C62335">
              <w:rPr>
                <w:rFonts w:asciiTheme="minorHAnsi" w:hAnsiTheme="minorHAnsi"/>
              </w:rPr>
              <w:t xml:space="preserve"> mee</w:t>
            </w:r>
            <w:r w:rsidR="0098270E" w:rsidRPr="00C62335">
              <w:rPr>
                <w:rFonts w:asciiTheme="minorHAnsi" w:hAnsiTheme="minorHAnsi"/>
              </w:rPr>
              <w:t>ting at ONR offices in Bootle</w:t>
            </w:r>
            <w:r w:rsidRPr="00C62335">
              <w:rPr>
                <w:rFonts w:asciiTheme="minorHAnsi" w:hAnsiTheme="minorHAnsi"/>
              </w:rPr>
              <w:t xml:space="preserve"> with </w:t>
            </w:r>
            <w:r w:rsidR="0098270E" w:rsidRPr="00C62335">
              <w:rPr>
                <w:rFonts w:asciiTheme="minorHAnsi" w:hAnsiTheme="minorHAnsi"/>
              </w:rPr>
              <w:t xml:space="preserve">the </w:t>
            </w:r>
            <w:r w:rsidRPr="00C62335">
              <w:rPr>
                <w:rFonts w:asciiTheme="minorHAnsi" w:hAnsiTheme="minorHAnsi"/>
              </w:rPr>
              <w:t>ONR Climate change, meteo</w:t>
            </w:r>
            <w:r w:rsidR="0098270E" w:rsidRPr="00C62335">
              <w:rPr>
                <w:rFonts w:asciiTheme="minorHAnsi" w:hAnsiTheme="minorHAnsi"/>
              </w:rPr>
              <w:t>rological and coastal flooding E</w:t>
            </w:r>
            <w:r w:rsidRPr="00C62335">
              <w:rPr>
                <w:rFonts w:asciiTheme="minorHAnsi" w:hAnsiTheme="minorHAnsi"/>
              </w:rPr>
              <w:t xml:space="preserve">xpert </w:t>
            </w:r>
            <w:r w:rsidR="0098270E" w:rsidRPr="00C62335">
              <w:rPr>
                <w:rFonts w:asciiTheme="minorHAnsi" w:hAnsiTheme="minorHAnsi"/>
              </w:rPr>
              <w:t>P</w:t>
            </w:r>
            <w:r w:rsidRPr="00C62335">
              <w:rPr>
                <w:rFonts w:asciiTheme="minorHAnsi" w:hAnsiTheme="minorHAnsi"/>
              </w:rPr>
              <w:t>anel</w:t>
            </w:r>
            <w:r w:rsidR="001C02F1">
              <w:rPr>
                <w:rFonts w:asciiTheme="minorHAnsi" w:hAnsiTheme="minorHAnsi"/>
              </w:rPr>
              <w:t>*</w:t>
            </w:r>
            <w:r w:rsidR="00CE200D">
              <w:rPr>
                <w:rFonts w:asciiTheme="minorHAnsi" w:hAnsiTheme="minorHAnsi"/>
              </w:rPr>
              <w:t>.</w:t>
            </w:r>
          </w:p>
          <w:p w:rsidR="007C096F" w:rsidRPr="00C62335" w:rsidRDefault="007C096F" w:rsidP="001650ED">
            <w:pPr>
              <w:pStyle w:val="TSBullet2Circle"/>
              <w:spacing w:after="0"/>
              <w:jc w:val="both"/>
              <w:rPr>
                <w:rFonts w:asciiTheme="minorHAnsi" w:hAnsiTheme="minorHAnsi"/>
              </w:rPr>
            </w:pPr>
            <w:r w:rsidRPr="00C62335">
              <w:rPr>
                <w:rFonts w:asciiTheme="minorHAnsi" w:hAnsiTheme="minorHAnsi"/>
              </w:rPr>
              <w:t xml:space="preserve">One </w:t>
            </w:r>
            <w:r w:rsidR="0098270E" w:rsidRPr="00C62335">
              <w:rPr>
                <w:rFonts w:asciiTheme="minorHAnsi" w:hAnsiTheme="minorHAnsi"/>
              </w:rPr>
              <w:t xml:space="preserve">½-day meeting </w:t>
            </w:r>
            <w:r w:rsidRPr="00C62335">
              <w:rPr>
                <w:rFonts w:asciiTheme="minorHAnsi" w:hAnsiTheme="minorHAnsi"/>
              </w:rPr>
              <w:t xml:space="preserve">at ONR offices in Bootle for meeting with </w:t>
            </w:r>
            <w:r w:rsidR="0098270E" w:rsidRPr="00C62335">
              <w:rPr>
                <w:rFonts w:asciiTheme="minorHAnsi" w:hAnsiTheme="minorHAnsi"/>
              </w:rPr>
              <w:t>the ONR seismic Expert P</w:t>
            </w:r>
            <w:r w:rsidR="001C02F1">
              <w:rPr>
                <w:rFonts w:asciiTheme="minorHAnsi" w:hAnsiTheme="minorHAnsi"/>
              </w:rPr>
              <w:t>anel*</w:t>
            </w:r>
            <w:r w:rsidR="00CE200D">
              <w:rPr>
                <w:rFonts w:asciiTheme="minorHAnsi" w:hAnsiTheme="minorHAnsi"/>
              </w:rPr>
              <w:t>.</w:t>
            </w:r>
          </w:p>
          <w:p w:rsidR="007C096F" w:rsidRDefault="007C096F" w:rsidP="001650ED">
            <w:pPr>
              <w:pStyle w:val="TSBullet1Square"/>
              <w:jc w:val="both"/>
              <w:rPr>
                <w:rFonts w:asciiTheme="minorHAnsi" w:hAnsiTheme="minorHAnsi"/>
                <w:szCs w:val="22"/>
              </w:rPr>
            </w:pPr>
            <w:r w:rsidRPr="0098270E">
              <w:rPr>
                <w:rFonts w:asciiTheme="minorHAnsi" w:hAnsiTheme="minorHAnsi"/>
                <w:szCs w:val="22"/>
              </w:rPr>
              <w:t>Produce a letter for the</w:t>
            </w:r>
            <w:r w:rsidRPr="003F72D7">
              <w:rPr>
                <w:rFonts w:asciiTheme="minorHAnsi" w:hAnsiTheme="minorHAnsi"/>
                <w:szCs w:val="22"/>
              </w:rPr>
              <w:t xml:space="preserve"> ONR Project Officer, providing a set of queries/questions to be put to </w:t>
            </w:r>
            <w:r w:rsidR="008011D9" w:rsidRPr="003F72D7">
              <w:rPr>
                <w:rFonts w:asciiTheme="minorHAnsi" w:hAnsiTheme="minorHAnsi"/>
                <w:szCs w:val="22"/>
              </w:rPr>
              <w:t>NNB</w:t>
            </w:r>
            <w:r w:rsidRPr="003F72D7">
              <w:rPr>
                <w:rFonts w:asciiTheme="minorHAnsi" w:hAnsiTheme="minorHAnsi"/>
                <w:szCs w:val="22"/>
              </w:rPr>
              <w:t>, if there are shortfalls in the submitted documents.</w:t>
            </w:r>
          </w:p>
          <w:p w:rsidR="0098270E" w:rsidRDefault="0098270E" w:rsidP="001650ED">
            <w:pPr>
              <w:pStyle w:val="TSBullet1Square"/>
              <w:jc w:val="both"/>
              <w:rPr>
                <w:rFonts w:asciiTheme="minorHAnsi" w:hAnsiTheme="minorHAnsi"/>
                <w:szCs w:val="22"/>
              </w:rPr>
            </w:pPr>
            <w:r>
              <w:rPr>
                <w:rFonts w:asciiTheme="minorHAnsi" w:hAnsiTheme="minorHAnsi"/>
                <w:szCs w:val="22"/>
              </w:rPr>
              <w:lastRenderedPageBreak/>
              <w:t xml:space="preserve">Produce a </w:t>
            </w:r>
            <w:r w:rsidR="009D7FE9">
              <w:rPr>
                <w:rFonts w:asciiTheme="minorHAnsi" w:hAnsiTheme="minorHAnsi"/>
                <w:szCs w:val="22"/>
              </w:rPr>
              <w:t>Technical Note</w:t>
            </w:r>
            <w:r>
              <w:rPr>
                <w:rFonts w:asciiTheme="minorHAnsi" w:hAnsiTheme="minorHAnsi"/>
                <w:szCs w:val="22"/>
              </w:rPr>
              <w:t xml:space="preserve">, see Deliverables </w:t>
            </w:r>
            <w:r w:rsidRPr="00F14D56">
              <w:rPr>
                <w:rFonts w:asciiTheme="minorHAnsi" w:hAnsiTheme="minorHAnsi"/>
                <w:szCs w:val="22"/>
              </w:rPr>
              <w:t xml:space="preserve">(paragraph </w:t>
            </w:r>
            <w:r w:rsidR="00F14D56" w:rsidRPr="00F14D56">
              <w:rPr>
                <w:rFonts w:asciiTheme="minorHAnsi" w:hAnsiTheme="minorHAnsi"/>
                <w:szCs w:val="22"/>
              </w:rPr>
              <w:fldChar w:fldCharType="begin"/>
            </w:r>
            <w:r w:rsidR="00F14D56" w:rsidRPr="00F14D56">
              <w:rPr>
                <w:rFonts w:asciiTheme="minorHAnsi" w:hAnsiTheme="minorHAnsi"/>
                <w:szCs w:val="22"/>
              </w:rPr>
              <w:instrText xml:space="preserve"> REF _Ref43461153 \r \h </w:instrText>
            </w:r>
            <w:r w:rsidR="00F14D56">
              <w:rPr>
                <w:rFonts w:asciiTheme="minorHAnsi" w:hAnsiTheme="minorHAnsi"/>
                <w:szCs w:val="22"/>
              </w:rPr>
              <w:instrText xml:space="preserve"> \* MERGEFORMAT </w:instrText>
            </w:r>
            <w:r w:rsidR="00F14D56" w:rsidRPr="00F14D56">
              <w:rPr>
                <w:rFonts w:asciiTheme="minorHAnsi" w:hAnsiTheme="minorHAnsi"/>
                <w:szCs w:val="22"/>
              </w:rPr>
            </w:r>
            <w:r w:rsidR="00F14D56" w:rsidRPr="00F14D56">
              <w:rPr>
                <w:rFonts w:asciiTheme="minorHAnsi" w:hAnsiTheme="minorHAnsi"/>
                <w:szCs w:val="22"/>
              </w:rPr>
              <w:fldChar w:fldCharType="separate"/>
            </w:r>
            <w:r w:rsidR="00F14D56" w:rsidRPr="00F14D56">
              <w:rPr>
                <w:rFonts w:asciiTheme="minorHAnsi" w:hAnsiTheme="minorHAnsi"/>
                <w:szCs w:val="22"/>
              </w:rPr>
              <w:t>2.12</w:t>
            </w:r>
            <w:r w:rsidR="00F14D56" w:rsidRPr="00F14D56">
              <w:rPr>
                <w:rFonts w:asciiTheme="minorHAnsi" w:hAnsiTheme="minorHAnsi"/>
                <w:szCs w:val="22"/>
              </w:rPr>
              <w:fldChar w:fldCharType="end"/>
            </w:r>
            <w:r>
              <w:rPr>
                <w:rFonts w:asciiTheme="minorHAnsi" w:hAnsiTheme="minorHAnsi"/>
                <w:szCs w:val="22"/>
              </w:rPr>
              <w:t xml:space="preserve">). </w:t>
            </w:r>
          </w:p>
          <w:p w:rsidR="00F2181B" w:rsidRPr="00F2181B" w:rsidRDefault="00A4035E" w:rsidP="001650ED">
            <w:pPr>
              <w:pStyle w:val="TSNumberedParagraph11"/>
              <w:jc w:val="both"/>
              <w:rPr>
                <w:rFonts w:asciiTheme="minorHAnsi" w:hAnsiTheme="minorHAnsi"/>
              </w:rPr>
            </w:pPr>
            <w:r>
              <w:rPr>
                <w:rFonts w:asciiTheme="minorHAnsi" w:hAnsiTheme="minorHAnsi"/>
                <w:b/>
              </w:rPr>
              <w:t>Task 2</w:t>
            </w:r>
            <w:r w:rsidR="00F2181B">
              <w:rPr>
                <w:rFonts w:asciiTheme="minorHAnsi" w:hAnsiTheme="minorHAnsi"/>
                <w:b/>
              </w:rPr>
              <w:t xml:space="preserve"> – Detailed Assessment of selected external hazards </w:t>
            </w:r>
            <w:r>
              <w:rPr>
                <w:rFonts w:asciiTheme="minorHAnsi" w:hAnsiTheme="minorHAnsi"/>
                <w:b/>
              </w:rPr>
              <w:t xml:space="preserve"> </w:t>
            </w:r>
          </w:p>
          <w:p w:rsidR="00A4035E" w:rsidRDefault="00A4035E" w:rsidP="001650ED">
            <w:pPr>
              <w:pStyle w:val="TSNumberedParagraph11"/>
              <w:numPr>
                <w:ilvl w:val="0"/>
                <w:numId w:val="0"/>
              </w:numPr>
              <w:ind w:left="720"/>
              <w:jc w:val="both"/>
              <w:rPr>
                <w:rFonts w:asciiTheme="minorHAnsi" w:hAnsiTheme="minorHAnsi"/>
              </w:rPr>
            </w:pPr>
            <w:r>
              <w:rPr>
                <w:rFonts w:asciiTheme="minorHAnsi" w:hAnsiTheme="minorHAnsi"/>
              </w:rPr>
              <w:t>Conduct a deep dive on a number of hazards (</w:t>
            </w:r>
            <w:r w:rsidR="004364E5">
              <w:rPr>
                <w:rFonts w:asciiTheme="minorHAnsi" w:hAnsiTheme="minorHAnsi"/>
              </w:rPr>
              <w:t xml:space="preserve">assume </w:t>
            </w:r>
            <w:r>
              <w:rPr>
                <w:rFonts w:asciiTheme="minorHAnsi" w:hAnsiTheme="minorHAnsi"/>
              </w:rPr>
              <w:t>4</w:t>
            </w:r>
            <w:r w:rsidR="004364E5">
              <w:rPr>
                <w:rFonts w:asciiTheme="minorHAnsi" w:hAnsiTheme="minorHAnsi"/>
              </w:rPr>
              <w:t xml:space="preserve"> samples</w:t>
            </w:r>
            <w:r w:rsidR="00073F89">
              <w:rPr>
                <w:rFonts w:asciiTheme="minorHAnsi" w:hAnsiTheme="minorHAnsi"/>
              </w:rPr>
              <w:t>)</w:t>
            </w:r>
            <w:r w:rsidR="00984E0E">
              <w:rPr>
                <w:rFonts w:asciiTheme="minorHAnsi" w:hAnsiTheme="minorHAnsi"/>
              </w:rPr>
              <w:t>, where appropriate, liaising with the Expert panel</w:t>
            </w:r>
            <w:r w:rsidR="00073F89">
              <w:rPr>
                <w:rFonts w:asciiTheme="minorHAnsi" w:hAnsiTheme="minorHAnsi"/>
              </w:rPr>
              <w:t xml:space="preserve">. </w:t>
            </w:r>
            <w:r w:rsidR="00B10AF5">
              <w:rPr>
                <w:rFonts w:asciiTheme="minorHAnsi" w:hAnsiTheme="minorHAnsi"/>
              </w:rPr>
              <w:t>T</w:t>
            </w:r>
            <w:r w:rsidR="00AB2865">
              <w:rPr>
                <w:rFonts w:asciiTheme="minorHAnsi" w:hAnsiTheme="minorHAnsi"/>
              </w:rPr>
              <w:t>he hazards/</w:t>
            </w:r>
            <w:r w:rsidR="00F90520">
              <w:rPr>
                <w:rFonts w:asciiTheme="minorHAnsi" w:hAnsiTheme="minorHAnsi"/>
              </w:rPr>
              <w:t xml:space="preserve">topics </w:t>
            </w:r>
            <w:r w:rsidR="00073F89">
              <w:rPr>
                <w:rFonts w:asciiTheme="minorHAnsi" w:hAnsiTheme="minorHAnsi"/>
              </w:rPr>
              <w:t>selected for a deep dive will be informed by Task 1 and will need to be agreed between the TSC and ONR</w:t>
            </w:r>
            <w:r w:rsidR="009D7FE9">
              <w:rPr>
                <w:rFonts w:asciiTheme="minorHAnsi" w:hAnsiTheme="minorHAnsi"/>
              </w:rPr>
              <w:t>.</w:t>
            </w:r>
            <w:r w:rsidR="00B10AF5">
              <w:rPr>
                <w:rFonts w:asciiTheme="minorHAnsi" w:hAnsiTheme="minorHAnsi"/>
              </w:rPr>
              <w:t xml:space="preserve"> </w:t>
            </w:r>
            <w:r w:rsidR="009D7FE9">
              <w:rPr>
                <w:rFonts w:asciiTheme="minorHAnsi" w:hAnsiTheme="minorHAnsi"/>
              </w:rPr>
              <w:t>H</w:t>
            </w:r>
            <w:r w:rsidR="00B10AF5">
              <w:rPr>
                <w:rFonts w:asciiTheme="minorHAnsi" w:hAnsiTheme="minorHAnsi"/>
              </w:rPr>
              <w:t xml:space="preserve">owever, </w:t>
            </w:r>
            <w:r w:rsidR="00F90520">
              <w:rPr>
                <w:rFonts w:asciiTheme="minorHAnsi" w:hAnsiTheme="minorHAnsi"/>
              </w:rPr>
              <w:t xml:space="preserve">it is expected that the following </w:t>
            </w:r>
            <w:r w:rsidR="00B10AF5">
              <w:rPr>
                <w:rFonts w:asciiTheme="minorHAnsi" w:hAnsiTheme="minorHAnsi"/>
              </w:rPr>
              <w:t xml:space="preserve">hazards </w:t>
            </w:r>
            <w:r w:rsidR="00F90520">
              <w:rPr>
                <w:rFonts w:asciiTheme="minorHAnsi" w:hAnsiTheme="minorHAnsi"/>
              </w:rPr>
              <w:t xml:space="preserve">will be considered </w:t>
            </w:r>
            <w:r w:rsidR="00B10AF5">
              <w:rPr>
                <w:rFonts w:asciiTheme="minorHAnsi" w:hAnsiTheme="minorHAnsi"/>
              </w:rPr>
              <w:t xml:space="preserve">for deep dive </w:t>
            </w:r>
            <w:r w:rsidR="00F90520">
              <w:rPr>
                <w:rFonts w:asciiTheme="minorHAnsi" w:hAnsiTheme="minorHAnsi"/>
              </w:rPr>
              <w:t>sampling</w:t>
            </w:r>
            <w:r w:rsidR="00B10AF5">
              <w:rPr>
                <w:rFonts w:asciiTheme="minorHAnsi" w:hAnsiTheme="minorHAnsi"/>
              </w:rPr>
              <w:t>:</w:t>
            </w:r>
          </w:p>
          <w:p w:rsidR="00B10AF5" w:rsidRPr="00A4035E" w:rsidRDefault="00B10AF5" w:rsidP="001650ED">
            <w:pPr>
              <w:pStyle w:val="TSBullet1Square"/>
              <w:jc w:val="both"/>
              <w:rPr>
                <w:rFonts w:asciiTheme="minorHAnsi" w:hAnsiTheme="minorHAnsi"/>
              </w:rPr>
            </w:pPr>
            <w:r w:rsidRPr="00A4035E">
              <w:rPr>
                <w:rFonts w:asciiTheme="minorHAnsi" w:hAnsiTheme="minorHAnsi"/>
              </w:rPr>
              <w:t>Extreme high air temperature</w:t>
            </w:r>
            <w:r>
              <w:rPr>
                <w:rFonts w:asciiTheme="minorHAnsi" w:hAnsiTheme="minorHAnsi"/>
              </w:rPr>
              <w:t xml:space="preserve"> with climate change </w:t>
            </w:r>
          </w:p>
          <w:p w:rsidR="00B10AF5" w:rsidRDefault="00B10AF5" w:rsidP="001650ED">
            <w:pPr>
              <w:pStyle w:val="TSBullet1Square"/>
              <w:jc w:val="both"/>
              <w:rPr>
                <w:rFonts w:asciiTheme="minorHAnsi" w:hAnsiTheme="minorHAnsi"/>
              </w:rPr>
            </w:pPr>
            <w:r>
              <w:rPr>
                <w:rFonts w:asciiTheme="minorHAnsi" w:hAnsiTheme="minorHAnsi"/>
              </w:rPr>
              <w:t>Extreme sea level with climate change</w:t>
            </w:r>
          </w:p>
          <w:p w:rsidR="009D7FE9" w:rsidRDefault="009D7FE9" w:rsidP="001650ED">
            <w:pPr>
              <w:pStyle w:val="TSBullet1Square"/>
              <w:numPr>
                <w:ilvl w:val="0"/>
                <w:numId w:val="0"/>
              </w:numPr>
              <w:ind w:left="1440" w:hanging="720"/>
              <w:jc w:val="both"/>
              <w:rPr>
                <w:rFonts w:asciiTheme="minorHAnsi" w:hAnsiTheme="minorHAnsi"/>
              </w:rPr>
            </w:pPr>
          </w:p>
          <w:p w:rsidR="009D7FE9" w:rsidRPr="009D7FE9" w:rsidRDefault="001A4821" w:rsidP="001650ED">
            <w:pPr>
              <w:pStyle w:val="TSBullet1Square"/>
              <w:numPr>
                <w:ilvl w:val="0"/>
                <w:numId w:val="0"/>
              </w:numPr>
              <w:ind w:left="698"/>
              <w:jc w:val="both"/>
              <w:rPr>
                <w:rFonts w:asciiTheme="minorHAnsi" w:hAnsiTheme="minorHAnsi"/>
              </w:rPr>
            </w:pPr>
            <w:r>
              <w:rPr>
                <w:rFonts w:asciiTheme="minorHAnsi" w:hAnsiTheme="minorHAnsi"/>
              </w:rPr>
              <w:t xml:space="preserve">If further clarification from NNB is required during the detailed assessment, the </w:t>
            </w:r>
            <w:r w:rsidR="008318B5">
              <w:rPr>
                <w:rFonts w:asciiTheme="minorHAnsi" w:hAnsiTheme="minorHAnsi"/>
              </w:rPr>
              <w:t>TSC</w:t>
            </w:r>
            <w:r>
              <w:rPr>
                <w:rFonts w:asciiTheme="minorHAnsi" w:hAnsiTheme="minorHAnsi"/>
              </w:rPr>
              <w:t xml:space="preserve"> should p</w:t>
            </w:r>
            <w:r w:rsidR="009D7FE9" w:rsidRPr="0098270E">
              <w:rPr>
                <w:rFonts w:asciiTheme="minorHAnsi" w:hAnsiTheme="minorHAnsi"/>
                <w:szCs w:val="22"/>
              </w:rPr>
              <w:t>roduce a letter for the</w:t>
            </w:r>
            <w:r w:rsidR="009D7FE9" w:rsidRPr="003F72D7">
              <w:rPr>
                <w:rFonts w:asciiTheme="minorHAnsi" w:hAnsiTheme="minorHAnsi"/>
                <w:szCs w:val="22"/>
              </w:rPr>
              <w:t xml:space="preserve"> ONR Project Officer, providing a set of queries/questions to be put to NNB.</w:t>
            </w:r>
            <w:r w:rsidR="00F14D56">
              <w:rPr>
                <w:rFonts w:asciiTheme="minorHAnsi" w:hAnsiTheme="minorHAnsi"/>
                <w:szCs w:val="22"/>
              </w:rPr>
              <w:t xml:space="preserve"> </w:t>
            </w:r>
            <w:r>
              <w:rPr>
                <w:rFonts w:asciiTheme="minorHAnsi" w:hAnsiTheme="minorHAnsi"/>
              </w:rPr>
              <w:t xml:space="preserve">The </w:t>
            </w:r>
            <w:r w:rsidR="009D7FE9">
              <w:rPr>
                <w:rFonts w:asciiTheme="minorHAnsi" w:hAnsiTheme="minorHAnsi"/>
              </w:rPr>
              <w:t>Task 2 findings should be summarised in the Final Report</w:t>
            </w:r>
            <w:r w:rsidR="009D7FE9">
              <w:rPr>
                <w:rFonts w:asciiTheme="minorHAnsi" w:hAnsiTheme="minorHAnsi"/>
                <w:szCs w:val="22"/>
              </w:rPr>
              <w:t>, see Deliverables (</w:t>
            </w:r>
            <w:r w:rsidR="009D7FE9" w:rsidRPr="00F14D56">
              <w:rPr>
                <w:rFonts w:asciiTheme="minorHAnsi" w:hAnsiTheme="minorHAnsi"/>
                <w:szCs w:val="22"/>
              </w:rPr>
              <w:t xml:space="preserve">paragraph </w:t>
            </w:r>
            <w:r w:rsidR="00F14D56" w:rsidRPr="00F14D56">
              <w:rPr>
                <w:rFonts w:asciiTheme="minorHAnsi" w:hAnsiTheme="minorHAnsi"/>
                <w:szCs w:val="22"/>
              </w:rPr>
              <w:fldChar w:fldCharType="begin"/>
            </w:r>
            <w:r w:rsidR="00F14D56" w:rsidRPr="00F14D56">
              <w:rPr>
                <w:rFonts w:asciiTheme="minorHAnsi" w:hAnsiTheme="minorHAnsi"/>
                <w:szCs w:val="22"/>
              </w:rPr>
              <w:instrText xml:space="preserve"> REF _Ref43461153 \r \h </w:instrText>
            </w:r>
            <w:r w:rsidR="00F14D56">
              <w:rPr>
                <w:rFonts w:asciiTheme="minorHAnsi" w:hAnsiTheme="minorHAnsi"/>
                <w:szCs w:val="22"/>
              </w:rPr>
              <w:instrText xml:space="preserve"> \* MERGEFORMAT </w:instrText>
            </w:r>
            <w:r w:rsidR="00F14D56" w:rsidRPr="00F14D56">
              <w:rPr>
                <w:rFonts w:asciiTheme="minorHAnsi" w:hAnsiTheme="minorHAnsi"/>
                <w:szCs w:val="22"/>
              </w:rPr>
            </w:r>
            <w:r w:rsidR="00F14D56" w:rsidRPr="00F14D56">
              <w:rPr>
                <w:rFonts w:asciiTheme="minorHAnsi" w:hAnsiTheme="minorHAnsi"/>
                <w:szCs w:val="22"/>
              </w:rPr>
              <w:fldChar w:fldCharType="separate"/>
            </w:r>
            <w:r w:rsidR="00F14D56" w:rsidRPr="00F14D56">
              <w:rPr>
                <w:rFonts w:asciiTheme="minorHAnsi" w:hAnsiTheme="minorHAnsi"/>
                <w:szCs w:val="22"/>
              </w:rPr>
              <w:t>2.12</w:t>
            </w:r>
            <w:r w:rsidR="00F14D56" w:rsidRPr="00F14D56">
              <w:rPr>
                <w:rFonts w:asciiTheme="minorHAnsi" w:hAnsiTheme="minorHAnsi"/>
                <w:szCs w:val="22"/>
              </w:rPr>
              <w:fldChar w:fldCharType="end"/>
            </w:r>
            <w:r w:rsidR="009D7FE9" w:rsidRPr="00F14D56">
              <w:rPr>
                <w:rFonts w:asciiTheme="minorHAnsi" w:hAnsiTheme="minorHAnsi"/>
                <w:szCs w:val="22"/>
              </w:rPr>
              <w:t>).</w:t>
            </w:r>
            <w:r w:rsidR="009D7FE9">
              <w:rPr>
                <w:rFonts w:asciiTheme="minorHAnsi" w:hAnsiTheme="minorHAnsi"/>
                <w:szCs w:val="22"/>
              </w:rPr>
              <w:t xml:space="preserve"> </w:t>
            </w:r>
          </w:p>
          <w:p w:rsidR="00F2181B" w:rsidRPr="00F2181B" w:rsidRDefault="007C096F" w:rsidP="001650ED">
            <w:pPr>
              <w:pStyle w:val="TSNumberedParagraph11"/>
              <w:jc w:val="both"/>
              <w:rPr>
                <w:rFonts w:asciiTheme="minorHAnsi" w:hAnsiTheme="minorHAnsi"/>
              </w:rPr>
            </w:pPr>
            <w:r w:rsidRPr="000357AC">
              <w:rPr>
                <w:rFonts w:asciiTheme="minorHAnsi" w:hAnsiTheme="minorHAnsi"/>
                <w:b/>
              </w:rPr>
              <w:t xml:space="preserve">Task </w:t>
            </w:r>
            <w:r w:rsidR="0098270E">
              <w:rPr>
                <w:rFonts w:asciiTheme="minorHAnsi" w:hAnsiTheme="minorHAnsi"/>
                <w:b/>
              </w:rPr>
              <w:t>3</w:t>
            </w:r>
            <w:r w:rsidR="00F2181B">
              <w:rPr>
                <w:rFonts w:asciiTheme="minorHAnsi" w:hAnsiTheme="minorHAnsi"/>
                <w:b/>
              </w:rPr>
              <w:t xml:space="preserve"> – Technical Meeting Support</w:t>
            </w:r>
          </w:p>
          <w:p w:rsidR="007C096F" w:rsidRPr="000357AC" w:rsidRDefault="007C096F" w:rsidP="001650ED">
            <w:pPr>
              <w:pStyle w:val="TSNumberedParagraph11"/>
              <w:numPr>
                <w:ilvl w:val="0"/>
                <w:numId w:val="0"/>
              </w:numPr>
              <w:ind w:left="720"/>
              <w:jc w:val="both"/>
              <w:rPr>
                <w:rFonts w:asciiTheme="minorHAnsi" w:hAnsiTheme="minorHAnsi"/>
              </w:rPr>
            </w:pPr>
            <w:r w:rsidRPr="000357AC">
              <w:rPr>
                <w:rFonts w:asciiTheme="minorHAnsi" w:hAnsiTheme="minorHAnsi"/>
              </w:rPr>
              <w:t xml:space="preserve">Support the ONR Project Officer to interface with </w:t>
            </w:r>
            <w:r w:rsidR="008011D9" w:rsidRPr="000357AC">
              <w:rPr>
                <w:rFonts w:asciiTheme="minorHAnsi" w:hAnsiTheme="minorHAnsi"/>
              </w:rPr>
              <w:t>NNB</w:t>
            </w:r>
            <w:r w:rsidRPr="000357AC">
              <w:rPr>
                <w:rFonts w:asciiTheme="minorHAnsi" w:hAnsiTheme="minorHAnsi"/>
              </w:rPr>
              <w:t xml:space="preserve"> external hazards team, assist in face-to-face meetings with </w:t>
            </w:r>
            <w:r w:rsidR="008011D9" w:rsidRPr="000357AC">
              <w:rPr>
                <w:rFonts w:asciiTheme="minorHAnsi" w:hAnsiTheme="minorHAnsi"/>
              </w:rPr>
              <w:t>NNB</w:t>
            </w:r>
            <w:r w:rsidRPr="000357AC">
              <w:rPr>
                <w:rFonts w:asciiTheme="minorHAnsi" w:hAnsiTheme="minorHAnsi"/>
              </w:rPr>
              <w:t xml:space="preserve"> and assess </w:t>
            </w:r>
            <w:r w:rsidR="008011D9" w:rsidRPr="000357AC">
              <w:rPr>
                <w:rFonts w:asciiTheme="minorHAnsi" w:hAnsiTheme="minorHAnsi"/>
              </w:rPr>
              <w:t>NNB</w:t>
            </w:r>
            <w:r w:rsidRPr="000357AC">
              <w:rPr>
                <w:rFonts w:asciiTheme="minorHAnsi" w:hAnsiTheme="minorHAnsi"/>
              </w:rPr>
              <w:t xml:space="preserve"> responses to queries/shortfalls raised.</w:t>
            </w:r>
            <w:r w:rsidR="008011D9" w:rsidRPr="000357AC">
              <w:rPr>
                <w:rFonts w:asciiTheme="minorHAnsi" w:hAnsiTheme="minorHAnsi"/>
              </w:rPr>
              <w:t xml:space="preserve"> A</w:t>
            </w:r>
            <w:r w:rsidRPr="000357AC">
              <w:rPr>
                <w:rFonts w:asciiTheme="minorHAnsi" w:hAnsiTheme="minorHAnsi"/>
              </w:rPr>
              <w:t>ssume:</w:t>
            </w:r>
          </w:p>
          <w:p w:rsidR="007C096F" w:rsidRPr="00C62335" w:rsidRDefault="008011D9" w:rsidP="001650ED">
            <w:pPr>
              <w:pStyle w:val="TSBullet1Square"/>
              <w:jc w:val="both"/>
              <w:rPr>
                <w:rFonts w:asciiTheme="minorHAnsi" w:hAnsiTheme="minorHAnsi"/>
              </w:rPr>
            </w:pPr>
            <w:r w:rsidRPr="00C62335">
              <w:rPr>
                <w:rFonts w:asciiTheme="minorHAnsi" w:hAnsiTheme="minorHAnsi"/>
              </w:rPr>
              <w:t xml:space="preserve">Two </w:t>
            </w:r>
            <w:r w:rsidR="007C096F" w:rsidRPr="00C62335">
              <w:rPr>
                <w:rFonts w:asciiTheme="minorHAnsi" w:hAnsiTheme="minorHAnsi"/>
              </w:rPr>
              <w:t xml:space="preserve">1-day meetings with </w:t>
            </w:r>
            <w:r w:rsidR="003F72D7" w:rsidRPr="00C62335">
              <w:rPr>
                <w:rFonts w:asciiTheme="minorHAnsi" w:hAnsiTheme="minorHAnsi"/>
              </w:rPr>
              <w:t>NNB</w:t>
            </w:r>
            <w:r w:rsidR="007C096F" w:rsidRPr="00C62335">
              <w:rPr>
                <w:rFonts w:asciiTheme="minorHAnsi" w:hAnsiTheme="minorHAnsi"/>
              </w:rPr>
              <w:t xml:space="preserve"> at </w:t>
            </w:r>
            <w:r w:rsidR="003F72D7" w:rsidRPr="00C62335">
              <w:rPr>
                <w:rFonts w:asciiTheme="minorHAnsi" w:hAnsiTheme="minorHAnsi"/>
              </w:rPr>
              <w:t>NNB</w:t>
            </w:r>
            <w:r w:rsidR="007C096F" w:rsidRPr="00C62335">
              <w:rPr>
                <w:rFonts w:asciiTheme="minorHAnsi" w:hAnsiTheme="minorHAnsi"/>
              </w:rPr>
              <w:t xml:space="preserve"> offices in </w:t>
            </w:r>
            <w:r w:rsidR="003F72D7" w:rsidRPr="00C62335">
              <w:rPr>
                <w:rFonts w:asciiTheme="minorHAnsi" w:hAnsiTheme="minorHAnsi"/>
              </w:rPr>
              <w:t>Barnwood</w:t>
            </w:r>
            <w:r w:rsidR="001C02F1">
              <w:rPr>
                <w:rFonts w:asciiTheme="minorHAnsi" w:hAnsiTheme="minorHAnsi"/>
              </w:rPr>
              <w:t>*</w:t>
            </w:r>
            <w:r w:rsidR="003F72D7" w:rsidRPr="00C62335">
              <w:rPr>
                <w:rFonts w:asciiTheme="minorHAnsi" w:hAnsiTheme="minorHAnsi"/>
              </w:rPr>
              <w:t>.</w:t>
            </w:r>
          </w:p>
          <w:p w:rsidR="007C096F" w:rsidRPr="00C62335" w:rsidRDefault="00C62335" w:rsidP="001650ED">
            <w:pPr>
              <w:pStyle w:val="TSBullet1Square"/>
              <w:jc w:val="both"/>
              <w:rPr>
                <w:rFonts w:asciiTheme="minorHAnsi" w:hAnsiTheme="minorHAnsi"/>
              </w:rPr>
            </w:pPr>
            <w:r w:rsidRPr="00C62335">
              <w:rPr>
                <w:rFonts w:asciiTheme="minorHAnsi" w:hAnsiTheme="minorHAnsi"/>
              </w:rPr>
              <w:t>Two ½-</w:t>
            </w:r>
            <w:r w:rsidR="003F72D7" w:rsidRPr="00C62335">
              <w:rPr>
                <w:rFonts w:asciiTheme="minorHAnsi" w:hAnsiTheme="minorHAnsi"/>
              </w:rPr>
              <w:t>day meetings with ONR P</w:t>
            </w:r>
            <w:r w:rsidR="007C096F" w:rsidRPr="00C62335">
              <w:rPr>
                <w:rFonts w:asciiTheme="minorHAnsi" w:hAnsiTheme="minorHAnsi"/>
              </w:rPr>
              <w:t xml:space="preserve">roject </w:t>
            </w:r>
            <w:r w:rsidR="003F72D7" w:rsidRPr="00C62335">
              <w:rPr>
                <w:rFonts w:asciiTheme="minorHAnsi" w:hAnsiTheme="minorHAnsi"/>
              </w:rPr>
              <w:t>Officer</w:t>
            </w:r>
            <w:r w:rsidR="007C096F" w:rsidRPr="00C62335">
              <w:rPr>
                <w:rFonts w:asciiTheme="minorHAnsi" w:hAnsiTheme="minorHAnsi"/>
              </w:rPr>
              <w:t xml:space="preserve"> (and other specialist inspectors) in ONR offices, Bootle</w:t>
            </w:r>
            <w:r w:rsidR="00CE200D">
              <w:rPr>
                <w:rFonts w:asciiTheme="minorHAnsi" w:hAnsiTheme="minorHAnsi"/>
              </w:rPr>
              <w:t>*</w:t>
            </w:r>
            <w:r w:rsidR="003F72D7" w:rsidRPr="00C62335">
              <w:rPr>
                <w:rFonts w:asciiTheme="minorHAnsi" w:hAnsiTheme="minorHAnsi"/>
              </w:rPr>
              <w:t>.</w:t>
            </w:r>
            <w:r w:rsidR="00BA23AF">
              <w:rPr>
                <w:rFonts w:asciiTheme="minorHAnsi" w:hAnsiTheme="minorHAnsi"/>
              </w:rPr>
              <w:t xml:space="preserve"> Can be part of progress meeting.</w:t>
            </w:r>
          </w:p>
          <w:p w:rsidR="003F72D7" w:rsidRPr="006E13EB" w:rsidRDefault="003F72D7" w:rsidP="001650ED">
            <w:pPr>
              <w:pStyle w:val="Header"/>
              <w:tabs>
                <w:tab w:val="left" w:pos="720"/>
              </w:tabs>
              <w:spacing w:before="120" w:after="120"/>
              <w:jc w:val="both"/>
              <w:rPr>
                <w:rFonts w:asciiTheme="minorHAnsi" w:hAnsiTheme="minorHAnsi" w:cs="Arial"/>
                <w:iCs/>
                <w:szCs w:val="22"/>
                <w:u w:val="single"/>
              </w:rPr>
            </w:pPr>
            <w:r w:rsidRPr="006E13EB">
              <w:rPr>
                <w:rFonts w:asciiTheme="minorHAnsi" w:hAnsiTheme="minorHAnsi" w:cs="Arial"/>
                <w:iCs/>
                <w:szCs w:val="20"/>
                <w:u w:val="single"/>
              </w:rPr>
              <w:t>D</w:t>
            </w:r>
            <w:r w:rsidRPr="006E13EB">
              <w:rPr>
                <w:rFonts w:asciiTheme="minorHAnsi" w:hAnsiTheme="minorHAnsi" w:cs="Arial"/>
                <w:iCs/>
                <w:szCs w:val="22"/>
                <w:u w:val="single"/>
              </w:rPr>
              <w:t>eliverables</w:t>
            </w:r>
          </w:p>
          <w:p w:rsidR="007C096F" w:rsidRPr="003F72D7" w:rsidRDefault="007C096F" w:rsidP="001650ED">
            <w:pPr>
              <w:pStyle w:val="TSNumberedParagraph11"/>
              <w:jc w:val="both"/>
              <w:rPr>
                <w:rFonts w:asciiTheme="minorHAnsi" w:hAnsiTheme="minorHAnsi"/>
              </w:rPr>
            </w:pPr>
            <w:bookmarkStart w:id="7" w:name="_Ref43461153"/>
            <w:r w:rsidRPr="003F72D7">
              <w:rPr>
                <w:rFonts w:asciiTheme="minorHAnsi" w:hAnsiTheme="minorHAnsi"/>
              </w:rPr>
              <w:t>The following deliverables are defined:</w:t>
            </w:r>
            <w:bookmarkEnd w:id="7"/>
          </w:p>
          <w:p w:rsidR="00EC0B9C" w:rsidRPr="009D7FE9" w:rsidRDefault="001A4821" w:rsidP="001650ED">
            <w:pPr>
              <w:pStyle w:val="TSBullet1Square"/>
              <w:jc w:val="both"/>
              <w:rPr>
                <w:rFonts w:asciiTheme="minorHAnsi" w:hAnsiTheme="minorHAnsi" w:cstheme="minorHAnsi"/>
                <w:iCs/>
                <w:szCs w:val="22"/>
              </w:rPr>
            </w:pPr>
            <w:r>
              <w:rPr>
                <w:rFonts w:asciiTheme="minorHAnsi" w:hAnsiTheme="minorHAnsi" w:cstheme="minorHAnsi"/>
                <w:iCs/>
                <w:szCs w:val="22"/>
              </w:rPr>
              <w:t>L</w:t>
            </w:r>
            <w:r w:rsidR="00EC0B9C" w:rsidRPr="009D7FE9">
              <w:rPr>
                <w:rFonts w:asciiTheme="minorHAnsi" w:hAnsiTheme="minorHAnsi" w:cstheme="minorHAnsi"/>
                <w:iCs/>
                <w:szCs w:val="22"/>
              </w:rPr>
              <w:t>etter</w:t>
            </w:r>
            <w:r>
              <w:rPr>
                <w:rFonts w:asciiTheme="minorHAnsi" w:hAnsiTheme="minorHAnsi" w:cstheme="minorHAnsi"/>
                <w:iCs/>
                <w:szCs w:val="22"/>
              </w:rPr>
              <w:t>(s)</w:t>
            </w:r>
            <w:r w:rsidR="00EC0B9C" w:rsidRPr="009D7FE9">
              <w:rPr>
                <w:rFonts w:asciiTheme="minorHAnsi" w:hAnsiTheme="minorHAnsi" w:cstheme="minorHAnsi"/>
                <w:iCs/>
                <w:szCs w:val="22"/>
              </w:rPr>
              <w:t xml:space="preserve"> for the ONR Project Officer, providing a set of queries/questions to be put to NNB</w:t>
            </w:r>
            <w:r>
              <w:rPr>
                <w:rFonts w:asciiTheme="minorHAnsi" w:hAnsiTheme="minorHAnsi" w:cstheme="minorHAnsi"/>
                <w:iCs/>
                <w:szCs w:val="22"/>
              </w:rPr>
              <w:t>, in relation to Task 1 and 2</w:t>
            </w:r>
            <w:r w:rsidR="00EC0B9C" w:rsidRPr="009D7FE9">
              <w:rPr>
                <w:rFonts w:asciiTheme="minorHAnsi" w:hAnsiTheme="minorHAnsi" w:cstheme="minorHAnsi"/>
                <w:iCs/>
                <w:szCs w:val="22"/>
              </w:rPr>
              <w:t>.</w:t>
            </w:r>
          </w:p>
          <w:p w:rsidR="00F2181B" w:rsidRPr="009D7FE9" w:rsidRDefault="00F2181B" w:rsidP="001650ED">
            <w:pPr>
              <w:pStyle w:val="TSBullet1Square"/>
              <w:jc w:val="both"/>
              <w:rPr>
                <w:rFonts w:asciiTheme="minorHAnsi" w:hAnsiTheme="minorHAnsi" w:cstheme="minorHAnsi"/>
                <w:iCs/>
                <w:szCs w:val="22"/>
              </w:rPr>
            </w:pPr>
            <w:r w:rsidRPr="009D7FE9">
              <w:rPr>
                <w:rFonts w:asciiTheme="minorHAnsi" w:hAnsiTheme="minorHAnsi" w:cstheme="minorHAnsi"/>
                <w:iCs/>
                <w:szCs w:val="22"/>
              </w:rPr>
              <w:t>A Technical Note summarising the findings of Task 1.</w:t>
            </w:r>
          </w:p>
          <w:p w:rsidR="007306EE" w:rsidRDefault="009D7FE9" w:rsidP="001650ED">
            <w:pPr>
              <w:pStyle w:val="TSBullet1Square"/>
              <w:spacing w:after="0"/>
              <w:jc w:val="both"/>
              <w:rPr>
                <w:rFonts w:asciiTheme="minorHAnsi" w:hAnsiTheme="minorHAnsi"/>
              </w:rPr>
            </w:pPr>
            <w:r w:rsidRPr="000F228B">
              <w:rPr>
                <w:rFonts w:asciiTheme="minorHAnsi" w:hAnsiTheme="minorHAnsi" w:cstheme="minorHAnsi"/>
                <w:iCs/>
                <w:szCs w:val="22"/>
              </w:rPr>
              <w:t xml:space="preserve">A Final Report </w:t>
            </w:r>
            <w:r w:rsidR="007C096F" w:rsidRPr="00C040F5">
              <w:rPr>
                <w:rFonts w:asciiTheme="minorHAnsi" w:hAnsiTheme="minorHAnsi"/>
                <w:szCs w:val="22"/>
              </w:rPr>
              <w:t>outlining</w:t>
            </w:r>
            <w:r w:rsidR="007C096F" w:rsidRPr="007306EE">
              <w:rPr>
                <w:rFonts w:asciiTheme="minorHAnsi" w:hAnsiTheme="minorHAnsi"/>
              </w:rPr>
              <w:t xml:space="preserve"> the scope, methodology and findings of the assessment of documents provided by </w:t>
            </w:r>
            <w:r w:rsidR="003F72D7" w:rsidRPr="007306EE">
              <w:rPr>
                <w:rFonts w:asciiTheme="minorHAnsi" w:hAnsiTheme="minorHAnsi"/>
              </w:rPr>
              <w:t>NNB</w:t>
            </w:r>
            <w:r w:rsidR="007C096F" w:rsidRPr="007306EE">
              <w:rPr>
                <w:rFonts w:asciiTheme="minorHAnsi" w:hAnsiTheme="minorHAnsi"/>
              </w:rPr>
              <w:t xml:space="preserve">, and summarising the queries to and responses from </w:t>
            </w:r>
            <w:r w:rsidR="003F72D7" w:rsidRPr="007306EE">
              <w:rPr>
                <w:rFonts w:asciiTheme="minorHAnsi" w:hAnsiTheme="minorHAnsi"/>
              </w:rPr>
              <w:t>NNB</w:t>
            </w:r>
            <w:r w:rsidR="007C096F" w:rsidRPr="007306EE">
              <w:rPr>
                <w:rFonts w:asciiTheme="minorHAnsi" w:hAnsiTheme="minorHAnsi"/>
              </w:rPr>
              <w:t>.</w:t>
            </w:r>
            <w:r w:rsidR="0098270E" w:rsidRPr="007306EE">
              <w:rPr>
                <w:rFonts w:asciiTheme="minorHAnsi" w:hAnsiTheme="minorHAnsi"/>
              </w:rPr>
              <w:t xml:space="preserve"> The report should be a summary of the Task 1 and 2 findings and include relevant information relating to Task 3. </w:t>
            </w:r>
            <w:r w:rsidR="007306EE">
              <w:rPr>
                <w:rFonts w:asciiTheme="minorHAnsi" w:hAnsiTheme="minorHAnsi"/>
              </w:rPr>
              <w:t>Note the following:</w:t>
            </w:r>
          </w:p>
          <w:p w:rsidR="007306EE" w:rsidRPr="007306EE" w:rsidRDefault="007306EE" w:rsidP="001650ED">
            <w:pPr>
              <w:pStyle w:val="TSBullet2Circle"/>
              <w:jc w:val="both"/>
              <w:rPr>
                <w:rFonts w:asciiTheme="minorHAnsi" w:hAnsiTheme="minorHAnsi"/>
              </w:rPr>
            </w:pPr>
            <w:r w:rsidRPr="007306EE">
              <w:rPr>
                <w:rFonts w:asciiTheme="minorHAnsi" w:hAnsiTheme="minorHAnsi"/>
              </w:rPr>
              <w:t>T</w:t>
            </w:r>
            <w:r w:rsidR="009D7FE9" w:rsidRPr="007306EE">
              <w:rPr>
                <w:rFonts w:asciiTheme="minorHAnsi" w:hAnsiTheme="minorHAnsi"/>
              </w:rPr>
              <w:t>he Task 1 Technical Note will form a significant part of the Final Report.</w:t>
            </w:r>
          </w:p>
          <w:p w:rsidR="00AF4C0F" w:rsidRPr="007306EE" w:rsidRDefault="007306EE" w:rsidP="001650ED">
            <w:pPr>
              <w:pStyle w:val="TSBullet2Circle"/>
              <w:jc w:val="both"/>
              <w:rPr>
                <w:rFonts w:asciiTheme="minorHAnsi" w:hAnsiTheme="minorHAnsi"/>
              </w:rPr>
            </w:pPr>
            <w:r>
              <w:rPr>
                <w:rFonts w:asciiTheme="minorHAnsi" w:hAnsiTheme="minorHAnsi"/>
              </w:rPr>
              <w:t>T</w:t>
            </w:r>
            <w:r w:rsidRPr="007306EE">
              <w:rPr>
                <w:rFonts w:asciiTheme="minorHAnsi" w:hAnsiTheme="minorHAnsi"/>
              </w:rPr>
              <w:t xml:space="preserve">he Final Report will be limited to a review of JSSR v.1, SDSR v.2 and the available </w:t>
            </w:r>
            <w:r>
              <w:rPr>
                <w:rFonts w:asciiTheme="minorHAnsi" w:hAnsiTheme="minorHAnsi"/>
              </w:rPr>
              <w:t>supporting documentation. Therefore,</w:t>
            </w:r>
            <w:r w:rsidRPr="007306EE">
              <w:rPr>
                <w:rFonts w:asciiTheme="minorHAnsi" w:hAnsiTheme="minorHAnsi"/>
              </w:rPr>
              <w:t xml:space="preserve"> the Final Report should make any assumptions clear and ONR will check these assumptions remain valid on submission of JSSR v.2 and SDSR v.3.</w:t>
            </w: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OBJECTIVES</w:t>
            </w:r>
          </w:p>
          <w:p w:rsidR="00846469" w:rsidRPr="009770E3" w:rsidRDefault="00846469" w:rsidP="001650ED">
            <w:pPr>
              <w:pStyle w:val="TSNumberedParagraph11"/>
              <w:jc w:val="both"/>
              <w:rPr>
                <w:rFonts w:asciiTheme="minorHAnsi" w:hAnsiTheme="minorHAnsi" w:cstheme="minorHAnsi"/>
                <w:iCs/>
                <w:sz w:val="20"/>
                <w:szCs w:val="20"/>
              </w:rPr>
            </w:pPr>
            <w:r>
              <w:rPr>
                <w:rFonts w:asciiTheme="minorHAnsi" w:hAnsiTheme="minorHAnsi" w:cstheme="minorHAnsi"/>
              </w:rPr>
              <w:t>The objective of this task is to provide experienced support to ONR’s external hazards assessment, to allow it to deliver its regulatory objectives for SZC site licensing. This will be done through the work described in Section 2.</w:t>
            </w:r>
          </w:p>
          <w:p w:rsidR="00AF4C0F" w:rsidRPr="001650ED" w:rsidRDefault="001C02F1" w:rsidP="001650ED">
            <w:pPr>
              <w:pStyle w:val="TSNumberedParagraph11"/>
              <w:tabs>
                <w:tab w:val="clear" w:pos="-31680"/>
              </w:tabs>
              <w:jc w:val="both"/>
              <w:rPr>
                <w:rFonts w:asciiTheme="minorHAnsi" w:hAnsiTheme="minorHAnsi"/>
              </w:rPr>
            </w:pPr>
            <w:r>
              <w:rPr>
                <w:rFonts w:asciiTheme="minorHAnsi" w:hAnsiTheme="minorHAnsi" w:cstheme="minorHAnsi"/>
              </w:rPr>
              <w:t>The TSC shall submit a F</w:t>
            </w:r>
            <w:r w:rsidR="00846469" w:rsidRPr="0040374F">
              <w:rPr>
                <w:rFonts w:asciiTheme="minorHAnsi" w:hAnsiTheme="minorHAnsi" w:cstheme="minorHAnsi"/>
              </w:rPr>
              <w:t xml:space="preserve">inal </w:t>
            </w:r>
            <w:r>
              <w:rPr>
                <w:rFonts w:asciiTheme="minorHAnsi" w:hAnsiTheme="minorHAnsi" w:cstheme="minorHAnsi"/>
              </w:rPr>
              <w:t>R</w:t>
            </w:r>
            <w:r w:rsidR="00846469" w:rsidRPr="0040374F">
              <w:rPr>
                <w:rFonts w:asciiTheme="minorHAnsi" w:hAnsiTheme="minorHAnsi" w:cstheme="minorHAnsi"/>
              </w:rPr>
              <w:t>eport to ONR</w:t>
            </w:r>
            <w:r w:rsidR="00846469">
              <w:rPr>
                <w:rFonts w:asciiTheme="minorHAnsi" w:hAnsiTheme="minorHAnsi" w:cstheme="minorHAnsi"/>
              </w:rPr>
              <w:t>, as</w:t>
            </w:r>
            <w:r w:rsidR="00846469" w:rsidRPr="0040374F">
              <w:rPr>
                <w:rFonts w:asciiTheme="minorHAnsi" w:hAnsiTheme="minorHAnsi" w:cstheme="minorHAnsi"/>
              </w:rPr>
              <w:t xml:space="preserve"> </w:t>
            </w:r>
            <w:r w:rsidR="00846469">
              <w:rPr>
                <w:rFonts w:asciiTheme="minorHAnsi" w:hAnsiTheme="minorHAnsi" w:cstheme="minorHAnsi"/>
              </w:rPr>
              <w:t>set out in Section 2</w:t>
            </w:r>
            <w:r w:rsidR="00846469" w:rsidRPr="0040374F">
              <w:rPr>
                <w:rFonts w:asciiTheme="minorHAnsi" w:hAnsiTheme="minorHAnsi" w:cstheme="minorHAnsi"/>
              </w:rPr>
              <w:t>. This report will be used by ONR as supporting information in t</w:t>
            </w:r>
            <w:r w:rsidR="00846469">
              <w:rPr>
                <w:rFonts w:asciiTheme="minorHAnsi" w:hAnsiTheme="minorHAnsi" w:cstheme="minorHAnsi"/>
              </w:rPr>
              <w:t>he preparation of the NSL external hazards assessment report</w:t>
            </w:r>
            <w:r w:rsidR="00F90520">
              <w:rPr>
                <w:rFonts w:asciiTheme="minorHAnsi" w:hAnsiTheme="minorHAnsi" w:cstheme="minorHAnsi"/>
              </w:rPr>
              <w:t xml:space="preserve"> and</w:t>
            </w:r>
            <w:r w:rsidR="00504B02">
              <w:rPr>
                <w:rFonts w:asciiTheme="minorHAnsi" w:hAnsiTheme="minorHAnsi" w:cstheme="minorHAnsi"/>
              </w:rPr>
              <w:t xml:space="preserve"> in</w:t>
            </w:r>
            <w:r w:rsidR="00F90520">
              <w:rPr>
                <w:rFonts w:asciiTheme="minorHAnsi" w:hAnsiTheme="minorHAnsi" w:cstheme="minorHAnsi"/>
              </w:rPr>
              <w:t xml:space="preserve"> forming a judgment on the adequacy of the SZC </w:t>
            </w:r>
            <w:r w:rsidR="00504B02">
              <w:rPr>
                <w:rFonts w:asciiTheme="minorHAnsi" w:hAnsiTheme="minorHAnsi" w:cstheme="minorHAnsi"/>
              </w:rPr>
              <w:t xml:space="preserve">site </w:t>
            </w:r>
            <w:r w:rsidR="00F90520">
              <w:rPr>
                <w:rFonts w:asciiTheme="minorHAnsi" w:hAnsiTheme="minorHAnsi" w:cstheme="minorHAnsi"/>
              </w:rPr>
              <w:t>for deployment of UK</w:t>
            </w:r>
            <w:r w:rsidR="00504B02">
              <w:rPr>
                <w:rFonts w:asciiTheme="minorHAnsi" w:hAnsiTheme="minorHAnsi" w:cstheme="minorHAnsi"/>
              </w:rPr>
              <w:t>-</w:t>
            </w:r>
            <w:r w:rsidR="00F90520">
              <w:rPr>
                <w:rFonts w:asciiTheme="minorHAnsi" w:hAnsiTheme="minorHAnsi" w:cstheme="minorHAnsi"/>
              </w:rPr>
              <w:t>EPR reactor technology</w:t>
            </w:r>
            <w:r w:rsidR="00846469" w:rsidRPr="0040374F">
              <w:rPr>
                <w:rFonts w:asciiTheme="minorHAnsi" w:hAnsiTheme="minorHAnsi" w:cstheme="minorHAnsi"/>
              </w:rPr>
              <w:t>.</w:t>
            </w:r>
          </w:p>
          <w:p w:rsidR="001650ED" w:rsidRDefault="001650ED" w:rsidP="001650ED">
            <w:pPr>
              <w:pStyle w:val="TSHeadingNumbered1"/>
              <w:numPr>
                <w:ilvl w:val="0"/>
                <w:numId w:val="0"/>
              </w:numPr>
              <w:ind w:left="862" w:hanging="720"/>
            </w:pPr>
          </w:p>
          <w:p w:rsidR="001650ED" w:rsidRPr="00846469" w:rsidRDefault="001650ED" w:rsidP="001650ED">
            <w:pPr>
              <w:pStyle w:val="TSHeadingNumbered1"/>
              <w:numPr>
                <w:ilvl w:val="0"/>
                <w:numId w:val="0"/>
              </w:numPr>
              <w:ind w:left="862" w:hanging="720"/>
            </w:pPr>
          </w:p>
        </w:tc>
      </w:tr>
      <w:tr w:rsidR="00AF4C0F" w:rsidRPr="002C62C2" w:rsidTr="00971BA8">
        <w:trPr>
          <w:jc w:val="center"/>
        </w:trPr>
        <w:tc>
          <w:tcPr>
            <w:tcW w:w="9709" w:type="dxa"/>
          </w:tcPr>
          <w:p w:rsidR="00C11908" w:rsidRDefault="00AF4C0F" w:rsidP="001650ED">
            <w:pPr>
              <w:pStyle w:val="TSHeadingNumbered1"/>
              <w:tabs>
                <w:tab w:val="left" w:pos="0"/>
              </w:tabs>
              <w:ind w:left="0" w:firstLine="0"/>
              <w:jc w:val="both"/>
              <w:rPr>
                <w:rFonts w:asciiTheme="minorHAnsi" w:hAnsiTheme="minorHAnsi" w:cstheme="minorHAnsi"/>
              </w:rPr>
            </w:pPr>
            <w:r w:rsidRPr="002C62C2">
              <w:rPr>
                <w:rFonts w:asciiTheme="minorHAnsi" w:hAnsiTheme="minorHAnsi" w:cstheme="minorHAnsi"/>
                <w:bCs/>
                <w:sz w:val="20"/>
                <w:szCs w:val="20"/>
              </w:rPr>
              <w:lastRenderedPageBreak/>
              <w:t>CONSTRAINTS</w:t>
            </w:r>
            <w:r w:rsidRPr="002C62C2">
              <w:rPr>
                <w:rFonts w:asciiTheme="minorHAnsi" w:hAnsiTheme="minorHAnsi" w:cstheme="minorHAnsi"/>
              </w:rPr>
              <w:t xml:space="preserve"> </w:t>
            </w:r>
          </w:p>
          <w:p w:rsidR="004105D9" w:rsidRPr="004105D9" w:rsidRDefault="004105D9" w:rsidP="001650ED">
            <w:pPr>
              <w:pStyle w:val="TSNumberedParagraph11"/>
              <w:jc w:val="both"/>
              <w:rPr>
                <w:rFonts w:asciiTheme="minorHAnsi" w:hAnsiTheme="minorHAnsi"/>
              </w:rPr>
            </w:pPr>
            <w:r w:rsidRPr="004105D9">
              <w:rPr>
                <w:rFonts w:asciiTheme="minorHAnsi" w:hAnsiTheme="minorHAnsi"/>
              </w:rPr>
              <w:t>Timescales and important dates</w:t>
            </w:r>
            <w:r w:rsidR="00C11908">
              <w:rPr>
                <w:rFonts w:asciiTheme="minorHAnsi" w:hAnsiTheme="minorHAnsi"/>
              </w:rPr>
              <w:t xml:space="preserve"> are provided below, with </w:t>
            </w:r>
            <w:r w:rsidR="003F327F">
              <w:rPr>
                <w:rFonts w:asciiTheme="minorHAnsi" w:hAnsiTheme="minorHAnsi"/>
              </w:rPr>
              <w:t xml:space="preserve">those relating to </w:t>
            </w:r>
            <w:r w:rsidR="00C11908">
              <w:rPr>
                <w:rFonts w:asciiTheme="minorHAnsi" w:hAnsiTheme="minorHAnsi"/>
              </w:rPr>
              <w:t xml:space="preserve">the contract start date and </w:t>
            </w:r>
            <w:r w:rsidR="003F327F">
              <w:rPr>
                <w:rFonts w:asciiTheme="minorHAnsi" w:hAnsiTheme="minorHAnsi"/>
              </w:rPr>
              <w:t>delivera</w:t>
            </w:r>
            <w:r w:rsidR="00C11908">
              <w:rPr>
                <w:rFonts w:asciiTheme="minorHAnsi" w:hAnsiTheme="minorHAnsi"/>
              </w:rPr>
              <w:t>bles for this scope of work</w:t>
            </w:r>
            <w:r w:rsidR="003F327F">
              <w:rPr>
                <w:rFonts w:asciiTheme="minorHAnsi" w:hAnsiTheme="minorHAnsi"/>
              </w:rPr>
              <w:t xml:space="preserve"> in </w:t>
            </w:r>
            <w:r w:rsidR="003F327F" w:rsidRPr="003F327F">
              <w:rPr>
                <w:rFonts w:asciiTheme="minorHAnsi" w:hAnsiTheme="minorHAnsi"/>
                <w:color w:val="0000CC"/>
              </w:rPr>
              <w:t>blue</w:t>
            </w:r>
            <w:r w:rsidRPr="004105D9">
              <w:rPr>
                <w:rFonts w:asciiTheme="minorHAnsi" w:hAnsiTheme="minorHAnsi"/>
              </w:rPr>
              <w:t>.</w:t>
            </w:r>
          </w:p>
          <w:p w:rsidR="004105D9" w:rsidRPr="00B10AF5" w:rsidRDefault="004105D9" w:rsidP="001650ED">
            <w:pPr>
              <w:pStyle w:val="TSBullet1Square"/>
              <w:tabs>
                <w:tab w:val="left" w:pos="0"/>
              </w:tabs>
              <w:spacing w:before="120" w:after="0"/>
              <w:jc w:val="both"/>
              <w:rPr>
                <w:rFonts w:asciiTheme="minorHAnsi" w:hAnsiTheme="minorHAnsi"/>
              </w:rPr>
            </w:pPr>
            <w:r w:rsidRPr="00B10AF5">
              <w:rPr>
                <w:rFonts w:asciiTheme="minorHAnsi" w:hAnsiTheme="minorHAnsi"/>
              </w:rPr>
              <w:t>End June</w:t>
            </w:r>
            <w:r w:rsidR="0055467A">
              <w:rPr>
                <w:rFonts w:asciiTheme="minorHAnsi" w:hAnsiTheme="minorHAnsi"/>
              </w:rPr>
              <w:t xml:space="preserve"> </w:t>
            </w:r>
            <w:r w:rsidRPr="00B10AF5">
              <w:rPr>
                <w:rFonts w:asciiTheme="minorHAnsi" w:hAnsiTheme="minorHAnsi"/>
              </w:rPr>
              <w:t>2020 – Sizewell C NSL Application, including submission of JSSR v.1 and SDSR v.2</w:t>
            </w:r>
            <w:r w:rsidR="004A1FD5" w:rsidRPr="00B10AF5">
              <w:rPr>
                <w:rFonts w:asciiTheme="minorHAnsi" w:hAnsiTheme="minorHAnsi"/>
              </w:rPr>
              <w:t xml:space="preserve"> to ONR</w:t>
            </w:r>
            <w:r w:rsidR="00B10AF5">
              <w:rPr>
                <w:rFonts w:asciiTheme="minorHAnsi" w:hAnsiTheme="minorHAnsi"/>
              </w:rPr>
              <w:t xml:space="preserve">. </w:t>
            </w:r>
            <w:r w:rsidRPr="00B10AF5">
              <w:rPr>
                <w:rFonts w:asciiTheme="minorHAnsi" w:hAnsiTheme="minorHAnsi"/>
              </w:rPr>
              <w:t xml:space="preserve">The intention is that the SDSR v.2 will include all of the external hazards information, with the exception of seismic hazards, space weather and ground water. </w:t>
            </w:r>
            <w:r w:rsidRPr="00B10AF5">
              <w:rPr>
                <w:rFonts w:asciiTheme="minorHAnsi" w:hAnsiTheme="minorHAnsi"/>
                <w:i/>
              </w:rPr>
              <w:t>Note that SDSR v.1 was only shared with ONR as a draft and was very high level.</w:t>
            </w:r>
          </w:p>
          <w:p w:rsidR="004105D9" w:rsidRPr="004A1FD5" w:rsidRDefault="004105D9" w:rsidP="001650ED">
            <w:pPr>
              <w:pStyle w:val="TSBullet1Square"/>
              <w:tabs>
                <w:tab w:val="left" w:pos="0"/>
              </w:tabs>
              <w:spacing w:after="0"/>
              <w:jc w:val="both"/>
              <w:rPr>
                <w:rFonts w:asciiTheme="minorHAnsi" w:hAnsiTheme="minorHAnsi" w:cstheme="minorHAnsi"/>
                <w:iCs/>
                <w:sz w:val="20"/>
                <w:szCs w:val="20"/>
              </w:rPr>
            </w:pPr>
            <w:r w:rsidRPr="004A1FD5">
              <w:rPr>
                <w:rFonts w:asciiTheme="minorHAnsi" w:hAnsiTheme="minorHAnsi"/>
              </w:rPr>
              <w:t>July 2020 – Submission of NNB</w:t>
            </w:r>
            <w:r w:rsidR="001A4821">
              <w:rPr>
                <w:rFonts w:asciiTheme="minorHAnsi" w:hAnsiTheme="minorHAnsi"/>
              </w:rPr>
              <w:t>’s</w:t>
            </w:r>
            <w:r w:rsidRPr="004A1FD5">
              <w:rPr>
                <w:rFonts w:asciiTheme="minorHAnsi" w:hAnsiTheme="minorHAnsi"/>
              </w:rPr>
              <w:t xml:space="preserve"> planned deliverables to ONR </w:t>
            </w:r>
            <w:r w:rsidRPr="00C62335">
              <w:rPr>
                <w:rFonts w:asciiTheme="minorHAnsi" w:hAnsiTheme="minorHAnsi"/>
              </w:rPr>
              <w:t>(</w:t>
            </w:r>
            <w:r w:rsidR="004A1FD5" w:rsidRPr="00C62335">
              <w:rPr>
                <w:rFonts w:asciiTheme="minorHAnsi" w:hAnsiTheme="minorHAnsi"/>
              </w:rPr>
              <w:t>T</w:t>
            </w:r>
            <w:r w:rsidRPr="00C62335">
              <w:rPr>
                <w:rFonts w:asciiTheme="minorHAnsi" w:hAnsiTheme="minorHAnsi"/>
              </w:rPr>
              <w:t>able 1)</w:t>
            </w:r>
            <w:r w:rsidR="00B10AF5">
              <w:rPr>
                <w:rFonts w:asciiTheme="minorHAnsi" w:hAnsiTheme="minorHAnsi"/>
              </w:rPr>
              <w:t>.</w:t>
            </w:r>
          </w:p>
          <w:p w:rsidR="00C11908" w:rsidRDefault="00C11908" w:rsidP="001650ED">
            <w:pPr>
              <w:pStyle w:val="TSBullet1Square"/>
              <w:tabs>
                <w:tab w:val="clear" w:pos="-31680"/>
                <w:tab w:val="left" w:pos="0"/>
              </w:tabs>
              <w:spacing w:after="0"/>
              <w:jc w:val="both"/>
              <w:rPr>
                <w:rFonts w:asciiTheme="minorHAnsi" w:hAnsiTheme="minorHAnsi" w:cstheme="minorHAnsi"/>
                <w:iCs/>
                <w:color w:val="0000CC"/>
                <w:szCs w:val="20"/>
              </w:rPr>
            </w:pPr>
            <w:r>
              <w:rPr>
                <w:rFonts w:asciiTheme="minorHAnsi" w:hAnsiTheme="minorHAnsi" w:cstheme="minorHAnsi"/>
                <w:iCs/>
                <w:color w:val="0000CC"/>
                <w:szCs w:val="20"/>
              </w:rPr>
              <w:t>September/October 2020 – ONR External Hazards TSC contract start</w:t>
            </w:r>
          </w:p>
          <w:p w:rsidR="003F327F" w:rsidRPr="003F327F" w:rsidRDefault="003F327F" w:rsidP="001650ED">
            <w:pPr>
              <w:pStyle w:val="TSBullet1Square"/>
              <w:tabs>
                <w:tab w:val="clear" w:pos="-31680"/>
                <w:tab w:val="left" w:pos="0"/>
              </w:tabs>
              <w:spacing w:after="0"/>
              <w:jc w:val="both"/>
              <w:rPr>
                <w:rFonts w:asciiTheme="minorHAnsi" w:hAnsiTheme="minorHAnsi" w:cstheme="minorHAnsi"/>
                <w:iCs/>
                <w:color w:val="0000CC"/>
                <w:szCs w:val="20"/>
              </w:rPr>
            </w:pPr>
            <w:r w:rsidRPr="003F327F">
              <w:rPr>
                <w:rFonts w:asciiTheme="minorHAnsi" w:hAnsiTheme="minorHAnsi" w:cstheme="minorHAnsi"/>
                <w:iCs/>
                <w:color w:val="0000CC"/>
                <w:szCs w:val="20"/>
              </w:rPr>
              <w:t>End January 2021 – ONR External Hazards TSC Task 1 Technical Note</w:t>
            </w:r>
            <w:r>
              <w:rPr>
                <w:rFonts w:asciiTheme="minorHAnsi" w:hAnsiTheme="minorHAnsi" w:cstheme="minorHAnsi"/>
                <w:iCs/>
                <w:color w:val="0000CC"/>
                <w:szCs w:val="20"/>
              </w:rPr>
              <w:t xml:space="preserve"> complete</w:t>
            </w:r>
          </w:p>
          <w:p w:rsidR="001A4821" w:rsidRPr="003F327F" w:rsidRDefault="001A4821" w:rsidP="001650ED">
            <w:pPr>
              <w:pStyle w:val="TSBullet1Square"/>
              <w:tabs>
                <w:tab w:val="clear" w:pos="-31680"/>
                <w:tab w:val="left" w:pos="0"/>
              </w:tabs>
              <w:spacing w:after="0"/>
              <w:jc w:val="both"/>
              <w:rPr>
                <w:rFonts w:asciiTheme="minorHAnsi" w:hAnsiTheme="minorHAnsi" w:cstheme="minorHAnsi"/>
                <w:iCs/>
                <w:color w:val="0000CC"/>
                <w:szCs w:val="20"/>
              </w:rPr>
            </w:pPr>
            <w:r w:rsidRPr="003F327F">
              <w:rPr>
                <w:rFonts w:asciiTheme="minorHAnsi" w:hAnsiTheme="minorHAnsi" w:cstheme="minorHAnsi"/>
                <w:iCs/>
                <w:color w:val="0000CC"/>
                <w:szCs w:val="20"/>
              </w:rPr>
              <w:t xml:space="preserve">End April 2021 – ONR External Hazards TSC </w:t>
            </w:r>
            <w:r w:rsidRPr="003F327F">
              <w:rPr>
                <w:rFonts w:asciiTheme="minorHAnsi" w:hAnsiTheme="minorHAnsi" w:cstheme="minorHAnsi"/>
                <w:i/>
                <w:iCs/>
                <w:color w:val="0000CC"/>
                <w:szCs w:val="20"/>
              </w:rPr>
              <w:t>Draft</w:t>
            </w:r>
            <w:r w:rsidRPr="003F327F">
              <w:rPr>
                <w:rFonts w:asciiTheme="minorHAnsi" w:hAnsiTheme="minorHAnsi" w:cstheme="minorHAnsi"/>
                <w:iCs/>
                <w:color w:val="0000CC"/>
                <w:szCs w:val="20"/>
              </w:rPr>
              <w:t xml:space="preserve"> Final Report complete</w:t>
            </w:r>
          </w:p>
          <w:p w:rsidR="004105D9" w:rsidRPr="004A1FD5" w:rsidRDefault="004105D9" w:rsidP="001650ED">
            <w:pPr>
              <w:pStyle w:val="TSBullet1Square"/>
              <w:tabs>
                <w:tab w:val="left" w:pos="0"/>
              </w:tabs>
              <w:spacing w:before="120" w:after="0"/>
              <w:jc w:val="both"/>
              <w:rPr>
                <w:rFonts w:asciiTheme="minorHAnsi" w:hAnsiTheme="minorHAnsi" w:cstheme="minorHAnsi"/>
                <w:iCs/>
                <w:sz w:val="20"/>
                <w:szCs w:val="20"/>
              </w:rPr>
            </w:pPr>
            <w:r w:rsidRPr="004A1FD5">
              <w:rPr>
                <w:rFonts w:asciiTheme="minorHAnsi" w:hAnsiTheme="minorHAnsi" w:cstheme="minorHAnsi"/>
                <w:iCs/>
                <w:szCs w:val="22"/>
              </w:rPr>
              <w:t xml:space="preserve">May 2021 </w:t>
            </w:r>
            <w:r w:rsidR="00B10AF5">
              <w:rPr>
                <w:rFonts w:asciiTheme="minorHAnsi" w:hAnsiTheme="minorHAnsi" w:cstheme="minorHAnsi"/>
                <w:iCs/>
                <w:szCs w:val="22"/>
              </w:rPr>
              <w:t xml:space="preserve">(approx.) </w:t>
            </w:r>
            <w:r w:rsidRPr="004A1FD5">
              <w:rPr>
                <w:rFonts w:asciiTheme="minorHAnsi" w:hAnsiTheme="minorHAnsi" w:cstheme="minorHAnsi"/>
                <w:iCs/>
                <w:szCs w:val="22"/>
              </w:rPr>
              <w:t>– Submission of JSSR v.2 and SDSR v.3</w:t>
            </w:r>
            <w:r w:rsidR="004A1FD5">
              <w:rPr>
                <w:rFonts w:asciiTheme="minorHAnsi" w:hAnsiTheme="minorHAnsi" w:cstheme="minorHAnsi"/>
                <w:iCs/>
                <w:szCs w:val="22"/>
              </w:rPr>
              <w:t xml:space="preserve"> to ONR</w:t>
            </w:r>
            <w:r w:rsidR="00B10AF5">
              <w:rPr>
                <w:rFonts w:asciiTheme="minorHAnsi" w:hAnsiTheme="minorHAnsi" w:cstheme="minorHAnsi"/>
                <w:iCs/>
                <w:szCs w:val="22"/>
              </w:rPr>
              <w:t>:</w:t>
            </w:r>
          </w:p>
          <w:p w:rsidR="004105D9" w:rsidRPr="00C62335" w:rsidRDefault="004105D9" w:rsidP="001650ED">
            <w:pPr>
              <w:pStyle w:val="TSBullet2Circle"/>
              <w:jc w:val="both"/>
              <w:rPr>
                <w:rFonts w:asciiTheme="minorHAnsi" w:hAnsiTheme="minorHAnsi"/>
                <w:sz w:val="20"/>
                <w:szCs w:val="20"/>
              </w:rPr>
            </w:pPr>
            <w:r w:rsidRPr="00C62335">
              <w:rPr>
                <w:rFonts w:asciiTheme="minorHAnsi" w:hAnsiTheme="minorHAnsi"/>
              </w:rPr>
              <w:t xml:space="preserve">JSSR v.2 and SDSR v.3 have been delayed until ~May 2021, due to the </w:t>
            </w:r>
            <w:r w:rsidR="004A1FD5" w:rsidRPr="00C62335">
              <w:rPr>
                <w:rFonts w:asciiTheme="minorHAnsi" w:hAnsiTheme="minorHAnsi"/>
              </w:rPr>
              <w:t xml:space="preserve">forecasted seismic hazards deliverable dates from NNB’s technical support contractor. </w:t>
            </w:r>
            <w:r w:rsidRPr="00C62335">
              <w:rPr>
                <w:rFonts w:asciiTheme="minorHAnsi" w:hAnsiTheme="minorHAnsi"/>
              </w:rPr>
              <w:t xml:space="preserve"> </w:t>
            </w:r>
          </w:p>
          <w:p w:rsidR="004A1FD5" w:rsidRPr="001A4821" w:rsidRDefault="004A1FD5" w:rsidP="001650ED">
            <w:pPr>
              <w:pStyle w:val="TSBullet2Circle"/>
              <w:spacing w:after="0"/>
              <w:jc w:val="both"/>
              <w:rPr>
                <w:rFonts w:asciiTheme="minorHAnsi" w:hAnsiTheme="minorHAnsi"/>
                <w:sz w:val="20"/>
                <w:szCs w:val="20"/>
              </w:rPr>
            </w:pPr>
            <w:r w:rsidRPr="00C62335">
              <w:rPr>
                <w:rFonts w:asciiTheme="minorHAnsi" w:hAnsiTheme="minorHAnsi"/>
              </w:rPr>
              <w:t>SDSR v.3 should include the outstanding external hazards information (this will include, but may not be limited to, space weather, groundwater and seismic hazards)</w:t>
            </w:r>
            <w:r w:rsidR="00B10AF5">
              <w:rPr>
                <w:rFonts w:asciiTheme="minorHAnsi" w:hAnsiTheme="minorHAnsi"/>
              </w:rPr>
              <w:t>.</w:t>
            </w:r>
            <w:r w:rsidRPr="004A1FD5">
              <w:rPr>
                <w:rFonts w:asciiTheme="minorHAnsi" w:hAnsiTheme="minorHAnsi"/>
              </w:rPr>
              <w:t xml:space="preserve"> </w:t>
            </w:r>
          </w:p>
          <w:p w:rsidR="001A4821" w:rsidRPr="004A1FD5" w:rsidRDefault="001A4821" w:rsidP="001650ED">
            <w:pPr>
              <w:pStyle w:val="TSBullet2Circle"/>
              <w:spacing w:after="0"/>
              <w:jc w:val="both"/>
              <w:rPr>
                <w:rFonts w:asciiTheme="minorHAnsi" w:hAnsiTheme="minorHAnsi"/>
                <w:sz w:val="20"/>
                <w:szCs w:val="20"/>
              </w:rPr>
            </w:pPr>
            <w:r>
              <w:rPr>
                <w:rFonts w:asciiTheme="minorHAnsi" w:hAnsiTheme="minorHAnsi"/>
              </w:rPr>
              <w:t xml:space="preserve">Due to the challenging timescales </w:t>
            </w:r>
            <w:r w:rsidR="00297507">
              <w:rPr>
                <w:rFonts w:asciiTheme="minorHAnsi" w:hAnsiTheme="minorHAnsi"/>
              </w:rPr>
              <w:t>this scope of work</w:t>
            </w:r>
            <w:r w:rsidRPr="003E1756">
              <w:rPr>
                <w:rFonts w:asciiTheme="minorHAnsi" w:hAnsiTheme="minorHAnsi"/>
              </w:rPr>
              <w:t xml:space="preserve"> does not include review of JSSR v.2 and SDSR v.3. </w:t>
            </w:r>
            <w:r>
              <w:rPr>
                <w:rFonts w:asciiTheme="minorHAnsi" w:hAnsiTheme="minorHAnsi"/>
              </w:rPr>
              <w:t xml:space="preserve">The TSC’s Final Report should make any assumptions clear and ONR will check these assumptions remain valid on submission of JSSR v.2 and SDSR v.3. </w:t>
            </w:r>
          </w:p>
          <w:p w:rsidR="004105D9" w:rsidRPr="003F327F" w:rsidRDefault="00B10AF5" w:rsidP="001650ED">
            <w:pPr>
              <w:pStyle w:val="TSBullet1Square"/>
              <w:tabs>
                <w:tab w:val="left" w:pos="0"/>
              </w:tabs>
              <w:spacing w:after="0"/>
              <w:jc w:val="both"/>
              <w:rPr>
                <w:rFonts w:asciiTheme="minorHAnsi" w:hAnsiTheme="minorHAnsi" w:cstheme="minorHAnsi"/>
                <w:iCs/>
                <w:color w:val="0000CC"/>
                <w:szCs w:val="20"/>
              </w:rPr>
            </w:pPr>
            <w:r w:rsidRPr="003F327F">
              <w:rPr>
                <w:rFonts w:asciiTheme="minorHAnsi" w:hAnsiTheme="minorHAnsi" w:cstheme="minorHAnsi"/>
                <w:iCs/>
                <w:color w:val="0000CC"/>
                <w:szCs w:val="20"/>
              </w:rPr>
              <w:t xml:space="preserve">End </w:t>
            </w:r>
            <w:r w:rsidR="004105D9" w:rsidRPr="003F327F">
              <w:rPr>
                <w:rFonts w:asciiTheme="minorHAnsi" w:hAnsiTheme="minorHAnsi" w:cstheme="minorHAnsi"/>
                <w:iCs/>
                <w:color w:val="0000CC"/>
                <w:szCs w:val="20"/>
              </w:rPr>
              <w:t xml:space="preserve">May 2021 – ONR External Hazards TSC </w:t>
            </w:r>
            <w:r w:rsidR="001A4821" w:rsidRPr="003F327F">
              <w:rPr>
                <w:rFonts w:asciiTheme="minorHAnsi" w:hAnsiTheme="minorHAnsi" w:cstheme="minorHAnsi"/>
                <w:iCs/>
                <w:color w:val="0000CC"/>
                <w:szCs w:val="20"/>
              </w:rPr>
              <w:t>Final R</w:t>
            </w:r>
            <w:r w:rsidR="004105D9" w:rsidRPr="003F327F">
              <w:rPr>
                <w:rFonts w:asciiTheme="minorHAnsi" w:hAnsiTheme="minorHAnsi" w:cstheme="minorHAnsi"/>
                <w:iCs/>
                <w:color w:val="0000CC"/>
                <w:szCs w:val="20"/>
              </w:rPr>
              <w:t xml:space="preserve">eport complete </w:t>
            </w:r>
          </w:p>
          <w:p w:rsidR="004105D9" w:rsidRPr="004A1FD5" w:rsidRDefault="004105D9" w:rsidP="001650ED">
            <w:pPr>
              <w:pStyle w:val="TSBullet1Square"/>
              <w:tabs>
                <w:tab w:val="left" w:pos="0"/>
              </w:tabs>
              <w:spacing w:before="120" w:after="0"/>
              <w:jc w:val="both"/>
              <w:rPr>
                <w:rFonts w:asciiTheme="minorHAnsi" w:hAnsiTheme="minorHAnsi" w:cstheme="minorHAnsi"/>
                <w:iCs/>
                <w:szCs w:val="20"/>
              </w:rPr>
            </w:pPr>
            <w:r w:rsidRPr="004A1FD5">
              <w:rPr>
                <w:rFonts w:asciiTheme="minorHAnsi" w:hAnsiTheme="minorHAnsi" w:cstheme="minorHAnsi"/>
                <w:iCs/>
                <w:szCs w:val="20"/>
              </w:rPr>
              <w:t xml:space="preserve">End June 2021 – ONR External Hazards Assessment Report </w:t>
            </w:r>
          </w:p>
          <w:p w:rsidR="004105D9" w:rsidRPr="004105D9" w:rsidRDefault="004105D9" w:rsidP="001650ED">
            <w:pPr>
              <w:pStyle w:val="TSBullet1Square"/>
              <w:tabs>
                <w:tab w:val="left" w:pos="0"/>
              </w:tabs>
              <w:spacing w:before="120" w:after="0"/>
              <w:jc w:val="both"/>
              <w:rPr>
                <w:rFonts w:asciiTheme="minorHAnsi" w:hAnsiTheme="minorHAnsi" w:cstheme="minorHAnsi"/>
                <w:iCs/>
                <w:szCs w:val="20"/>
              </w:rPr>
            </w:pPr>
            <w:r>
              <w:rPr>
                <w:rFonts w:asciiTheme="minorHAnsi" w:hAnsiTheme="minorHAnsi" w:cstheme="minorHAnsi"/>
                <w:iCs/>
                <w:szCs w:val="20"/>
              </w:rPr>
              <w:t>December 2021 – Sizewell C NSL Grant</w:t>
            </w:r>
          </w:p>
          <w:p w:rsidR="00C62335" w:rsidRDefault="00C62335" w:rsidP="001650ED">
            <w:pPr>
              <w:pStyle w:val="TSNumberedParagraph11"/>
              <w:numPr>
                <w:ilvl w:val="0"/>
                <w:numId w:val="0"/>
              </w:numPr>
              <w:spacing w:after="0"/>
              <w:ind w:left="720"/>
              <w:jc w:val="both"/>
              <w:rPr>
                <w:rFonts w:asciiTheme="minorHAnsi" w:hAnsiTheme="minorHAnsi"/>
              </w:rPr>
            </w:pPr>
          </w:p>
          <w:p w:rsidR="004A1FD5" w:rsidRPr="004A1FD5" w:rsidRDefault="004A1FD5" w:rsidP="001650ED">
            <w:pPr>
              <w:pStyle w:val="TSNumberedParagraph11"/>
              <w:jc w:val="both"/>
              <w:rPr>
                <w:rFonts w:asciiTheme="minorHAnsi" w:hAnsiTheme="minorHAnsi"/>
              </w:rPr>
            </w:pPr>
            <w:r w:rsidRPr="004A1FD5">
              <w:rPr>
                <w:rFonts w:asciiTheme="minorHAnsi" w:hAnsiTheme="minorHAnsi"/>
              </w:rPr>
              <w:t xml:space="preserve">In </w:t>
            </w:r>
            <w:r w:rsidR="00F4624E">
              <w:rPr>
                <w:rFonts w:asciiTheme="minorHAnsi" w:hAnsiTheme="minorHAnsi"/>
              </w:rPr>
              <w:t>order to inform ONR’s External H</w:t>
            </w:r>
            <w:r w:rsidRPr="004A1FD5">
              <w:rPr>
                <w:rFonts w:asciiTheme="minorHAnsi" w:hAnsiTheme="minorHAnsi"/>
              </w:rPr>
              <w:t>azard</w:t>
            </w:r>
            <w:r w:rsidR="00F4624E">
              <w:rPr>
                <w:rFonts w:asciiTheme="minorHAnsi" w:hAnsiTheme="minorHAnsi"/>
              </w:rPr>
              <w:t>s</w:t>
            </w:r>
            <w:r w:rsidRPr="004A1FD5">
              <w:rPr>
                <w:rFonts w:asciiTheme="minorHAnsi" w:hAnsiTheme="minorHAnsi"/>
              </w:rPr>
              <w:t xml:space="preserve"> Assessment Report and</w:t>
            </w:r>
            <w:r w:rsidR="00D578A7">
              <w:rPr>
                <w:rFonts w:asciiTheme="minorHAnsi" w:hAnsiTheme="minorHAnsi"/>
              </w:rPr>
              <w:t xml:space="preserve"> ONR’s</w:t>
            </w:r>
            <w:r w:rsidRPr="004A1FD5">
              <w:rPr>
                <w:rFonts w:asciiTheme="minorHAnsi" w:hAnsiTheme="minorHAnsi"/>
              </w:rPr>
              <w:t xml:space="preserve"> licensing decision, the following timescales must be met:</w:t>
            </w:r>
          </w:p>
          <w:p w:rsidR="004A1FD5" w:rsidRPr="004A1FD5" w:rsidRDefault="003A76CD" w:rsidP="001650ED">
            <w:pPr>
              <w:pStyle w:val="TSBullet1Square"/>
              <w:jc w:val="both"/>
              <w:rPr>
                <w:rFonts w:asciiTheme="minorHAnsi" w:hAnsiTheme="minorHAnsi"/>
              </w:rPr>
            </w:pPr>
            <w:r>
              <w:rPr>
                <w:rFonts w:asciiTheme="minorHAnsi" w:hAnsiTheme="minorHAnsi"/>
                <w:u w:val="single"/>
              </w:rPr>
              <w:t xml:space="preserve">Final </w:t>
            </w:r>
            <w:r w:rsidR="001C02F1">
              <w:rPr>
                <w:rFonts w:asciiTheme="minorHAnsi" w:hAnsiTheme="minorHAnsi"/>
                <w:u w:val="single"/>
              </w:rPr>
              <w:t>R</w:t>
            </w:r>
            <w:r>
              <w:rPr>
                <w:rFonts w:asciiTheme="minorHAnsi" w:hAnsiTheme="minorHAnsi"/>
                <w:u w:val="single"/>
              </w:rPr>
              <w:t>eport</w:t>
            </w:r>
            <w:r w:rsidR="004A1FD5" w:rsidRPr="00C62335">
              <w:rPr>
                <w:rFonts w:asciiTheme="minorHAnsi" w:hAnsiTheme="minorHAnsi"/>
                <w:u w:val="single"/>
              </w:rPr>
              <w:t xml:space="preserve"> to be completed by 31 May 2021</w:t>
            </w:r>
            <w:r w:rsidR="004A1FD5" w:rsidRPr="004A1FD5">
              <w:rPr>
                <w:rFonts w:asciiTheme="minorHAnsi" w:hAnsiTheme="minorHAnsi"/>
              </w:rPr>
              <w:t>.</w:t>
            </w:r>
          </w:p>
          <w:p w:rsidR="004A1FD5" w:rsidRDefault="004A1FD5" w:rsidP="001650ED">
            <w:pPr>
              <w:pStyle w:val="TSBullet1Square"/>
              <w:jc w:val="both"/>
              <w:rPr>
                <w:rFonts w:asciiTheme="minorHAnsi" w:hAnsiTheme="minorHAnsi"/>
              </w:rPr>
            </w:pPr>
            <w:r w:rsidRPr="004A1FD5">
              <w:rPr>
                <w:rFonts w:asciiTheme="minorHAnsi" w:hAnsiTheme="minorHAnsi"/>
              </w:rPr>
              <w:t>Meetings to be organised on a mutually agreeable basis from start of contract.</w:t>
            </w:r>
          </w:p>
          <w:p w:rsidR="004A1FD5" w:rsidRPr="004A1FD5" w:rsidRDefault="004A1FD5" w:rsidP="001650ED">
            <w:pPr>
              <w:pStyle w:val="TSNumberedParagraph11"/>
              <w:jc w:val="both"/>
              <w:rPr>
                <w:rFonts w:asciiTheme="minorHAnsi" w:hAnsiTheme="minorHAnsi"/>
              </w:rPr>
            </w:pPr>
            <w:r w:rsidRPr="004A1FD5">
              <w:rPr>
                <w:rFonts w:asciiTheme="minorHAnsi" w:hAnsiTheme="minorHAnsi"/>
              </w:rPr>
              <w:t>Conflicts of Interest</w:t>
            </w:r>
          </w:p>
          <w:p w:rsidR="0072461C" w:rsidRPr="00EA0720" w:rsidRDefault="00C9494A" w:rsidP="001650ED">
            <w:pPr>
              <w:pStyle w:val="TSBullet1Square"/>
              <w:jc w:val="both"/>
              <w:rPr>
                <w:rFonts w:asciiTheme="minorHAnsi" w:hAnsiTheme="minorHAnsi"/>
              </w:rPr>
            </w:pPr>
            <w:r w:rsidRPr="00C9494A">
              <w:rPr>
                <w:rFonts w:asciiTheme="minorHAnsi" w:hAnsiTheme="minorHAnsi"/>
              </w:rPr>
              <w:t xml:space="preserve">Any conflict of interest should be declared. </w:t>
            </w:r>
            <w:r w:rsidR="00B21C38" w:rsidRPr="00B21C38">
              <w:rPr>
                <w:rFonts w:asciiTheme="minorHAnsi" w:hAnsiTheme="minorHAnsi"/>
              </w:rPr>
              <w:t>Where a potential conflict exists, the TSC should describe how this will be managed by completion and submission of the Potential Conflicts of Interest Declaration form attached at Schedule C.</w:t>
            </w:r>
          </w:p>
        </w:tc>
      </w:tr>
      <w:tr w:rsidR="00AF4C0F" w:rsidRPr="002C62C2" w:rsidTr="00971BA8">
        <w:trPr>
          <w:jc w:val="center"/>
        </w:trPr>
        <w:tc>
          <w:tcPr>
            <w:tcW w:w="9709" w:type="dxa"/>
          </w:tcPr>
          <w:p w:rsidR="00AF4C0F" w:rsidRPr="002C62C2" w:rsidRDefault="00AF4C0F" w:rsidP="001650ED">
            <w:pPr>
              <w:pStyle w:val="TSHeadingNumbered1"/>
              <w:tabs>
                <w:tab w:val="left" w:pos="0"/>
              </w:tabs>
              <w:ind w:left="0" w:firstLine="0"/>
              <w:jc w:val="both"/>
              <w:rPr>
                <w:rFonts w:asciiTheme="minorHAnsi" w:hAnsiTheme="minorHAnsi" w:cstheme="minorHAnsi"/>
              </w:rPr>
            </w:pPr>
            <w:r w:rsidRPr="002C62C2">
              <w:rPr>
                <w:rFonts w:asciiTheme="minorHAnsi" w:hAnsiTheme="minorHAnsi" w:cstheme="minorHAnsi"/>
              </w:rPr>
              <w:t>CONTRACT MANAGEMENT</w:t>
            </w:r>
          </w:p>
          <w:p w:rsidR="00AF4C0F" w:rsidRDefault="00AF4C0F" w:rsidP="001650ED">
            <w:pPr>
              <w:pStyle w:val="TSNumberedParagraph11"/>
              <w:jc w:val="both"/>
              <w:rPr>
                <w:rFonts w:asciiTheme="minorHAnsi" w:hAnsiTheme="minorHAnsi"/>
              </w:rPr>
            </w:pPr>
            <w:r w:rsidRPr="000357AC">
              <w:rPr>
                <w:rFonts w:asciiTheme="minorHAnsi" w:hAnsiTheme="minorHAnsi"/>
              </w:rPr>
              <w:t>ONR will require to be kept updated about progress and delivery of the required work via monthly meetings, to include a contract start-up meeting</w:t>
            </w:r>
            <w:r w:rsidR="000357AC">
              <w:rPr>
                <w:rFonts w:asciiTheme="minorHAnsi" w:hAnsiTheme="minorHAnsi"/>
              </w:rPr>
              <w:t xml:space="preserve">. Further detail, including the frequency of these meetings, is provided in Section 2.  </w:t>
            </w:r>
            <w:r w:rsidRPr="000357AC">
              <w:rPr>
                <w:rFonts w:asciiTheme="minorHAnsi" w:hAnsiTheme="minorHAnsi"/>
              </w:rPr>
              <w:t xml:space="preserve"> </w:t>
            </w:r>
          </w:p>
          <w:p w:rsidR="00AF4C0F" w:rsidRPr="00D2116D" w:rsidRDefault="00CE200D" w:rsidP="001650ED">
            <w:pPr>
              <w:pStyle w:val="TSNumberedParagraph11"/>
              <w:numPr>
                <w:ilvl w:val="0"/>
                <w:numId w:val="0"/>
              </w:numPr>
              <w:ind w:left="720"/>
              <w:jc w:val="both"/>
              <w:rPr>
                <w:rFonts w:asciiTheme="minorHAnsi" w:hAnsiTheme="minorHAnsi" w:cstheme="minorHAnsi"/>
                <w:i/>
                <w:iCs/>
                <w:sz w:val="20"/>
                <w:szCs w:val="20"/>
              </w:rPr>
            </w:pPr>
            <w:r w:rsidRPr="00CE200D">
              <w:rPr>
                <w:rFonts w:asciiTheme="minorHAnsi" w:hAnsiTheme="minorHAnsi"/>
                <w:b/>
                <w:sz w:val="24"/>
              </w:rPr>
              <w:t>*</w:t>
            </w:r>
            <w:r w:rsidR="00D2116D" w:rsidRPr="00D2116D">
              <w:rPr>
                <w:rFonts w:asciiTheme="minorHAnsi" w:hAnsiTheme="minorHAnsi"/>
                <w:i/>
              </w:rPr>
              <w:t>Note: Whilst travel restrictions remain as a result of the current Covid-19 pandemic, meetings will be held using video or teleconference facilities.</w:t>
            </w:r>
          </w:p>
        </w:tc>
      </w:tr>
      <w:tr w:rsidR="00863CDC" w:rsidRPr="002C62C2" w:rsidTr="00971BA8">
        <w:trPr>
          <w:jc w:val="center"/>
        </w:trPr>
        <w:tc>
          <w:tcPr>
            <w:tcW w:w="9709" w:type="dxa"/>
            <w:tcBorders>
              <w:bottom w:val="single" w:sz="4" w:space="0" w:color="auto"/>
            </w:tcBorders>
            <w:shd w:val="clear" w:color="auto" w:fill="006D68"/>
          </w:tcPr>
          <w:p w:rsidR="00863CDC" w:rsidRPr="002C62C2" w:rsidRDefault="00863CDC" w:rsidP="00971BA8">
            <w:pPr>
              <w:pStyle w:val="Header"/>
              <w:tabs>
                <w:tab w:val="left" w:pos="0"/>
              </w:tabs>
              <w:spacing w:before="120" w:after="120"/>
              <w:jc w:val="both"/>
              <w:rPr>
                <w:rFonts w:asciiTheme="minorHAnsi" w:hAnsiTheme="minorHAnsi" w:cstheme="minorHAnsi"/>
              </w:rPr>
            </w:pPr>
            <w:r>
              <w:rPr>
                <w:rFonts w:asciiTheme="minorHAnsi" w:hAnsiTheme="minorHAnsi" w:cstheme="minorHAnsi"/>
                <w:b/>
                <w:iCs/>
                <w:color w:val="FFFFFF" w:themeColor="background1"/>
                <w:sz w:val="24"/>
              </w:rPr>
              <w:t>TECHNICAL RESPONSE</w:t>
            </w:r>
          </w:p>
        </w:tc>
      </w:tr>
      <w:tr w:rsidR="00971BA8" w:rsidRPr="002C62C2" w:rsidTr="00971BA8">
        <w:trPr>
          <w:jc w:val="center"/>
        </w:trPr>
        <w:tc>
          <w:tcPr>
            <w:tcW w:w="9709" w:type="dxa"/>
            <w:shd w:val="clear" w:color="auto" w:fill="auto"/>
          </w:tcPr>
          <w:p w:rsidR="00971BA8" w:rsidRDefault="00971BA8"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Response</w:t>
            </w:r>
          </w:p>
          <w:p w:rsidR="00971BA8" w:rsidRPr="00D55FE7" w:rsidRDefault="00971BA8" w:rsidP="00971BA8">
            <w:pPr>
              <w:pStyle w:val="TSNumberedParagraph11"/>
              <w:tabs>
                <w:tab w:val="left" w:pos="0"/>
              </w:tabs>
              <w:ind w:left="0" w:firstLine="0"/>
              <w:rPr>
                <w:rFonts w:asciiTheme="minorHAnsi" w:hAnsiTheme="minorHAnsi" w:cstheme="minorHAnsi"/>
              </w:rPr>
            </w:pPr>
            <w:r>
              <w:rPr>
                <w:rFonts w:asciiTheme="minorHAnsi" w:hAnsiTheme="minorHAnsi" w:cstheme="minorHAnsi"/>
              </w:rPr>
              <w:t>The Technical Response</w:t>
            </w:r>
            <w:r w:rsidRPr="00D55FE7">
              <w:rPr>
                <w:rFonts w:asciiTheme="minorHAnsi" w:hAnsiTheme="minorHAnsi" w:cstheme="minorHAnsi"/>
              </w:rPr>
              <w:t xml:space="preserve"> should </w:t>
            </w:r>
            <w:r>
              <w:rPr>
                <w:rFonts w:asciiTheme="minorHAnsi" w:hAnsiTheme="minorHAnsi" w:cstheme="minorHAnsi"/>
              </w:rPr>
              <w:t>demonstrate a clear understanding of the work required.</w:t>
            </w:r>
          </w:p>
          <w:p w:rsidR="00971BA8" w:rsidRPr="002C62C2" w:rsidRDefault="00971BA8" w:rsidP="00971BA8">
            <w:pPr>
              <w:pStyle w:val="TSNumberedParagraph11"/>
              <w:tabs>
                <w:tab w:val="left" w:pos="0"/>
              </w:tabs>
              <w:ind w:left="0" w:firstLine="0"/>
              <w:rPr>
                <w:rFonts w:asciiTheme="minorHAnsi" w:hAnsiTheme="minorHAnsi" w:cstheme="minorHAnsi"/>
              </w:rPr>
            </w:pPr>
            <w:r w:rsidRPr="002C62C2">
              <w:rPr>
                <w:rFonts w:asciiTheme="minorHAnsi" w:hAnsiTheme="minorHAnsi" w:cstheme="minorHAnsi"/>
              </w:rPr>
              <w:lastRenderedPageBreak/>
              <w:t>Please provide</w:t>
            </w:r>
            <w:r w:rsidR="00B54BDA">
              <w:rPr>
                <w:rFonts w:asciiTheme="minorHAnsi" w:hAnsiTheme="minorHAnsi" w:cstheme="minorHAnsi"/>
              </w:rPr>
              <w:t>:</w:t>
            </w:r>
            <w:r w:rsidRPr="002C62C2">
              <w:rPr>
                <w:rFonts w:asciiTheme="minorHAnsi" w:hAnsiTheme="minorHAnsi" w:cstheme="minorHAnsi"/>
              </w:rPr>
              <w:t xml:space="preserve"> </w:t>
            </w:r>
          </w:p>
          <w:p w:rsidR="00971BA8" w:rsidRPr="00B54BDA" w:rsidRDefault="00971BA8" w:rsidP="00B54BDA">
            <w:pPr>
              <w:pStyle w:val="TSBullet1Square"/>
              <w:rPr>
                <w:rFonts w:asciiTheme="minorHAnsi" w:hAnsiTheme="minorHAnsi"/>
              </w:rPr>
            </w:pPr>
            <w:r w:rsidRPr="00B54BDA">
              <w:rPr>
                <w:rFonts w:asciiTheme="minorHAnsi" w:hAnsiTheme="minorHAnsi"/>
              </w:rPr>
              <w:t>a description of how you will deliver the scope of work (methodology) and the proposed delivery team you will use, clearly signposting to relevant sections within your Capability Prospec</w:t>
            </w:r>
            <w:r w:rsidR="00B54BDA" w:rsidRPr="00B54BDA">
              <w:rPr>
                <w:rFonts w:asciiTheme="minorHAnsi" w:hAnsiTheme="minorHAnsi"/>
              </w:rPr>
              <w:t>tus where appropriate/relevant</w:t>
            </w:r>
          </w:p>
          <w:p w:rsidR="00971BA8" w:rsidRPr="00B54BDA" w:rsidRDefault="00971BA8" w:rsidP="00B54BDA">
            <w:pPr>
              <w:pStyle w:val="TSBullet1Square"/>
              <w:rPr>
                <w:rFonts w:asciiTheme="minorHAnsi" w:hAnsiTheme="minorHAnsi"/>
              </w:rPr>
            </w:pPr>
            <w:r w:rsidRPr="00B54BDA">
              <w:rPr>
                <w:rFonts w:asciiTheme="minorHAnsi" w:hAnsiTheme="minorHAnsi"/>
              </w:rPr>
              <w:t>a description of proposed deliverables and/or outputs</w:t>
            </w:r>
          </w:p>
          <w:p w:rsidR="00971BA8" w:rsidRPr="00B54BDA" w:rsidRDefault="00971BA8" w:rsidP="00B54BDA">
            <w:pPr>
              <w:pStyle w:val="TSBullet1Square"/>
              <w:rPr>
                <w:rFonts w:asciiTheme="minorHAnsi" w:hAnsiTheme="minorHAnsi"/>
              </w:rPr>
            </w:pPr>
            <w:r w:rsidRPr="00B54BDA">
              <w:rPr>
                <w:rFonts w:asciiTheme="minorHAnsi" w:hAnsiTheme="minorHAnsi"/>
              </w:rPr>
              <w:t>an outline of anticipated engagement (project meetings &amp; management)</w:t>
            </w:r>
          </w:p>
          <w:p w:rsidR="00971BA8" w:rsidRPr="00B54BDA" w:rsidRDefault="0056557D" w:rsidP="00B54BDA">
            <w:pPr>
              <w:pStyle w:val="TSBullet1Square"/>
              <w:rPr>
                <w:rFonts w:asciiTheme="minorHAnsi" w:hAnsiTheme="minorHAnsi"/>
              </w:rPr>
            </w:pPr>
            <w:r>
              <w:rPr>
                <w:rFonts w:asciiTheme="minorHAnsi" w:hAnsiTheme="minorHAnsi"/>
              </w:rPr>
              <w:t xml:space="preserve">a detailed breakdown of the </w:t>
            </w:r>
            <w:r w:rsidR="00971BA8" w:rsidRPr="00B54BDA">
              <w:rPr>
                <w:rFonts w:asciiTheme="minorHAnsi" w:hAnsiTheme="minorHAnsi"/>
              </w:rPr>
              <w:t>proposed cost and associated effort assumptions</w:t>
            </w:r>
            <w:r>
              <w:rPr>
                <w:rFonts w:asciiTheme="minorHAnsi" w:hAnsiTheme="minorHAnsi"/>
              </w:rPr>
              <w:t xml:space="preserve"> per task and per hazard (specifically Task 2)</w:t>
            </w:r>
          </w:p>
          <w:p w:rsidR="00971BA8" w:rsidRPr="00B54BDA" w:rsidRDefault="00971BA8" w:rsidP="00B54BDA">
            <w:pPr>
              <w:pStyle w:val="TSBullet1Square"/>
              <w:rPr>
                <w:rFonts w:asciiTheme="minorHAnsi" w:hAnsiTheme="minorHAnsi"/>
              </w:rPr>
            </w:pPr>
            <w:r w:rsidRPr="00B54BDA">
              <w:rPr>
                <w:rFonts w:asciiTheme="minorHAnsi" w:hAnsiTheme="minorHAnsi"/>
              </w:rPr>
              <w:t xml:space="preserve">a project delivery plan showing activities and milestones </w:t>
            </w:r>
          </w:p>
          <w:p w:rsidR="00971BA8" w:rsidRPr="00B54BDA" w:rsidRDefault="00971BA8" w:rsidP="00B54BDA">
            <w:pPr>
              <w:pStyle w:val="TSBullet1Square"/>
              <w:rPr>
                <w:rFonts w:asciiTheme="minorHAnsi" w:hAnsiTheme="minorHAnsi"/>
              </w:rPr>
            </w:pPr>
            <w:r w:rsidRPr="00B54BDA">
              <w:rPr>
                <w:rFonts w:asciiTheme="minorHAnsi" w:hAnsiTheme="minorHAnsi"/>
              </w:rPr>
              <w:t>a planned invoice schedule</w:t>
            </w:r>
          </w:p>
          <w:p w:rsidR="00971BA8" w:rsidRPr="00B10AF5" w:rsidRDefault="00971BA8" w:rsidP="00B10AF5">
            <w:pPr>
              <w:pStyle w:val="TSBullet1Square"/>
              <w:rPr>
                <w:rFonts w:asciiTheme="minorHAnsi" w:hAnsiTheme="minorHAnsi"/>
              </w:rPr>
            </w:pPr>
            <w:r w:rsidRPr="00B54BDA">
              <w:rPr>
                <w:rFonts w:asciiTheme="minorHAnsi" w:hAnsiTheme="minorHAnsi"/>
              </w:rPr>
              <w:t>details of any assumptions or constraints</w:t>
            </w:r>
          </w:p>
        </w:tc>
      </w:tr>
    </w:tbl>
    <w:p w:rsidR="00D75DA2" w:rsidRDefault="00D75DA2" w:rsidP="00457068">
      <w:pPr>
        <w:ind w:left="567" w:hanging="567"/>
        <w:rPr>
          <w:rFonts w:asciiTheme="minorHAnsi" w:hAnsiTheme="minorHAnsi" w:cstheme="minorHAnsi"/>
        </w:rPr>
      </w:pPr>
    </w:p>
    <w:p w:rsidR="00F4624E" w:rsidRDefault="00F4624E" w:rsidP="00457068">
      <w:pPr>
        <w:ind w:left="567" w:hanging="567"/>
        <w:rPr>
          <w:rFonts w:asciiTheme="minorHAnsi" w:hAnsiTheme="minorHAnsi" w:cstheme="minorHAnsi"/>
        </w:rPr>
      </w:pPr>
    </w:p>
    <w:p w:rsidR="00F4624E" w:rsidRDefault="00F4624E" w:rsidP="00457068">
      <w:pPr>
        <w:ind w:left="567" w:hanging="567"/>
        <w:rPr>
          <w:rFonts w:asciiTheme="minorHAnsi" w:hAnsiTheme="minorHAnsi" w:cstheme="minorHAnsi"/>
          <w:b/>
        </w:rPr>
      </w:pPr>
      <w:r w:rsidRPr="00E60700">
        <w:rPr>
          <w:rFonts w:asciiTheme="minorHAnsi" w:hAnsiTheme="minorHAnsi" w:cstheme="minorHAnsi"/>
          <w:b/>
        </w:rPr>
        <w:t>References</w:t>
      </w:r>
    </w:p>
    <w:p w:rsidR="00E60700" w:rsidRPr="00E60700" w:rsidRDefault="00E60700" w:rsidP="00457068">
      <w:pPr>
        <w:ind w:left="567" w:hanging="567"/>
        <w:rPr>
          <w:rFonts w:asciiTheme="minorHAnsi" w:hAnsiTheme="minorHAnsi" w:cstheme="minorHAnsi"/>
          <w:b/>
        </w:rPr>
      </w:pPr>
    </w:p>
    <w:p w:rsidR="0087569D" w:rsidRDefault="00E60700" w:rsidP="00457068">
      <w:pPr>
        <w:ind w:left="567" w:hanging="567"/>
        <w:rPr>
          <w:rFonts w:asciiTheme="minorHAnsi" w:hAnsiTheme="minorHAnsi" w:cstheme="minorHAnsi"/>
        </w:rPr>
      </w:pPr>
      <w:r>
        <w:rPr>
          <w:rFonts w:asciiTheme="minorHAnsi" w:hAnsiTheme="minorHAnsi" w:cstheme="minorHAnsi"/>
        </w:rPr>
        <w:t xml:space="preserve">[1] </w:t>
      </w:r>
      <w:r w:rsidR="0087569D" w:rsidRPr="00E60700">
        <w:rPr>
          <w:rFonts w:asciiTheme="minorHAnsi" w:hAnsiTheme="minorHAnsi" w:cstheme="minorHAnsi"/>
        </w:rPr>
        <w:t>Office for Nuclear Regulation</w:t>
      </w:r>
      <w:r w:rsidR="0087569D" w:rsidRPr="0087569D">
        <w:rPr>
          <w:rFonts w:asciiTheme="minorHAnsi" w:hAnsiTheme="minorHAnsi" w:cstheme="minorHAnsi"/>
        </w:rPr>
        <w:t xml:space="preserve"> </w:t>
      </w:r>
      <w:r w:rsidR="0087569D">
        <w:rPr>
          <w:rFonts w:asciiTheme="minorHAnsi" w:hAnsiTheme="minorHAnsi" w:cstheme="minorHAnsi"/>
        </w:rPr>
        <w:t xml:space="preserve">(2019) </w:t>
      </w:r>
      <w:r w:rsidR="0087569D" w:rsidRPr="0087569D">
        <w:rPr>
          <w:rFonts w:asciiTheme="minorHAnsi" w:hAnsiTheme="minorHAnsi" w:cstheme="minorHAnsi"/>
        </w:rPr>
        <w:t>Licensing Nuclear Installations</w:t>
      </w:r>
      <w:r w:rsidR="0087569D">
        <w:rPr>
          <w:rFonts w:asciiTheme="minorHAnsi" w:hAnsiTheme="minorHAnsi" w:cstheme="minorHAnsi"/>
        </w:rPr>
        <w:t xml:space="preserve">. </w:t>
      </w:r>
      <w:hyperlink r:id="rId9" w:history="1">
        <w:r w:rsidR="0087569D" w:rsidRPr="00D02837">
          <w:rPr>
            <w:rStyle w:val="Hyperlink"/>
            <w:rFonts w:asciiTheme="minorHAnsi" w:hAnsiTheme="minorHAnsi" w:cstheme="minorHAnsi"/>
          </w:rPr>
          <w:t>http://www.onr.org.uk/licensing-nuclear-installations.pdf</w:t>
        </w:r>
      </w:hyperlink>
      <w:r w:rsidR="0087569D">
        <w:rPr>
          <w:rFonts w:asciiTheme="minorHAnsi" w:hAnsiTheme="minorHAnsi" w:cstheme="minorHAnsi"/>
        </w:rPr>
        <w:t xml:space="preserve">. </w:t>
      </w:r>
    </w:p>
    <w:p w:rsidR="00E60700" w:rsidRDefault="0087569D" w:rsidP="00457068">
      <w:pPr>
        <w:ind w:left="567" w:hanging="567"/>
        <w:rPr>
          <w:rFonts w:asciiTheme="minorHAnsi" w:hAnsiTheme="minorHAnsi" w:cstheme="minorHAnsi"/>
        </w:rPr>
      </w:pPr>
      <w:r>
        <w:rPr>
          <w:rFonts w:asciiTheme="minorHAnsi" w:hAnsiTheme="minorHAnsi" w:cstheme="minorHAnsi"/>
        </w:rPr>
        <w:t xml:space="preserve">[2] </w:t>
      </w:r>
      <w:r w:rsidR="00E60700" w:rsidRPr="00E60700">
        <w:rPr>
          <w:rFonts w:asciiTheme="minorHAnsi" w:hAnsiTheme="minorHAnsi" w:cstheme="minorHAnsi"/>
        </w:rPr>
        <w:t>Office for Nuclear Regulation (2018) Nuclear Safety Technical Assessment Guide – External Hazards, NS-TAST-GD-013 Revision 7.</w:t>
      </w:r>
      <w:r w:rsidR="00E60700" w:rsidRPr="00E60700">
        <w:t xml:space="preserve"> </w:t>
      </w:r>
      <w:hyperlink r:id="rId10" w:history="1">
        <w:r w:rsidR="00E60700" w:rsidRPr="006C2508">
          <w:rPr>
            <w:rStyle w:val="Hyperlink"/>
            <w:rFonts w:asciiTheme="minorHAnsi" w:hAnsiTheme="minorHAnsi" w:cstheme="minorHAnsi"/>
          </w:rPr>
          <w:t>http://www.onr.org.uk/operational/tech_asst_guides/ns-tast-gd-013.htm</w:t>
        </w:r>
      </w:hyperlink>
      <w:r w:rsidR="00E60700">
        <w:rPr>
          <w:rFonts w:asciiTheme="minorHAnsi" w:hAnsiTheme="minorHAnsi" w:cstheme="minorHAnsi"/>
        </w:rPr>
        <w:t xml:space="preserve">. </w:t>
      </w:r>
    </w:p>
    <w:p w:rsidR="00E60700" w:rsidRDefault="0087569D" w:rsidP="00457068">
      <w:pPr>
        <w:ind w:left="567" w:hanging="567"/>
        <w:rPr>
          <w:rFonts w:asciiTheme="minorHAnsi" w:hAnsiTheme="minorHAnsi" w:cstheme="minorHAnsi"/>
        </w:rPr>
      </w:pPr>
      <w:r>
        <w:rPr>
          <w:rFonts w:asciiTheme="minorHAnsi" w:hAnsiTheme="minorHAnsi" w:cstheme="minorHAnsi"/>
        </w:rPr>
        <w:t>[3</w:t>
      </w:r>
      <w:r w:rsidR="00E60700">
        <w:rPr>
          <w:rFonts w:asciiTheme="minorHAnsi" w:hAnsiTheme="minorHAnsi" w:cstheme="minorHAnsi"/>
        </w:rPr>
        <w:t xml:space="preserve">] </w:t>
      </w:r>
      <w:r>
        <w:rPr>
          <w:rFonts w:asciiTheme="minorHAnsi" w:hAnsiTheme="minorHAnsi" w:cstheme="minorHAnsi"/>
        </w:rPr>
        <w:t>Office for Nuclear Regulation</w:t>
      </w:r>
      <w:r w:rsidR="00E60700" w:rsidRPr="00E60700">
        <w:rPr>
          <w:rFonts w:asciiTheme="minorHAnsi" w:hAnsiTheme="minorHAnsi" w:cstheme="minorHAnsi"/>
        </w:rPr>
        <w:t xml:space="preserve"> (2020) Safety Assessment Principles for Nuclear Facilities, 2014 Edition, Revision 1. </w:t>
      </w:r>
      <w:hyperlink r:id="rId11" w:history="1">
        <w:r w:rsidR="00E60700" w:rsidRPr="006C2508">
          <w:rPr>
            <w:rStyle w:val="Hyperlink"/>
            <w:rFonts w:asciiTheme="minorHAnsi" w:hAnsiTheme="minorHAnsi" w:cstheme="minorHAnsi"/>
          </w:rPr>
          <w:t>www.onr.org.uk/saps/saps2014.pdf</w:t>
        </w:r>
      </w:hyperlink>
      <w:r w:rsidR="00E60700">
        <w:rPr>
          <w:rFonts w:asciiTheme="minorHAnsi" w:hAnsiTheme="minorHAnsi" w:cstheme="minorHAnsi"/>
        </w:rPr>
        <w:t xml:space="preserve">. </w:t>
      </w:r>
    </w:p>
    <w:p w:rsidR="003C203C" w:rsidRDefault="003C203C" w:rsidP="00457068">
      <w:pPr>
        <w:ind w:left="567" w:hanging="567"/>
        <w:rPr>
          <w:rFonts w:asciiTheme="minorHAnsi" w:hAnsiTheme="minorHAnsi" w:cstheme="minorHAnsi"/>
        </w:rPr>
      </w:pPr>
    </w:p>
    <w:p w:rsidR="003F3015" w:rsidRDefault="003F3015" w:rsidP="00457068">
      <w:pPr>
        <w:ind w:left="567" w:hanging="567"/>
        <w:rPr>
          <w:rFonts w:asciiTheme="minorHAnsi" w:hAnsiTheme="minorHAnsi" w:cstheme="minorHAnsi"/>
        </w:rPr>
      </w:pPr>
    </w:p>
    <w:p w:rsidR="003F3015" w:rsidRPr="00175E94" w:rsidRDefault="003F3015" w:rsidP="00457068">
      <w:pPr>
        <w:ind w:left="567" w:hanging="567"/>
        <w:rPr>
          <w:rFonts w:asciiTheme="minorHAnsi" w:hAnsiTheme="minorHAnsi" w:cstheme="minorHAnsi"/>
          <w:i/>
          <w:szCs w:val="22"/>
        </w:rPr>
      </w:pPr>
      <w:r w:rsidRPr="003C203C">
        <w:rPr>
          <w:rFonts w:asciiTheme="minorHAnsi" w:hAnsiTheme="minorHAnsi" w:cstheme="minorHAnsi"/>
          <w:b/>
          <w:szCs w:val="22"/>
        </w:rPr>
        <w:t xml:space="preserve">Table 1 – </w:t>
      </w:r>
      <w:r w:rsidR="00A34EC3">
        <w:rPr>
          <w:rFonts w:asciiTheme="minorHAnsi" w:hAnsiTheme="minorHAnsi" w:cstheme="minorHAnsi"/>
          <w:szCs w:val="22"/>
        </w:rPr>
        <w:t>List</w:t>
      </w:r>
      <w:r w:rsidRPr="00175E94">
        <w:rPr>
          <w:rFonts w:asciiTheme="minorHAnsi" w:hAnsiTheme="minorHAnsi" w:cstheme="minorHAnsi"/>
          <w:szCs w:val="22"/>
        </w:rPr>
        <w:t xml:space="preserve"> of documents</w:t>
      </w:r>
      <w:r w:rsidR="00A34EC3">
        <w:rPr>
          <w:rFonts w:asciiTheme="minorHAnsi" w:hAnsiTheme="minorHAnsi" w:cstheme="minorHAnsi"/>
          <w:szCs w:val="22"/>
        </w:rPr>
        <w:t xml:space="preserve"> planned</w:t>
      </w:r>
      <w:r w:rsidRPr="00175E94">
        <w:rPr>
          <w:rFonts w:asciiTheme="minorHAnsi" w:hAnsiTheme="minorHAnsi" w:cstheme="minorHAnsi"/>
          <w:szCs w:val="22"/>
        </w:rPr>
        <w:t xml:space="preserve"> to be submitted to ONR end June/</w:t>
      </w:r>
      <w:r w:rsidRPr="00175E94">
        <w:rPr>
          <w:rFonts w:asciiTheme="minorHAnsi" w:hAnsiTheme="minorHAnsi" w:cs="Arial"/>
          <w:szCs w:val="22"/>
        </w:rPr>
        <w:t>start July 2020</w:t>
      </w:r>
      <w:r w:rsidR="00175E94" w:rsidRPr="00175E94">
        <w:rPr>
          <w:rFonts w:asciiTheme="minorHAnsi" w:hAnsiTheme="minorHAnsi" w:cs="Arial"/>
          <w:szCs w:val="22"/>
        </w:rPr>
        <w:t xml:space="preserve">. </w:t>
      </w:r>
      <w:r w:rsidR="00175E94">
        <w:rPr>
          <w:rFonts w:asciiTheme="minorHAnsi" w:hAnsiTheme="minorHAnsi" w:cs="Arial"/>
          <w:i/>
          <w:szCs w:val="22"/>
        </w:rPr>
        <w:t>N</w:t>
      </w:r>
      <w:r w:rsidR="00175E94" w:rsidRPr="00175E94">
        <w:rPr>
          <w:rFonts w:asciiTheme="minorHAnsi" w:hAnsiTheme="minorHAnsi" w:cs="Arial"/>
          <w:i/>
          <w:szCs w:val="22"/>
        </w:rPr>
        <w:t>ote</w:t>
      </w:r>
      <w:r w:rsidR="00175E94">
        <w:rPr>
          <w:rFonts w:asciiTheme="minorHAnsi" w:hAnsiTheme="minorHAnsi" w:cs="Arial"/>
          <w:i/>
          <w:szCs w:val="22"/>
        </w:rPr>
        <w:t xml:space="preserve"> </w:t>
      </w:r>
      <w:r w:rsidR="00BE2C42">
        <w:rPr>
          <w:rFonts w:asciiTheme="minorHAnsi" w:hAnsiTheme="minorHAnsi" w:cs="Arial"/>
          <w:i/>
          <w:szCs w:val="22"/>
        </w:rPr>
        <w:t xml:space="preserve">that for planning purposes, </w:t>
      </w:r>
      <w:r w:rsidR="00CC27E1">
        <w:rPr>
          <w:rFonts w:asciiTheme="minorHAnsi" w:hAnsiTheme="minorHAnsi" w:cs="Arial"/>
          <w:i/>
          <w:szCs w:val="22"/>
        </w:rPr>
        <w:t>where NNB ha</w:t>
      </w:r>
      <w:r w:rsidR="00220406">
        <w:rPr>
          <w:rFonts w:asciiTheme="minorHAnsi" w:hAnsiTheme="minorHAnsi" w:cs="Arial"/>
          <w:i/>
          <w:szCs w:val="22"/>
        </w:rPr>
        <w:t>s</w:t>
      </w:r>
      <w:r w:rsidR="00CC27E1">
        <w:rPr>
          <w:rFonts w:asciiTheme="minorHAnsi" w:hAnsiTheme="minorHAnsi" w:cs="Arial"/>
          <w:i/>
          <w:szCs w:val="22"/>
        </w:rPr>
        <w:t xml:space="preserve"> not provided</w:t>
      </w:r>
      <w:r w:rsidR="00220406">
        <w:rPr>
          <w:rFonts w:asciiTheme="minorHAnsi" w:hAnsiTheme="minorHAnsi" w:cs="Arial"/>
          <w:i/>
          <w:szCs w:val="22"/>
        </w:rPr>
        <w:t xml:space="preserve"> an estimated </w:t>
      </w:r>
      <w:r w:rsidR="00BE2C42">
        <w:rPr>
          <w:rFonts w:asciiTheme="minorHAnsi" w:hAnsiTheme="minorHAnsi" w:cs="Arial"/>
          <w:i/>
          <w:szCs w:val="22"/>
        </w:rPr>
        <w:t>document</w:t>
      </w:r>
      <w:r w:rsidR="00220406">
        <w:rPr>
          <w:rFonts w:asciiTheme="minorHAnsi" w:hAnsiTheme="minorHAnsi" w:cs="Arial"/>
          <w:i/>
          <w:szCs w:val="22"/>
        </w:rPr>
        <w:t xml:space="preserve"> length it</w:t>
      </w:r>
      <w:r w:rsidR="00BE2C42">
        <w:rPr>
          <w:rFonts w:asciiTheme="minorHAnsi" w:hAnsiTheme="minorHAnsi" w:cs="Arial"/>
          <w:i/>
          <w:szCs w:val="22"/>
        </w:rPr>
        <w:t xml:space="preserve"> is assumed to be </w:t>
      </w:r>
      <w:r w:rsidR="00507AEA">
        <w:rPr>
          <w:rFonts w:asciiTheme="minorHAnsi" w:hAnsiTheme="minorHAnsi" w:cs="Arial"/>
          <w:i/>
          <w:szCs w:val="22"/>
        </w:rPr>
        <w:t>10</w:t>
      </w:r>
      <w:r w:rsidR="00220406">
        <w:rPr>
          <w:rFonts w:asciiTheme="minorHAnsi" w:hAnsiTheme="minorHAnsi" w:cs="Arial"/>
          <w:i/>
          <w:szCs w:val="22"/>
        </w:rPr>
        <w:t>0</w:t>
      </w:r>
      <w:r w:rsidR="00BE2C42">
        <w:rPr>
          <w:rFonts w:asciiTheme="minorHAnsi" w:hAnsiTheme="minorHAnsi" w:cs="Arial"/>
          <w:i/>
          <w:szCs w:val="22"/>
        </w:rPr>
        <w:t xml:space="preserve"> pages</w:t>
      </w:r>
      <w:r w:rsidR="00CC27E1">
        <w:rPr>
          <w:rFonts w:asciiTheme="minorHAnsi" w:hAnsiTheme="minorHAnsi" w:cs="Arial"/>
          <w:i/>
          <w:szCs w:val="22"/>
        </w:rPr>
        <w:t xml:space="preserve"> (grey highlighted rows)</w:t>
      </w:r>
      <w:r w:rsidR="00220406">
        <w:rPr>
          <w:rFonts w:asciiTheme="minorHAnsi" w:hAnsiTheme="minorHAnsi" w:cs="Arial"/>
          <w:i/>
          <w:szCs w:val="22"/>
        </w:rPr>
        <w:t>, with the exception of the JSSR which is assumed to be 50 pages</w:t>
      </w:r>
      <w:r w:rsidR="00BE2C42">
        <w:rPr>
          <w:rFonts w:asciiTheme="minorHAnsi" w:hAnsiTheme="minorHAnsi" w:cs="Arial"/>
          <w:i/>
          <w:szCs w:val="22"/>
        </w:rPr>
        <w:t xml:space="preserve">. </w:t>
      </w:r>
    </w:p>
    <w:p w:rsidR="003F3015" w:rsidRDefault="003F3015" w:rsidP="003F3015">
      <w:pPr>
        <w:rPr>
          <w:rFonts w:cs="Arial"/>
          <w:color w:val="FF0000"/>
          <w:sz w:val="20"/>
        </w:rPr>
      </w:pPr>
    </w:p>
    <w:tbl>
      <w:tblPr>
        <w:tblW w:w="9639" w:type="dxa"/>
        <w:tblInd w:w="534" w:type="dxa"/>
        <w:tblLayout w:type="fixed"/>
        <w:tblLook w:val="04A0" w:firstRow="1" w:lastRow="0" w:firstColumn="1" w:lastColumn="0" w:noHBand="0" w:noVBand="1"/>
      </w:tblPr>
      <w:tblGrid>
        <w:gridCol w:w="992"/>
        <w:gridCol w:w="850"/>
        <w:gridCol w:w="6804"/>
        <w:gridCol w:w="993"/>
      </w:tblGrid>
      <w:tr w:rsidR="005219E7" w:rsidRPr="00C1032E" w:rsidTr="00E123B7">
        <w:trPr>
          <w:trHeight w:val="416"/>
        </w:trPr>
        <w:tc>
          <w:tcPr>
            <w:tcW w:w="992" w:type="dxa"/>
            <w:tcBorders>
              <w:top w:val="single" w:sz="4" w:space="0" w:color="auto"/>
              <w:left w:val="single" w:sz="4" w:space="0" w:color="auto"/>
              <w:bottom w:val="single" w:sz="4" w:space="0" w:color="auto"/>
              <w:right w:val="single" w:sz="4" w:space="0" w:color="auto"/>
            </w:tcBorders>
            <w:shd w:val="clear" w:color="auto" w:fill="006D68"/>
            <w:vAlign w:val="center"/>
          </w:tcPr>
          <w:p w:rsidR="005219E7" w:rsidRPr="00E123B7" w:rsidRDefault="005219E7" w:rsidP="005219E7">
            <w:pPr>
              <w:jc w:val="center"/>
              <w:rPr>
                <w:rFonts w:cs="Arial"/>
                <w:b/>
                <w:bCs/>
                <w:color w:val="FFFFFF" w:themeColor="background1"/>
                <w:sz w:val="18"/>
                <w:szCs w:val="18"/>
                <w:lang w:eastAsia="en-GB"/>
              </w:rPr>
            </w:pPr>
            <w:r w:rsidRPr="00E123B7">
              <w:rPr>
                <w:rFonts w:cs="Arial"/>
                <w:b/>
                <w:bCs/>
                <w:color w:val="FFFFFF" w:themeColor="background1"/>
                <w:sz w:val="18"/>
                <w:szCs w:val="18"/>
                <w:lang w:eastAsia="en-GB"/>
              </w:rPr>
              <w:t>Number</w:t>
            </w:r>
          </w:p>
        </w:tc>
        <w:tc>
          <w:tcPr>
            <w:tcW w:w="850" w:type="dxa"/>
            <w:tcBorders>
              <w:top w:val="single" w:sz="4" w:space="0" w:color="auto"/>
              <w:left w:val="single" w:sz="4" w:space="0" w:color="auto"/>
              <w:bottom w:val="single" w:sz="4" w:space="0" w:color="auto"/>
              <w:right w:val="single" w:sz="4" w:space="0" w:color="auto"/>
            </w:tcBorders>
            <w:shd w:val="clear" w:color="auto" w:fill="006D68"/>
            <w:vAlign w:val="center"/>
            <w:hideMark/>
          </w:tcPr>
          <w:p w:rsidR="005219E7" w:rsidRPr="00C1032E" w:rsidRDefault="005219E7" w:rsidP="005219E7">
            <w:pPr>
              <w:jc w:val="center"/>
              <w:rPr>
                <w:rFonts w:cs="Arial"/>
                <w:b/>
                <w:bCs/>
                <w:color w:val="FFFFFF" w:themeColor="background1"/>
                <w:sz w:val="18"/>
                <w:szCs w:val="18"/>
                <w:lang w:eastAsia="en-GB"/>
              </w:rPr>
            </w:pPr>
            <w:r w:rsidRPr="00C1032E">
              <w:rPr>
                <w:rFonts w:cs="Arial"/>
                <w:b/>
                <w:bCs/>
                <w:color w:val="FFFFFF" w:themeColor="background1"/>
                <w:sz w:val="18"/>
                <w:szCs w:val="18"/>
                <w:lang w:eastAsia="en-GB"/>
              </w:rPr>
              <w:t>Source</w:t>
            </w:r>
          </w:p>
        </w:tc>
        <w:tc>
          <w:tcPr>
            <w:tcW w:w="6804" w:type="dxa"/>
            <w:tcBorders>
              <w:top w:val="single" w:sz="4" w:space="0" w:color="auto"/>
              <w:left w:val="nil"/>
              <w:bottom w:val="single" w:sz="4" w:space="0" w:color="auto"/>
              <w:right w:val="single" w:sz="4" w:space="0" w:color="auto"/>
            </w:tcBorders>
            <w:shd w:val="clear" w:color="auto" w:fill="006D68"/>
            <w:vAlign w:val="center"/>
            <w:hideMark/>
          </w:tcPr>
          <w:p w:rsidR="005219E7" w:rsidRPr="00C1032E" w:rsidRDefault="005219E7" w:rsidP="00F90520">
            <w:pPr>
              <w:jc w:val="center"/>
              <w:rPr>
                <w:rFonts w:cs="Arial"/>
                <w:b/>
                <w:bCs/>
                <w:color w:val="FFFFFF" w:themeColor="background1"/>
                <w:sz w:val="18"/>
                <w:szCs w:val="18"/>
                <w:lang w:eastAsia="en-GB"/>
              </w:rPr>
            </w:pPr>
            <w:r w:rsidRPr="00C1032E">
              <w:rPr>
                <w:rFonts w:cs="Arial"/>
                <w:b/>
                <w:bCs/>
                <w:color w:val="FFFFFF" w:themeColor="background1"/>
                <w:sz w:val="18"/>
                <w:szCs w:val="18"/>
                <w:lang w:eastAsia="en-GB"/>
              </w:rPr>
              <w:t>Title</w:t>
            </w:r>
          </w:p>
        </w:tc>
        <w:tc>
          <w:tcPr>
            <w:tcW w:w="993" w:type="dxa"/>
            <w:tcBorders>
              <w:top w:val="single" w:sz="4" w:space="0" w:color="auto"/>
              <w:left w:val="nil"/>
              <w:bottom w:val="single" w:sz="4" w:space="0" w:color="auto"/>
              <w:right w:val="single" w:sz="4" w:space="0" w:color="auto"/>
            </w:tcBorders>
            <w:shd w:val="clear" w:color="auto" w:fill="006D68"/>
            <w:vAlign w:val="center"/>
            <w:hideMark/>
          </w:tcPr>
          <w:p w:rsidR="005219E7" w:rsidRPr="00E123B7" w:rsidRDefault="005219E7" w:rsidP="00F90520">
            <w:pPr>
              <w:jc w:val="center"/>
              <w:rPr>
                <w:rFonts w:cs="Arial"/>
                <w:b/>
                <w:bCs/>
                <w:color w:val="FFFFFF" w:themeColor="background1"/>
                <w:sz w:val="18"/>
                <w:szCs w:val="18"/>
                <w:lang w:eastAsia="en-GB"/>
              </w:rPr>
            </w:pPr>
            <w:r w:rsidRPr="00E123B7">
              <w:rPr>
                <w:rFonts w:cs="Arial"/>
                <w:b/>
                <w:bCs/>
                <w:color w:val="FFFFFF" w:themeColor="background1"/>
                <w:sz w:val="18"/>
                <w:szCs w:val="18"/>
                <w:lang w:eastAsia="en-GB"/>
              </w:rPr>
              <w:t>Length/</w:t>
            </w:r>
          </w:p>
          <w:p w:rsidR="005219E7" w:rsidRPr="00C1032E" w:rsidRDefault="005219E7" w:rsidP="00F90520">
            <w:pPr>
              <w:jc w:val="center"/>
              <w:rPr>
                <w:rFonts w:cs="Arial"/>
                <w:b/>
                <w:bCs/>
                <w:color w:val="FFFFFF" w:themeColor="background1"/>
                <w:sz w:val="18"/>
                <w:szCs w:val="18"/>
                <w:lang w:eastAsia="en-GB"/>
              </w:rPr>
            </w:pPr>
            <w:r w:rsidRPr="00E123B7">
              <w:rPr>
                <w:rFonts w:cs="Arial"/>
                <w:b/>
                <w:bCs/>
                <w:color w:val="FFFFFF" w:themeColor="background1"/>
                <w:sz w:val="18"/>
                <w:szCs w:val="18"/>
                <w:lang w:eastAsia="en-GB"/>
              </w:rPr>
              <w:t>pages</w:t>
            </w:r>
            <w:r w:rsidRPr="00C1032E">
              <w:rPr>
                <w:rFonts w:cs="Arial"/>
                <w:b/>
                <w:bCs/>
                <w:color w:val="FFFFFF" w:themeColor="background1"/>
                <w:sz w:val="18"/>
                <w:szCs w:val="18"/>
                <w:lang w:eastAsia="en-GB"/>
              </w:rPr>
              <w:t xml:space="preserve"> </w:t>
            </w:r>
          </w:p>
        </w:tc>
      </w:tr>
      <w:tr w:rsidR="00BE2C42" w:rsidRPr="00C1032E" w:rsidTr="00CC27E1">
        <w:trPr>
          <w:trHeight w:val="293"/>
        </w:trPr>
        <w:tc>
          <w:tcPr>
            <w:tcW w:w="992"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t>1</w:t>
            </w:r>
          </w:p>
        </w:tc>
        <w:tc>
          <w:tcPr>
            <w:tcW w:w="85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JSSR</w:t>
            </w:r>
          </w:p>
        </w:tc>
        <w:tc>
          <w:tcPr>
            <w:tcW w:w="6804" w:type="dxa"/>
            <w:tcBorders>
              <w:top w:val="nil"/>
              <w:left w:val="nil"/>
              <w:bottom w:val="single" w:sz="4" w:space="0" w:color="auto"/>
              <w:right w:val="single" w:sz="4" w:space="0" w:color="auto"/>
            </w:tcBorders>
            <w:shd w:val="clear" w:color="auto" w:fill="D9D9D9" w:themeFill="background1" w:themeFillShade="D9"/>
            <w:vAlign w:val="center"/>
            <w:hideMark/>
          </w:tcPr>
          <w:p w:rsidR="005219E7" w:rsidRPr="00CC27E1" w:rsidRDefault="005219E7" w:rsidP="00F90520">
            <w:pPr>
              <w:rPr>
                <w:rFonts w:cs="Arial"/>
                <w:color w:val="000000"/>
                <w:sz w:val="18"/>
                <w:szCs w:val="18"/>
                <w:lang w:eastAsia="en-GB"/>
              </w:rPr>
            </w:pPr>
            <w:r w:rsidRPr="00CC27E1">
              <w:rPr>
                <w:rFonts w:cs="Arial"/>
                <w:color w:val="000000"/>
                <w:sz w:val="18"/>
                <w:szCs w:val="18"/>
                <w:lang w:eastAsia="en-GB"/>
              </w:rPr>
              <w:t>Justification of Site Suitability Report (Version 1)</w:t>
            </w:r>
          </w:p>
        </w:tc>
        <w:tc>
          <w:tcPr>
            <w:tcW w:w="993" w:type="dxa"/>
            <w:tcBorders>
              <w:top w:val="nil"/>
              <w:left w:val="nil"/>
              <w:bottom w:val="single" w:sz="4" w:space="0" w:color="auto"/>
              <w:right w:val="single" w:sz="4" w:space="0" w:color="auto"/>
            </w:tcBorders>
            <w:shd w:val="clear" w:color="auto" w:fill="D9D9D9" w:themeFill="background1" w:themeFillShade="D9"/>
            <w:vAlign w:val="center"/>
            <w:hideMark/>
          </w:tcPr>
          <w:p w:rsidR="005219E7" w:rsidRPr="00CC27E1" w:rsidRDefault="00220406" w:rsidP="00F90520">
            <w:pPr>
              <w:jc w:val="center"/>
              <w:rPr>
                <w:rFonts w:cs="Arial"/>
                <w:i/>
                <w:color w:val="000000"/>
                <w:sz w:val="18"/>
                <w:szCs w:val="18"/>
                <w:lang w:eastAsia="en-GB"/>
              </w:rPr>
            </w:pPr>
            <w:r>
              <w:rPr>
                <w:rFonts w:cs="Arial"/>
                <w:i/>
                <w:color w:val="000000"/>
                <w:sz w:val="18"/>
                <w:szCs w:val="18"/>
                <w:lang w:eastAsia="en-GB"/>
              </w:rPr>
              <w:t>50</w:t>
            </w:r>
          </w:p>
        </w:tc>
      </w:tr>
      <w:tr w:rsidR="00BE2C42" w:rsidRPr="00C1032E" w:rsidTr="00CC27E1">
        <w:trPr>
          <w:trHeight w:val="293"/>
        </w:trPr>
        <w:tc>
          <w:tcPr>
            <w:tcW w:w="992" w:type="dxa"/>
            <w:tcBorders>
              <w:top w:val="nil"/>
              <w:left w:val="single" w:sz="4" w:space="0" w:color="auto"/>
              <w:bottom w:val="single" w:sz="4" w:space="0" w:color="auto"/>
              <w:right w:val="single" w:sz="4" w:space="0" w:color="auto"/>
            </w:tcBorders>
            <w:shd w:val="clear" w:color="auto" w:fill="auto"/>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t>2</w:t>
            </w:r>
          </w:p>
        </w:tc>
        <w:tc>
          <w:tcPr>
            <w:tcW w:w="850" w:type="dxa"/>
            <w:tcBorders>
              <w:top w:val="nil"/>
              <w:left w:val="single" w:sz="4" w:space="0" w:color="auto"/>
              <w:bottom w:val="single" w:sz="4" w:space="0" w:color="auto"/>
              <w:right w:val="single" w:sz="4" w:space="0" w:color="auto"/>
            </w:tcBorders>
            <w:shd w:val="clear" w:color="auto" w:fill="auto"/>
            <w:vAlign w:val="center"/>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SDSR</w:t>
            </w:r>
          </w:p>
        </w:tc>
        <w:tc>
          <w:tcPr>
            <w:tcW w:w="6804" w:type="dxa"/>
            <w:tcBorders>
              <w:top w:val="nil"/>
              <w:left w:val="nil"/>
              <w:bottom w:val="single" w:sz="4" w:space="0" w:color="auto"/>
              <w:right w:val="single" w:sz="4" w:space="0" w:color="auto"/>
            </w:tcBorders>
            <w:shd w:val="clear" w:color="auto" w:fill="auto"/>
            <w:vAlign w:val="center"/>
          </w:tcPr>
          <w:p w:rsidR="005219E7" w:rsidRPr="00CC27E1" w:rsidRDefault="005219E7" w:rsidP="00F90520">
            <w:pPr>
              <w:rPr>
                <w:rFonts w:cs="Arial"/>
                <w:color w:val="000000"/>
                <w:sz w:val="18"/>
                <w:szCs w:val="18"/>
                <w:lang w:eastAsia="en-GB"/>
              </w:rPr>
            </w:pPr>
            <w:r w:rsidRPr="00CC27E1">
              <w:rPr>
                <w:rFonts w:cs="Arial"/>
                <w:color w:val="000000"/>
                <w:sz w:val="18"/>
                <w:szCs w:val="18"/>
                <w:lang w:eastAsia="en-GB"/>
              </w:rPr>
              <w:t>Site Data Summary Report (Version 2)</w:t>
            </w:r>
          </w:p>
        </w:tc>
        <w:tc>
          <w:tcPr>
            <w:tcW w:w="993" w:type="dxa"/>
            <w:tcBorders>
              <w:top w:val="nil"/>
              <w:left w:val="nil"/>
              <w:bottom w:val="single" w:sz="4" w:space="0" w:color="auto"/>
              <w:right w:val="single" w:sz="4" w:space="0" w:color="auto"/>
            </w:tcBorders>
            <w:shd w:val="clear" w:color="auto" w:fill="auto"/>
            <w:vAlign w:val="center"/>
          </w:tcPr>
          <w:p w:rsidR="005219E7" w:rsidRPr="00CC27E1" w:rsidRDefault="00CC27E1" w:rsidP="00F90520">
            <w:pPr>
              <w:jc w:val="center"/>
              <w:rPr>
                <w:rFonts w:cs="Arial"/>
                <w:color w:val="000000"/>
                <w:sz w:val="18"/>
                <w:szCs w:val="18"/>
                <w:lang w:eastAsia="en-GB"/>
              </w:rPr>
            </w:pPr>
            <w:r w:rsidRPr="00CC27E1">
              <w:rPr>
                <w:rFonts w:cs="Arial"/>
                <w:color w:val="000000"/>
                <w:sz w:val="18"/>
                <w:szCs w:val="18"/>
                <w:lang w:eastAsia="en-GB"/>
              </w:rPr>
              <w:t>100</w:t>
            </w:r>
          </w:p>
        </w:tc>
      </w:tr>
      <w:tr w:rsidR="005219E7" w:rsidRPr="00C1032E" w:rsidTr="005219E7">
        <w:trPr>
          <w:trHeight w:val="293"/>
        </w:trPr>
        <w:tc>
          <w:tcPr>
            <w:tcW w:w="992" w:type="dxa"/>
            <w:tcBorders>
              <w:top w:val="nil"/>
              <w:left w:val="single" w:sz="4" w:space="0" w:color="auto"/>
              <w:bottom w:val="single" w:sz="4" w:space="0" w:color="auto"/>
              <w:right w:val="single" w:sz="4" w:space="0" w:color="auto"/>
            </w:tcBorders>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t>3</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JSSR</w:t>
            </w:r>
          </w:p>
        </w:tc>
        <w:tc>
          <w:tcPr>
            <w:tcW w:w="6804" w:type="dxa"/>
            <w:tcBorders>
              <w:top w:val="nil"/>
              <w:left w:val="nil"/>
              <w:bottom w:val="single" w:sz="4" w:space="0" w:color="auto"/>
              <w:right w:val="single" w:sz="4" w:space="0" w:color="auto"/>
            </w:tcBorders>
            <w:shd w:val="clear" w:color="auto" w:fill="auto"/>
            <w:vAlign w:val="center"/>
            <w:hideMark/>
          </w:tcPr>
          <w:p w:rsidR="005219E7" w:rsidRPr="00CC27E1" w:rsidRDefault="005219E7" w:rsidP="00F90520">
            <w:pPr>
              <w:rPr>
                <w:rFonts w:cs="Arial"/>
                <w:color w:val="000000"/>
                <w:sz w:val="18"/>
                <w:szCs w:val="18"/>
                <w:lang w:eastAsia="en-GB"/>
              </w:rPr>
            </w:pPr>
            <w:r w:rsidRPr="00CC27E1">
              <w:rPr>
                <w:rFonts w:cs="Arial"/>
                <w:color w:val="000000"/>
                <w:sz w:val="18"/>
                <w:szCs w:val="18"/>
                <w:lang w:eastAsia="en-GB"/>
              </w:rPr>
              <w:t>SZC Plot Plan Summary Report</w:t>
            </w:r>
          </w:p>
        </w:tc>
        <w:tc>
          <w:tcPr>
            <w:tcW w:w="993" w:type="dxa"/>
            <w:tcBorders>
              <w:top w:val="nil"/>
              <w:left w:val="nil"/>
              <w:bottom w:val="single" w:sz="4" w:space="0" w:color="auto"/>
              <w:right w:val="single" w:sz="4" w:space="0" w:color="auto"/>
            </w:tcBorders>
            <w:shd w:val="clear" w:color="auto" w:fill="auto"/>
            <w:vAlign w:val="center"/>
            <w:hideMark/>
          </w:tcPr>
          <w:p w:rsidR="005219E7" w:rsidRPr="00CC27E1" w:rsidRDefault="00CC27E1" w:rsidP="00F90520">
            <w:pPr>
              <w:jc w:val="center"/>
              <w:rPr>
                <w:rFonts w:cs="Arial"/>
                <w:color w:val="000000"/>
                <w:sz w:val="18"/>
                <w:szCs w:val="18"/>
                <w:lang w:eastAsia="en-GB"/>
              </w:rPr>
            </w:pPr>
            <w:r w:rsidRPr="00CC27E1">
              <w:rPr>
                <w:rFonts w:cs="Arial"/>
                <w:color w:val="000000"/>
                <w:sz w:val="18"/>
                <w:szCs w:val="18"/>
                <w:lang w:eastAsia="en-GB"/>
              </w:rPr>
              <w:t>35</w:t>
            </w:r>
          </w:p>
        </w:tc>
      </w:tr>
      <w:tr w:rsidR="005219E7" w:rsidRPr="00C1032E" w:rsidTr="005219E7">
        <w:trPr>
          <w:trHeight w:val="462"/>
        </w:trPr>
        <w:tc>
          <w:tcPr>
            <w:tcW w:w="992" w:type="dxa"/>
            <w:tcBorders>
              <w:top w:val="nil"/>
              <w:left w:val="single" w:sz="4" w:space="0" w:color="auto"/>
              <w:bottom w:val="single" w:sz="4" w:space="0" w:color="auto"/>
              <w:right w:val="single" w:sz="4" w:space="0" w:color="auto"/>
            </w:tcBorders>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t>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JSSR</w:t>
            </w:r>
          </w:p>
        </w:tc>
        <w:tc>
          <w:tcPr>
            <w:tcW w:w="6804" w:type="dxa"/>
            <w:tcBorders>
              <w:top w:val="nil"/>
              <w:left w:val="nil"/>
              <w:bottom w:val="single" w:sz="4" w:space="0" w:color="auto"/>
              <w:right w:val="single" w:sz="4" w:space="0" w:color="auto"/>
            </w:tcBorders>
            <w:shd w:val="clear" w:color="auto" w:fill="auto"/>
            <w:vAlign w:val="center"/>
            <w:hideMark/>
          </w:tcPr>
          <w:p w:rsidR="005219E7" w:rsidRPr="00CC27E1" w:rsidRDefault="005219E7" w:rsidP="00F90520">
            <w:pPr>
              <w:rPr>
                <w:rFonts w:cs="Arial"/>
                <w:color w:val="000000"/>
                <w:sz w:val="18"/>
                <w:szCs w:val="18"/>
                <w:lang w:eastAsia="en-GB"/>
              </w:rPr>
            </w:pPr>
            <w:r w:rsidRPr="00CC27E1">
              <w:rPr>
                <w:rFonts w:cs="Arial"/>
                <w:color w:val="000000"/>
                <w:sz w:val="18"/>
                <w:szCs w:val="18"/>
                <w:lang w:eastAsia="en-GB"/>
              </w:rPr>
              <w:t>SZC Grid Connection Design and Contribution to Loss of Off-Site Power (LOOP) Frequency</w:t>
            </w:r>
          </w:p>
        </w:tc>
        <w:tc>
          <w:tcPr>
            <w:tcW w:w="993" w:type="dxa"/>
            <w:tcBorders>
              <w:top w:val="nil"/>
              <w:left w:val="nil"/>
              <w:bottom w:val="single" w:sz="4" w:space="0" w:color="auto"/>
              <w:right w:val="single" w:sz="4" w:space="0" w:color="auto"/>
            </w:tcBorders>
            <w:shd w:val="clear" w:color="auto" w:fill="auto"/>
            <w:vAlign w:val="center"/>
            <w:hideMark/>
          </w:tcPr>
          <w:p w:rsidR="005219E7" w:rsidRPr="00CC27E1" w:rsidRDefault="00CC27E1" w:rsidP="00F90520">
            <w:pPr>
              <w:jc w:val="center"/>
              <w:rPr>
                <w:rFonts w:cs="Arial"/>
                <w:color w:val="000000"/>
                <w:sz w:val="18"/>
                <w:szCs w:val="18"/>
                <w:lang w:eastAsia="en-GB"/>
              </w:rPr>
            </w:pPr>
            <w:r w:rsidRPr="00CC27E1">
              <w:rPr>
                <w:rFonts w:cs="Arial"/>
                <w:color w:val="000000"/>
                <w:sz w:val="18"/>
                <w:szCs w:val="18"/>
                <w:lang w:eastAsia="en-GB"/>
              </w:rPr>
              <w:t>30</w:t>
            </w:r>
          </w:p>
        </w:tc>
      </w:tr>
      <w:tr w:rsidR="005219E7" w:rsidRPr="00C1032E" w:rsidTr="005219E7">
        <w:trPr>
          <w:trHeight w:val="293"/>
        </w:trPr>
        <w:tc>
          <w:tcPr>
            <w:tcW w:w="992" w:type="dxa"/>
            <w:tcBorders>
              <w:top w:val="nil"/>
              <w:left w:val="single" w:sz="4" w:space="0" w:color="auto"/>
              <w:bottom w:val="single" w:sz="4" w:space="0" w:color="auto"/>
              <w:right w:val="single" w:sz="4" w:space="0" w:color="auto"/>
            </w:tcBorders>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t>5</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JSSR</w:t>
            </w:r>
          </w:p>
        </w:tc>
        <w:tc>
          <w:tcPr>
            <w:tcW w:w="6804" w:type="dxa"/>
            <w:tcBorders>
              <w:top w:val="nil"/>
              <w:left w:val="nil"/>
              <w:bottom w:val="single" w:sz="4" w:space="0" w:color="auto"/>
              <w:right w:val="single" w:sz="4" w:space="0" w:color="auto"/>
            </w:tcBorders>
            <w:shd w:val="clear" w:color="auto" w:fill="auto"/>
            <w:vAlign w:val="center"/>
            <w:hideMark/>
          </w:tcPr>
          <w:p w:rsidR="005219E7" w:rsidRPr="00CC27E1" w:rsidRDefault="005219E7" w:rsidP="00F90520">
            <w:pPr>
              <w:rPr>
                <w:rFonts w:cs="Arial"/>
                <w:color w:val="000000"/>
                <w:sz w:val="18"/>
                <w:szCs w:val="18"/>
                <w:lang w:eastAsia="en-GB"/>
              </w:rPr>
            </w:pPr>
            <w:r w:rsidRPr="00CC27E1">
              <w:rPr>
                <w:rFonts w:cs="Arial"/>
                <w:color w:val="000000"/>
                <w:sz w:val="18"/>
                <w:szCs w:val="18"/>
                <w:lang w:eastAsia="en-GB"/>
              </w:rPr>
              <w:t>SZC Heat Sink Summary Report</w:t>
            </w:r>
          </w:p>
        </w:tc>
        <w:tc>
          <w:tcPr>
            <w:tcW w:w="993" w:type="dxa"/>
            <w:tcBorders>
              <w:top w:val="nil"/>
              <w:left w:val="nil"/>
              <w:bottom w:val="single" w:sz="4" w:space="0" w:color="auto"/>
              <w:right w:val="single" w:sz="4" w:space="0" w:color="auto"/>
            </w:tcBorders>
            <w:shd w:val="clear" w:color="auto" w:fill="auto"/>
            <w:vAlign w:val="center"/>
            <w:hideMark/>
          </w:tcPr>
          <w:p w:rsidR="005219E7" w:rsidRPr="00CC27E1" w:rsidRDefault="00CC27E1" w:rsidP="00F90520">
            <w:pPr>
              <w:jc w:val="center"/>
              <w:rPr>
                <w:rFonts w:cs="Arial"/>
                <w:color w:val="000000"/>
                <w:sz w:val="18"/>
                <w:szCs w:val="18"/>
                <w:lang w:eastAsia="en-GB"/>
              </w:rPr>
            </w:pPr>
            <w:r w:rsidRPr="00CC27E1">
              <w:rPr>
                <w:rFonts w:cs="Arial"/>
                <w:color w:val="000000"/>
                <w:sz w:val="18"/>
                <w:szCs w:val="18"/>
                <w:lang w:eastAsia="en-GB"/>
              </w:rPr>
              <w:t>45</w:t>
            </w:r>
          </w:p>
        </w:tc>
      </w:tr>
      <w:tr w:rsidR="005219E7" w:rsidRPr="00C1032E" w:rsidTr="005219E7">
        <w:trPr>
          <w:trHeight w:val="293"/>
        </w:trPr>
        <w:tc>
          <w:tcPr>
            <w:tcW w:w="992" w:type="dxa"/>
            <w:tcBorders>
              <w:top w:val="nil"/>
              <w:left w:val="single" w:sz="4" w:space="0" w:color="auto"/>
              <w:bottom w:val="single" w:sz="4" w:space="0" w:color="auto"/>
              <w:right w:val="single" w:sz="4" w:space="0" w:color="auto"/>
            </w:tcBorders>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t>6</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JSSR</w:t>
            </w:r>
          </w:p>
        </w:tc>
        <w:tc>
          <w:tcPr>
            <w:tcW w:w="6804" w:type="dxa"/>
            <w:tcBorders>
              <w:top w:val="nil"/>
              <w:left w:val="nil"/>
              <w:bottom w:val="single" w:sz="4" w:space="0" w:color="auto"/>
              <w:right w:val="single" w:sz="4" w:space="0" w:color="auto"/>
            </w:tcBorders>
            <w:shd w:val="clear" w:color="auto" w:fill="auto"/>
            <w:vAlign w:val="center"/>
            <w:hideMark/>
          </w:tcPr>
          <w:p w:rsidR="005219E7" w:rsidRPr="00CC27E1" w:rsidRDefault="005219E7" w:rsidP="00F90520">
            <w:pPr>
              <w:rPr>
                <w:rFonts w:cs="Arial"/>
                <w:color w:val="000000"/>
                <w:sz w:val="18"/>
                <w:szCs w:val="18"/>
                <w:lang w:eastAsia="en-GB"/>
              </w:rPr>
            </w:pPr>
            <w:r w:rsidRPr="00CC27E1">
              <w:rPr>
                <w:rFonts w:cs="Arial"/>
                <w:color w:val="000000"/>
                <w:sz w:val="18"/>
                <w:szCs w:val="18"/>
                <w:lang w:eastAsia="en-GB"/>
              </w:rPr>
              <w:t>Justification of Extreme Heat (Sea Temperature) Design Basis Value at Sizewell C.</w:t>
            </w:r>
          </w:p>
        </w:tc>
        <w:tc>
          <w:tcPr>
            <w:tcW w:w="993" w:type="dxa"/>
            <w:tcBorders>
              <w:top w:val="nil"/>
              <w:left w:val="nil"/>
              <w:bottom w:val="single" w:sz="4" w:space="0" w:color="auto"/>
              <w:right w:val="single" w:sz="4" w:space="0" w:color="auto"/>
            </w:tcBorders>
            <w:shd w:val="clear" w:color="auto" w:fill="auto"/>
            <w:vAlign w:val="center"/>
            <w:hideMark/>
          </w:tcPr>
          <w:p w:rsidR="005219E7" w:rsidRPr="00CC27E1" w:rsidRDefault="00CC27E1" w:rsidP="00F90520">
            <w:pPr>
              <w:jc w:val="center"/>
              <w:rPr>
                <w:rFonts w:cs="Arial"/>
                <w:color w:val="000000"/>
                <w:sz w:val="18"/>
                <w:szCs w:val="18"/>
                <w:lang w:eastAsia="en-GB"/>
              </w:rPr>
            </w:pPr>
            <w:r w:rsidRPr="00CC27E1">
              <w:rPr>
                <w:rFonts w:cs="Arial"/>
                <w:color w:val="000000"/>
                <w:sz w:val="18"/>
                <w:szCs w:val="18"/>
                <w:lang w:eastAsia="en-GB"/>
              </w:rPr>
              <w:t>20</w:t>
            </w:r>
          </w:p>
        </w:tc>
      </w:tr>
      <w:tr w:rsidR="005219E7" w:rsidRPr="00C1032E" w:rsidTr="005219E7">
        <w:trPr>
          <w:trHeight w:val="293"/>
        </w:trPr>
        <w:tc>
          <w:tcPr>
            <w:tcW w:w="992" w:type="dxa"/>
            <w:tcBorders>
              <w:top w:val="nil"/>
              <w:left w:val="single" w:sz="4" w:space="0" w:color="auto"/>
              <w:bottom w:val="single" w:sz="4" w:space="0" w:color="auto"/>
              <w:right w:val="single" w:sz="4" w:space="0" w:color="auto"/>
            </w:tcBorders>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t>7</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JSSR</w:t>
            </w:r>
          </w:p>
        </w:tc>
        <w:tc>
          <w:tcPr>
            <w:tcW w:w="6804" w:type="dxa"/>
            <w:tcBorders>
              <w:top w:val="nil"/>
              <w:left w:val="nil"/>
              <w:bottom w:val="single" w:sz="4" w:space="0" w:color="auto"/>
              <w:right w:val="single" w:sz="4" w:space="0" w:color="auto"/>
            </w:tcBorders>
            <w:shd w:val="clear" w:color="auto" w:fill="auto"/>
            <w:vAlign w:val="center"/>
            <w:hideMark/>
          </w:tcPr>
          <w:p w:rsidR="005219E7" w:rsidRPr="00CC27E1" w:rsidRDefault="005219E7" w:rsidP="00F90520">
            <w:pPr>
              <w:rPr>
                <w:rFonts w:cs="Arial"/>
                <w:color w:val="000000"/>
                <w:sz w:val="18"/>
                <w:szCs w:val="18"/>
                <w:lang w:eastAsia="en-GB"/>
              </w:rPr>
            </w:pPr>
            <w:r w:rsidRPr="00CC27E1">
              <w:rPr>
                <w:rFonts w:cs="Arial"/>
                <w:color w:val="000000"/>
                <w:sz w:val="18"/>
                <w:szCs w:val="18"/>
                <w:lang w:eastAsia="en-GB"/>
              </w:rPr>
              <w:t>Justification of Extreme Heat (Air) Temperature Design Basis Value at Sizewell C.</w:t>
            </w:r>
          </w:p>
        </w:tc>
        <w:tc>
          <w:tcPr>
            <w:tcW w:w="993" w:type="dxa"/>
            <w:tcBorders>
              <w:top w:val="nil"/>
              <w:left w:val="nil"/>
              <w:bottom w:val="single" w:sz="4" w:space="0" w:color="auto"/>
              <w:right w:val="single" w:sz="4" w:space="0" w:color="auto"/>
            </w:tcBorders>
            <w:shd w:val="clear" w:color="auto" w:fill="auto"/>
            <w:vAlign w:val="center"/>
            <w:hideMark/>
          </w:tcPr>
          <w:p w:rsidR="005219E7" w:rsidRPr="00CC27E1" w:rsidRDefault="00CC27E1" w:rsidP="00F90520">
            <w:pPr>
              <w:jc w:val="center"/>
              <w:rPr>
                <w:rFonts w:cs="Arial"/>
                <w:color w:val="000000"/>
                <w:sz w:val="18"/>
                <w:szCs w:val="18"/>
                <w:lang w:eastAsia="en-GB"/>
              </w:rPr>
            </w:pPr>
            <w:r w:rsidRPr="00CC27E1">
              <w:rPr>
                <w:rFonts w:cs="Arial"/>
                <w:color w:val="000000"/>
                <w:sz w:val="18"/>
                <w:szCs w:val="18"/>
                <w:lang w:eastAsia="en-GB"/>
              </w:rPr>
              <w:t>30</w:t>
            </w:r>
          </w:p>
        </w:tc>
      </w:tr>
      <w:tr w:rsidR="005219E7" w:rsidRPr="00C1032E" w:rsidTr="005219E7">
        <w:trPr>
          <w:trHeight w:val="293"/>
        </w:trPr>
        <w:tc>
          <w:tcPr>
            <w:tcW w:w="992" w:type="dxa"/>
            <w:tcBorders>
              <w:top w:val="nil"/>
              <w:left w:val="single" w:sz="4" w:space="0" w:color="auto"/>
              <w:bottom w:val="single" w:sz="4" w:space="0" w:color="auto"/>
              <w:right w:val="single" w:sz="4" w:space="0" w:color="auto"/>
            </w:tcBorders>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t>8</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JSSR</w:t>
            </w:r>
          </w:p>
        </w:tc>
        <w:tc>
          <w:tcPr>
            <w:tcW w:w="6804" w:type="dxa"/>
            <w:tcBorders>
              <w:top w:val="nil"/>
              <w:left w:val="nil"/>
              <w:bottom w:val="single" w:sz="4" w:space="0" w:color="auto"/>
              <w:right w:val="single" w:sz="4" w:space="0" w:color="auto"/>
            </w:tcBorders>
            <w:shd w:val="clear" w:color="auto" w:fill="auto"/>
            <w:vAlign w:val="center"/>
            <w:hideMark/>
          </w:tcPr>
          <w:p w:rsidR="005219E7" w:rsidRPr="00CC27E1" w:rsidRDefault="005219E7" w:rsidP="00F90520">
            <w:pPr>
              <w:rPr>
                <w:rFonts w:cs="Arial"/>
                <w:color w:val="000000"/>
                <w:sz w:val="18"/>
                <w:szCs w:val="18"/>
                <w:lang w:eastAsia="en-GB"/>
              </w:rPr>
            </w:pPr>
            <w:r w:rsidRPr="00CC27E1">
              <w:rPr>
                <w:rFonts w:cs="Arial"/>
                <w:color w:val="000000"/>
                <w:sz w:val="18"/>
                <w:szCs w:val="18"/>
                <w:lang w:eastAsia="en-GB"/>
              </w:rPr>
              <w:t>EPR UK – Sizewell C – Phase 2 Ground Investigation Report</w:t>
            </w:r>
          </w:p>
        </w:tc>
        <w:tc>
          <w:tcPr>
            <w:tcW w:w="993" w:type="dxa"/>
            <w:tcBorders>
              <w:top w:val="nil"/>
              <w:left w:val="nil"/>
              <w:bottom w:val="single" w:sz="4" w:space="0" w:color="auto"/>
              <w:right w:val="single" w:sz="4" w:space="0" w:color="auto"/>
            </w:tcBorders>
            <w:shd w:val="clear" w:color="auto" w:fill="auto"/>
            <w:vAlign w:val="center"/>
            <w:hideMark/>
          </w:tcPr>
          <w:p w:rsidR="005219E7" w:rsidRPr="00CC27E1" w:rsidRDefault="00CC27E1" w:rsidP="00F90520">
            <w:pPr>
              <w:jc w:val="center"/>
              <w:rPr>
                <w:rFonts w:cs="Arial"/>
                <w:color w:val="000000"/>
                <w:sz w:val="18"/>
                <w:szCs w:val="18"/>
                <w:lang w:eastAsia="en-GB"/>
              </w:rPr>
            </w:pPr>
            <w:r w:rsidRPr="00CC27E1">
              <w:rPr>
                <w:rFonts w:cs="Arial"/>
                <w:color w:val="000000"/>
                <w:sz w:val="18"/>
                <w:szCs w:val="18"/>
                <w:lang w:eastAsia="en-GB"/>
              </w:rPr>
              <w:t>408</w:t>
            </w:r>
          </w:p>
        </w:tc>
      </w:tr>
      <w:tr w:rsidR="005219E7" w:rsidRPr="00C1032E" w:rsidTr="005219E7">
        <w:trPr>
          <w:trHeight w:val="300"/>
        </w:trPr>
        <w:tc>
          <w:tcPr>
            <w:tcW w:w="992" w:type="dxa"/>
            <w:tcBorders>
              <w:top w:val="nil"/>
              <w:left w:val="single" w:sz="4" w:space="0" w:color="auto"/>
              <w:bottom w:val="single" w:sz="4" w:space="0" w:color="auto"/>
              <w:right w:val="single" w:sz="4" w:space="0" w:color="auto"/>
            </w:tcBorders>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t>9</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JSSR</w:t>
            </w:r>
          </w:p>
        </w:tc>
        <w:tc>
          <w:tcPr>
            <w:tcW w:w="6804" w:type="dxa"/>
            <w:tcBorders>
              <w:top w:val="nil"/>
              <w:left w:val="nil"/>
              <w:bottom w:val="single" w:sz="4" w:space="0" w:color="auto"/>
              <w:right w:val="single" w:sz="4" w:space="0" w:color="auto"/>
            </w:tcBorders>
            <w:shd w:val="clear" w:color="auto" w:fill="auto"/>
            <w:vAlign w:val="center"/>
            <w:hideMark/>
          </w:tcPr>
          <w:p w:rsidR="005219E7" w:rsidRPr="00CC27E1" w:rsidRDefault="005219E7" w:rsidP="00F90520">
            <w:pPr>
              <w:rPr>
                <w:rFonts w:cs="Arial"/>
                <w:color w:val="000000"/>
                <w:sz w:val="18"/>
                <w:szCs w:val="18"/>
                <w:lang w:eastAsia="en-GB"/>
              </w:rPr>
            </w:pPr>
            <w:r w:rsidRPr="00CC27E1">
              <w:rPr>
                <w:rFonts w:cs="Arial"/>
                <w:color w:val="000000"/>
                <w:sz w:val="18"/>
                <w:szCs w:val="18"/>
                <w:lang w:eastAsia="en-GB"/>
              </w:rPr>
              <w:t>Jacobs Technical Report:. Interim PSHA.</w:t>
            </w:r>
          </w:p>
        </w:tc>
        <w:tc>
          <w:tcPr>
            <w:tcW w:w="993" w:type="dxa"/>
            <w:tcBorders>
              <w:top w:val="nil"/>
              <w:left w:val="nil"/>
              <w:bottom w:val="single" w:sz="4" w:space="0" w:color="auto"/>
              <w:right w:val="single" w:sz="4" w:space="0" w:color="auto"/>
            </w:tcBorders>
            <w:shd w:val="clear" w:color="auto" w:fill="auto"/>
            <w:vAlign w:val="center"/>
            <w:hideMark/>
          </w:tcPr>
          <w:p w:rsidR="005219E7" w:rsidRPr="00CC27E1" w:rsidRDefault="00CC27E1" w:rsidP="00F90520">
            <w:pPr>
              <w:jc w:val="center"/>
              <w:rPr>
                <w:rFonts w:cs="Arial"/>
                <w:color w:val="000000"/>
                <w:sz w:val="18"/>
                <w:szCs w:val="18"/>
                <w:lang w:eastAsia="en-GB"/>
              </w:rPr>
            </w:pPr>
            <w:r w:rsidRPr="00CC27E1">
              <w:rPr>
                <w:rFonts w:cs="Arial"/>
                <w:color w:val="000000"/>
                <w:sz w:val="18"/>
                <w:szCs w:val="18"/>
                <w:lang w:eastAsia="en-GB"/>
              </w:rPr>
              <w:t>134</w:t>
            </w:r>
          </w:p>
        </w:tc>
      </w:tr>
      <w:tr w:rsidR="005219E7" w:rsidRPr="00C1032E" w:rsidTr="005219E7">
        <w:trPr>
          <w:trHeight w:val="293"/>
        </w:trPr>
        <w:tc>
          <w:tcPr>
            <w:tcW w:w="992" w:type="dxa"/>
            <w:tcBorders>
              <w:top w:val="nil"/>
              <w:left w:val="single" w:sz="4" w:space="0" w:color="auto"/>
              <w:bottom w:val="single" w:sz="4" w:space="0" w:color="auto"/>
              <w:right w:val="single" w:sz="4" w:space="0" w:color="auto"/>
            </w:tcBorders>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t>10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JSSR</w:t>
            </w:r>
          </w:p>
        </w:tc>
        <w:tc>
          <w:tcPr>
            <w:tcW w:w="6804" w:type="dxa"/>
            <w:tcBorders>
              <w:top w:val="nil"/>
              <w:left w:val="nil"/>
              <w:bottom w:val="single" w:sz="4" w:space="0" w:color="auto"/>
              <w:right w:val="single" w:sz="4" w:space="0" w:color="auto"/>
            </w:tcBorders>
            <w:shd w:val="clear" w:color="auto" w:fill="auto"/>
            <w:vAlign w:val="center"/>
            <w:hideMark/>
          </w:tcPr>
          <w:p w:rsidR="005219E7" w:rsidRPr="00CC27E1" w:rsidRDefault="005219E7" w:rsidP="00F90520">
            <w:pPr>
              <w:rPr>
                <w:rFonts w:cs="Arial"/>
                <w:color w:val="000000"/>
                <w:sz w:val="18"/>
                <w:szCs w:val="18"/>
                <w:lang w:eastAsia="en-GB"/>
              </w:rPr>
            </w:pPr>
            <w:r w:rsidRPr="00CC27E1">
              <w:rPr>
                <w:rFonts w:cs="Arial"/>
                <w:color w:val="000000"/>
                <w:sz w:val="18"/>
                <w:szCs w:val="18"/>
                <w:lang w:eastAsia="en-GB"/>
              </w:rPr>
              <w:t>UK EPR Sizewell – Detailed Groundwater Level Assessment for Design.</w:t>
            </w:r>
          </w:p>
        </w:tc>
        <w:tc>
          <w:tcPr>
            <w:tcW w:w="993" w:type="dxa"/>
            <w:tcBorders>
              <w:top w:val="nil"/>
              <w:left w:val="nil"/>
              <w:bottom w:val="single" w:sz="4" w:space="0" w:color="auto"/>
              <w:right w:val="single" w:sz="4" w:space="0" w:color="auto"/>
            </w:tcBorders>
            <w:shd w:val="clear" w:color="auto" w:fill="auto"/>
            <w:vAlign w:val="center"/>
            <w:hideMark/>
          </w:tcPr>
          <w:p w:rsidR="005219E7" w:rsidRPr="00CC27E1" w:rsidRDefault="00CC27E1" w:rsidP="00F90520">
            <w:pPr>
              <w:jc w:val="center"/>
              <w:rPr>
                <w:rFonts w:cs="Arial"/>
                <w:color w:val="000000"/>
                <w:sz w:val="18"/>
                <w:szCs w:val="18"/>
                <w:lang w:eastAsia="en-GB"/>
              </w:rPr>
            </w:pPr>
            <w:r w:rsidRPr="00CC27E1">
              <w:rPr>
                <w:rFonts w:cs="Arial"/>
                <w:color w:val="000000"/>
                <w:sz w:val="18"/>
                <w:szCs w:val="18"/>
                <w:lang w:eastAsia="en-GB"/>
              </w:rPr>
              <w:t>26</w:t>
            </w:r>
          </w:p>
        </w:tc>
      </w:tr>
      <w:tr w:rsidR="005219E7" w:rsidRPr="00C1032E" w:rsidTr="005219E7">
        <w:trPr>
          <w:trHeight w:val="300"/>
        </w:trPr>
        <w:tc>
          <w:tcPr>
            <w:tcW w:w="992" w:type="dxa"/>
            <w:tcBorders>
              <w:top w:val="nil"/>
              <w:left w:val="single" w:sz="4" w:space="0" w:color="auto"/>
              <w:bottom w:val="single" w:sz="4" w:space="0" w:color="auto"/>
              <w:right w:val="single" w:sz="4" w:space="0" w:color="auto"/>
            </w:tcBorders>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t>11</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JSSR</w:t>
            </w:r>
          </w:p>
        </w:tc>
        <w:tc>
          <w:tcPr>
            <w:tcW w:w="6804" w:type="dxa"/>
            <w:tcBorders>
              <w:top w:val="nil"/>
              <w:left w:val="nil"/>
              <w:bottom w:val="single" w:sz="4" w:space="0" w:color="auto"/>
              <w:right w:val="single" w:sz="4" w:space="0" w:color="auto"/>
            </w:tcBorders>
            <w:shd w:val="clear" w:color="auto" w:fill="auto"/>
            <w:vAlign w:val="center"/>
            <w:hideMark/>
          </w:tcPr>
          <w:p w:rsidR="005219E7" w:rsidRPr="00CC27E1" w:rsidRDefault="005219E7" w:rsidP="00F90520">
            <w:pPr>
              <w:rPr>
                <w:rFonts w:cs="Arial"/>
                <w:color w:val="000000"/>
                <w:sz w:val="18"/>
                <w:szCs w:val="18"/>
                <w:lang w:eastAsia="en-GB"/>
              </w:rPr>
            </w:pPr>
            <w:r w:rsidRPr="00CC27E1">
              <w:rPr>
                <w:rFonts w:cs="Arial"/>
                <w:color w:val="000000"/>
                <w:sz w:val="18"/>
                <w:szCs w:val="18"/>
                <w:lang w:eastAsia="en-GB"/>
              </w:rPr>
              <w:t>Preliminary Arguments and Evidence Supporting JSSR Claim 6.</w:t>
            </w:r>
          </w:p>
        </w:tc>
        <w:tc>
          <w:tcPr>
            <w:tcW w:w="993" w:type="dxa"/>
            <w:tcBorders>
              <w:top w:val="nil"/>
              <w:left w:val="nil"/>
              <w:bottom w:val="single" w:sz="4" w:space="0" w:color="auto"/>
              <w:right w:val="single" w:sz="4" w:space="0" w:color="auto"/>
            </w:tcBorders>
            <w:shd w:val="clear" w:color="auto" w:fill="auto"/>
            <w:vAlign w:val="center"/>
            <w:hideMark/>
          </w:tcPr>
          <w:p w:rsidR="005219E7" w:rsidRPr="00CC27E1" w:rsidRDefault="00CC27E1" w:rsidP="00F90520">
            <w:pPr>
              <w:jc w:val="center"/>
              <w:rPr>
                <w:rFonts w:cs="Arial"/>
                <w:color w:val="000000"/>
                <w:sz w:val="18"/>
                <w:szCs w:val="18"/>
                <w:lang w:eastAsia="en-GB"/>
              </w:rPr>
            </w:pPr>
            <w:r w:rsidRPr="00CC27E1">
              <w:rPr>
                <w:rFonts w:cs="Arial"/>
                <w:color w:val="000000"/>
                <w:sz w:val="18"/>
                <w:szCs w:val="18"/>
                <w:lang w:eastAsia="en-GB"/>
              </w:rPr>
              <w:t>50</w:t>
            </w:r>
          </w:p>
        </w:tc>
      </w:tr>
      <w:tr w:rsidR="005219E7" w:rsidRPr="00C1032E" w:rsidTr="005219E7">
        <w:trPr>
          <w:trHeight w:val="293"/>
        </w:trPr>
        <w:tc>
          <w:tcPr>
            <w:tcW w:w="992" w:type="dxa"/>
            <w:tcBorders>
              <w:top w:val="nil"/>
              <w:left w:val="single" w:sz="4" w:space="0" w:color="auto"/>
              <w:bottom w:val="single" w:sz="4" w:space="0" w:color="auto"/>
              <w:right w:val="single" w:sz="4" w:space="0" w:color="auto"/>
            </w:tcBorders>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t>12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JSSR</w:t>
            </w:r>
          </w:p>
        </w:tc>
        <w:tc>
          <w:tcPr>
            <w:tcW w:w="6804" w:type="dxa"/>
            <w:tcBorders>
              <w:top w:val="nil"/>
              <w:left w:val="nil"/>
              <w:bottom w:val="single" w:sz="4" w:space="0" w:color="auto"/>
              <w:right w:val="single" w:sz="4" w:space="0" w:color="auto"/>
            </w:tcBorders>
            <w:shd w:val="clear" w:color="auto" w:fill="auto"/>
            <w:vAlign w:val="center"/>
            <w:hideMark/>
          </w:tcPr>
          <w:p w:rsidR="005219E7" w:rsidRPr="00CC27E1" w:rsidRDefault="005219E7" w:rsidP="00F90520">
            <w:pPr>
              <w:rPr>
                <w:rFonts w:cs="Arial"/>
                <w:color w:val="000000"/>
                <w:sz w:val="18"/>
                <w:szCs w:val="18"/>
                <w:lang w:eastAsia="en-GB"/>
              </w:rPr>
            </w:pPr>
            <w:r w:rsidRPr="00CC27E1">
              <w:rPr>
                <w:rFonts w:cs="Arial"/>
                <w:color w:val="000000"/>
                <w:sz w:val="18"/>
                <w:szCs w:val="18"/>
                <w:lang w:eastAsia="en-GB"/>
              </w:rPr>
              <w:t xml:space="preserve">Sizewell C, Flooding Summary Report, NNB </w:t>
            </w:r>
            <w:proofErr w:type="spellStart"/>
            <w:r w:rsidRPr="00CC27E1">
              <w:rPr>
                <w:rFonts w:cs="Arial"/>
                <w:color w:val="000000"/>
                <w:sz w:val="18"/>
                <w:szCs w:val="18"/>
                <w:lang w:eastAsia="en-GB"/>
              </w:rPr>
              <w:t>GenCo</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5219E7" w:rsidRPr="00CC27E1" w:rsidRDefault="00CC27E1" w:rsidP="00F90520">
            <w:pPr>
              <w:jc w:val="center"/>
              <w:rPr>
                <w:rFonts w:cs="Arial"/>
                <w:color w:val="000000"/>
                <w:sz w:val="18"/>
                <w:szCs w:val="18"/>
                <w:lang w:eastAsia="en-GB"/>
              </w:rPr>
            </w:pPr>
            <w:r w:rsidRPr="00CC27E1">
              <w:rPr>
                <w:rFonts w:cs="Arial"/>
                <w:color w:val="000000"/>
                <w:sz w:val="18"/>
                <w:szCs w:val="18"/>
                <w:lang w:eastAsia="en-GB"/>
              </w:rPr>
              <w:t>30</w:t>
            </w:r>
          </w:p>
        </w:tc>
      </w:tr>
      <w:tr w:rsidR="005219E7" w:rsidRPr="00C1032E" w:rsidTr="005219E7">
        <w:trPr>
          <w:trHeight w:val="293"/>
        </w:trPr>
        <w:tc>
          <w:tcPr>
            <w:tcW w:w="992" w:type="dxa"/>
            <w:tcBorders>
              <w:top w:val="nil"/>
              <w:left w:val="single" w:sz="4" w:space="0" w:color="auto"/>
              <w:bottom w:val="single" w:sz="4" w:space="0" w:color="auto"/>
              <w:right w:val="single" w:sz="4" w:space="0" w:color="auto"/>
            </w:tcBorders>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t>13</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SDSR</w:t>
            </w:r>
          </w:p>
        </w:tc>
        <w:tc>
          <w:tcPr>
            <w:tcW w:w="6804" w:type="dxa"/>
            <w:tcBorders>
              <w:top w:val="nil"/>
              <w:left w:val="nil"/>
              <w:bottom w:val="single" w:sz="4" w:space="0" w:color="auto"/>
              <w:right w:val="single" w:sz="4" w:space="0" w:color="auto"/>
            </w:tcBorders>
            <w:shd w:val="clear" w:color="auto" w:fill="auto"/>
            <w:vAlign w:val="center"/>
            <w:hideMark/>
          </w:tcPr>
          <w:p w:rsidR="005219E7" w:rsidRPr="00CC27E1" w:rsidRDefault="005219E7" w:rsidP="00F90520">
            <w:pPr>
              <w:rPr>
                <w:rFonts w:cs="Arial"/>
                <w:color w:val="000000"/>
                <w:sz w:val="18"/>
                <w:szCs w:val="18"/>
                <w:lang w:eastAsia="en-GB"/>
              </w:rPr>
            </w:pPr>
            <w:r w:rsidRPr="00CC27E1">
              <w:rPr>
                <w:rFonts w:cs="Arial"/>
                <w:color w:val="000000"/>
                <w:sz w:val="18"/>
                <w:szCs w:val="18"/>
                <w:lang w:eastAsia="en-GB"/>
              </w:rPr>
              <w:t>Lifetime safety case strategy for SZC</w:t>
            </w:r>
          </w:p>
        </w:tc>
        <w:tc>
          <w:tcPr>
            <w:tcW w:w="993" w:type="dxa"/>
            <w:tcBorders>
              <w:top w:val="nil"/>
              <w:left w:val="nil"/>
              <w:bottom w:val="single" w:sz="4" w:space="0" w:color="auto"/>
              <w:right w:val="single" w:sz="4" w:space="0" w:color="auto"/>
            </w:tcBorders>
            <w:shd w:val="clear" w:color="auto" w:fill="auto"/>
            <w:vAlign w:val="center"/>
            <w:hideMark/>
          </w:tcPr>
          <w:p w:rsidR="005219E7" w:rsidRPr="00CC27E1" w:rsidRDefault="00CC27E1" w:rsidP="00F90520">
            <w:pPr>
              <w:jc w:val="center"/>
              <w:rPr>
                <w:rFonts w:cs="Arial"/>
                <w:color w:val="000000"/>
                <w:sz w:val="18"/>
                <w:szCs w:val="18"/>
                <w:lang w:eastAsia="en-GB"/>
              </w:rPr>
            </w:pPr>
            <w:r w:rsidRPr="00CC27E1">
              <w:rPr>
                <w:rFonts w:cs="Arial"/>
                <w:color w:val="000000"/>
                <w:sz w:val="18"/>
                <w:szCs w:val="18"/>
                <w:lang w:eastAsia="en-GB"/>
              </w:rPr>
              <w:t>28</w:t>
            </w:r>
          </w:p>
        </w:tc>
      </w:tr>
      <w:tr w:rsidR="005219E7" w:rsidRPr="00C1032E" w:rsidTr="005219E7">
        <w:trPr>
          <w:trHeight w:val="293"/>
        </w:trPr>
        <w:tc>
          <w:tcPr>
            <w:tcW w:w="992" w:type="dxa"/>
            <w:tcBorders>
              <w:top w:val="nil"/>
              <w:left w:val="single" w:sz="4" w:space="0" w:color="auto"/>
              <w:bottom w:val="single" w:sz="4" w:space="0" w:color="auto"/>
              <w:right w:val="single" w:sz="4" w:space="0" w:color="auto"/>
            </w:tcBorders>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t>14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SDSR</w:t>
            </w:r>
          </w:p>
        </w:tc>
        <w:tc>
          <w:tcPr>
            <w:tcW w:w="6804" w:type="dxa"/>
            <w:tcBorders>
              <w:top w:val="nil"/>
              <w:left w:val="nil"/>
              <w:bottom w:val="single" w:sz="4" w:space="0" w:color="auto"/>
              <w:right w:val="single" w:sz="4" w:space="0" w:color="auto"/>
            </w:tcBorders>
            <w:shd w:val="clear" w:color="auto" w:fill="auto"/>
            <w:vAlign w:val="center"/>
            <w:hideMark/>
          </w:tcPr>
          <w:p w:rsidR="005219E7" w:rsidRPr="00CC27E1" w:rsidRDefault="005219E7" w:rsidP="00F90520">
            <w:pPr>
              <w:rPr>
                <w:rFonts w:cs="Arial"/>
                <w:color w:val="000000"/>
                <w:sz w:val="18"/>
                <w:szCs w:val="18"/>
                <w:lang w:eastAsia="en-GB"/>
              </w:rPr>
            </w:pPr>
            <w:r w:rsidRPr="00CC27E1">
              <w:rPr>
                <w:rFonts w:cs="Arial"/>
                <w:color w:val="000000"/>
                <w:sz w:val="18"/>
                <w:szCs w:val="18"/>
                <w:lang w:eastAsia="en-GB"/>
              </w:rPr>
              <w:t xml:space="preserve">Sizewell C Hazard Listing Report, </w:t>
            </w:r>
            <w:proofErr w:type="spellStart"/>
            <w:r w:rsidRPr="00CC27E1">
              <w:rPr>
                <w:rFonts w:cs="Arial"/>
                <w:color w:val="000000"/>
                <w:sz w:val="18"/>
                <w:szCs w:val="18"/>
                <w:lang w:eastAsia="en-GB"/>
              </w:rPr>
              <w:t>Hyder</w:t>
            </w:r>
            <w:proofErr w:type="spellEnd"/>
            <w:r w:rsidRPr="00CC27E1">
              <w:rPr>
                <w:rFonts w:cs="Arial"/>
                <w:color w:val="000000"/>
                <w:sz w:val="18"/>
                <w:szCs w:val="18"/>
                <w:lang w:eastAsia="en-GB"/>
              </w:rPr>
              <w:t xml:space="preserve"> Consulting (UK) Ltd</w:t>
            </w:r>
          </w:p>
        </w:tc>
        <w:tc>
          <w:tcPr>
            <w:tcW w:w="993" w:type="dxa"/>
            <w:tcBorders>
              <w:top w:val="nil"/>
              <w:left w:val="nil"/>
              <w:bottom w:val="single" w:sz="4" w:space="0" w:color="auto"/>
              <w:right w:val="single" w:sz="4" w:space="0" w:color="auto"/>
            </w:tcBorders>
            <w:shd w:val="clear" w:color="auto" w:fill="auto"/>
            <w:vAlign w:val="center"/>
            <w:hideMark/>
          </w:tcPr>
          <w:p w:rsidR="005219E7" w:rsidRPr="00CC27E1" w:rsidRDefault="00CC27E1" w:rsidP="00F90520">
            <w:pPr>
              <w:jc w:val="center"/>
              <w:rPr>
                <w:rFonts w:cs="Arial"/>
                <w:color w:val="000000"/>
                <w:sz w:val="18"/>
                <w:szCs w:val="18"/>
                <w:lang w:eastAsia="en-GB"/>
              </w:rPr>
            </w:pPr>
            <w:r w:rsidRPr="00CC27E1">
              <w:rPr>
                <w:rFonts w:cs="Arial"/>
                <w:color w:val="000000"/>
                <w:sz w:val="18"/>
                <w:szCs w:val="18"/>
                <w:lang w:eastAsia="en-GB"/>
              </w:rPr>
              <w:t>55</w:t>
            </w:r>
          </w:p>
        </w:tc>
      </w:tr>
      <w:tr w:rsidR="005219E7" w:rsidRPr="00C1032E" w:rsidTr="00CC27E1">
        <w:trPr>
          <w:trHeight w:val="480"/>
        </w:trPr>
        <w:tc>
          <w:tcPr>
            <w:tcW w:w="992"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t>15</w:t>
            </w:r>
          </w:p>
        </w:tc>
        <w:tc>
          <w:tcPr>
            <w:tcW w:w="85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SDSR</w:t>
            </w:r>
          </w:p>
        </w:tc>
        <w:tc>
          <w:tcPr>
            <w:tcW w:w="6804" w:type="dxa"/>
            <w:tcBorders>
              <w:top w:val="nil"/>
              <w:left w:val="nil"/>
              <w:bottom w:val="single" w:sz="4" w:space="0" w:color="auto"/>
              <w:right w:val="single" w:sz="4" w:space="0" w:color="auto"/>
            </w:tcBorders>
            <w:shd w:val="clear" w:color="auto" w:fill="D9D9D9" w:themeFill="background1" w:themeFillShade="D9"/>
            <w:vAlign w:val="center"/>
            <w:hideMark/>
          </w:tcPr>
          <w:p w:rsidR="005219E7" w:rsidRPr="00CC27E1" w:rsidRDefault="005219E7" w:rsidP="00F90520">
            <w:pPr>
              <w:rPr>
                <w:rFonts w:cs="Arial"/>
                <w:color w:val="000000"/>
                <w:sz w:val="18"/>
                <w:szCs w:val="18"/>
                <w:lang w:eastAsia="en-GB"/>
              </w:rPr>
            </w:pPr>
            <w:r w:rsidRPr="00CC27E1">
              <w:rPr>
                <w:rFonts w:cs="Arial"/>
                <w:color w:val="000000"/>
                <w:sz w:val="18"/>
                <w:szCs w:val="18"/>
                <w:lang w:eastAsia="en-GB"/>
              </w:rPr>
              <w:t>EPR UK – Sizewell C – Phase 2 Ground Investigation Report. Rev. A. EDF DI-TEGG.</w:t>
            </w:r>
          </w:p>
        </w:tc>
        <w:tc>
          <w:tcPr>
            <w:tcW w:w="993" w:type="dxa"/>
            <w:tcBorders>
              <w:top w:val="nil"/>
              <w:left w:val="nil"/>
              <w:bottom w:val="single" w:sz="4" w:space="0" w:color="auto"/>
              <w:right w:val="single" w:sz="4" w:space="0" w:color="auto"/>
            </w:tcBorders>
            <w:shd w:val="clear" w:color="auto" w:fill="D9D9D9" w:themeFill="background1" w:themeFillShade="D9"/>
            <w:vAlign w:val="center"/>
            <w:hideMark/>
          </w:tcPr>
          <w:p w:rsidR="005219E7" w:rsidRPr="00CC27E1" w:rsidRDefault="00220406" w:rsidP="00507AEA">
            <w:pPr>
              <w:jc w:val="center"/>
              <w:rPr>
                <w:rFonts w:cs="Arial"/>
                <w:i/>
                <w:color w:val="000000"/>
                <w:sz w:val="18"/>
                <w:szCs w:val="18"/>
                <w:lang w:eastAsia="en-GB"/>
              </w:rPr>
            </w:pPr>
            <w:r>
              <w:rPr>
                <w:rFonts w:cs="Arial"/>
                <w:i/>
                <w:color w:val="000000"/>
                <w:sz w:val="18"/>
                <w:szCs w:val="18"/>
                <w:lang w:eastAsia="en-GB"/>
              </w:rPr>
              <w:t>1</w:t>
            </w:r>
            <w:r w:rsidR="00507AEA">
              <w:rPr>
                <w:rFonts w:cs="Arial"/>
                <w:i/>
                <w:color w:val="000000"/>
                <w:sz w:val="18"/>
                <w:szCs w:val="18"/>
                <w:lang w:eastAsia="en-GB"/>
              </w:rPr>
              <w:t>0</w:t>
            </w:r>
            <w:r>
              <w:rPr>
                <w:rFonts w:cs="Arial"/>
                <w:i/>
                <w:color w:val="000000"/>
                <w:sz w:val="18"/>
                <w:szCs w:val="18"/>
                <w:lang w:eastAsia="en-GB"/>
              </w:rPr>
              <w:t>0</w:t>
            </w:r>
          </w:p>
        </w:tc>
      </w:tr>
      <w:tr w:rsidR="005219E7" w:rsidRPr="00C1032E" w:rsidTr="00CC27E1">
        <w:trPr>
          <w:trHeight w:val="480"/>
        </w:trPr>
        <w:tc>
          <w:tcPr>
            <w:tcW w:w="992"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t>16</w:t>
            </w:r>
          </w:p>
        </w:tc>
        <w:tc>
          <w:tcPr>
            <w:tcW w:w="85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SDSR</w:t>
            </w:r>
          </w:p>
        </w:tc>
        <w:tc>
          <w:tcPr>
            <w:tcW w:w="6804" w:type="dxa"/>
            <w:tcBorders>
              <w:top w:val="nil"/>
              <w:left w:val="nil"/>
              <w:bottom w:val="single" w:sz="4" w:space="0" w:color="auto"/>
              <w:right w:val="single" w:sz="4" w:space="0" w:color="auto"/>
            </w:tcBorders>
            <w:shd w:val="clear" w:color="auto" w:fill="D9D9D9" w:themeFill="background1" w:themeFillShade="D9"/>
            <w:vAlign w:val="center"/>
            <w:hideMark/>
          </w:tcPr>
          <w:p w:rsidR="005219E7" w:rsidRPr="00CC27E1" w:rsidRDefault="005219E7" w:rsidP="00F90520">
            <w:pPr>
              <w:rPr>
                <w:rFonts w:cs="Arial"/>
                <w:color w:val="000000"/>
                <w:sz w:val="18"/>
                <w:szCs w:val="18"/>
                <w:lang w:eastAsia="en-GB"/>
              </w:rPr>
            </w:pPr>
            <w:r w:rsidRPr="00CC27E1">
              <w:rPr>
                <w:rFonts w:cs="Arial"/>
                <w:color w:val="000000"/>
                <w:sz w:val="18"/>
                <w:szCs w:val="18"/>
                <w:lang w:eastAsia="en-GB"/>
              </w:rPr>
              <w:t>Sizewell Site C: Conceptual Site Model of the Hydrogeological Regime. Atkins, Revision 5, June 2015</w:t>
            </w:r>
          </w:p>
        </w:tc>
        <w:tc>
          <w:tcPr>
            <w:tcW w:w="993" w:type="dxa"/>
            <w:tcBorders>
              <w:top w:val="nil"/>
              <w:left w:val="nil"/>
              <w:bottom w:val="single" w:sz="4" w:space="0" w:color="auto"/>
              <w:right w:val="single" w:sz="4" w:space="0" w:color="auto"/>
            </w:tcBorders>
            <w:shd w:val="clear" w:color="auto" w:fill="D9D9D9" w:themeFill="background1" w:themeFillShade="D9"/>
            <w:vAlign w:val="center"/>
            <w:hideMark/>
          </w:tcPr>
          <w:p w:rsidR="005219E7" w:rsidRPr="00CC27E1" w:rsidRDefault="00220406" w:rsidP="00507AEA">
            <w:pPr>
              <w:jc w:val="center"/>
              <w:rPr>
                <w:rFonts w:cs="Arial"/>
                <w:i/>
                <w:color w:val="000000"/>
                <w:sz w:val="18"/>
                <w:szCs w:val="18"/>
                <w:lang w:eastAsia="en-GB"/>
              </w:rPr>
            </w:pPr>
            <w:r>
              <w:rPr>
                <w:rFonts w:cs="Arial"/>
                <w:i/>
                <w:color w:val="000000"/>
                <w:sz w:val="18"/>
                <w:szCs w:val="18"/>
                <w:lang w:eastAsia="en-GB"/>
              </w:rPr>
              <w:t>1</w:t>
            </w:r>
            <w:r w:rsidR="00507AEA">
              <w:rPr>
                <w:rFonts w:cs="Arial"/>
                <w:i/>
                <w:color w:val="000000"/>
                <w:sz w:val="18"/>
                <w:szCs w:val="18"/>
                <w:lang w:eastAsia="en-GB"/>
              </w:rPr>
              <w:t>0</w:t>
            </w:r>
            <w:r>
              <w:rPr>
                <w:rFonts w:cs="Arial"/>
                <w:i/>
                <w:color w:val="000000"/>
                <w:sz w:val="18"/>
                <w:szCs w:val="18"/>
                <w:lang w:eastAsia="en-GB"/>
              </w:rPr>
              <w:t>0</w:t>
            </w:r>
          </w:p>
        </w:tc>
      </w:tr>
      <w:tr w:rsidR="005219E7" w:rsidRPr="00C1032E" w:rsidTr="00CC27E1">
        <w:trPr>
          <w:trHeight w:val="462"/>
        </w:trPr>
        <w:tc>
          <w:tcPr>
            <w:tcW w:w="992"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t>17</w:t>
            </w:r>
          </w:p>
        </w:tc>
        <w:tc>
          <w:tcPr>
            <w:tcW w:w="85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SDSR</w:t>
            </w:r>
          </w:p>
        </w:tc>
        <w:tc>
          <w:tcPr>
            <w:tcW w:w="6804" w:type="dxa"/>
            <w:tcBorders>
              <w:top w:val="nil"/>
              <w:left w:val="nil"/>
              <w:bottom w:val="single" w:sz="4" w:space="0" w:color="auto"/>
              <w:right w:val="single" w:sz="4" w:space="0" w:color="auto"/>
            </w:tcBorders>
            <w:shd w:val="clear" w:color="auto" w:fill="D9D9D9" w:themeFill="background1" w:themeFillShade="D9"/>
            <w:vAlign w:val="center"/>
            <w:hideMark/>
          </w:tcPr>
          <w:p w:rsidR="005219E7" w:rsidRPr="00CC27E1" w:rsidRDefault="005219E7" w:rsidP="00F90520">
            <w:pPr>
              <w:rPr>
                <w:rFonts w:cs="Arial"/>
                <w:color w:val="000000"/>
                <w:sz w:val="18"/>
                <w:szCs w:val="18"/>
                <w:lang w:eastAsia="en-GB"/>
              </w:rPr>
            </w:pPr>
            <w:r w:rsidRPr="00CC27E1">
              <w:rPr>
                <w:rFonts w:cs="Arial"/>
                <w:color w:val="000000"/>
                <w:sz w:val="18"/>
                <w:szCs w:val="18"/>
                <w:lang w:eastAsia="en-GB"/>
              </w:rPr>
              <w:t>SZC Grid Connection Design and Contribution to Loss of Off-Site Power (LOOP) Frequency. Revision 01, 15/04/20.</w:t>
            </w:r>
          </w:p>
        </w:tc>
        <w:tc>
          <w:tcPr>
            <w:tcW w:w="993" w:type="dxa"/>
            <w:tcBorders>
              <w:top w:val="nil"/>
              <w:left w:val="nil"/>
              <w:bottom w:val="single" w:sz="4" w:space="0" w:color="auto"/>
              <w:right w:val="single" w:sz="4" w:space="0" w:color="auto"/>
            </w:tcBorders>
            <w:shd w:val="clear" w:color="auto" w:fill="D9D9D9" w:themeFill="background1" w:themeFillShade="D9"/>
            <w:vAlign w:val="center"/>
            <w:hideMark/>
          </w:tcPr>
          <w:p w:rsidR="005219E7" w:rsidRPr="00CC27E1" w:rsidRDefault="00507AEA" w:rsidP="00F90520">
            <w:pPr>
              <w:jc w:val="center"/>
              <w:rPr>
                <w:rFonts w:cs="Arial"/>
                <w:i/>
                <w:color w:val="000000"/>
                <w:sz w:val="18"/>
                <w:szCs w:val="18"/>
                <w:lang w:eastAsia="en-GB"/>
              </w:rPr>
            </w:pPr>
            <w:r>
              <w:rPr>
                <w:rFonts w:cs="Arial"/>
                <w:i/>
                <w:color w:val="000000"/>
                <w:sz w:val="18"/>
                <w:szCs w:val="18"/>
                <w:lang w:eastAsia="en-GB"/>
              </w:rPr>
              <w:t>10</w:t>
            </w:r>
            <w:r w:rsidR="00220406">
              <w:rPr>
                <w:rFonts w:cs="Arial"/>
                <w:i/>
                <w:color w:val="000000"/>
                <w:sz w:val="18"/>
                <w:szCs w:val="18"/>
                <w:lang w:eastAsia="en-GB"/>
              </w:rPr>
              <w:t>0</w:t>
            </w:r>
          </w:p>
        </w:tc>
      </w:tr>
      <w:tr w:rsidR="005219E7" w:rsidRPr="00C1032E" w:rsidTr="005219E7">
        <w:trPr>
          <w:trHeight w:val="293"/>
        </w:trPr>
        <w:tc>
          <w:tcPr>
            <w:tcW w:w="992" w:type="dxa"/>
            <w:tcBorders>
              <w:top w:val="nil"/>
              <w:left w:val="single" w:sz="4" w:space="0" w:color="auto"/>
              <w:bottom w:val="single" w:sz="4" w:space="0" w:color="auto"/>
              <w:right w:val="single" w:sz="4" w:space="0" w:color="auto"/>
            </w:tcBorders>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t>18</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SDSR</w:t>
            </w:r>
          </w:p>
        </w:tc>
        <w:tc>
          <w:tcPr>
            <w:tcW w:w="6804" w:type="dxa"/>
            <w:tcBorders>
              <w:top w:val="nil"/>
              <w:left w:val="nil"/>
              <w:bottom w:val="single" w:sz="4" w:space="0" w:color="auto"/>
              <w:right w:val="single" w:sz="4" w:space="0" w:color="auto"/>
            </w:tcBorders>
            <w:shd w:val="clear" w:color="auto" w:fill="auto"/>
            <w:vAlign w:val="center"/>
            <w:hideMark/>
          </w:tcPr>
          <w:p w:rsidR="005219E7" w:rsidRPr="00CC27E1" w:rsidRDefault="005219E7" w:rsidP="00F90520">
            <w:pPr>
              <w:rPr>
                <w:rFonts w:cs="Arial"/>
                <w:color w:val="000000"/>
                <w:sz w:val="18"/>
                <w:szCs w:val="18"/>
                <w:lang w:eastAsia="en-GB"/>
              </w:rPr>
            </w:pPr>
            <w:r w:rsidRPr="00CC27E1">
              <w:rPr>
                <w:rFonts w:cs="Arial"/>
                <w:color w:val="000000"/>
                <w:sz w:val="18"/>
                <w:szCs w:val="18"/>
                <w:lang w:eastAsia="en-GB"/>
              </w:rPr>
              <w:t>SZC: Radiological Releases from Off-Site Sources. Revision 01</w:t>
            </w:r>
          </w:p>
        </w:tc>
        <w:tc>
          <w:tcPr>
            <w:tcW w:w="993" w:type="dxa"/>
            <w:tcBorders>
              <w:top w:val="nil"/>
              <w:left w:val="nil"/>
              <w:bottom w:val="single" w:sz="4" w:space="0" w:color="auto"/>
              <w:right w:val="single" w:sz="4" w:space="0" w:color="auto"/>
            </w:tcBorders>
            <w:shd w:val="clear" w:color="auto" w:fill="auto"/>
            <w:vAlign w:val="center"/>
            <w:hideMark/>
          </w:tcPr>
          <w:p w:rsidR="005219E7" w:rsidRPr="00CC27E1" w:rsidRDefault="005219E7" w:rsidP="00F90520">
            <w:pPr>
              <w:jc w:val="center"/>
              <w:rPr>
                <w:rFonts w:cs="Arial"/>
                <w:color w:val="000000"/>
                <w:sz w:val="18"/>
                <w:szCs w:val="18"/>
                <w:lang w:eastAsia="en-GB"/>
              </w:rPr>
            </w:pPr>
            <w:r w:rsidRPr="00CC27E1">
              <w:rPr>
                <w:rFonts w:cs="Arial"/>
                <w:color w:val="000000"/>
                <w:sz w:val="18"/>
                <w:szCs w:val="18"/>
                <w:lang w:eastAsia="en-GB"/>
              </w:rPr>
              <w:t>20</w:t>
            </w:r>
          </w:p>
        </w:tc>
      </w:tr>
      <w:tr w:rsidR="005219E7" w:rsidRPr="00C1032E" w:rsidTr="00CC27E1">
        <w:trPr>
          <w:trHeight w:val="300"/>
        </w:trPr>
        <w:tc>
          <w:tcPr>
            <w:tcW w:w="992"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t>19</w:t>
            </w:r>
          </w:p>
        </w:tc>
        <w:tc>
          <w:tcPr>
            <w:tcW w:w="85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SDSR</w:t>
            </w:r>
          </w:p>
        </w:tc>
        <w:tc>
          <w:tcPr>
            <w:tcW w:w="6804" w:type="dxa"/>
            <w:tcBorders>
              <w:top w:val="nil"/>
              <w:left w:val="nil"/>
              <w:bottom w:val="single" w:sz="4" w:space="0" w:color="auto"/>
              <w:right w:val="single" w:sz="4" w:space="0" w:color="auto"/>
            </w:tcBorders>
            <w:shd w:val="clear" w:color="auto" w:fill="D9D9D9" w:themeFill="background1" w:themeFillShade="D9"/>
            <w:vAlign w:val="center"/>
            <w:hideMark/>
          </w:tcPr>
          <w:p w:rsidR="005219E7" w:rsidRPr="00CC27E1" w:rsidRDefault="005219E7" w:rsidP="00F90520">
            <w:pPr>
              <w:rPr>
                <w:rFonts w:cs="Arial"/>
                <w:color w:val="000000"/>
                <w:sz w:val="18"/>
                <w:szCs w:val="18"/>
                <w:lang w:eastAsia="en-GB"/>
              </w:rPr>
            </w:pPr>
            <w:r w:rsidRPr="00CC27E1">
              <w:rPr>
                <w:rFonts w:cs="Arial"/>
                <w:color w:val="000000"/>
                <w:sz w:val="18"/>
                <w:szCs w:val="18"/>
                <w:lang w:eastAsia="en-GB"/>
              </w:rPr>
              <w:t>Sizewell CFS &amp; PSHA Interim PSHA</w:t>
            </w:r>
          </w:p>
        </w:tc>
        <w:tc>
          <w:tcPr>
            <w:tcW w:w="993" w:type="dxa"/>
            <w:tcBorders>
              <w:top w:val="nil"/>
              <w:left w:val="nil"/>
              <w:bottom w:val="single" w:sz="4" w:space="0" w:color="auto"/>
              <w:right w:val="single" w:sz="4" w:space="0" w:color="auto"/>
            </w:tcBorders>
            <w:shd w:val="clear" w:color="auto" w:fill="D9D9D9" w:themeFill="background1" w:themeFillShade="D9"/>
            <w:vAlign w:val="center"/>
            <w:hideMark/>
          </w:tcPr>
          <w:p w:rsidR="005219E7" w:rsidRPr="00CC27E1" w:rsidRDefault="00220406" w:rsidP="00507AEA">
            <w:pPr>
              <w:jc w:val="center"/>
              <w:rPr>
                <w:rFonts w:cs="Arial"/>
                <w:i/>
                <w:color w:val="000000"/>
                <w:sz w:val="18"/>
                <w:szCs w:val="18"/>
                <w:lang w:eastAsia="en-GB"/>
              </w:rPr>
            </w:pPr>
            <w:r>
              <w:rPr>
                <w:rFonts w:cs="Arial"/>
                <w:i/>
                <w:color w:val="000000"/>
                <w:sz w:val="18"/>
                <w:szCs w:val="18"/>
                <w:lang w:eastAsia="en-GB"/>
              </w:rPr>
              <w:t>1</w:t>
            </w:r>
            <w:r w:rsidR="00507AEA">
              <w:rPr>
                <w:rFonts w:cs="Arial"/>
                <w:i/>
                <w:color w:val="000000"/>
                <w:sz w:val="18"/>
                <w:szCs w:val="18"/>
                <w:lang w:eastAsia="en-GB"/>
              </w:rPr>
              <w:t>0</w:t>
            </w:r>
            <w:r>
              <w:rPr>
                <w:rFonts w:cs="Arial"/>
                <w:i/>
                <w:color w:val="000000"/>
                <w:sz w:val="18"/>
                <w:szCs w:val="18"/>
                <w:lang w:eastAsia="en-GB"/>
              </w:rPr>
              <w:t>0</w:t>
            </w:r>
          </w:p>
        </w:tc>
      </w:tr>
      <w:tr w:rsidR="005219E7" w:rsidRPr="00C1032E" w:rsidTr="005219E7">
        <w:trPr>
          <w:trHeight w:val="293"/>
        </w:trPr>
        <w:tc>
          <w:tcPr>
            <w:tcW w:w="992" w:type="dxa"/>
            <w:tcBorders>
              <w:top w:val="nil"/>
              <w:left w:val="single" w:sz="4" w:space="0" w:color="auto"/>
              <w:bottom w:val="single" w:sz="4" w:space="0" w:color="auto"/>
              <w:right w:val="single" w:sz="4" w:space="0" w:color="auto"/>
            </w:tcBorders>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lastRenderedPageBreak/>
              <w:t>20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SDSR</w:t>
            </w:r>
          </w:p>
        </w:tc>
        <w:tc>
          <w:tcPr>
            <w:tcW w:w="6804" w:type="dxa"/>
            <w:tcBorders>
              <w:top w:val="nil"/>
              <w:left w:val="nil"/>
              <w:bottom w:val="single" w:sz="4" w:space="0" w:color="auto"/>
              <w:right w:val="single" w:sz="4" w:space="0" w:color="auto"/>
            </w:tcBorders>
            <w:shd w:val="clear" w:color="auto" w:fill="auto"/>
            <w:vAlign w:val="center"/>
            <w:hideMark/>
          </w:tcPr>
          <w:p w:rsidR="005219E7" w:rsidRPr="00CC27E1" w:rsidRDefault="005219E7" w:rsidP="00F90520">
            <w:pPr>
              <w:rPr>
                <w:rFonts w:cs="Arial"/>
                <w:color w:val="000000"/>
                <w:sz w:val="18"/>
                <w:szCs w:val="18"/>
                <w:lang w:eastAsia="en-GB"/>
              </w:rPr>
            </w:pPr>
            <w:r w:rsidRPr="00CC27E1">
              <w:rPr>
                <w:rFonts w:cs="Arial"/>
                <w:color w:val="000000"/>
                <w:sz w:val="18"/>
                <w:szCs w:val="18"/>
                <w:lang w:eastAsia="en-GB"/>
              </w:rPr>
              <w:t>SZC Platform Height: ALARP Analysis Decision Paper, Version 3</w:t>
            </w:r>
          </w:p>
        </w:tc>
        <w:tc>
          <w:tcPr>
            <w:tcW w:w="993" w:type="dxa"/>
            <w:tcBorders>
              <w:top w:val="nil"/>
              <w:left w:val="nil"/>
              <w:bottom w:val="single" w:sz="4" w:space="0" w:color="auto"/>
              <w:right w:val="single" w:sz="4" w:space="0" w:color="auto"/>
            </w:tcBorders>
            <w:shd w:val="clear" w:color="auto" w:fill="auto"/>
            <w:vAlign w:val="center"/>
            <w:hideMark/>
          </w:tcPr>
          <w:p w:rsidR="005219E7" w:rsidRPr="00CC27E1" w:rsidRDefault="00CC27E1" w:rsidP="00F90520">
            <w:pPr>
              <w:jc w:val="center"/>
              <w:rPr>
                <w:rFonts w:cs="Arial"/>
                <w:color w:val="000000"/>
                <w:sz w:val="18"/>
                <w:szCs w:val="18"/>
                <w:lang w:eastAsia="en-GB"/>
              </w:rPr>
            </w:pPr>
            <w:r w:rsidRPr="00CC27E1">
              <w:rPr>
                <w:rFonts w:cs="Arial"/>
                <w:color w:val="000000"/>
                <w:sz w:val="18"/>
                <w:szCs w:val="18"/>
                <w:lang w:eastAsia="en-GB"/>
              </w:rPr>
              <w:t>40</w:t>
            </w:r>
          </w:p>
        </w:tc>
      </w:tr>
      <w:tr w:rsidR="005219E7" w:rsidRPr="00C1032E" w:rsidTr="005219E7">
        <w:trPr>
          <w:trHeight w:val="480"/>
        </w:trPr>
        <w:tc>
          <w:tcPr>
            <w:tcW w:w="992" w:type="dxa"/>
            <w:tcBorders>
              <w:top w:val="nil"/>
              <w:left w:val="single" w:sz="4" w:space="0" w:color="auto"/>
              <w:bottom w:val="single" w:sz="4" w:space="0" w:color="auto"/>
              <w:right w:val="single" w:sz="4" w:space="0" w:color="auto"/>
            </w:tcBorders>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t>21</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SDSR</w:t>
            </w:r>
          </w:p>
        </w:tc>
        <w:tc>
          <w:tcPr>
            <w:tcW w:w="6804" w:type="dxa"/>
            <w:tcBorders>
              <w:top w:val="nil"/>
              <w:left w:val="nil"/>
              <w:bottom w:val="single" w:sz="4" w:space="0" w:color="auto"/>
              <w:right w:val="single" w:sz="4" w:space="0" w:color="auto"/>
            </w:tcBorders>
            <w:shd w:val="clear" w:color="auto" w:fill="auto"/>
            <w:vAlign w:val="center"/>
            <w:hideMark/>
          </w:tcPr>
          <w:p w:rsidR="005219E7" w:rsidRPr="00CC27E1" w:rsidRDefault="005219E7" w:rsidP="00F90520">
            <w:pPr>
              <w:rPr>
                <w:rFonts w:cs="Arial"/>
                <w:color w:val="000000"/>
                <w:sz w:val="18"/>
                <w:szCs w:val="18"/>
                <w:lang w:eastAsia="en-GB"/>
              </w:rPr>
            </w:pPr>
            <w:r w:rsidRPr="00CC27E1">
              <w:rPr>
                <w:rFonts w:cs="Arial"/>
                <w:color w:val="000000"/>
                <w:sz w:val="18"/>
                <w:szCs w:val="18"/>
                <w:lang w:eastAsia="en-GB"/>
              </w:rPr>
              <w:t xml:space="preserve">Sizewell C Safety Case – Coastal Flood Risk Modelling. Royal </w:t>
            </w:r>
            <w:proofErr w:type="spellStart"/>
            <w:r w:rsidRPr="00CC27E1">
              <w:rPr>
                <w:rFonts w:cs="Arial"/>
                <w:color w:val="000000"/>
                <w:sz w:val="18"/>
                <w:szCs w:val="18"/>
                <w:lang w:eastAsia="en-GB"/>
              </w:rPr>
              <w:t>HaskoningDHV</w:t>
            </w:r>
            <w:proofErr w:type="spellEnd"/>
            <w:r w:rsidRPr="00CC27E1">
              <w:rPr>
                <w:rFonts w:cs="Arial"/>
                <w:color w:val="000000"/>
                <w:sz w:val="18"/>
                <w:szCs w:val="18"/>
                <w:lang w:eastAsia="en-GB"/>
              </w:rPr>
              <w:t>, Version 1, January 2020</w:t>
            </w:r>
          </w:p>
        </w:tc>
        <w:tc>
          <w:tcPr>
            <w:tcW w:w="993" w:type="dxa"/>
            <w:tcBorders>
              <w:top w:val="nil"/>
              <w:left w:val="nil"/>
              <w:bottom w:val="single" w:sz="4" w:space="0" w:color="auto"/>
              <w:right w:val="single" w:sz="4" w:space="0" w:color="auto"/>
            </w:tcBorders>
            <w:shd w:val="clear" w:color="auto" w:fill="auto"/>
            <w:vAlign w:val="center"/>
            <w:hideMark/>
          </w:tcPr>
          <w:p w:rsidR="005219E7" w:rsidRPr="00CC27E1" w:rsidRDefault="00CC27E1" w:rsidP="00F90520">
            <w:pPr>
              <w:jc w:val="center"/>
              <w:rPr>
                <w:rFonts w:cs="Arial"/>
                <w:color w:val="000000"/>
                <w:sz w:val="18"/>
                <w:szCs w:val="18"/>
                <w:lang w:eastAsia="en-GB"/>
              </w:rPr>
            </w:pPr>
            <w:r w:rsidRPr="00CC27E1">
              <w:rPr>
                <w:rFonts w:cs="Arial"/>
                <w:color w:val="000000"/>
                <w:sz w:val="18"/>
                <w:szCs w:val="18"/>
                <w:lang w:eastAsia="en-GB"/>
              </w:rPr>
              <w:t>16</w:t>
            </w:r>
          </w:p>
        </w:tc>
      </w:tr>
      <w:tr w:rsidR="005219E7" w:rsidRPr="00C1032E" w:rsidTr="00CC27E1">
        <w:trPr>
          <w:trHeight w:val="293"/>
        </w:trPr>
        <w:tc>
          <w:tcPr>
            <w:tcW w:w="992"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t>22</w:t>
            </w:r>
          </w:p>
        </w:tc>
        <w:tc>
          <w:tcPr>
            <w:tcW w:w="85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SDSR</w:t>
            </w:r>
          </w:p>
        </w:tc>
        <w:tc>
          <w:tcPr>
            <w:tcW w:w="6804" w:type="dxa"/>
            <w:tcBorders>
              <w:top w:val="nil"/>
              <w:left w:val="nil"/>
              <w:bottom w:val="single" w:sz="4" w:space="0" w:color="auto"/>
              <w:right w:val="single" w:sz="4" w:space="0" w:color="auto"/>
            </w:tcBorders>
            <w:shd w:val="clear" w:color="auto" w:fill="D9D9D9" w:themeFill="background1" w:themeFillShade="D9"/>
            <w:vAlign w:val="center"/>
            <w:hideMark/>
          </w:tcPr>
          <w:p w:rsidR="005219E7" w:rsidRPr="00CC27E1" w:rsidRDefault="005219E7" w:rsidP="00F90520">
            <w:pPr>
              <w:rPr>
                <w:rFonts w:cs="Arial"/>
                <w:color w:val="000000"/>
                <w:sz w:val="18"/>
                <w:szCs w:val="18"/>
                <w:lang w:eastAsia="en-GB"/>
              </w:rPr>
            </w:pPr>
            <w:r w:rsidRPr="00CC27E1">
              <w:rPr>
                <w:rFonts w:cs="Arial"/>
                <w:color w:val="000000"/>
                <w:sz w:val="18"/>
                <w:szCs w:val="18"/>
                <w:lang w:eastAsia="en-GB"/>
              </w:rPr>
              <w:t>SZC Flooding Summary Report. Revision 01</w:t>
            </w:r>
          </w:p>
        </w:tc>
        <w:tc>
          <w:tcPr>
            <w:tcW w:w="993" w:type="dxa"/>
            <w:tcBorders>
              <w:top w:val="nil"/>
              <w:left w:val="nil"/>
              <w:bottom w:val="single" w:sz="4" w:space="0" w:color="auto"/>
              <w:right w:val="single" w:sz="4" w:space="0" w:color="auto"/>
            </w:tcBorders>
            <w:shd w:val="clear" w:color="auto" w:fill="D9D9D9" w:themeFill="background1" w:themeFillShade="D9"/>
            <w:vAlign w:val="center"/>
            <w:hideMark/>
          </w:tcPr>
          <w:p w:rsidR="005219E7" w:rsidRPr="00CC27E1" w:rsidRDefault="00220406" w:rsidP="00507AEA">
            <w:pPr>
              <w:jc w:val="center"/>
              <w:rPr>
                <w:rFonts w:cs="Arial"/>
                <w:i/>
                <w:color w:val="000000"/>
                <w:sz w:val="18"/>
                <w:szCs w:val="18"/>
                <w:lang w:eastAsia="en-GB"/>
              </w:rPr>
            </w:pPr>
            <w:r>
              <w:rPr>
                <w:rFonts w:cs="Arial"/>
                <w:i/>
                <w:color w:val="000000"/>
                <w:sz w:val="18"/>
                <w:szCs w:val="18"/>
                <w:lang w:eastAsia="en-GB"/>
              </w:rPr>
              <w:t>1</w:t>
            </w:r>
            <w:r w:rsidR="00507AEA">
              <w:rPr>
                <w:rFonts w:cs="Arial"/>
                <w:i/>
                <w:color w:val="000000"/>
                <w:sz w:val="18"/>
                <w:szCs w:val="18"/>
                <w:lang w:eastAsia="en-GB"/>
              </w:rPr>
              <w:t>0</w:t>
            </w:r>
            <w:r>
              <w:rPr>
                <w:rFonts w:cs="Arial"/>
                <w:i/>
                <w:color w:val="000000"/>
                <w:sz w:val="18"/>
                <w:szCs w:val="18"/>
                <w:lang w:eastAsia="en-GB"/>
              </w:rPr>
              <w:t>0</w:t>
            </w:r>
          </w:p>
        </w:tc>
      </w:tr>
      <w:tr w:rsidR="005219E7" w:rsidRPr="00C1032E" w:rsidTr="005219E7">
        <w:trPr>
          <w:trHeight w:val="293"/>
        </w:trPr>
        <w:tc>
          <w:tcPr>
            <w:tcW w:w="992" w:type="dxa"/>
            <w:tcBorders>
              <w:top w:val="nil"/>
              <w:left w:val="single" w:sz="4" w:space="0" w:color="auto"/>
              <w:bottom w:val="single" w:sz="4" w:space="0" w:color="auto"/>
              <w:right w:val="single" w:sz="4" w:space="0" w:color="auto"/>
            </w:tcBorders>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t>23</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SDSR</w:t>
            </w:r>
          </w:p>
        </w:tc>
        <w:tc>
          <w:tcPr>
            <w:tcW w:w="6804" w:type="dxa"/>
            <w:tcBorders>
              <w:top w:val="nil"/>
              <w:left w:val="nil"/>
              <w:bottom w:val="single" w:sz="4" w:space="0" w:color="auto"/>
              <w:right w:val="single" w:sz="4" w:space="0" w:color="auto"/>
            </w:tcBorders>
            <w:shd w:val="clear" w:color="auto" w:fill="auto"/>
            <w:vAlign w:val="center"/>
            <w:hideMark/>
          </w:tcPr>
          <w:p w:rsidR="005219E7" w:rsidRPr="00CC27E1" w:rsidRDefault="005219E7" w:rsidP="00F90520">
            <w:pPr>
              <w:rPr>
                <w:rFonts w:cs="Arial"/>
                <w:color w:val="000000"/>
                <w:sz w:val="18"/>
                <w:szCs w:val="18"/>
                <w:lang w:eastAsia="en-GB"/>
              </w:rPr>
            </w:pPr>
            <w:r w:rsidRPr="00CC27E1">
              <w:rPr>
                <w:rFonts w:cs="Arial"/>
                <w:color w:val="000000"/>
                <w:sz w:val="18"/>
                <w:szCs w:val="18"/>
                <w:lang w:eastAsia="en-GB"/>
              </w:rPr>
              <w:t>Estimation of extreme high-water levels at SZC, Rev. 1</w:t>
            </w:r>
          </w:p>
        </w:tc>
        <w:tc>
          <w:tcPr>
            <w:tcW w:w="993" w:type="dxa"/>
            <w:tcBorders>
              <w:top w:val="nil"/>
              <w:left w:val="nil"/>
              <w:bottom w:val="single" w:sz="4" w:space="0" w:color="auto"/>
              <w:right w:val="single" w:sz="4" w:space="0" w:color="auto"/>
            </w:tcBorders>
            <w:shd w:val="clear" w:color="auto" w:fill="auto"/>
            <w:vAlign w:val="center"/>
            <w:hideMark/>
          </w:tcPr>
          <w:p w:rsidR="005219E7" w:rsidRPr="00CC27E1" w:rsidRDefault="00CC27E1" w:rsidP="00F90520">
            <w:pPr>
              <w:jc w:val="center"/>
              <w:rPr>
                <w:rFonts w:cs="Arial"/>
                <w:color w:val="000000"/>
                <w:sz w:val="18"/>
                <w:szCs w:val="18"/>
                <w:lang w:eastAsia="en-GB"/>
              </w:rPr>
            </w:pPr>
            <w:r w:rsidRPr="00CC27E1">
              <w:rPr>
                <w:rFonts w:cs="Arial"/>
                <w:color w:val="000000"/>
                <w:sz w:val="18"/>
                <w:szCs w:val="18"/>
                <w:lang w:eastAsia="en-GB"/>
              </w:rPr>
              <w:t>40</w:t>
            </w:r>
          </w:p>
        </w:tc>
      </w:tr>
      <w:tr w:rsidR="005219E7" w:rsidRPr="00C1032E" w:rsidTr="005219E7">
        <w:trPr>
          <w:trHeight w:val="293"/>
        </w:trPr>
        <w:tc>
          <w:tcPr>
            <w:tcW w:w="992" w:type="dxa"/>
            <w:tcBorders>
              <w:top w:val="nil"/>
              <w:left w:val="single" w:sz="4" w:space="0" w:color="auto"/>
              <w:bottom w:val="single" w:sz="4" w:space="0" w:color="auto"/>
              <w:right w:val="single" w:sz="4" w:space="0" w:color="auto"/>
            </w:tcBorders>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t>24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SDSR</w:t>
            </w:r>
          </w:p>
        </w:tc>
        <w:tc>
          <w:tcPr>
            <w:tcW w:w="6804" w:type="dxa"/>
            <w:tcBorders>
              <w:top w:val="nil"/>
              <w:left w:val="nil"/>
              <w:bottom w:val="single" w:sz="4" w:space="0" w:color="auto"/>
              <w:right w:val="single" w:sz="4" w:space="0" w:color="auto"/>
            </w:tcBorders>
            <w:shd w:val="clear" w:color="auto" w:fill="auto"/>
            <w:vAlign w:val="center"/>
            <w:hideMark/>
          </w:tcPr>
          <w:p w:rsidR="005219E7" w:rsidRPr="00CC27E1" w:rsidRDefault="005219E7" w:rsidP="00F90520">
            <w:pPr>
              <w:rPr>
                <w:rFonts w:cs="Arial"/>
                <w:color w:val="000000"/>
                <w:sz w:val="18"/>
                <w:szCs w:val="18"/>
                <w:lang w:eastAsia="en-GB"/>
              </w:rPr>
            </w:pPr>
            <w:r w:rsidRPr="00CC27E1">
              <w:rPr>
                <w:rFonts w:cs="Arial"/>
                <w:color w:val="000000"/>
                <w:sz w:val="18"/>
                <w:szCs w:val="18"/>
                <w:lang w:eastAsia="en-GB"/>
              </w:rPr>
              <w:t>Extreme Rainfall at SZC, Revision 2, October 2019</w:t>
            </w:r>
          </w:p>
        </w:tc>
        <w:tc>
          <w:tcPr>
            <w:tcW w:w="993" w:type="dxa"/>
            <w:tcBorders>
              <w:top w:val="nil"/>
              <w:left w:val="nil"/>
              <w:bottom w:val="single" w:sz="4" w:space="0" w:color="auto"/>
              <w:right w:val="single" w:sz="4" w:space="0" w:color="auto"/>
            </w:tcBorders>
            <w:shd w:val="clear" w:color="auto" w:fill="auto"/>
            <w:vAlign w:val="center"/>
            <w:hideMark/>
          </w:tcPr>
          <w:p w:rsidR="005219E7" w:rsidRPr="00CC27E1" w:rsidRDefault="00CC27E1" w:rsidP="00F90520">
            <w:pPr>
              <w:jc w:val="center"/>
              <w:rPr>
                <w:rFonts w:cs="Arial"/>
                <w:color w:val="000000"/>
                <w:sz w:val="18"/>
                <w:szCs w:val="18"/>
                <w:lang w:eastAsia="en-GB"/>
              </w:rPr>
            </w:pPr>
            <w:r w:rsidRPr="00CC27E1">
              <w:rPr>
                <w:rFonts w:cs="Arial"/>
                <w:color w:val="000000"/>
                <w:sz w:val="18"/>
                <w:szCs w:val="18"/>
                <w:lang w:eastAsia="en-GB"/>
              </w:rPr>
              <w:t>60</w:t>
            </w:r>
          </w:p>
        </w:tc>
      </w:tr>
      <w:tr w:rsidR="005219E7" w:rsidRPr="00C1032E" w:rsidTr="005219E7">
        <w:trPr>
          <w:trHeight w:val="480"/>
        </w:trPr>
        <w:tc>
          <w:tcPr>
            <w:tcW w:w="992" w:type="dxa"/>
            <w:tcBorders>
              <w:top w:val="nil"/>
              <w:left w:val="single" w:sz="4" w:space="0" w:color="auto"/>
              <w:bottom w:val="single" w:sz="4" w:space="0" w:color="auto"/>
              <w:right w:val="single" w:sz="4" w:space="0" w:color="auto"/>
            </w:tcBorders>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t>25</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SDSR</w:t>
            </w:r>
          </w:p>
        </w:tc>
        <w:tc>
          <w:tcPr>
            <w:tcW w:w="6804" w:type="dxa"/>
            <w:tcBorders>
              <w:top w:val="nil"/>
              <w:left w:val="nil"/>
              <w:bottom w:val="single" w:sz="4" w:space="0" w:color="auto"/>
              <w:right w:val="single" w:sz="4" w:space="0" w:color="auto"/>
            </w:tcBorders>
            <w:shd w:val="clear" w:color="auto" w:fill="auto"/>
            <w:vAlign w:val="center"/>
            <w:hideMark/>
          </w:tcPr>
          <w:p w:rsidR="005219E7" w:rsidRPr="00CC27E1" w:rsidRDefault="005219E7" w:rsidP="00F90520">
            <w:pPr>
              <w:rPr>
                <w:rFonts w:cs="Arial"/>
                <w:color w:val="000000"/>
                <w:sz w:val="18"/>
                <w:szCs w:val="18"/>
                <w:lang w:eastAsia="en-GB"/>
              </w:rPr>
            </w:pPr>
            <w:r w:rsidRPr="00CC27E1">
              <w:rPr>
                <w:rFonts w:cs="Arial"/>
                <w:color w:val="000000"/>
                <w:sz w:val="18"/>
                <w:szCs w:val="18"/>
                <w:lang w:eastAsia="en-GB"/>
              </w:rPr>
              <w:t xml:space="preserve">Sizewell C Safety Case – Fluvial Flood Risk Modelling. Royal </w:t>
            </w:r>
            <w:proofErr w:type="spellStart"/>
            <w:r w:rsidRPr="00CC27E1">
              <w:rPr>
                <w:rFonts w:cs="Arial"/>
                <w:color w:val="000000"/>
                <w:sz w:val="18"/>
                <w:szCs w:val="18"/>
                <w:lang w:eastAsia="en-GB"/>
              </w:rPr>
              <w:t>HaskoningDHV</w:t>
            </w:r>
            <w:proofErr w:type="spellEnd"/>
            <w:r w:rsidRPr="00CC27E1">
              <w:rPr>
                <w:rFonts w:cs="Arial"/>
                <w:color w:val="000000"/>
                <w:sz w:val="18"/>
                <w:szCs w:val="18"/>
                <w:lang w:eastAsia="en-GB"/>
              </w:rPr>
              <w:t xml:space="preserve">, Version 1, January 2020 </w:t>
            </w:r>
          </w:p>
        </w:tc>
        <w:tc>
          <w:tcPr>
            <w:tcW w:w="993" w:type="dxa"/>
            <w:tcBorders>
              <w:top w:val="nil"/>
              <w:left w:val="nil"/>
              <w:bottom w:val="single" w:sz="4" w:space="0" w:color="auto"/>
              <w:right w:val="single" w:sz="4" w:space="0" w:color="auto"/>
            </w:tcBorders>
            <w:shd w:val="clear" w:color="auto" w:fill="auto"/>
            <w:vAlign w:val="center"/>
            <w:hideMark/>
          </w:tcPr>
          <w:p w:rsidR="005219E7" w:rsidRPr="00CC27E1" w:rsidRDefault="005219E7" w:rsidP="00CC27E1">
            <w:pPr>
              <w:jc w:val="center"/>
              <w:rPr>
                <w:rFonts w:cs="Arial"/>
                <w:color w:val="000000"/>
                <w:sz w:val="18"/>
                <w:szCs w:val="18"/>
                <w:lang w:eastAsia="en-GB"/>
              </w:rPr>
            </w:pPr>
            <w:r w:rsidRPr="00CC27E1">
              <w:rPr>
                <w:rFonts w:cs="Arial"/>
                <w:color w:val="000000"/>
                <w:sz w:val="18"/>
                <w:szCs w:val="18"/>
                <w:lang w:eastAsia="en-GB"/>
              </w:rPr>
              <w:t>2</w:t>
            </w:r>
            <w:r w:rsidR="00CC27E1" w:rsidRPr="00CC27E1">
              <w:rPr>
                <w:rFonts w:cs="Arial"/>
                <w:color w:val="000000"/>
                <w:sz w:val="18"/>
                <w:szCs w:val="18"/>
                <w:lang w:eastAsia="en-GB"/>
              </w:rPr>
              <w:t>5</w:t>
            </w:r>
          </w:p>
        </w:tc>
      </w:tr>
      <w:tr w:rsidR="005219E7" w:rsidRPr="00C1032E" w:rsidTr="005219E7">
        <w:trPr>
          <w:trHeight w:val="480"/>
        </w:trPr>
        <w:tc>
          <w:tcPr>
            <w:tcW w:w="992" w:type="dxa"/>
            <w:tcBorders>
              <w:top w:val="nil"/>
              <w:left w:val="single" w:sz="4" w:space="0" w:color="auto"/>
              <w:bottom w:val="single" w:sz="4" w:space="0" w:color="auto"/>
              <w:right w:val="single" w:sz="4" w:space="0" w:color="auto"/>
            </w:tcBorders>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t>26</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SDSR</w:t>
            </w:r>
          </w:p>
        </w:tc>
        <w:tc>
          <w:tcPr>
            <w:tcW w:w="6804" w:type="dxa"/>
            <w:tcBorders>
              <w:top w:val="nil"/>
              <w:left w:val="nil"/>
              <w:bottom w:val="single" w:sz="4" w:space="0" w:color="auto"/>
              <w:right w:val="single" w:sz="4" w:space="0" w:color="auto"/>
            </w:tcBorders>
            <w:shd w:val="clear" w:color="auto" w:fill="auto"/>
            <w:vAlign w:val="center"/>
            <w:hideMark/>
          </w:tcPr>
          <w:p w:rsidR="005219E7" w:rsidRPr="00CC27E1" w:rsidRDefault="005219E7" w:rsidP="00F90520">
            <w:pPr>
              <w:rPr>
                <w:rFonts w:cs="Arial"/>
                <w:color w:val="000000"/>
                <w:sz w:val="18"/>
                <w:szCs w:val="18"/>
                <w:lang w:eastAsia="en-GB"/>
              </w:rPr>
            </w:pPr>
            <w:r w:rsidRPr="00CC27E1">
              <w:rPr>
                <w:rFonts w:cs="Arial"/>
                <w:color w:val="000000"/>
                <w:sz w:val="18"/>
                <w:szCs w:val="18"/>
                <w:lang w:eastAsia="en-GB"/>
              </w:rPr>
              <w:t xml:space="preserve">Sizewell C Flood Risk Assessment – Main Development Site Fluvial Modelling Update. Royal </w:t>
            </w:r>
            <w:proofErr w:type="spellStart"/>
            <w:r w:rsidRPr="00CC27E1">
              <w:rPr>
                <w:rFonts w:cs="Arial"/>
                <w:color w:val="000000"/>
                <w:sz w:val="18"/>
                <w:szCs w:val="18"/>
                <w:lang w:eastAsia="en-GB"/>
              </w:rPr>
              <w:t>HaskoningDHV</w:t>
            </w:r>
            <w:proofErr w:type="spellEnd"/>
            <w:r w:rsidRPr="00CC27E1">
              <w:rPr>
                <w:rFonts w:cs="Arial"/>
                <w:color w:val="000000"/>
                <w:sz w:val="18"/>
                <w:szCs w:val="18"/>
                <w:lang w:eastAsia="en-GB"/>
              </w:rPr>
              <w:t>, Revision 3, October 2019</w:t>
            </w:r>
          </w:p>
        </w:tc>
        <w:tc>
          <w:tcPr>
            <w:tcW w:w="993" w:type="dxa"/>
            <w:tcBorders>
              <w:top w:val="nil"/>
              <w:left w:val="nil"/>
              <w:bottom w:val="single" w:sz="4" w:space="0" w:color="auto"/>
              <w:right w:val="single" w:sz="4" w:space="0" w:color="auto"/>
            </w:tcBorders>
            <w:shd w:val="clear" w:color="auto" w:fill="auto"/>
            <w:vAlign w:val="center"/>
            <w:hideMark/>
          </w:tcPr>
          <w:p w:rsidR="005219E7" w:rsidRPr="00CC27E1" w:rsidRDefault="00CC27E1" w:rsidP="00F90520">
            <w:pPr>
              <w:jc w:val="center"/>
              <w:rPr>
                <w:rFonts w:cs="Arial"/>
                <w:color w:val="000000"/>
                <w:sz w:val="18"/>
                <w:szCs w:val="18"/>
                <w:lang w:eastAsia="en-GB"/>
              </w:rPr>
            </w:pPr>
            <w:r w:rsidRPr="00CC27E1">
              <w:rPr>
                <w:rFonts w:cs="Arial"/>
                <w:color w:val="000000"/>
                <w:sz w:val="18"/>
                <w:szCs w:val="18"/>
                <w:lang w:eastAsia="en-GB"/>
              </w:rPr>
              <w:t>172</w:t>
            </w:r>
          </w:p>
        </w:tc>
      </w:tr>
      <w:tr w:rsidR="005219E7" w:rsidRPr="00C1032E" w:rsidTr="00CC27E1">
        <w:trPr>
          <w:trHeight w:val="480"/>
        </w:trPr>
        <w:tc>
          <w:tcPr>
            <w:tcW w:w="992"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t>27</w:t>
            </w:r>
          </w:p>
        </w:tc>
        <w:tc>
          <w:tcPr>
            <w:tcW w:w="85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SDSR</w:t>
            </w:r>
          </w:p>
        </w:tc>
        <w:tc>
          <w:tcPr>
            <w:tcW w:w="6804" w:type="dxa"/>
            <w:tcBorders>
              <w:top w:val="nil"/>
              <w:left w:val="nil"/>
              <w:bottom w:val="single" w:sz="4" w:space="0" w:color="auto"/>
              <w:right w:val="single" w:sz="4" w:space="0" w:color="auto"/>
            </w:tcBorders>
            <w:shd w:val="clear" w:color="auto" w:fill="D9D9D9" w:themeFill="background1" w:themeFillShade="D9"/>
            <w:vAlign w:val="center"/>
            <w:hideMark/>
          </w:tcPr>
          <w:p w:rsidR="005219E7" w:rsidRPr="00CC27E1" w:rsidRDefault="005219E7" w:rsidP="00F90520">
            <w:pPr>
              <w:rPr>
                <w:rFonts w:cs="Arial"/>
                <w:color w:val="000000"/>
                <w:sz w:val="18"/>
                <w:szCs w:val="18"/>
                <w:lang w:eastAsia="en-GB"/>
              </w:rPr>
            </w:pPr>
            <w:r w:rsidRPr="00CC27E1">
              <w:rPr>
                <w:rFonts w:cs="Arial"/>
                <w:color w:val="000000"/>
                <w:sz w:val="18"/>
                <w:szCs w:val="18"/>
                <w:lang w:eastAsia="en-GB"/>
              </w:rPr>
              <w:t>UK EPR Sizewell – Detailed groundwater level assessment for the design. Revision A</w:t>
            </w:r>
          </w:p>
        </w:tc>
        <w:tc>
          <w:tcPr>
            <w:tcW w:w="993" w:type="dxa"/>
            <w:tcBorders>
              <w:top w:val="nil"/>
              <w:left w:val="nil"/>
              <w:bottom w:val="single" w:sz="4" w:space="0" w:color="auto"/>
              <w:right w:val="single" w:sz="4" w:space="0" w:color="auto"/>
            </w:tcBorders>
            <w:shd w:val="clear" w:color="auto" w:fill="D9D9D9" w:themeFill="background1" w:themeFillShade="D9"/>
            <w:vAlign w:val="center"/>
            <w:hideMark/>
          </w:tcPr>
          <w:p w:rsidR="005219E7" w:rsidRPr="00CC27E1" w:rsidRDefault="00507AEA" w:rsidP="00F90520">
            <w:pPr>
              <w:jc w:val="center"/>
              <w:rPr>
                <w:rFonts w:cs="Arial"/>
                <w:i/>
                <w:color w:val="000000"/>
                <w:sz w:val="18"/>
                <w:szCs w:val="18"/>
                <w:lang w:eastAsia="en-GB"/>
              </w:rPr>
            </w:pPr>
            <w:r>
              <w:rPr>
                <w:rFonts w:cs="Arial"/>
                <w:i/>
                <w:color w:val="000000"/>
                <w:sz w:val="18"/>
                <w:szCs w:val="18"/>
                <w:lang w:eastAsia="en-GB"/>
              </w:rPr>
              <w:t>10</w:t>
            </w:r>
            <w:r w:rsidR="00220406">
              <w:rPr>
                <w:rFonts w:cs="Arial"/>
                <w:i/>
                <w:color w:val="000000"/>
                <w:sz w:val="18"/>
                <w:szCs w:val="18"/>
                <w:lang w:eastAsia="en-GB"/>
              </w:rPr>
              <w:t>0</w:t>
            </w:r>
          </w:p>
        </w:tc>
      </w:tr>
      <w:tr w:rsidR="005219E7" w:rsidRPr="00C1032E" w:rsidTr="00CC27E1">
        <w:trPr>
          <w:trHeight w:val="293"/>
        </w:trPr>
        <w:tc>
          <w:tcPr>
            <w:tcW w:w="992"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t>28</w:t>
            </w:r>
          </w:p>
        </w:tc>
        <w:tc>
          <w:tcPr>
            <w:tcW w:w="85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SDSR</w:t>
            </w:r>
          </w:p>
        </w:tc>
        <w:tc>
          <w:tcPr>
            <w:tcW w:w="6804" w:type="dxa"/>
            <w:tcBorders>
              <w:top w:val="nil"/>
              <w:left w:val="nil"/>
              <w:bottom w:val="single" w:sz="4" w:space="0" w:color="auto"/>
              <w:right w:val="single" w:sz="4" w:space="0" w:color="auto"/>
            </w:tcBorders>
            <w:shd w:val="clear" w:color="auto" w:fill="D9D9D9" w:themeFill="background1" w:themeFillShade="D9"/>
            <w:vAlign w:val="center"/>
            <w:hideMark/>
          </w:tcPr>
          <w:p w:rsidR="005219E7" w:rsidRPr="00CC27E1" w:rsidRDefault="005219E7" w:rsidP="00F90520">
            <w:pPr>
              <w:rPr>
                <w:rFonts w:cs="Arial"/>
                <w:color w:val="000000"/>
                <w:sz w:val="18"/>
                <w:szCs w:val="18"/>
                <w:lang w:eastAsia="en-GB"/>
              </w:rPr>
            </w:pPr>
            <w:r w:rsidRPr="00CC27E1">
              <w:rPr>
                <w:rFonts w:cs="Arial"/>
                <w:color w:val="000000"/>
                <w:sz w:val="18"/>
                <w:szCs w:val="18"/>
                <w:lang w:eastAsia="en-GB"/>
              </w:rPr>
              <w:t>Sizewell C Groundwater Modelling Report. Atkins, Revision 2, January 2020</w:t>
            </w:r>
          </w:p>
        </w:tc>
        <w:tc>
          <w:tcPr>
            <w:tcW w:w="993" w:type="dxa"/>
            <w:tcBorders>
              <w:top w:val="nil"/>
              <w:left w:val="nil"/>
              <w:bottom w:val="single" w:sz="4" w:space="0" w:color="auto"/>
              <w:right w:val="single" w:sz="4" w:space="0" w:color="auto"/>
            </w:tcBorders>
            <w:shd w:val="clear" w:color="auto" w:fill="D9D9D9" w:themeFill="background1" w:themeFillShade="D9"/>
            <w:vAlign w:val="center"/>
            <w:hideMark/>
          </w:tcPr>
          <w:p w:rsidR="005219E7" w:rsidRPr="00CC27E1" w:rsidRDefault="00507AEA" w:rsidP="00F90520">
            <w:pPr>
              <w:jc w:val="center"/>
              <w:rPr>
                <w:rFonts w:cs="Arial"/>
                <w:i/>
                <w:color w:val="000000"/>
                <w:sz w:val="18"/>
                <w:szCs w:val="18"/>
                <w:lang w:eastAsia="en-GB"/>
              </w:rPr>
            </w:pPr>
            <w:r>
              <w:rPr>
                <w:rFonts w:cs="Arial"/>
                <w:i/>
                <w:color w:val="000000"/>
                <w:sz w:val="18"/>
                <w:szCs w:val="18"/>
                <w:lang w:eastAsia="en-GB"/>
              </w:rPr>
              <w:t>10</w:t>
            </w:r>
            <w:r w:rsidR="00220406">
              <w:rPr>
                <w:rFonts w:cs="Arial"/>
                <w:i/>
                <w:color w:val="000000"/>
                <w:sz w:val="18"/>
                <w:szCs w:val="18"/>
                <w:lang w:eastAsia="en-GB"/>
              </w:rPr>
              <w:t>0</w:t>
            </w:r>
          </w:p>
        </w:tc>
      </w:tr>
      <w:tr w:rsidR="005219E7" w:rsidRPr="00C1032E" w:rsidTr="005219E7">
        <w:trPr>
          <w:trHeight w:val="300"/>
        </w:trPr>
        <w:tc>
          <w:tcPr>
            <w:tcW w:w="992" w:type="dxa"/>
            <w:tcBorders>
              <w:top w:val="nil"/>
              <w:left w:val="single" w:sz="4" w:space="0" w:color="auto"/>
              <w:bottom w:val="single" w:sz="4" w:space="0" w:color="auto"/>
              <w:right w:val="single" w:sz="4" w:space="0" w:color="auto"/>
            </w:tcBorders>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t>29</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SDSR</w:t>
            </w:r>
          </w:p>
        </w:tc>
        <w:tc>
          <w:tcPr>
            <w:tcW w:w="6804" w:type="dxa"/>
            <w:tcBorders>
              <w:top w:val="nil"/>
              <w:left w:val="nil"/>
              <w:bottom w:val="single" w:sz="4" w:space="0" w:color="auto"/>
              <w:right w:val="single" w:sz="4" w:space="0" w:color="auto"/>
            </w:tcBorders>
            <w:shd w:val="clear" w:color="auto" w:fill="auto"/>
            <w:vAlign w:val="center"/>
            <w:hideMark/>
          </w:tcPr>
          <w:p w:rsidR="005219E7" w:rsidRPr="00CC27E1" w:rsidRDefault="005219E7" w:rsidP="00F90520">
            <w:pPr>
              <w:rPr>
                <w:rFonts w:cs="Arial"/>
                <w:color w:val="000000"/>
                <w:sz w:val="18"/>
                <w:szCs w:val="18"/>
                <w:lang w:eastAsia="en-GB"/>
              </w:rPr>
            </w:pPr>
            <w:r w:rsidRPr="00CC27E1">
              <w:rPr>
                <w:rFonts w:cs="Arial"/>
                <w:color w:val="000000"/>
                <w:sz w:val="18"/>
                <w:szCs w:val="18"/>
                <w:lang w:eastAsia="en-GB"/>
              </w:rPr>
              <w:t>UK EPR Sizewell – Groundwater level preliminary assessment, Rev B.</w:t>
            </w:r>
          </w:p>
        </w:tc>
        <w:tc>
          <w:tcPr>
            <w:tcW w:w="993" w:type="dxa"/>
            <w:tcBorders>
              <w:top w:val="nil"/>
              <w:left w:val="nil"/>
              <w:bottom w:val="single" w:sz="4" w:space="0" w:color="auto"/>
              <w:right w:val="single" w:sz="4" w:space="0" w:color="auto"/>
            </w:tcBorders>
            <w:shd w:val="clear" w:color="auto" w:fill="auto"/>
            <w:vAlign w:val="center"/>
            <w:hideMark/>
          </w:tcPr>
          <w:p w:rsidR="005219E7" w:rsidRPr="00CC27E1" w:rsidRDefault="00CC27E1" w:rsidP="00F90520">
            <w:pPr>
              <w:jc w:val="center"/>
              <w:rPr>
                <w:rFonts w:cs="Arial"/>
                <w:color w:val="000000"/>
                <w:sz w:val="18"/>
                <w:szCs w:val="18"/>
                <w:lang w:eastAsia="en-GB"/>
              </w:rPr>
            </w:pPr>
            <w:r w:rsidRPr="00CC27E1">
              <w:rPr>
                <w:rFonts w:cs="Arial"/>
                <w:color w:val="000000"/>
                <w:sz w:val="18"/>
                <w:szCs w:val="18"/>
                <w:lang w:eastAsia="en-GB"/>
              </w:rPr>
              <w:t>30</w:t>
            </w:r>
          </w:p>
        </w:tc>
      </w:tr>
      <w:tr w:rsidR="005219E7" w:rsidRPr="00C1032E" w:rsidTr="005219E7">
        <w:trPr>
          <w:trHeight w:val="293"/>
        </w:trPr>
        <w:tc>
          <w:tcPr>
            <w:tcW w:w="992" w:type="dxa"/>
            <w:tcBorders>
              <w:top w:val="nil"/>
              <w:left w:val="single" w:sz="4" w:space="0" w:color="auto"/>
              <w:bottom w:val="single" w:sz="4" w:space="0" w:color="auto"/>
              <w:right w:val="single" w:sz="4" w:space="0" w:color="auto"/>
            </w:tcBorders>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t>30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SDSR</w:t>
            </w:r>
          </w:p>
        </w:tc>
        <w:tc>
          <w:tcPr>
            <w:tcW w:w="6804" w:type="dxa"/>
            <w:tcBorders>
              <w:top w:val="nil"/>
              <w:left w:val="nil"/>
              <w:bottom w:val="single" w:sz="4" w:space="0" w:color="auto"/>
              <w:right w:val="single" w:sz="4" w:space="0" w:color="auto"/>
            </w:tcBorders>
            <w:shd w:val="clear" w:color="auto" w:fill="auto"/>
            <w:vAlign w:val="center"/>
            <w:hideMark/>
          </w:tcPr>
          <w:p w:rsidR="005219E7" w:rsidRPr="00CC27E1" w:rsidRDefault="005219E7" w:rsidP="00F90520">
            <w:pPr>
              <w:rPr>
                <w:rFonts w:cs="Arial"/>
                <w:color w:val="000000"/>
                <w:sz w:val="18"/>
                <w:szCs w:val="18"/>
                <w:lang w:eastAsia="en-GB"/>
              </w:rPr>
            </w:pPr>
            <w:proofErr w:type="spellStart"/>
            <w:r w:rsidRPr="00CC27E1">
              <w:rPr>
                <w:rFonts w:cs="Arial"/>
                <w:color w:val="000000"/>
                <w:sz w:val="18"/>
                <w:szCs w:val="18"/>
                <w:lang w:eastAsia="en-GB"/>
              </w:rPr>
              <w:t>EdF</w:t>
            </w:r>
            <w:proofErr w:type="spellEnd"/>
            <w:r w:rsidRPr="00CC27E1">
              <w:rPr>
                <w:rFonts w:cs="Arial"/>
                <w:color w:val="000000"/>
                <w:sz w:val="18"/>
                <w:szCs w:val="18"/>
                <w:lang w:eastAsia="en-GB"/>
              </w:rPr>
              <w:t xml:space="preserve"> R&amp;D,  Extreme air temperatures at Sizewell C</w:t>
            </w:r>
          </w:p>
        </w:tc>
        <w:tc>
          <w:tcPr>
            <w:tcW w:w="993" w:type="dxa"/>
            <w:tcBorders>
              <w:top w:val="nil"/>
              <w:left w:val="nil"/>
              <w:bottom w:val="single" w:sz="4" w:space="0" w:color="auto"/>
              <w:right w:val="single" w:sz="4" w:space="0" w:color="auto"/>
            </w:tcBorders>
            <w:shd w:val="clear" w:color="auto" w:fill="auto"/>
            <w:vAlign w:val="center"/>
            <w:hideMark/>
          </w:tcPr>
          <w:p w:rsidR="005219E7" w:rsidRPr="00CC27E1" w:rsidRDefault="00CC27E1" w:rsidP="00F90520">
            <w:pPr>
              <w:jc w:val="center"/>
              <w:rPr>
                <w:rFonts w:cs="Arial"/>
                <w:color w:val="000000"/>
                <w:sz w:val="18"/>
                <w:szCs w:val="18"/>
                <w:lang w:eastAsia="en-GB"/>
              </w:rPr>
            </w:pPr>
            <w:r w:rsidRPr="00CC27E1">
              <w:rPr>
                <w:rFonts w:cs="Arial"/>
                <w:color w:val="000000"/>
                <w:sz w:val="18"/>
                <w:szCs w:val="18"/>
                <w:lang w:eastAsia="en-GB"/>
              </w:rPr>
              <w:t>75</w:t>
            </w:r>
          </w:p>
        </w:tc>
      </w:tr>
      <w:tr w:rsidR="005219E7" w:rsidRPr="00C1032E" w:rsidTr="005219E7">
        <w:trPr>
          <w:trHeight w:val="293"/>
        </w:trPr>
        <w:tc>
          <w:tcPr>
            <w:tcW w:w="992" w:type="dxa"/>
            <w:tcBorders>
              <w:top w:val="nil"/>
              <w:left w:val="single" w:sz="4" w:space="0" w:color="auto"/>
              <w:bottom w:val="single" w:sz="4" w:space="0" w:color="auto"/>
              <w:right w:val="single" w:sz="4" w:space="0" w:color="auto"/>
            </w:tcBorders>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t>31</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SDSR</w:t>
            </w:r>
          </w:p>
        </w:tc>
        <w:tc>
          <w:tcPr>
            <w:tcW w:w="6804" w:type="dxa"/>
            <w:tcBorders>
              <w:top w:val="nil"/>
              <w:left w:val="nil"/>
              <w:bottom w:val="single" w:sz="4" w:space="0" w:color="auto"/>
              <w:right w:val="single" w:sz="4" w:space="0" w:color="auto"/>
            </w:tcBorders>
            <w:shd w:val="clear" w:color="auto" w:fill="auto"/>
            <w:vAlign w:val="center"/>
            <w:hideMark/>
          </w:tcPr>
          <w:p w:rsidR="005219E7" w:rsidRPr="00CC27E1" w:rsidRDefault="005219E7" w:rsidP="00F90520">
            <w:pPr>
              <w:rPr>
                <w:rFonts w:cs="Arial"/>
                <w:color w:val="000000"/>
                <w:sz w:val="18"/>
                <w:szCs w:val="18"/>
                <w:lang w:eastAsia="en-GB"/>
              </w:rPr>
            </w:pPr>
            <w:r w:rsidRPr="00CC27E1">
              <w:rPr>
                <w:rFonts w:cs="Arial"/>
                <w:color w:val="000000"/>
                <w:sz w:val="18"/>
                <w:szCs w:val="18"/>
                <w:lang w:eastAsia="en-GB"/>
              </w:rPr>
              <w:t>Advanced heatwave profile for SZC</w:t>
            </w:r>
          </w:p>
        </w:tc>
        <w:tc>
          <w:tcPr>
            <w:tcW w:w="993" w:type="dxa"/>
            <w:tcBorders>
              <w:top w:val="nil"/>
              <w:left w:val="nil"/>
              <w:bottom w:val="single" w:sz="4" w:space="0" w:color="auto"/>
              <w:right w:val="single" w:sz="4" w:space="0" w:color="auto"/>
            </w:tcBorders>
            <w:shd w:val="clear" w:color="auto" w:fill="auto"/>
            <w:vAlign w:val="center"/>
            <w:hideMark/>
          </w:tcPr>
          <w:p w:rsidR="005219E7" w:rsidRPr="00CC27E1" w:rsidRDefault="00CC27E1" w:rsidP="00F90520">
            <w:pPr>
              <w:jc w:val="center"/>
              <w:rPr>
                <w:rFonts w:cs="Arial"/>
                <w:color w:val="000000"/>
                <w:sz w:val="18"/>
                <w:szCs w:val="18"/>
                <w:lang w:eastAsia="en-GB"/>
              </w:rPr>
            </w:pPr>
            <w:r w:rsidRPr="00CC27E1">
              <w:rPr>
                <w:rFonts w:cs="Arial"/>
                <w:color w:val="000000"/>
                <w:sz w:val="18"/>
                <w:szCs w:val="18"/>
                <w:lang w:eastAsia="en-GB"/>
              </w:rPr>
              <w:t>25</w:t>
            </w:r>
          </w:p>
        </w:tc>
      </w:tr>
      <w:tr w:rsidR="005219E7" w:rsidRPr="00C1032E" w:rsidTr="00CC27E1">
        <w:trPr>
          <w:trHeight w:val="339"/>
        </w:trPr>
        <w:tc>
          <w:tcPr>
            <w:tcW w:w="992"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t>32</w:t>
            </w:r>
          </w:p>
        </w:tc>
        <w:tc>
          <w:tcPr>
            <w:tcW w:w="85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SDSR</w:t>
            </w:r>
          </w:p>
        </w:tc>
        <w:tc>
          <w:tcPr>
            <w:tcW w:w="6804" w:type="dxa"/>
            <w:tcBorders>
              <w:top w:val="nil"/>
              <w:left w:val="nil"/>
              <w:bottom w:val="single" w:sz="4" w:space="0" w:color="auto"/>
              <w:right w:val="single" w:sz="4" w:space="0" w:color="auto"/>
            </w:tcBorders>
            <w:shd w:val="clear" w:color="auto" w:fill="D9D9D9" w:themeFill="background1" w:themeFillShade="D9"/>
            <w:vAlign w:val="center"/>
            <w:hideMark/>
          </w:tcPr>
          <w:p w:rsidR="005219E7" w:rsidRPr="00CC27E1" w:rsidRDefault="005219E7" w:rsidP="00F90520">
            <w:pPr>
              <w:rPr>
                <w:rFonts w:cs="Arial"/>
                <w:color w:val="000000"/>
                <w:sz w:val="18"/>
                <w:szCs w:val="18"/>
                <w:lang w:eastAsia="en-GB"/>
              </w:rPr>
            </w:pPr>
            <w:r w:rsidRPr="00CC27E1">
              <w:rPr>
                <w:rFonts w:cs="Arial"/>
                <w:color w:val="000000"/>
                <w:sz w:val="18"/>
                <w:szCs w:val="18"/>
                <w:lang w:eastAsia="en-GB"/>
              </w:rPr>
              <w:t>Justification of Extreme High (Air) Temperature Design Basis Value at Sizewell C</w:t>
            </w:r>
          </w:p>
        </w:tc>
        <w:tc>
          <w:tcPr>
            <w:tcW w:w="993" w:type="dxa"/>
            <w:tcBorders>
              <w:top w:val="nil"/>
              <w:left w:val="nil"/>
              <w:bottom w:val="single" w:sz="4" w:space="0" w:color="auto"/>
              <w:right w:val="single" w:sz="4" w:space="0" w:color="auto"/>
            </w:tcBorders>
            <w:shd w:val="clear" w:color="auto" w:fill="D9D9D9" w:themeFill="background1" w:themeFillShade="D9"/>
            <w:vAlign w:val="center"/>
            <w:hideMark/>
          </w:tcPr>
          <w:p w:rsidR="005219E7" w:rsidRPr="00CC27E1" w:rsidRDefault="00507AEA" w:rsidP="00F90520">
            <w:pPr>
              <w:jc w:val="center"/>
              <w:rPr>
                <w:rFonts w:cs="Arial"/>
                <w:i/>
                <w:color w:val="000000"/>
                <w:sz w:val="18"/>
                <w:szCs w:val="18"/>
                <w:lang w:eastAsia="en-GB"/>
              </w:rPr>
            </w:pPr>
            <w:r>
              <w:rPr>
                <w:rFonts w:cs="Arial"/>
                <w:i/>
                <w:color w:val="000000"/>
                <w:sz w:val="18"/>
                <w:szCs w:val="18"/>
                <w:lang w:eastAsia="en-GB"/>
              </w:rPr>
              <w:t>10</w:t>
            </w:r>
            <w:r w:rsidR="00220406">
              <w:rPr>
                <w:rFonts w:cs="Arial"/>
                <w:i/>
                <w:color w:val="000000"/>
                <w:sz w:val="18"/>
                <w:szCs w:val="18"/>
                <w:lang w:eastAsia="en-GB"/>
              </w:rPr>
              <w:t>0</w:t>
            </w:r>
          </w:p>
        </w:tc>
      </w:tr>
      <w:tr w:rsidR="005219E7" w:rsidRPr="00C1032E" w:rsidTr="00CC27E1">
        <w:trPr>
          <w:trHeight w:val="293"/>
        </w:trPr>
        <w:tc>
          <w:tcPr>
            <w:tcW w:w="992"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219E7" w:rsidRPr="00CC27E1" w:rsidRDefault="005219E7" w:rsidP="005219E7">
            <w:pPr>
              <w:jc w:val="center"/>
              <w:rPr>
                <w:rFonts w:ascii="Calibri" w:hAnsi="Calibri"/>
                <w:color w:val="000000"/>
                <w:lang w:eastAsia="en-GB"/>
              </w:rPr>
            </w:pPr>
            <w:r w:rsidRPr="00CC27E1">
              <w:rPr>
                <w:rFonts w:ascii="Calibri" w:hAnsi="Calibri"/>
                <w:color w:val="000000"/>
                <w:lang w:eastAsia="en-GB"/>
              </w:rPr>
              <w:t>33</w:t>
            </w:r>
          </w:p>
        </w:tc>
        <w:tc>
          <w:tcPr>
            <w:tcW w:w="85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5219E7" w:rsidRPr="00CC27E1" w:rsidRDefault="005219E7" w:rsidP="00F90520">
            <w:pPr>
              <w:jc w:val="center"/>
              <w:rPr>
                <w:rFonts w:ascii="Calibri" w:hAnsi="Calibri"/>
                <w:color w:val="000000"/>
                <w:lang w:eastAsia="en-GB"/>
              </w:rPr>
            </w:pPr>
            <w:r w:rsidRPr="00CC27E1">
              <w:rPr>
                <w:rFonts w:ascii="Calibri" w:hAnsi="Calibri"/>
                <w:color w:val="000000"/>
                <w:lang w:eastAsia="en-GB"/>
              </w:rPr>
              <w:t>SDSR</w:t>
            </w:r>
          </w:p>
        </w:tc>
        <w:tc>
          <w:tcPr>
            <w:tcW w:w="6804" w:type="dxa"/>
            <w:tcBorders>
              <w:top w:val="nil"/>
              <w:left w:val="nil"/>
              <w:bottom w:val="single" w:sz="4" w:space="0" w:color="auto"/>
              <w:right w:val="single" w:sz="4" w:space="0" w:color="auto"/>
            </w:tcBorders>
            <w:shd w:val="clear" w:color="auto" w:fill="D9D9D9" w:themeFill="background1" w:themeFillShade="D9"/>
            <w:vAlign w:val="center"/>
            <w:hideMark/>
          </w:tcPr>
          <w:p w:rsidR="005219E7" w:rsidRPr="00CC27E1" w:rsidRDefault="005219E7" w:rsidP="00F90520">
            <w:pPr>
              <w:rPr>
                <w:rFonts w:cs="Arial"/>
                <w:color w:val="000000"/>
                <w:sz w:val="18"/>
                <w:szCs w:val="18"/>
                <w:lang w:eastAsia="en-GB"/>
              </w:rPr>
            </w:pPr>
            <w:r w:rsidRPr="00CC27E1">
              <w:rPr>
                <w:rFonts w:cs="Arial"/>
                <w:color w:val="000000"/>
                <w:sz w:val="18"/>
                <w:szCs w:val="18"/>
                <w:lang w:eastAsia="en-GB"/>
              </w:rPr>
              <w:t>Justification of Extreme Heat (Sea Temperature) Design Basis Value at Sizewell C</w:t>
            </w:r>
          </w:p>
        </w:tc>
        <w:tc>
          <w:tcPr>
            <w:tcW w:w="993" w:type="dxa"/>
            <w:tcBorders>
              <w:top w:val="nil"/>
              <w:left w:val="nil"/>
              <w:bottom w:val="single" w:sz="4" w:space="0" w:color="auto"/>
              <w:right w:val="single" w:sz="4" w:space="0" w:color="auto"/>
            </w:tcBorders>
            <w:shd w:val="clear" w:color="auto" w:fill="D9D9D9" w:themeFill="background1" w:themeFillShade="D9"/>
            <w:vAlign w:val="center"/>
            <w:hideMark/>
          </w:tcPr>
          <w:p w:rsidR="005219E7" w:rsidRPr="00CC27E1" w:rsidRDefault="00220406" w:rsidP="00507AEA">
            <w:pPr>
              <w:jc w:val="center"/>
              <w:rPr>
                <w:rFonts w:cs="Arial"/>
                <w:i/>
                <w:color w:val="000000"/>
                <w:sz w:val="18"/>
                <w:szCs w:val="18"/>
                <w:lang w:eastAsia="en-GB"/>
              </w:rPr>
            </w:pPr>
            <w:r>
              <w:rPr>
                <w:rFonts w:cs="Arial"/>
                <w:i/>
                <w:color w:val="000000"/>
                <w:sz w:val="18"/>
                <w:szCs w:val="18"/>
                <w:lang w:eastAsia="en-GB"/>
              </w:rPr>
              <w:t>1</w:t>
            </w:r>
            <w:r w:rsidR="00507AEA">
              <w:rPr>
                <w:rFonts w:cs="Arial"/>
                <w:i/>
                <w:color w:val="000000"/>
                <w:sz w:val="18"/>
                <w:szCs w:val="18"/>
                <w:lang w:eastAsia="en-GB"/>
              </w:rPr>
              <w:t>0</w:t>
            </w:r>
            <w:r>
              <w:rPr>
                <w:rFonts w:cs="Arial"/>
                <w:i/>
                <w:color w:val="000000"/>
                <w:sz w:val="18"/>
                <w:szCs w:val="18"/>
                <w:lang w:eastAsia="en-GB"/>
              </w:rPr>
              <w:t>0</w:t>
            </w:r>
          </w:p>
        </w:tc>
      </w:tr>
    </w:tbl>
    <w:p w:rsidR="003F3015" w:rsidRPr="003F3015" w:rsidRDefault="003F3015" w:rsidP="00457068">
      <w:pPr>
        <w:ind w:left="567" w:hanging="567"/>
        <w:rPr>
          <w:rFonts w:asciiTheme="minorHAnsi" w:hAnsiTheme="minorHAnsi" w:cstheme="minorHAnsi"/>
          <w:b/>
        </w:rPr>
      </w:pPr>
    </w:p>
    <w:sectPr w:rsidR="003F3015" w:rsidRPr="003F3015" w:rsidSect="00F3569C">
      <w:headerReference w:type="default" r:id="rId12"/>
      <w:footerReference w:type="default" r:id="rId13"/>
      <w:headerReference w:type="first" r:id="rId14"/>
      <w:footerReference w:type="first" r:id="rId15"/>
      <w:type w:val="continuous"/>
      <w:pgSz w:w="11906" w:h="16838" w:code="9"/>
      <w:pgMar w:top="709" w:right="720"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DF2" w:rsidRDefault="007B5DF2">
      <w:r>
        <w:separator/>
      </w:r>
    </w:p>
  </w:endnote>
  <w:endnote w:type="continuationSeparator" w:id="0">
    <w:p w:rsidR="007B5DF2" w:rsidRDefault="007B5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DC1" w:rsidRDefault="001E1DC1" w:rsidP="00BC5FC8">
    <w:pPr>
      <w:pStyle w:val="Header"/>
      <w:jc w:val="center"/>
      <w:rPr>
        <w:b/>
        <w:color w:val="006D68"/>
        <w:sz w:val="14"/>
        <w:szCs w:val="14"/>
      </w:rPr>
    </w:pPr>
  </w:p>
  <w:p w:rsidR="001E1DC1" w:rsidRDefault="001E1DC1" w:rsidP="00BC5FC8">
    <w:pPr>
      <w:pStyle w:val="Footer"/>
      <w:tabs>
        <w:tab w:val="clear" w:pos="4153"/>
        <w:tab w:val="clear" w:pos="8306"/>
        <w:tab w:val="right" w:pos="9214"/>
      </w:tabs>
      <w:jc w:val="center"/>
      <w:rPr>
        <w:color w:val="006D68"/>
        <w:sz w:val="14"/>
        <w:szCs w:val="14"/>
      </w:rPr>
    </w:pPr>
  </w:p>
  <w:p w:rsidR="001E1DC1" w:rsidRPr="00487A22" w:rsidRDefault="001E1DC1"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0C51B6">
      <w:rPr>
        <w:b/>
        <w:noProof/>
        <w:color w:val="006D68"/>
        <w:sz w:val="14"/>
        <w:szCs w:val="14"/>
      </w:rPr>
      <w:t>4</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0C51B6">
      <w:rPr>
        <w:b/>
        <w:noProof/>
        <w:color w:val="006D68"/>
        <w:sz w:val="14"/>
        <w:szCs w:val="14"/>
      </w:rPr>
      <w:t>8</w:t>
    </w:r>
    <w:r w:rsidRPr="00487A22">
      <w:rPr>
        <w:b/>
        <w:color w:val="006D68"/>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DC1" w:rsidRDefault="001E1DC1" w:rsidP="00BC5FC8">
    <w:pPr>
      <w:pStyle w:val="Header"/>
      <w:jc w:val="center"/>
      <w:rPr>
        <w:b/>
        <w:color w:val="006D68"/>
        <w:sz w:val="14"/>
        <w:szCs w:val="14"/>
      </w:rPr>
    </w:pPr>
  </w:p>
  <w:p w:rsidR="001E1DC1" w:rsidRDefault="001E1DC1" w:rsidP="00BC5FC8">
    <w:pPr>
      <w:pStyle w:val="Footer"/>
      <w:tabs>
        <w:tab w:val="clear" w:pos="4153"/>
        <w:tab w:val="clear" w:pos="8306"/>
        <w:tab w:val="right" w:pos="9214"/>
      </w:tabs>
      <w:jc w:val="center"/>
      <w:rPr>
        <w:color w:val="006D68"/>
        <w:sz w:val="14"/>
        <w:szCs w:val="14"/>
      </w:rPr>
    </w:pPr>
  </w:p>
  <w:p w:rsidR="001E1DC1" w:rsidRPr="00B56CCE" w:rsidRDefault="001E1DC1" w:rsidP="00B56CCE">
    <w:pPr>
      <w:pStyle w:val="Footer"/>
      <w:tabs>
        <w:tab w:val="clear" w:pos="4153"/>
        <w:tab w:val="clear" w:pos="8306"/>
        <w:tab w:val="right" w:pos="9214"/>
      </w:tabs>
      <w:rPr>
        <w:b/>
        <w:color w:val="006D68"/>
        <w:sz w:val="14"/>
        <w:szCs w:val="14"/>
      </w:rPr>
    </w:pPr>
    <w:r>
      <w:rPr>
        <w:color w:val="006D68"/>
        <w:sz w:val="14"/>
        <w:szCs w:val="14"/>
      </w:rPr>
      <w:t>Template Ref:</w:t>
    </w:r>
    <w:r w:rsidRPr="00B56CCE">
      <w:rPr>
        <w:color w:val="006D68"/>
        <w:sz w:val="14"/>
        <w:szCs w:val="14"/>
      </w:rPr>
      <w:tab/>
    </w:r>
    <w:r w:rsidRPr="00B56CCE">
      <w:rPr>
        <w:b/>
        <w:color w:val="006D68"/>
        <w:sz w:val="14"/>
        <w:szCs w:val="14"/>
      </w:rPr>
      <w:t xml:space="preserve">Page </w:t>
    </w:r>
    <w:r w:rsidRPr="00B56CCE">
      <w:rPr>
        <w:b/>
        <w:color w:val="006D68"/>
        <w:sz w:val="14"/>
        <w:szCs w:val="14"/>
      </w:rPr>
      <w:fldChar w:fldCharType="begin"/>
    </w:r>
    <w:r w:rsidRPr="00B56CCE">
      <w:rPr>
        <w:b/>
        <w:color w:val="006D68"/>
        <w:sz w:val="14"/>
        <w:szCs w:val="14"/>
      </w:rPr>
      <w:instrText xml:space="preserve"> PAGE </w:instrText>
    </w:r>
    <w:r w:rsidRPr="00B56CCE">
      <w:rPr>
        <w:b/>
        <w:color w:val="006D68"/>
        <w:sz w:val="14"/>
        <w:szCs w:val="14"/>
      </w:rPr>
      <w:fldChar w:fldCharType="separate"/>
    </w:r>
    <w:r w:rsidR="000C51B6">
      <w:rPr>
        <w:b/>
        <w:noProof/>
        <w:color w:val="006D68"/>
        <w:sz w:val="14"/>
        <w:szCs w:val="14"/>
      </w:rPr>
      <w:t>1</w:t>
    </w:r>
    <w:r w:rsidRPr="00B56CCE">
      <w:rPr>
        <w:b/>
        <w:color w:val="006D68"/>
        <w:sz w:val="14"/>
        <w:szCs w:val="14"/>
      </w:rPr>
      <w:fldChar w:fldCharType="end"/>
    </w:r>
    <w:r w:rsidRPr="00B56CCE">
      <w:rPr>
        <w:b/>
        <w:color w:val="006D68"/>
        <w:sz w:val="14"/>
        <w:szCs w:val="14"/>
      </w:rPr>
      <w:t xml:space="preserve"> of </w:t>
    </w:r>
    <w:r w:rsidRPr="00B56CCE">
      <w:rPr>
        <w:b/>
        <w:color w:val="006D68"/>
        <w:sz w:val="14"/>
        <w:szCs w:val="14"/>
      </w:rPr>
      <w:fldChar w:fldCharType="begin"/>
    </w:r>
    <w:r w:rsidRPr="00B56CCE">
      <w:rPr>
        <w:b/>
        <w:color w:val="006D68"/>
        <w:sz w:val="14"/>
        <w:szCs w:val="14"/>
      </w:rPr>
      <w:instrText xml:space="preserve"> NUMPAGES </w:instrText>
    </w:r>
    <w:r w:rsidRPr="00B56CCE">
      <w:rPr>
        <w:b/>
        <w:color w:val="006D68"/>
        <w:sz w:val="14"/>
        <w:szCs w:val="14"/>
      </w:rPr>
      <w:fldChar w:fldCharType="separate"/>
    </w:r>
    <w:r w:rsidR="000C51B6">
      <w:rPr>
        <w:b/>
        <w:noProof/>
        <w:color w:val="006D68"/>
        <w:sz w:val="14"/>
        <w:szCs w:val="14"/>
      </w:rPr>
      <w:t>8</w:t>
    </w:r>
    <w:r w:rsidRPr="00B56CCE">
      <w:rPr>
        <w:b/>
        <w:color w:val="006D68"/>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DF2" w:rsidRDefault="007B5DF2">
      <w:r>
        <w:separator/>
      </w:r>
    </w:p>
  </w:footnote>
  <w:footnote w:type="continuationSeparator" w:id="0">
    <w:p w:rsidR="007B5DF2" w:rsidRDefault="007B5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DC1" w:rsidRDefault="001E1DC1">
    <w:pPr>
      <w:pStyle w:val="Header"/>
      <w:rPr>
        <w:b/>
        <w:color w:val="006D68"/>
        <w:sz w:val="14"/>
        <w:szCs w:val="14"/>
      </w:rPr>
    </w:pPr>
    <w:r w:rsidRPr="00487A22">
      <w:rPr>
        <w:color w:val="006D68"/>
        <w:sz w:val="14"/>
        <w:szCs w:val="14"/>
      </w:rPr>
      <w:t>Office for Nuclear Regulation</w:t>
    </w:r>
  </w:p>
  <w:p w:rsidR="001E1DC1" w:rsidRDefault="001E1DC1">
    <w:pPr>
      <w:pStyle w:val="Header"/>
      <w:rPr>
        <w:b/>
        <w:color w:val="006D68"/>
        <w:sz w:val="14"/>
        <w:szCs w:val="14"/>
      </w:rPr>
    </w:pPr>
  </w:p>
  <w:p w:rsidR="001E1DC1" w:rsidRDefault="001E1DC1" w:rsidP="007D545C">
    <w:pPr>
      <w:pStyle w:val="Header"/>
      <w:jc w:val="center"/>
      <w:rPr>
        <w:b/>
        <w:color w:val="006D68"/>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DC1" w:rsidRDefault="001E1DC1" w:rsidP="00457068">
    <w:pPr>
      <w:pStyle w:val="Header"/>
      <w:rPr>
        <w:b/>
        <w:sz w:val="20"/>
        <w:szCs w:val="20"/>
      </w:rPr>
    </w:pPr>
    <w:r>
      <w:rPr>
        <w:b/>
        <w:noProof/>
        <w:sz w:val="20"/>
        <w:szCs w:val="20"/>
        <w:lang w:eastAsia="en-GB"/>
      </w:rPr>
      <w:drawing>
        <wp:inline distT="0" distB="0" distL="0" distR="0" wp14:anchorId="20FA4E38" wp14:editId="3D9774B7">
          <wp:extent cx="2578735" cy="878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p>
  <w:p w:rsidR="001650ED" w:rsidRDefault="001650ED" w:rsidP="00457068">
    <w:pPr>
      <w:pStyle w:val="Header"/>
      <w:jc w:val="right"/>
      <w:rPr>
        <w:b/>
        <w:sz w:val="20"/>
        <w:szCs w:val="20"/>
      </w:rPr>
    </w:pPr>
    <w:r>
      <w:rPr>
        <w:b/>
        <w:sz w:val="20"/>
        <w:szCs w:val="20"/>
      </w:rPr>
      <w:t>Schedule A</w:t>
    </w:r>
  </w:p>
  <w:p w:rsidR="001E1DC1" w:rsidRPr="00C754D7" w:rsidRDefault="001E1DC1" w:rsidP="00457068">
    <w:pPr>
      <w:pStyle w:val="Header"/>
      <w:jc w:val="right"/>
      <w:rPr>
        <w:b/>
        <w:sz w:val="20"/>
        <w:szCs w:val="20"/>
      </w:rPr>
    </w:pPr>
    <w:r>
      <w:rPr>
        <w:b/>
        <w:sz w:val="20"/>
        <w:szCs w:val="20"/>
      </w:rPr>
      <w:t xml:space="preserve">ONR Ref: </w:t>
    </w:r>
    <w:r w:rsidR="00302282">
      <w:rPr>
        <w:b/>
        <w:sz w:val="20"/>
        <w:szCs w:val="20"/>
      </w:rPr>
      <w:t>ONR693</w:t>
    </w:r>
  </w:p>
  <w:p w:rsidR="001E1DC1" w:rsidRPr="00D55197" w:rsidRDefault="001E1DC1" w:rsidP="00CA3B14">
    <w:pPr>
      <w:pStyle w:val="Header"/>
      <w:jc w:val="center"/>
      <w:rPr>
        <w:b/>
        <w:color w:val="006D68"/>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4A5"/>
    <w:multiLevelType w:val="hybridMultilevel"/>
    <w:tmpl w:val="ECCA9B40"/>
    <w:lvl w:ilvl="0" w:tplc="DD7C743A">
      <w:start w:val="1"/>
      <w:numFmt w:val="lowerLetter"/>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15:restartNumberingAfterBreak="0">
    <w:nsid w:val="04723442"/>
    <w:multiLevelType w:val="hybridMultilevel"/>
    <w:tmpl w:val="14C067A0"/>
    <w:lvl w:ilvl="0" w:tplc="08090001">
      <w:start w:val="1"/>
      <w:numFmt w:val="bullet"/>
      <w:lvlText w:val=""/>
      <w:lvlJc w:val="left"/>
      <w:pPr>
        <w:ind w:left="1429" w:hanging="360"/>
      </w:pPr>
      <w:rPr>
        <w:rFonts w:ascii="Symbol" w:hAnsi="Symbol" w:hint="default"/>
      </w:rPr>
    </w:lvl>
    <w:lvl w:ilvl="1" w:tplc="08090001">
      <w:start w:val="1"/>
      <w:numFmt w:val="bullet"/>
      <w:lvlText w:val=""/>
      <w:lvlJc w:val="left"/>
      <w:pPr>
        <w:ind w:left="2149" w:hanging="360"/>
      </w:pPr>
      <w:rPr>
        <w:rFonts w:ascii="Symbol" w:hAnsi="Symbol"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 w15:restartNumberingAfterBreak="0">
    <w:nsid w:val="056E78D7"/>
    <w:multiLevelType w:val="multilevel"/>
    <w:tmpl w:val="F4BC67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86A013E"/>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5F16A6"/>
    <w:multiLevelType w:val="hybridMultilevel"/>
    <w:tmpl w:val="14B02696"/>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5" w15:restartNumberingAfterBreak="0">
    <w:nsid w:val="17677240"/>
    <w:multiLevelType w:val="hybridMultilevel"/>
    <w:tmpl w:val="FE5CBBA8"/>
    <w:lvl w:ilvl="0" w:tplc="FFFFFFFF">
      <w:start w:val="1"/>
      <w:numFmt w:val="bullet"/>
      <w:lvlText w:val=""/>
      <w:lvlJc w:val="left"/>
      <w:pPr>
        <w:ind w:left="1080"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342905"/>
    <w:multiLevelType w:val="hybridMultilevel"/>
    <w:tmpl w:val="C37E6E16"/>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F22F6"/>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10" w15:restartNumberingAfterBreak="0">
    <w:nsid w:val="28F74615"/>
    <w:multiLevelType w:val="hybridMultilevel"/>
    <w:tmpl w:val="8F1242C0"/>
    <w:lvl w:ilvl="0" w:tplc="08090001">
      <w:start w:val="1"/>
      <w:numFmt w:val="bullet"/>
      <w:lvlText w:val=""/>
      <w:lvlJc w:val="left"/>
      <w:pPr>
        <w:ind w:left="1429" w:hanging="360"/>
      </w:pPr>
      <w:rPr>
        <w:rFonts w:ascii="Symbol" w:hAnsi="Symbol" w:hint="default"/>
      </w:rPr>
    </w:lvl>
    <w:lvl w:ilvl="1" w:tplc="08090001">
      <w:start w:val="1"/>
      <w:numFmt w:val="bullet"/>
      <w:lvlText w:val=""/>
      <w:lvlJc w:val="left"/>
      <w:pPr>
        <w:ind w:left="2149" w:hanging="360"/>
      </w:pPr>
      <w:rPr>
        <w:rFonts w:ascii="Symbol" w:hAnsi="Symbol"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1" w15:restartNumberingAfterBreak="0">
    <w:nsid w:val="29706A39"/>
    <w:multiLevelType w:val="multilevel"/>
    <w:tmpl w:val="8C0A06F2"/>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trike w:val="0"/>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2BE351EC"/>
    <w:multiLevelType w:val="hybridMultilevel"/>
    <w:tmpl w:val="98080148"/>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3" w15:restartNumberingAfterBreak="0">
    <w:nsid w:val="2D804B34"/>
    <w:multiLevelType w:val="multilevel"/>
    <w:tmpl w:val="B63A514C"/>
    <w:lvl w:ilvl="0">
      <w:start w:val="1"/>
      <w:numFmt w:val="bullet"/>
      <w:lvlText w:val=""/>
      <w:lvlJc w:val="left"/>
      <w:pPr>
        <w:tabs>
          <w:tab w:val="num" w:pos="924"/>
        </w:tabs>
        <w:ind w:left="924" w:hanging="357"/>
      </w:pPr>
      <w:rPr>
        <w:rFonts w:ascii="Wingdings" w:hAnsi="Wingdings" w:hint="default"/>
        <w:caps w:val="0"/>
        <w:strike w:val="0"/>
        <w:dstrike w:val="0"/>
        <w:vanish w:val="0"/>
        <w:color w:val="5F5F5F"/>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607"/>
        </w:tabs>
        <w:ind w:left="1474" w:hanging="227"/>
      </w:pPr>
      <w:rPr>
        <w:rFonts w:ascii="Symbol" w:hAnsi="Symbol"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4" w15:restartNumberingAfterBreak="0">
    <w:nsid w:val="2F4828D6"/>
    <w:multiLevelType w:val="hybridMultilevel"/>
    <w:tmpl w:val="A088E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B403CB"/>
    <w:multiLevelType w:val="multilevel"/>
    <w:tmpl w:val="B11038BA"/>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6E5F7C"/>
    <w:multiLevelType w:val="multilevel"/>
    <w:tmpl w:val="23BC3426"/>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31680"/>
        </w:tabs>
        <w:ind w:left="720" w:hanging="720"/>
      </w:pPr>
      <w:rPr>
        <w:rFonts w:hint="default"/>
      </w:rPr>
    </w:lvl>
    <w:lvl w:ilvl="2">
      <w:start w:val="1"/>
      <w:numFmt w:val="decimal"/>
      <w:lvlText w:val="%1.%2.%3"/>
      <w:lvlJc w:val="left"/>
      <w:pPr>
        <w:tabs>
          <w:tab w:val="num" w:pos="-31680"/>
        </w:tabs>
        <w:ind w:left="720" w:hanging="720"/>
      </w:pPr>
      <w:rPr>
        <w:rFonts w:hint="default"/>
      </w:rPr>
    </w:lvl>
    <w:lvl w:ilvl="3">
      <w:start w:val="1"/>
      <w:numFmt w:val="decimal"/>
      <w:lvlText w:val="%1.%2.%3.%4"/>
      <w:lvlJc w:val="left"/>
      <w:pPr>
        <w:tabs>
          <w:tab w:val="num" w:pos="-3168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5971C1C"/>
    <w:multiLevelType w:val="hybridMultilevel"/>
    <w:tmpl w:val="42F8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AE5F86"/>
    <w:multiLevelType w:val="hybridMultilevel"/>
    <w:tmpl w:val="BE869862"/>
    <w:lvl w:ilvl="0" w:tplc="0CA46EF4">
      <w:start w:val="1"/>
      <w:numFmt w:val="lowerRoman"/>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19" w15:restartNumberingAfterBreak="0">
    <w:nsid w:val="38CF09A6"/>
    <w:multiLevelType w:val="hybridMultilevel"/>
    <w:tmpl w:val="A034732C"/>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131EFE"/>
    <w:multiLevelType w:val="multilevel"/>
    <w:tmpl w:val="1298B7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lowerRoman"/>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1" w15:restartNumberingAfterBreak="0">
    <w:nsid w:val="42711869"/>
    <w:multiLevelType w:val="hybridMultilevel"/>
    <w:tmpl w:val="4D6C8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6B0550"/>
    <w:multiLevelType w:val="multilevel"/>
    <w:tmpl w:val="5268E89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C91D4A"/>
    <w:multiLevelType w:val="hybridMultilevel"/>
    <w:tmpl w:val="6AE666A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4" w15:restartNumberingAfterBreak="0">
    <w:nsid w:val="4C4F3AB5"/>
    <w:multiLevelType w:val="hybridMultilevel"/>
    <w:tmpl w:val="C5D4E184"/>
    <w:lvl w:ilvl="0" w:tplc="291ECC68">
      <w:start w:val="1"/>
      <w:numFmt w:val="decimal"/>
      <w:lvlText w:val="%1)"/>
      <w:lvlJc w:val="left"/>
      <w:pPr>
        <w:tabs>
          <w:tab w:val="num" w:pos="-31680"/>
        </w:tabs>
        <w:ind w:left="1440" w:hanging="720"/>
      </w:pPr>
      <w:rPr>
        <w:rFonts w:hint="default"/>
        <w:b w:val="0"/>
        <w:i w:val="0"/>
        <w:color w:val="333333"/>
        <w:sz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0331B0"/>
    <w:multiLevelType w:val="multilevel"/>
    <w:tmpl w:val="D3341F8C"/>
    <w:lvl w:ilvl="0">
      <w:start w:val="1"/>
      <w:numFmt w:val="lowerLetter"/>
      <w:lvlText w:val="%1)"/>
      <w:lvlJc w:val="left"/>
      <w:pPr>
        <w:ind w:left="1069" w:hanging="360"/>
      </w:pPr>
    </w:lvl>
    <w:lvl w:ilvl="1">
      <w:start w:val="1"/>
      <w:numFmt w:val="bullet"/>
      <w:lvlText w:val=""/>
      <w:lvlJc w:val="left"/>
      <w:pPr>
        <w:ind w:left="1429" w:hanging="360"/>
      </w:pPr>
      <w:rPr>
        <w:rFonts w:ascii="Symbol" w:hAnsi="Symbol" w:hint="default"/>
      </w:r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26" w15:restartNumberingAfterBreak="0">
    <w:nsid w:val="58F318EB"/>
    <w:multiLevelType w:val="hybridMultilevel"/>
    <w:tmpl w:val="2522CC38"/>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7" w15:restartNumberingAfterBreak="0">
    <w:nsid w:val="5B505AB8"/>
    <w:multiLevelType w:val="multilevel"/>
    <w:tmpl w:val="DE841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1"/>
      <w:lvlText w:val="(%5)"/>
      <w:lvlJc w:val="left"/>
      <w:pPr>
        <w:tabs>
          <w:tab w:val="num" w:pos="-31680"/>
        </w:tabs>
        <w:ind w:left="1440" w:hanging="720"/>
      </w:pPr>
      <w:rPr>
        <w:rFonts w:hint="default"/>
      </w:rPr>
    </w:lvl>
    <w:lvl w:ilvl="5">
      <w:start w:val="1"/>
      <w:numFmt w:val="lowerRoman"/>
      <w:lvlRestart w:val="1"/>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8" w15:restartNumberingAfterBreak="0">
    <w:nsid w:val="5FEC286D"/>
    <w:multiLevelType w:val="hybridMultilevel"/>
    <w:tmpl w:val="317E278E"/>
    <w:lvl w:ilvl="0" w:tplc="08090001">
      <w:start w:val="1"/>
      <w:numFmt w:val="bullet"/>
      <w:lvlText w:val=""/>
      <w:lvlJc w:val="left"/>
      <w:pPr>
        <w:ind w:left="1429" w:hanging="360"/>
      </w:pPr>
      <w:rPr>
        <w:rFonts w:ascii="Symbol" w:hAnsi="Symbol" w:hint="default"/>
      </w:rPr>
    </w:lvl>
    <w:lvl w:ilvl="1" w:tplc="08090001">
      <w:start w:val="1"/>
      <w:numFmt w:val="bullet"/>
      <w:lvlText w:val=""/>
      <w:lvlJc w:val="left"/>
      <w:pPr>
        <w:ind w:left="2149" w:hanging="360"/>
      </w:pPr>
      <w:rPr>
        <w:rFonts w:ascii="Symbol" w:hAnsi="Symbol"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9" w15:restartNumberingAfterBreak="0">
    <w:nsid w:val="683E5632"/>
    <w:multiLevelType w:val="multilevel"/>
    <w:tmpl w:val="4ADE8ED8"/>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97D241D"/>
    <w:multiLevelType w:val="hybridMultilevel"/>
    <w:tmpl w:val="51244720"/>
    <w:lvl w:ilvl="0" w:tplc="FFFFFFFF">
      <w:start w:val="1"/>
      <w:numFmt w:val="bullet"/>
      <w:lvlText w:val=""/>
      <w:lvlJc w:val="left"/>
      <w:pPr>
        <w:ind w:left="142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6E451CAE"/>
    <w:multiLevelType w:val="multilevel"/>
    <w:tmpl w:val="603C67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32" w15:restartNumberingAfterBreak="0">
    <w:nsid w:val="6ED77F93"/>
    <w:multiLevelType w:val="hybridMultilevel"/>
    <w:tmpl w:val="1492722C"/>
    <w:lvl w:ilvl="0" w:tplc="FFFFFFFF">
      <w:start w:val="1"/>
      <w:numFmt w:val="bullet"/>
      <w:lvlText w:val=""/>
      <w:lvlJc w:val="left"/>
      <w:pPr>
        <w:ind w:left="106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3" w15:restartNumberingAfterBreak="0">
    <w:nsid w:val="6FAB4941"/>
    <w:multiLevelType w:val="hybridMultilevel"/>
    <w:tmpl w:val="04E2A804"/>
    <w:lvl w:ilvl="0" w:tplc="08090001">
      <w:start w:val="1"/>
      <w:numFmt w:val="bullet"/>
      <w:lvlText w:val=""/>
      <w:lvlJc w:val="left"/>
      <w:pPr>
        <w:ind w:left="1425" w:hanging="360"/>
      </w:pPr>
      <w:rPr>
        <w:rFonts w:ascii="Symbol" w:hAnsi="Symbol" w:hint="default"/>
      </w:rPr>
    </w:lvl>
    <w:lvl w:ilvl="1" w:tplc="08090001">
      <w:start w:val="1"/>
      <w:numFmt w:val="bullet"/>
      <w:lvlText w:val=""/>
      <w:lvlJc w:val="left"/>
      <w:pPr>
        <w:ind w:left="2145" w:hanging="360"/>
      </w:pPr>
      <w:rPr>
        <w:rFonts w:ascii="Symbol" w:hAnsi="Symbol" w:hint="default"/>
      </w:rPr>
    </w:lvl>
    <w:lvl w:ilvl="2" w:tplc="08090005">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4" w15:restartNumberingAfterBreak="0">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421566"/>
    <w:multiLevelType w:val="hybridMultilevel"/>
    <w:tmpl w:val="1B26CC14"/>
    <w:lvl w:ilvl="0" w:tplc="81DE8800">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6" w15:restartNumberingAfterBreak="0">
    <w:nsid w:val="752C6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52E4177"/>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F57687"/>
    <w:multiLevelType w:val="hybridMultilevel"/>
    <w:tmpl w:val="CD749360"/>
    <w:lvl w:ilvl="0" w:tplc="08090001">
      <w:start w:val="1"/>
      <w:numFmt w:val="bullet"/>
      <w:lvlText w:val=""/>
      <w:lvlJc w:val="left"/>
      <w:pPr>
        <w:ind w:left="1429" w:hanging="360"/>
      </w:pPr>
      <w:rPr>
        <w:rFonts w:ascii="Symbol" w:hAnsi="Symbol" w:hint="default"/>
      </w:rPr>
    </w:lvl>
    <w:lvl w:ilvl="1" w:tplc="CDDAD3C6">
      <w:start w:val="1"/>
      <w:numFmt w:val="lowerRoman"/>
      <w:lvlText w:val="%2."/>
      <w:lvlJc w:val="left"/>
      <w:pPr>
        <w:ind w:left="2149" w:hanging="360"/>
      </w:p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40" w15:restartNumberingAfterBreak="0">
    <w:nsid w:val="7ADF2115"/>
    <w:multiLevelType w:val="hybridMultilevel"/>
    <w:tmpl w:val="75E44B8E"/>
    <w:lvl w:ilvl="0" w:tplc="7EAE61D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8"/>
  </w:num>
  <w:num w:numId="3">
    <w:abstractNumId w:val="20"/>
  </w:num>
  <w:num w:numId="4">
    <w:abstractNumId w:val="0"/>
  </w:num>
  <w:num w:numId="5">
    <w:abstractNumId w:val="18"/>
  </w:num>
  <w:num w:numId="6">
    <w:abstractNumId w:val="36"/>
  </w:num>
  <w:num w:numId="7">
    <w:abstractNumId w:val="31"/>
  </w:num>
  <w:num w:numId="8">
    <w:abstractNumId w:val="27"/>
  </w:num>
  <w:num w:numId="9">
    <w:abstractNumId w:val="37"/>
  </w:num>
  <w:num w:numId="10">
    <w:abstractNumId w:val="3"/>
  </w:num>
  <w:num w:numId="11">
    <w:abstractNumId w:val="7"/>
  </w:num>
  <w:num w:numId="12">
    <w:abstractNumId w:val="11"/>
  </w:num>
  <w:num w:numId="13">
    <w:abstractNumId w:val="2"/>
  </w:num>
  <w:num w:numId="14">
    <w:abstractNumId w:val="29"/>
  </w:num>
  <w:num w:numId="15">
    <w:abstractNumId w:val="16"/>
  </w:num>
  <w:num w:numId="16">
    <w:abstractNumId w:val="34"/>
  </w:num>
  <w:num w:numId="17">
    <w:abstractNumId w:val="8"/>
  </w:num>
  <w:num w:numId="18">
    <w:abstractNumId w:val="22"/>
  </w:num>
  <w:num w:numId="19">
    <w:abstractNumId w:val="19"/>
  </w:num>
  <w:num w:numId="20">
    <w:abstractNumId w:val="4"/>
  </w:num>
  <w:num w:numId="21">
    <w:abstractNumId w:val="35"/>
  </w:num>
  <w:num w:numId="22">
    <w:abstractNumId w:val="5"/>
  </w:num>
  <w:num w:numId="23">
    <w:abstractNumId w:val="30"/>
  </w:num>
  <w:num w:numId="24">
    <w:abstractNumId w:val="32"/>
  </w:num>
  <w:num w:numId="25">
    <w:abstractNumId w:val="17"/>
  </w:num>
  <w:num w:numId="26">
    <w:abstractNumId w:val="6"/>
  </w:num>
  <w:num w:numId="27">
    <w:abstractNumId w:val="13"/>
  </w:num>
  <w:num w:numId="28">
    <w:abstractNumId w:val="33"/>
  </w:num>
  <w:num w:numId="29">
    <w:abstractNumId w:val="25"/>
  </w:num>
  <w:num w:numId="30">
    <w:abstractNumId w:val="34"/>
  </w:num>
  <w:num w:numId="31">
    <w:abstractNumId w:val="11"/>
  </w:num>
  <w:num w:numId="32">
    <w:abstractNumId w:val="24"/>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
  </w:num>
  <w:num w:numId="36">
    <w:abstractNumId w:val="23"/>
  </w:num>
  <w:num w:numId="37">
    <w:abstractNumId w:val="39"/>
    <w:lvlOverride w:ilvl="0"/>
    <w:lvlOverride w:ilvl="1">
      <w:startOverride w:val="1"/>
    </w:lvlOverride>
    <w:lvlOverride w:ilvl="2"/>
    <w:lvlOverride w:ilvl="3"/>
    <w:lvlOverride w:ilvl="4"/>
    <w:lvlOverride w:ilvl="5"/>
    <w:lvlOverride w:ilvl="6"/>
    <w:lvlOverride w:ilvl="7"/>
    <w:lvlOverride w:ilvl="8"/>
  </w:num>
  <w:num w:numId="38">
    <w:abstractNumId w:val="26"/>
  </w:num>
  <w:num w:numId="39">
    <w:abstractNumId w:val="28"/>
  </w:num>
  <w:num w:numId="40">
    <w:abstractNumId w:val="10"/>
  </w:num>
  <w:num w:numId="41">
    <w:abstractNumId w:val="40"/>
  </w:num>
  <w:num w:numId="42">
    <w:abstractNumId w:val="21"/>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2"/>
    <w:rsid w:val="0000192B"/>
    <w:rsid w:val="00017C84"/>
    <w:rsid w:val="0002176A"/>
    <w:rsid w:val="0002660A"/>
    <w:rsid w:val="00030D3C"/>
    <w:rsid w:val="000312D3"/>
    <w:rsid w:val="00035498"/>
    <w:rsid w:val="000357AC"/>
    <w:rsid w:val="000375D1"/>
    <w:rsid w:val="00052E66"/>
    <w:rsid w:val="000715BD"/>
    <w:rsid w:val="00073F89"/>
    <w:rsid w:val="00096F71"/>
    <w:rsid w:val="000B1830"/>
    <w:rsid w:val="000B4E40"/>
    <w:rsid w:val="000B5745"/>
    <w:rsid w:val="000B742F"/>
    <w:rsid w:val="000C051E"/>
    <w:rsid w:val="000C34C4"/>
    <w:rsid w:val="000C51B6"/>
    <w:rsid w:val="000D6244"/>
    <w:rsid w:val="000E4DEA"/>
    <w:rsid w:val="000F16AB"/>
    <w:rsid w:val="000F228B"/>
    <w:rsid w:val="00111FA8"/>
    <w:rsid w:val="00121C8F"/>
    <w:rsid w:val="00131ECC"/>
    <w:rsid w:val="00144105"/>
    <w:rsid w:val="00144CEA"/>
    <w:rsid w:val="00151B6D"/>
    <w:rsid w:val="00164F4F"/>
    <w:rsid w:val="001650ED"/>
    <w:rsid w:val="001668E2"/>
    <w:rsid w:val="00175E94"/>
    <w:rsid w:val="00191F44"/>
    <w:rsid w:val="00193C9A"/>
    <w:rsid w:val="00195787"/>
    <w:rsid w:val="001A4821"/>
    <w:rsid w:val="001A58B1"/>
    <w:rsid w:val="001C02F1"/>
    <w:rsid w:val="001C3DB8"/>
    <w:rsid w:val="001C7F07"/>
    <w:rsid w:val="001D78A1"/>
    <w:rsid w:val="001E1DC1"/>
    <w:rsid w:val="001F39EF"/>
    <w:rsid w:val="00200CB7"/>
    <w:rsid w:val="0021074A"/>
    <w:rsid w:val="00216018"/>
    <w:rsid w:val="00217738"/>
    <w:rsid w:val="00220406"/>
    <w:rsid w:val="00220E16"/>
    <w:rsid w:val="002303EF"/>
    <w:rsid w:val="00245398"/>
    <w:rsid w:val="00266484"/>
    <w:rsid w:val="00270CAD"/>
    <w:rsid w:val="0028011F"/>
    <w:rsid w:val="0028356A"/>
    <w:rsid w:val="0029017D"/>
    <w:rsid w:val="00297401"/>
    <w:rsid w:val="00297507"/>
    <w:rsid w:val="002C62C2"/>
    <w:rsid w:val="002E3478"/>
    <w:rsid w:val="002F0498"/>
    <w:rsid w:val="00302282"/>
    <w:rsid w:val="00306D25"/>
    <w:rsid w:val="0031706E"/>
    <w:rsid w:val="00342D38"/>
    <w:rsid w:val="00346D74"/>
    <w:rsid w:val="00362965"/>
    <w:rsid w:val="003A76CD"/>
    <w:rsid w:val="003B4AA2"/>
    <w:rsid w:val="003C203C"/>
    <w:rsid w:val="003D005E"/>
    <w:rsid w:val="003E1756"/>
    <w:rsid w:val="003E2CA6"/>
    <w:rsid w:val="003E452E"/>
    <w:rsid w:val="003F3015"/>
    <w:rsid w:val="003F327F"/>
    <w:rsid w:val="003F72D7"/>
    <w:rsid w:val="004105D9"/>
    <w:rsid w:val="00414300"/>
    <w:rsid w:val="004364E5"/>
    <w:rsid w:val="00457068"/>
    <w:rsid w:val="004750A2"/>
    <w:rsid w:val="0047606A"/>
    <w:rsid w:val="00487A22"/>
    <w:rsid w:val="00493E2E"/>
    <w:rsid w:val="004977F9"/>
    <w:rsid w:val="004A1FD5"/>
    <w:rsid w:val="004A7B1B"/>
    <w:rsid w:val="004D2AAF"/>
    <w:rsid w:val="004E03CD"/>
    <w:rsid w:val="004F24BC"/>
    <w:rsid w:val="004F543C"/>
    <w:rsid w:val="004F67ED"/>
    <w:rsid w:val="00502FE0"/>
    <w:rsid w:val="00504B02"/>
    <w:rsid w:val="00505F6E"/>
    <w:rsid w:val="005073E3"/>
    <w:rsid w:val="00507AEA"/>
    <w:rsid w:val="005200A2"/>
    <w:rsid w:val="005219E7"/>
    <w:rsid w:val="005322E6"/>
    <w:rsid w:val="0055467A"/>
    <w:rsid w:val="005556C6"/>
    <w:rsid w:val="00562F2F"/>
    <w:rsid w:val="0056557D"/>
    <w:rsid w:val="00585AEF"/>
    <w:rsid w:val="005A1570"/>
    <w:rsid w:val="005A1737"/>
    <w:rsid w:val="005A5A87"/>
    <w:rsid w:val="005A61D5"/>
    <w:rsid w:val="005D6478"/>
    <w:rsid w:val="005F0722"/>
    <w:rsid w:val="00604F23"/>
    <w:rsid w:val="00605AEE"/>
    <w:rsid w:val="00622497"/>
    <w:rsid w:val="00661F55"/>
    <w:rsid w:val="006A4DD0"/>
    <w:rsid w:val="006A667F"/>
    <w:rsid w:val="006B2DA6"/>
    <w:rsid w:val="006B3C42"/>
    <w:rsid w:val="006C519A"/>
    <w:rsid w:val="006D5C23"/>
    <w:rsid w:val="006E13EB"/>
    <w:rsid w:val="006F1199"/>
    <w:rsid w:val="006F5420"/>
    <w:rsid w:val="00710B26"/>
    <w:rsid w:val="00715C62"/>
    <w:rsid w:val="0072164C"/>
    <w:rsid w:val="0072461C"/>
    <w:rsid w:val="007306EE"/>
    <w:rsid w:val="00750D72"/>
    <w:rsid w:val="00760678"/>
    <w:rsid w:val="007B32A1"/>
    <w:rsid w:val="007B4EE0"/>
    <w:rsid w:val="007B5DF2"/>
    <w:rsid w:val="007C096F"/>
    <w:rsid w:val="007C55D1"/>
    <w:rsid w:val="007D545C"/>
    <w:rsid w:val="007E47EC"/>
    <w:rsid w:val="007F7246"/>
    <w:rsid w:val="008011D9"/>
    <w:rsid w:val="008268DB"/>
    <w:rsid w:val="008318B5"/>
    <w:rsid w:val="00842FD6"/>
    <w:rsid w:val="00846469"/>
    <w:rsid w:val="00863CDC"/>
    <w:rsid w:val="008701E6"/>
    <w:rsid w:val="0087569D"/>
    <w:rsid w:val="00891423"/>
    <w:rsid w:val="0089558D"/>
    <w:rsid w:val="008A7BDD"/>
    <w:rsid w:val="008D71E9"/>
    <w:rsid w:val="008E67CB"/>
    <w:rsid w:val="008F7E78"/>
    <w:rsid w:val="009046D0"/>
    <w:rsid w:val="00906363"/>
    <w:rsid w:val="0091041C"/>
    <w:rsid w:val="009277FD"/>
    <w:rsid w:val="00932851"/>
    <w:rsid w:val="00957247"/>
    <w:rsid w:val="009678DE"/>
    <w:rsid w:val="00971BA8"/>
    <w:rsid w:val="009765DB"/>
    <w:rsid w:val="0098270E"/>
    <w:rsid w:val="00984E0E"/>
    <w:rsid w:val="00987AA6"/>
    <w:rsid w:val="0099010D"/>
    <w:rsid w:val="009962B1"/>
    <w:rsid w:val="009B4558"/>
    <w:rsid w:val="009B5159"/>
    <w:rsid w:val="009C368E"/>
    <w:rsid w:val="009C5AA7"/>
    <w:rsid w:val="009C7421"/>
    <w:rsid w:val="009D3CD0"/>
    <w:rsid w:val="009D78C9"/>
    <w:rsid w:val="009D7FE9"/>
    <w:rsid w:val="009F1B6F"/>
    <w:rsid w:val="009F44F5"/>
    <w:rsid w:val="00A243D3"/>
    <w:rsid w:val="00A25EB0"/>
    <w:rsid w:val="00A30137"/>
    <w:rsid w:val="00A33DFD"/>
    <w:rsid w:val="00A34EC3"/>
    <w:rsid w:val="00A4035E"/>
    <w:rsid w:val="00A41FDA"/>
    <w:rsid w:val="00A442D1"/>
    <w:rsid w:val="00A501D3"/>
    <w:rsid w:val="00A53904"/>
    <w:rsid w:val="00A573E9"/>
    <w:rsid w:val="00A83513"/>
    <w:rsid w:val="00A92F7C"/>
    <w:rsid w:val="00AA1823"/>
    <w:rsid w:val="00AA6449"/>
    <w:rsid w:val="00AA656E"/>
    <w:rsid w:val="00AB2865"/>
    <w:rsid w:val="00AB2BB0"/>
    <w:rsid w:val="00AB5542"/>
    <w:rsid w:val="00AB7147"/>
    <w:rsid w:val="00AD24B0"/>
    <w:rsid w:val="00AD5635"/>
    <w:rsid w:val="00AD65F2"/>
    <w:rsid w:val="00AE199F"/>
    <w:rsid w:val="00AF4C0F"/>
    <w:rsid w:val="00B10AF5"/>
    <w:rsid w:val="00B1586D"/>
    <w:rsid w:val="00B21C38"/>
    <w:rsid w:val="00B255B3"/>
    <w:rsid w:val="00B41E08"/>
    <w:rsid w:val="00B43C54"/>
    <w:rsid w:val="00B504F7"/>
    <w:rsid w:val="00B54BDA"/>
    <w:rsid w:val="00B56CCE"/>
    <w:rsid w:val="00B64107"/>
    <w:rsid w:val="00B7223F"/>
    <w:rsid w:val="00B7566D"/>
    <w:rsid w:val="00B775BC"/>
    <w:rsid w:val="00B80861"/>
    <w:rsid w:val="00B81B18"/>
    <w:rsid w:val="00B862B0"/>
    <w:rsid w:val="00BA23AF"/>
    <w:rsid w:val="00BA5CAC"/>
    <w:rsid w:val="00BB6E13"/>
    <w:rsid w:val="00BC24ED"/>
    <w:rsid w:val="00BC5FC8"/>
    <w:rsid w:val="00BD2684"/>
    <w:rsid w:val="00BE2C42"/>
    <w:rsid w:val="00C040F5"/>
    <w:rsid w:val="00C04620"/>
    <w:rsid w:val="00C066F0"/>
    <w:rsid w:val="00C11908"/>
    <w:rsid w:val="00C25583"/>
    <w:rsid w:val="00C62335"/>
    <w:rsid w:val="00C75298"/>
    <w:rsid w:val="00C75A1C"/>
    <w:rsid w:val="00C9494A"/>
    <w:rsid w:val="00CA3B14"/>
    <w:rsid w:val="00CC27E1"/>
    <w:rsid w:val="00CD7B5F"/>
    <w:rsid w:val="00CE200D"/>
    <w:rsid w:val="00CE3E85"/>
    <w:rsid w:val="00CE5958"/>
    <w:rsid w:val="00CE6571"/>
    <w:rsid w:val="00D064F5"/>
    <w:rsid w:val="00D2116D"/>
    <w:rsid w:val="00D3061A"/>
    <w:rsid w:val="00D55197"/>
    <w:rsid w:val="00D55FE7"/>
    <w:rsid w:val="00D56F1C"/>
    <w:rsid w:val="00D578A7"/>
    <w:rsid w:val="00D7394E"/>
    <w:rsid w:val="00D75DA2"/>
    <w:rsid w:val="00D7747E"/>
    <w:rsid w:val="00D831F3"/>
    <w:rsid w:val="00D93913"/>
    <w:rsid w:val="00DB7CB4"/>
    <w:rsid w:val="00DC6611"/>
    <w:rsid w:val="00DD42C7"/>
    <w:rsid w:val="00DD56EA"/>
    <w:rsid w:val="00DE371B"/>
    <w:rsid w:val="00DE4417"/>
    <w:rsid w:val="00DF3697"/>
    <w:rsid w:val="00E123B7"/>
    <w:rsid w:val="00E12A39"/>
    <w:rsid w:val="00E32F3B"/>
    <w:rsid w:val="00E41FC9"/>
    <w:rsid w:val="00E50768"/>
    <w:rsid w:val="00E60700"/>
    <w:rsid w:val="00E71B0C"/>
    <w:rsid w:val="00E87C8C"/>
    <w:rsid w:val="00E9478E"/>
    <w:rsid w:val="00E97293"/>
    <w:rsid w:val="00EA0720"/>
    <w:rsid w:val="00EA5EB4"/>
    <w:rsid w:val="00EB3FA1"/>
    <w:rsid w:val="00EC0B9C"/>
    <w:rsid w:val="00ED4FC9"/>
    <w:rsid w:val="00ED5F2B"/>
    <w:rsid w:val="00EE1A5F"/>
    <w:rsid w:val="00EF3CAE"/>
    <w:rsid w:val="00F07209"/>
    <w:rsid w:val="00F14D56"/>
    <w:rsid w:val="00F2181B"/>
    <w:rsid w:val="00F3569C"/>
    <w:rsid w:val="00F429E7"/>
    <w:rsid w:val="00F4624E"/>
    <w:rsid w:val="00F47CE4"/>
    <w:rsid w:val="00F55DB2"/>
    <w:rsid w:val="00F8426B"/>
    <w:rsid w:val="00F86DB0"/>
    <w:rsid w:val="00F86E78"/>
    <w:rsid w:val="00F90520"/>
    <w:rsid w:val="00F96874"/>
    <w:rsid w:val="00FC15EF"/>
    <w:rsid w:val="00FC6CD3"/>
    <w:rsid w:val="00FD0C4A"/>
    <w:rsid w:val="00FF1AFB"/>
    <w:rsid w:val="00FF3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B64D40"/>
  <w15:docId w15:val="{528920E7-F7EB-448C-8EAC-D394C3D11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 w:type="character" w:styleId="FollowedHyperlink">
    <w:name w:val="FollowedHyperlink"/>
    <w:basedOn w:val="DefaultParagraphFont"/>
    <w:rsid w:val="00E60700"/>
    <w:rPr>
      <w:color w:val="954F72" w:themeColor="followedHyperlink"/>
      <w:u w:val="single"/>
    </w:rPr>
  </w:style>
  <w:style w:type="paragraph" w:styleId="Revision">
    <w:name w:val="Revision"/>
    <w:hidden/>
    <w:uiPriority w:val="99"/>
    <w:semiHidden/>
    <w:rsid w:val="00B21C38"/>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293411077">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1177959521">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402484210">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 w:id="1701936718">
      <w:bodyDiv w:val="1"/>
      <w:marLeft w:val="0"/>
      <w:marRight w:val="0"/>
      <w:marTop w:val="0"/>
      <w:marBottom w:val="0"/>
      <w:divBdr>
        <w:top w:val="none" w:sz="0" w:space="0" w:color="auto"/>
        <w:left w:val="none" w:sz="0" w:space="0" w:color="auto"/>
        <w:bottom w:val="none" w:sz="0" w:space="0" w:color="auto"/>
        <w:right w:val="none" w:sz="0" w:space="0" w:color="auto"/>
      </w:divBdr>
    </w:div>
    <w:div w:id="1949045693">
      <w:bodyDiv w:val="1"/>
      <w:marLeft w:val="0"/>
      <w:marRight w:val="0"/>
      <w:marTop w:val="0"/>
      <w:marBottom w:val="0"/>
      <w:divBdr>
        <w:top w:val="none" w:sz="0" w:space="0" w:color="auto"/>
        <w:left w:val="none" w:sz="0" w:space="0" w:color="auto"/>
        <w:bottom w:val="none" w:sz="0" w:space="0" w:color="auto"/>
        <w:right w:val="none" w:sz="0" w:space="0" w:color="auto"/>
      </w:divBdr>
    </w:div>
    <w:div w:id="1997370893">
      <w:bodyDiv w:val="1"/>
      <w:marLeft w:val="0"/>
      <w:marRight w:val="0"/>
      <w:marTop w:val="0"/>
      <w:marBottom w:val="0"/>
      <w:divBdr>
        <w:top w:val="none" w:sz="0" w:space="0" w:color="auto"/>
        <w:left w:val="none" w:sz="0" w:space="0" w:color="auto"/>
        <w:bottom w:val="none" w:sz="0" w:space="0" w:color="auto"/>
        <w:right w:val="none" w:sz="0" w:space="0" w:color="auto"/>
      </w:divBdr>
    </w:div>
    <w:div w:id="212122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onr.org.uk/saps/saps2014.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onr.org.uk/operational/tech_asst_guides/ns-tast-gd-013.htm" TargetMode="External"/><Relationship Id="rId4" Type="http://schemas.openxmlformats.org/officeDocument/2006/relationships/styles" Target="styles.xml"/><Relationship Id="rId9" Type="http://schemas.openxmlformats.org/officeDocument/2006/relationships/hyperlink" Target="http://www.onr.org.uk/licensing-nuclear-installations.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9B33E-D945-4D19-9B8B-B87C966C8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3501</Words>
  <Characters>19261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22717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Val Mabbott</cp:lastModifiedBy>
  <cp:revision>3</cp:revision>
  <cp:lastPrinted>2018-10-29T09:55:00Z</cp:lastPrinted>
  <dcterms:created xsi:type="dcterms:W3CDTF">2020-12-31T11:37:00Z</dcterms:created>
  <dcterms:modified xsi:type="dcterms:W3CDTF">2020-12-31T11:37:00Z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