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p w14:paraId="49400A4C" w14:textId="5F84DFE7" w:rsidR="00FC6860" w:rsidRPr="00574B16" w:rsidRDefault="00887AE1" w:rsidP="00C71C4F">
      <w:pPr>
        <w:pStyle w:val="Heading1"/>
        <w:rPr>
          <w:rStyle w:val="chrSubTitle"/>
          <w:color w:val="B1173B"/>
        </w:rPr>
      </w:pPr>
      <w:r>
        <w:rPr>
          <w:rStyle w:val="chrSubTitle"/>
          <w:color w:val="B1173B"/>
        </w:rPr>
        <w:t xml:space="preserve">RIS3 </w:t>
      </w:r>
      <w:r w:rsidR="00ED0457">
        <w:rPr>
          <w:rStyle w:val="chrSubTitle"/>
          <w:color w:val="B1173B"/>
        </w:rPr>
        <w:t xml:space="preserve">Renewals Investment Planning </w:t>
      </w:r>
    </w:p>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8-31T00:00:00Z">
          <w:dateFormat w:val="dd MMMM yyyy"/>
          <w:lid w:val="en-GB"/>
          <w:storeMappedDataAs w:val="dateTime"/>
          <w:calendar w:val="gregorian"/>
        </w:date>
      </w:sdtPr>
      <w:sdtEndPr/>
      <w:sdtContent>
        <w:p w14:paraId="38D7D855" w14:textId="391937E7" w:rsidR="00FC6860" w:rsidRDefault="00A8079D" w:rsidP="00C71C4F">
          <w:pPr>
            <w:pStyle w:val="Date"/>
          </w:pPr>
          <w:r>
            <w:rPr>
              <w:bCs/>
            </w:rPr>
            <w:t>31 August 2023</w:t>
          </w:r>
        </w:p>
      </w:sdtContent>
    </w:sdt>
    <w:p w14:paraId="512B2E87" w14:textId="77777777" w:rsidR="003E5612" w:rsidRDefault="003E5612" w:rsidP="003E5612"/>
    <w:p w14:paraId="0B23CADF" w14:textId="64BDDAFD" w:rsidR="003E5612" w:rsidRPr="00574B16" w:rsidRDefault="003E5612" w:rsidP="003E5612">
      <w:pPr>
        <w:pStyle w:val="NormalBulletround"/>
        <w:rPr>
          <w:b/>
          <w:bCs/>
          <w:color w:val="B1173B"/>
        </w:rPr>
      </w:pPr>
      <w:r w:rsidRPr="003E5612">
        <w:rPr>
          <w:b/>
          <w:bCs/>
        </w:rPr>
        <w:t xml:space="preserve">CPV Code: </w:t>
      </w:r>
      <w:r w:rsidR="001D51C8" w:rsidRPr="001D51C8">
        <w:rPr>
          <w:b/>
          <w:bCs/>
          <w:color w:val="B1173B"/>
        </w:rPr>
        <w:t>71311210</w:t>
      </w:r>
    </w:p>
    <w:p w14:paraId="4B92FCBC" w14:textId="34BC5B76"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BB610A">
        <w:rPr>
          <w:b/>
          <w:bCs/>
          <w:color w:val="B1173B"/>
        </w:rPr>
        <w:t>ORR/CT/23-20</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5F7009D1" w14:textId="1A1901E4" w:rsidR="0079264A" w:rsidRDefault="00FC6860">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08" w:history="1">
        <w:r w:rsidR="0079264A" w:rsidRPr="000C347F">
          <w:rPr>
            <w:rStyle w:val="Hyperlink"/>
          </w:rPr>
          <w:t>Drafting note</w:t>
        </w:r>
        <w:r w:rsidR="0079264A">
          <w:rPr>
            <w:webHidden/>
          </w:rPr>
          <w:tab/>
        </w:r>
        <w:r w:rsidR="0079264A">
          <w:rPr>
            <w:webHidden/>
          </w:rPr>
          <w:fldChar w:fldCharType="begin"/>
        </w:r>
        <w:r w:rsidR="0079264A">
          <w:rPr>
            <w:webHidden/>
          </w:rPr>
          <w:instrText xml:space="preserve"> PAGEREF _Toc111551908 \h </w:instrText>
        </w:r>
        <w:r w:rsidR="0079264A">
          <w:rPr>
            <w:webHidden/>
          </w:rPr>
        </w:r>
        <w:r w:rsidR="0079264A">
          <w:rPr>
            <w:webHidden/>
          </w:rPr>
          <w:fldChar w:fldCharType="separate"/>
        </w:r>
        <w:r w:rsidR="0079264A">
          <w:rPr>
            <w:webHidden/>
          </w:rPr>
          <w:t>3</w:t>
        </w:r>
        <w:r w:rsidR="0079264A">
          <w:rPr>
            <w:webHidden/>
          </w:rPr>
          <w:fldChar w:fldCharType="end"/>
        </w:r>
      </w:hyperlink>
    </w:p>
    <w:p w14:paraId="683571A9" w14:textId="45501F9D" w:rsidR="0079264A" w:rsidRDefault="00660DAC">
      <w:pPr>
        <w:pStyle w:val="TOC2"/>
        <w:tabs>
          <w:tab w:val="right" w:pos="9628"/>
        </w:tabs>
        <w:rPr>
          <w:rFonts w:asciiTheme="minorHAnsi" w:eastAsiaTheme="minorEastAsia" w:hAnsiTheme="minorHAnsi"/>
          <w:noProof/>
          <w:sz w:val="22"/>
          <w:lang w:eastAsia="en-GB"/>
        </w:rPr>
      </w:pPr>
      <w:hyperlink w:anchor="_Toc111551909" w:history="1">
        <w:r w:rsidR="0079264A" w:rsidRPr="000C347F">
          <w:rPr>
            <w:rStyle w:val="Hyperlink"/>
            <w:noProof/>
          </w:rPr>
          <w:t>Section 1 – Introduction to ORR</w:t>
        </w:r>
        <w:r w:rsidR="0079264A">
          <w:rPr>
            <w:noProof/>
            <w:webHidden/>
          </w:rPr>
          <w:tab/>
        </w:r>
        <w:r w:rsidR="0079264A">
          <w:rPr>
            <w:noProof/>
            <w:webHidden/>
          </w:rPr>
          <w:fldChar w:fldCharType="begin"/>
        </w:r>
        <w:r w:rsidR="0079264A">
          <w:rPr>
            <w:noProof/>
            <w:webHidden/>
          </w:rPr>
          <w:instrText xml:space="preserve"> PAGEREF _Toc111551909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5565F52" w14:textId="2675960D" w:rsidR="0079264A" w:rsidRDefault="00660DAC">
      <w:pPr>
        <w:pStyle w:val="TOC2"/>
        <w:tabs>
          <w:tab w:val="right" w:pos="9628"/>
        </w:tabs>
        <w:rPr>
          <w:rFonts w:asciiTheme="minorHAnsi" w:eastAsiaTheme="minorEastAsia" w:hAnsiTheme="minorHAnsi"/>
          <w:noProof/>
          <w:sz w:val="22"/>
          <w:lang w:eastAsia="en-GB"/>
        </w:rPr>
      </w:pPr>
      <w:hyperlink w:anchor="_Toc111551910" w:history="1">
        <w:r w:rsidR="0079264A" w:rsidRPr="000C347F">
          <w:rPr>
            <w:rStyle w:val="Hyperlink"/>
            <w:noProof/>
          </w:rPr>
          <w:t>Section 2 – Statement of Requirement</w:t>
        </w:r>
        <w:r w:rsidR="0079264A">
          <w:rPr>
            <w:noProof/>
            <w:webHidden/>
          </w:rPr>
          <w:tab/>
        </w:r>
        <w:r w:rsidR="0079264A">
          <w:rPr>
            <w:noProof/>
            <w:webHidden/>
          </w:rPr>
          <w:fldChar w:fldCharType="begin"/>
        </w:r>
        <w:r w:rsidR="0079264A">
          <w:rPr>
            <w:noProof/>
            <w:webHidden/>
          </w:rPr>
          <w:instrText xml:space="preserve"> PAGEREF _Toc111551910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3D93C174" w14:textId="2CBF8AF4" w:rsidR="0079264A" w:rsidRDefault="00660DAC">
      <w:pPr>
        <w:pStyle w:val="TOC2"/>
        <w:tabs>
          <w:tab w:val="right" w:pos="9628"/>
        </w:tabs>
        <w:rPr>
          <w:rFonts w:asciiTheme="minorHAnsi" w:eastAsiaTheme="minorEastAsia" w:hAnsiTheme="minorHAnsi"/>
          <w:noProof/>
          <w:sz w:val="22"/>
          <w:lang w:eastAsia="en-GB"/>
        </w:rPr>
      </w:pPr>
      <w:hyperlink w:anchor="_Toc111551911" w:history="1">
        <w:r w:rsidR="0079264A" w:rsidRPr="000C347F">
          <w:rPr>
            <w:rStyle w:val="Hyperlink"/>
            <w:noProof/>
          </w:rPr>
          <w:t>Section 3 – Tender Response &amp; Evaluation Criteria</w:t>
        </w:r>
        <w:r w:rsidR="0079264A">
          <w:rPr>
            <w:noProof/>
            <w:webHidden/>
          </w:rPr>
          <w:tab/>
        </w:r>
        <w:r w:rsidR="0079264A">
          <w:rPr>
            <w:noProof/>
            <w:webHidden/>
          </w:rPr>
          <w:fldChar w:fldCharType="begin"/>
        </w:r>
        <w:r w:rsidR="0079264A">
          <w:rPr>
            <w:noProof/>
            <w:webHidden/>
          </w:rPr>
          <w:instrText xml:space="preserve"> PAGEREF _Toc111551911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87151DC" w14:textId="5882C4E8" w:rsidR="0079264A" w:rsidRDefault="00660DAC">
      <w:pPr>
        <w:pStyle w:val="TOC2"/>
        <w:tabs>
          <w:tab w:val="right" w:pos="9628"/>
        </w:tabs>
        <w:rPr>
          <w:rFonts w:asciiTheme="minorHAnsi" w:eastAsiaTheme="minorEastAsia" w:hAnsiTheme="minorHAnsi"/>
          <w:noProof/>
          <w:sz w:val="22"/>
          <w:lang w:eastAsia="en-GB"/>
        </w:rPr>
      </w:pPr>
      <w:hyperlink w:anchor="_Toc111551912" w:history="1">
        <w:r w:rsidR="0079264A" w:rsidRPr="000C347F">
          <w:rPr>
            <w:rStyle w:val="Hyperlink"/>
            <w:noProof/>
          </w:rPr>
          <w:t>Section 4 – Procurement details – to be completed by the Procurement team</w:t>
        </w:r>
        <w:r w:rsidR="0079264A">
          <w:rPr>
            <w:noProof/>
            <w:webHidden/>
          </w:rPr>
          <w:tab/>
        </w:r>
        <w:r w:rsidR="0079264A">
          <w:rPr>
            <w:noProof/>
            <w:webHidden/>
          </w:rPr>
          <w:fldChar w:fldCharType="begin"/>
        </w:r>
        <w:r w:rsidR="0079264A">
          <w:rPr>
            <w:noProof/>
            <w:webHidden/>
          </w:rPr>
          <w:instrText xml:space="preserve"> PAGEREF _Toc111551912 \h </w:instrText>
        </w:r>
        <w:r w:rsidR="0079264A">
          <w:rPr>
            <w:noProof/>
            <w:webHidden/>
          </w:rPr>
        </w:r>
        <w:r w:rsidR="0079264A">
          <w:rPr>
            <w:noProof/>
            <w:webHidden/>
          </w:rPr>
          <w:fldChar w:fldCharType="separate"/>
        </w:r>
        <w:r w:rsidR="0079264A">
          <w:rPr>
            <w:noProof/>
            <w:webHidden/>
          </w:rPr>
          <w:t>4</w:t>
        </w:r>
        <w:r w:rsidR="0079264A">
          <w:rPr>
            <w:noProof/>
            <w:webHidden/>
          </w:rPr>
          <w:fldChar w:fldCharType="end"/>
        </w:r>
      </w:hyperlink>
    </w:p>
    <w:p w14:paraId="5E5E5324" w14:textId="56140CFC" w:rsidR="0079264A" w:rsidRDefault="00660DAC">
      <w:pPr>
        <w:pStyle w:val="TOC1"/>
        <w:rPr>
          <w:rFonts w:asciiTheme="minorHAnsi" w:eastAsiaTheme="minorEastAsia" w:hAnsiTheme="minorHAnsi"/>
          <w:b w:val="0"/>
          <w:bCs w:val="0"/>
          <w:color w:val="auto"/>
          <w:sz w:val="22"/>
          <w:lang w:eastAsia="en-GB"/>
        </w:rPr>
      </w:pP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660DAC">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sidR="0079264A">
          <w:rPr>
            <w:webHidden/>
          </w:rPr>
          <w:t>6</w:t>
        </w:r>
        <w:r w:rsidR="0079264A">
          <w:rPr>
            <w:webHidden/>
          </w:rPr>
          <w:fldChar w:fldCharType="end"/>
        </w:r>
      </w:hyperlink>
    </w:p>
    <w:p w14:paraId="4F774D3D" w14:textId="31E39395" w:rsidR="0079264A" w:rsidRDefault="00660DAC">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EDB0490" w14:textId="483045E0" w:rsidR="0079264A" w:rsidRDefault="00660DAC">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34AD544" w14:textId="37367FC3" w:rsidR="0079264A" w:rsidRDefault="00660DAC">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sidR="0079264A">
          <w:rPr>
            <w:webHidden/>
          </w:rPr>
          <w:t>8</w:t>
        </w:r>
        <w:r w:rsidR="0079264A">
          <w:rPr>
            <w:webHidden/>
          </w:rPr>
          <w:fldChar w:fldCharType="end"/>
        </w:r>
      </w:hyperlink>
    </w:p>
    <w:p w14:paraId="08E45A16" w14:textId="0FA4F6E4" w:rsidR="0079264A" w:rsidRDefault="00660DAC">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sidR="0079264A">
          <w:rPr>
            <w:webHidden/>
          </w:rPr>
          <w:t>10</w:t>
        </w:r>
        <w:r w:rsidR="0079264A">
          <w:rPr>
            <w:webHidden/>
          </w:rPr>
          <w:fldChar w:fldCharType="end"/>
        </w:r>
      </w:hyperlink>
    </w:p>
    <w:p w14:paraId="3B60C34D" w14:textId="3CB68232" w:rsidR="0079264A" w:rsidRDefault="00660DAC">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0A313B7D" w14:textId="65C3A45A" w:rsidR="0079264A" w:rsidRDefault="00660DAC">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1DC3EE13" w14:textId="7B86328E" w:rsidR="0079264A" w:rsidRDefault="00660DAC">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sidR="0079264A">
          <w:rPr>
            <w:noProof/>
            <w:webHidden/>
          </w:rPr>
          <w:t>11</w:t>
        </w:r>
        <w:r w:rsidR="0079264A">
          <w:rPr>
            <w:noProof/>
            <w:webHidden/>
          </w:rPr>
          <w:fldChar w:fldCharType="end"/>
        </w:r>
      </w:hyperlink>
    </w:p>
    <w:p w14:paraId="00910335" w14:textId="52C1808B" w:rsidR="0079264A" w:rsidRDefault="00660DAC">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sidR="0079264A">
          <w:rPr>
            <w:noProof/>
            <w:webHidden/>
          </w:rPr>
          <w:t>12</w:t>
        </w:r>
        <w:r w:rsidR="0079264A">
          <w:rPr>
            <w:noProof/>
            <w:webHidden/>
          </w:rPr>
          <w:fldChar w:fldCharType="end"/>
        </w:r>
      </w:hyperlink>
    </w:p>
    <w:p w14:paraId="5634B37D" w14:textId="2C40B131" w:rsidR="0079264A" w:rsidRDefault="00660DAC">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sidR="0079264A">
          <w:rPr>
            <w:noProof/>
            <w:webHidden/>
          </w:rPr>
          <w:t>13</w:t>
        </w:r>
        <w:r w:rsidR="0079264A">
          <w:rPr>
            <w:noProof/>
            <w:webHidden/>
          </w:rPr>
          <w:fldChar w:fldCharType="end"/>
        </w:r>
      </w:hyperlink>
    </w:p>
    <w:p w14:paraId="3ED694D5" w14:textId="3E2ADDB8" w:rsidR="0079264A" w:rsidRDefault="00660DAC">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sidR="0079264A">
          <w:rPr>
            <w:noProof/>
            <w:webHidden/>
          </w:rPr>
          <w:t>14</w:t>
        </w:r>
        <w:r w:rsidR="0079264A">
          <w:rPr>
            <w:noProof/>
            <w:webHidden/>
          </w:rPr>
          <w:fldChar w:fldCharType="end"/>
        </w:r>
      </w:hyperlink>
    </w:p>
    <w:p w14:paraId="49188D30" w14:textId="03037883" w:rsidR="0079264A" w:rsidRDefault="00660DAC">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sidR="0079264A">
          <w:rPr>
            <w:webHidden/>
          </w:rPr>
          <w:t>16</w:t>
        </w:r>
        <w:r w:rsidR="0079264A">
          <w:rPr>
            <w:webHidden/>
          </w:rPr>
          <w:fldChar w:fldCharType="end"/>
        </w:r>
      </w:hyperlink>
    </w:p>
    <w:p w14:paraId="4DED5429" w14:textId="00F4C96E" w:rsidR="0079264A" w:rsidRDefault="00660DAC">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sidR="0079264A">
          <w:rPr>
            <w:noProof/>
            <w:webHidden/>
          </w:rPr>
          <w:t>16</w:t>
        </w:r>
        <w:r w:rsidR="0079264A">
          <w:rPr>
            <w:noProof/>
            <w:webHidden/>
          </w:rPr>
          <w:fldChar w:fldCharType="end"/>
        </w:r>
      </w:hyperlink>
    </w:p>
    <w:p w14:paraId="24C28E0D" w14:textId="15183F51" w:rsidR="0079264A" w:rsidRDefault="00660DAC">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sidR="0079264A">
          <w:rPr>
            <w:noProof/>
            <w:webHidden/>
          </w:rPr>
          <w:t>17</w:t>
        </w:r>
        <w:r w:rsidR="0079264A">
          <w:rPr>
            <w:noProof/>
            <w:webHidden/>
          </w:rPr>
          <w:fldChar w:fldCharType="end"/>
        </w:r>
      </w:hyperlink>
    </w:p>
    <w:p w14:paraId="56D04470" w14:textId="3033ED1C" w:rsidR="0079264A" w:rsidRDefault="00660DAC">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sidR="0079264A">
          <w:rPr>
            <w:webHidden/>
          </w:rPr>
          <w:t>21</w:t>
        </w:r>
        <w:r w:rsidR="0079264A">
          <w:rPr>
            <w:webHidden/>
          </w:rPr>
          <w:fldChar w:fldCharType="end"/>
        </w:r>
      </w:hyperlink>
    </w:p>
    <w:p w14:paraId="0EDE73FA" w14:textId="3890DE96" w:rsidR="0079264A" w:rsidRDefault="00660DAC">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0713F7E5" w14:textId="66E19FC9" w:rsidR="0079264A" w:rsidRDefault="00660DAC">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6B48D324" w14:textId="2419B6E7"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530ED753" w:rsidR="00A02455" w:rsidRDefault="00A02455" w:rsidP="00A02455">
      <w:r>
        <w:t xml:space="preserve">The purpose of this document is to invite proposals for </w:t>
      </w:r>
      <w:r w:rsidR="00EE3DF5">
        <w:rPr>
          <w:b/>
          <w:bCs/>
        </w:rPr>
        <w:t>RIS3: Renewals Investment Planning</w:t>
      </w:r>
      <w:r w:rsidR="00C16316">
        <w:rPr>
          <w:b/>
          <w:bCs/>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368C6854" w14:textId="48DF3214" w:rsidR="008A771E" w:rsidRPr="008A771E" w:rsidRDefault="008A771E" w:rsidP="005D45FD">
      <w:pPr>
        <w:rPr>
          <w:b/>
        </w:rPr>
      </w:pPr>
      <w:bookmarkStart w:id="11" w:name="_Toc111551920"/>
      <w:r w:rsidRPr="008A771E">
        <w:t xml:space="preserve">The Office of Rail and Road (ORR) independently monitors </w:t>
      </w:r>
      <w:r w:rsidR="003647C8">
        <w:t>National Highways’</w:t>
      </w:r>
      <w:r w:rsidRPr="008A771E">
        <w:t xml:space="preserve"> management of the Strategic Road Network (SRN) – the motorways and main A roads in England. We scrutinise the company and hold it to account for its management of the strategic road network – including delivery of performance and efficiency. </w:t>
      </w:r>
    </w:p>
    <w:p w14:paraId="438B26E5" w14:textId="77777777" w:rsidR="008A771E" w:rsidRPr="008A771E" w:rsidRDefault="008A771E" w:rsidP="005D45FD">
      <w:pPr>
        <w:rPr>
          <w:b/>
        </w:rPr>
      </w:pPr>
      <w:r w:rsidRPr="008A771E">
        <w:t>We also advise the government on the appropriate level of funding and performance requirements for future road periods to help frame challenging and deliverable performance and efficiency requirements. These requirements are set out by the government in road investment strategies (RIS).</w:t>
      </w:r>
    </w:p>
    <w:p w14:paraId="4C600ADD" w14:textId="36A2C9A9" w:rsidR="008A771E" w:rsidRPr="008A771E" w:rsidRDefault="008A771E" w:rsidP="005D45FD">
      <w:pPr>
        <w:rPr>
          <w:b/>
        </w:rPr>
      </w:pPr>
      <w:r w:rsidRPr="008A771E">
        <w:t xml:space="preserve">The third Road Investment Strategy (RIS3) will set out the requirements to be delivered by National Highways during the period </w:t>
      </w:r>
      <w:r w:rsidR="009C5155">
        <w:t xml:space="preserve">April </w:t>
      </w:r>
      <w:r w:rsidRPr="008A771E">
        <w:t>2025</w:t>
      </w:r>
      <w:r w:rsidR="009C5155">
        <w:t xml:space="preserve"> March 20</w:t>
      </w:r>
      <w:r w:rsidRPr="008A771E">
        <w:t xml:space="preserve">30 (road period 3 or RP3). The process of setting and varying the RIS is set out in National Highways’ licence. </w:t>
      </w:r>
    </w:p>
    <w:p w14:paraId="1B8D9ACD" w14:textId="34BE4330" w:rsidR="008A771E" w:rsidRPr="008A771E" w:rsidRDefault="008A771E" w:rsidP="005D45FD">
      <w:pPr>
        <w:rPr>
          <w:b/>
        </w:rPr>
      </w:pPr>
      <w:r w:rsidRPr="008A771E">
        <w:t xml:space="preserve">A key part of our role </w:t>
      </w:r>
      <w:r>
        <w:t xml:space="preserve">is </w:t>
      </w:r>
      <w:r w:rsidRPr="008A771E">
        <w:t xml:space="preserve">to provide advice to the Secretary of State on the extent to which </w:t>
      </w:r>
      <w:r w:rsidR="00D933A3">
        <w:t>the proposed requirements</w:t>
      </w:r>
      <w:r w:rsidRPr="008A771E">
        <w:t xml:space="preserve"> are challenging and deliverable </w:t>
      </w:r>
      <w:r w:rsidR="00D933A3">
        <w:t>within</w:t>
      </w:r>
      <w:r w:rsidR="00D933A3" w:rsidRPr="00D933A3">
        <w:t xml:space="preserve"> the financial resources to be provided</w:t>
      </w:r>
      <w:r w:rsidRPr="008A771E">
        <w:t xml:space="preserve">. This is known as the Efficiency Review. </w:t>
      </w:r>
    </w:p>
    <w:p w14:paraId="4CB7A9DF" w14:textId="0FA122F4" w:rsidR="00ED0457" w:rsidRDefault="00ED0457" w:rsidP="005D45FD">
      <w:pPr>
        <w:rPr>
          <w:b/>
        </w:rPr>
      </w:pPr>
      <w:r w:rsidRPr="00ED0457">
        <w:t xml:space="preserve">This commission forms part of our preparations for the </w:t>
      </w:r>
      <w:r>
        <w:t>Efficiency Review</w:t>
      </w:r>
      <w:r w:rsidRPr="00ED0457">
        <w:t xml:space="preserve">. It relates to our assessment of </w:t>
      </w:r>
      <w:r w:rsidR="003647C8">
        <w:t>National Highways’</w:t>
      </w:r>
      <w:r w:rsidRPr="00ED0457">
        <w:t xml:space="preserve"> plans for renewing the SRN during RP3. </w:t>
      </w:r>
    </w:p>
    <w:p w14:paraId="49FB8A4A" w14:textId="3CFCC0EE" w:rsidR="008A771E" w:rsidRPr="008A771E" w:rsidRDefault="00E478C5" w:rsidP="005D45FD">
      <w:pPr>
        <w:rPr>
          <w:b/>
        </w:rPr>
      </w:pPr>
      <w:r w:rsidRPr="008A771E">
        <w:t xml:space="preserve">Further information on our role </w:t>
      </w:r>
      <w:r>
        <w:t xml:space="preserve">and approach to RIS3 can be found on our website </w:t>
      </w:r>
      <w:r w:rsidRPr="00E478C5">
        <w:t>(</w:t>
      </w:r>
      <w:hyperlink r:id="rId20" w:history="1">
        <w:r w:rsidRPr="00E478C5">
          <w:rPr>
            <w:rStyle w:val="Hyperlink"/>
          </w:rPr>
          <w:t>ORR’s role and approach to RIS3 | Office of Rail and Road</w:t>
        </w:r>
      </w:hyperlink>
      <w:r w:rsidRPr="00E478C5">
        <w:t>)</w:t>
      </w:r>
      <w:r>
        <w:t>.</w:t>
      </w:r>
    </w:p>
    <w:p w14:paraId="74919ACA" w14:textId="27999526" w:rsidR="00F20E70" w:rsidRDefault="00F20E70" w:rsidP="008A771E">
      <w:pPr>
        <w:pStyle w:val="Heading3"/>
      </w:pPr>
      <w:r>
        <w:t>2.2 Project Objectives and Scope</w:t>
      </w:r>
      <w:bookmarkEnd w:id="11"/>
    </w:p>
    <w:p w14:paraId="4EFA10BE" w14:textId="2171C92B" w:rsidR="00ED0457" w:rsidRDefault="008A771E" w:rsidP="00C602D8">
      <w:pPr>
        <w:pStyle w:val="Heading4"/>
      </w:pPr>
      <w:r>
        <w:t>Objectives</w:t>
      </w:r>
    </w:p>
    <w:p w14:paraId="1868D647" w14:textId="7BF134EB" w:rsidR="00C81D2B" w:rsidRDefault="00C602D8" w:rsidP="00EB2718">
      <w:r>
        <w:t xml:space="preserve">This commission </w:t>
      </w:r>
      <w:r w:rsidRPr="00C602D8">
        <w:t xml:space="preserve">is concerned with </w:t>
      </w:r>
      <w:r w:rsidR="009C5155">
        <w:t>National Highways’</w:t>
      </w:r>
      <w:r w:rsidRPr="00C602D8">
        <w:t xml:space="preserve"> approach to renewals planning and the evidence upon which its plans for RP3 </w:t>
      </w:r>
      <w:r w:rsidR="00EE3DF5">
        <w:t>will</w:t>
      </w:r>
      <w:r w:rsidRPr="00C602D8">
        <w:t xml:space="preserve"> be based.</w:t>
      </w:r>
    </w:p>
    <w:p w14:paraId="33048711" w14:textId="363294F0" w:rsidR="00C602D8" w:rsidRDefault="00C602D8" w:rsidP="00C602D8">
      <w:r>
        <w:t xml:space="preserve">A major theme of the RIS2 </w:t>
      </w:r>
      <w:r w:rsidR="005E1447">
        <w:t>Strategic Business Plan (SBP)</w:t>
      </w:r>
      <w:r>
        <w:t xml:space="preserve"> </w:t>
      </w:r>
      <w:r w:rsidR="009C5155">
        <w:t>was</w:t>
      </w:r>
      <w:r>
        <w:t xml:space="preserve"> the requirement for increased investment in large</w:t>
      </w:r>
      <w:r w:rsidR="009C5155">
        <w:noBreakHyphen/>
      </w:r>
      <w:r>
        <w:t xml:space="preserve">scale renewals in response to historic underinvestment and an ageing stock of assets. In response, during RP2 (2020 to 2025), </w:t>
      </w:r>
      <w:r w:rsidR="009C5155">
        <w:t>National Highways</w:t>
      </w:r>
      <w:r>
        <w:t xml:space="preserve"> is delivering a ‘life extension’ renewals programme for some of its key assets (pavement, vehicle restraint systems [VRS] and major structures). </w:t>
      </w:r>
    </w:p>
    <w:p w14:paraId="4FBE6A7F" w14:textId="08492791" w:rsidR="00C602D8" w:rsidRDefault="00C602D8" w:rsidP="00C602D8">
      <w:r>
        <w:lastRenderedPageBreak/>
        <w:t xml:space="preserve">The nature of these programmes and life of the assets involved suggests that higher renewals funding levels may need to be sustained, or even further increased, during RP3. Along with enhancements, renewals are likely to make up the majority of the overall funding for RP3. </w:t>
      </w:r>
    </w:p>
    <w:p w14:paraId="57086360" w14:textId="6F881F9E" w:rsidR="00C602D8" w:rsidRDefault="00C602D8" w:rsidP="00C602D8">
      <w:r>
        <w:t xml:space="preserve">In this context, </w:t>
      </w:r>
      <w:r w:rsidR="005E1447">
        <w:t>during the Efficiency Review,</w:t>
      </w:r>
      <w:r>
        <w:t xml:space="preserve"> it will be important to ensure that we are able to properly assess the evidence upon which </w:t>
      </w:r>
      <w:r w:rsidR="009C5155">
        <w:t>National Highways’</w:t>
      </w:r>
      <w:r>
        <w:t xml:space="preserve"> renewals delivery and cost plans are based. In undertaking our assessment of </w:t>
      </w:r>
      <w:r w:rsidR="009C5155">
        <w:t>National Highways’</w:t>
      </w:r>
      <w:r>
        <w:t xml:space="preserve"> plans, we intend to place significant emphasis on:</w:t>
      </w:r>
    </w:p>
    <w:p w14:paraId="77D94086" w14:textId="57C91C22" w:rsidR="00C602D8" w:rsidRDefault="00C602D8" w:rsidP="00C602D8">
      <w:pPr>
        <w:pStyle w:val="NormalBulletround"/>
      </w:pPr>
      <w:r>
        <w:t xml:space="preserve">the long-term implications of </w:t>
      </w:r>
      <w:r w:rsidR="009C5155">
        <w:t>National Highways’</w:t>
      </w:r>
      <w:r>
        <w:t xml:space="preserve"> approach to asset management;</w:t>
      </w:r>
    </w:p>
    <w:p w14:paraId="648D4F09" w14:textId="756FF93D" w:rsidR="00C602D8" w:rsidRDefault="00C602D8" w:rsidP="00C602D8">
      <w:pPr>
        <w:pStyle w:val="NormalBulletround"/>
      </w:pPr>
      <w:r>
        <w:t xml:space="preserve">the maturity of </w:t>
      </w:r>
      <w:r w:rsidR="009C5155">
        <w:t>National Highways’</w:t>
      </w:r>
      <w:r>
        <w:t xml:space="preserve"> approach to asset management and the quality of the evidence base that underpins </w:t>
      </w:r>
      <w:r w:rsidR="009C5155">
        <w:t>National Highways’</w:t>
      </w:r>
      <w:r>
        <w:t xml:space="preserve"> plans; and</w:t>
      </w:r>
    </w:p>
    <w:p w14:paraId="764E6690" w14:textId="066962C8" w:rsidR="00C602D8" w:rsidRDefault="00C602D8" w:rsidP="00C602D8">
      <w:pPr>
        <w:pStyle w:val="NormalBulletround"/>
      </w:pPr>
      <w:r>
        <w:t xml:space="preserve">the extent to which </w:t>
      </w:r>
      <w:r w:rsidR="009C5155">
        <w:t>National Highways’</w:t>
      </w:r>
      <w:r>
        <w:t xml:space="preserve"> approach minimises whole life costs within the boundaries of affordability and deliverability challenges placed upon them.</w:t>
      </w:r>
    </w:p>
    <w:p w14:paraId="46C2CA63" w14:textId="14DF9426" w:rsidR="00C602D8" w:rsidRDefault="001518CF" w:rsidP="00C602D8">
      <w:r>
        <w:t xml:space="preserve">In 2022, we commissioned consultants to undertake a review </w:t>
      </w:r>
      <w:r w:rsidR="00FE644F">
        <w:t xml:space="preserve">of National Highways </w:t>
      </w:r>
      <w:r w:rsidR="00FE644F" w:rsidRPr="00FE644F">
        <w:t>approach to renewals planning</w:t>
      </w:r>
      <w:r w:rsidR="00FE644F">
        <w:t xml:space="preserve"> for RIS3. The final report can be found on our website: </w:t>
      </w:r>
      <w:hyperlink r:id="rId21" w:history="1">
        <w:r w:rsidR="00FE644F">
          <w:rPr>
            <w:rStyle w:val="Hyperlink"/>
          </w:rPr>
          <w:t>Preparing for RIS3: Renewals – National Highways’ renewals investment planning approach and implications for the RIS3 planning process - Report by Elliot Asset Management Ltd and Hyperion</w:t>
        </w:r>
      </w:hyperlink>
      <w:r w:rsidR="00FE644F">
        <w:t>.</w:t>
      </w:r>
    </w:p>
    <w:p w14:paraId="75D596B9" w14:textId="4BEC0795" w:rsidR="00FE644F" w:rsidRDefault="00FE644F" w:rsidP="00C602D8">
      <w:r>
        <w:t>National Highways has followed a staged process to develop its renewals plans. At the time of the 2022 review, National Highways plans were at an interim stage. The company has undertaken further work to develop their approach to renewals planning. The purpose of this commission is to review the latest iteration of National Highways</w:t>
      </w:r>
      <w:r w:rsidR="009C5155">
        <w:t>’</w:t>
      </w:r>
      <w:r>
        <w:t xml:space="preserve"> plans and update the findings of the 2022 review.</w:t>
      </w:r>
      <w:r w:rsidR="00DD7583">
        <w:t xml:space="preserve"> We also intend to extend the analysis to cover additional asset types that were not included in 2022. </w:t>
      </w:r>
    </w:p>
    <w:p w14:paraId="624A17B5" w14:textId="7D883B59" w:rsidR="00C602D8" w:rsidRDefault="00FE644F" w:rsidP="00EB2718">
      <w:r>
        <w:t xml:space="preserve">The review </w:t>
      </w:r>
      <w:r w:rsidR="0018485E">
        <w:t>is</w:t>
      </w:r>
      <w:r>
        <w:t xml:space="preserve"> focussed on National Highways</w:t>
      </w:r>
      <w:r w:rsidR="009C5155">
        <w:t>’</w:t>
      </w:r>
      <w:r>
        <w:t xml:space="preserve"> </w:t>
      </w:r>
      <w:r w:rsidR="005E1447">
        <w:t xml:space="preserve">renewals investment planning </w:t>
      </w:r>
      <w:r w:rsidRPr="005E1447">
        <w:rPr>
          <w:i/>
          <w:iCs/>
        </w:rPr>
        <w:t>capabilit</w:t>
      </w:r>
      <w:r w:rsidR="0018485E" w:rsidRPr="005E1447">
        <w:rPr>
          <w:i/>
          <w:iCs/>
        </w:rPr>
        <w:t>y</w:t>
      </w:r>
      <w:r w:rsidR="0018485E">
        <w:t>. It is concerned with the company’s data, modelling tools and decision-making approach. It is not intended to review the plans</w:t>
      </w:r>
      <w:r w:rsidR="003647C8">
        <w:t xml:space="preserve"> or cost estimates </w:t>
      </w:r>
      <w:r w:rsidR="0018485E">
        <w:t>for RIS3 themselves as these will not be finalised until the Efficiency Review</w:t>
      </w:r>
      <w:r w:rsidR="00E57950">
        <w:t xml:space="preserve"> itself</w:t>
      </w:r>
      <w:r w:rsidR="0018485E">
        <w:t xml:space="preserve">. </w:t>
      </w:r>
    </w:p>
    <w:p w14:paraId="2820C757" w14:textId="221C3ED2" w:rsidR="00EB2718" w:rsidRPr="00785291" w:rsidRDefault="00ED0457" w:rsidP="00EB2718">
      <w:pPr>
        <w:pStyle w:val="Heading4"/>
      </w:pPr>
      <w:r>
        <w:t>R</w:t>
      </w:r>
      <w:r w:rsidR="00EB2718">
        <w:t>equirements</w:t>
      </w:r>
    </w:p>
    <w:p w14:paraId="53B1772D" w14:textId="4037D93B" w:rsidR="002B3B7B" w:rsidRDefault="002B3B7B" w:rsidP="00ED0457">
      <w:r>
        <w:t>As for the 2022 study, the consultants should assess the maturity of National Highways’ approach with reference to its renewals investment planning roadmap</w:t>
      </w:r>
      <w:r w:rsidR="00F331AE">
        <w:t xml:space="preserve"> (described in the 2022 report)</w:t>
      </w:r>
      <w:r>
        <w:t>. This requires consideration of the following:</w:t>
      </w:r>
    </w:p>
    <w:p w14:paraId="3225FDF8" w14:textId="1CECD3E8" w:rsidR="00426A12" w:rsidRDefault="00426A12" w:rsidP="00426A12">
      <w:pPr>
        <w:pStyle w:val="NormalBulletround"/>
      </w:pPr>
      <w:r>
        <w:lastRenderedPageBreak/>
        <w:t>the quality and coverage of asset condition</w:t>
      </w:r>
      <w:r w:rsidR="00EE3DF5">
        <w:t>,</w:t>
      </w:r>
      <w:r>
        <w:t xml:space="preserve"> serviceability and </w:t>
      </w:r>
      <w:r w:rsidR="003647C8">
        <w:t>performance</w:t>
      </w:r>
      <w:r>
        <w:t xml:space="preserve"> data;</w:t>
      </w:r>
    </w:p>
    <w:p w14:paraId="768CEF07" w14:textId="77777777" w:rsidR="00426A12" w:rsidRDefault="00426A12" w:rsidP="00426A12">
      <w:pPr>
        <w:pStyle w:val="NormalBulletround"/>
      </w:pPr>
      <w:r>
        <w:t>the application of deterioration data and modelling;</w:t>
      </w:r>
    </w:p>
    <w:p w14:paraId="17BADAE1" w14:textId="5840F903" w:rsidR="00426A12" w:rsidRDefault="00426A12" w:rsidP="00426A12">
      <w:pPr>
        <w:pStyle w:val="NormalBulletround"/>
      </w:pPr>
      <w:r>
        <w:t xml:space="preserve">the extent to which whole life cost considerations and/or modelling informs </w:t>
      </w:r>
      <w:r w:rsidR="009C5155">
        <w:t>National Highways’</w:t>
      </w:r>
      <w:r>
        <w:t xml:space="preserve"> approach; </w:t>
      </w:r>
    </w:p>
    <w:p w14:paraId="766B9C9D" w14:textId="77777777" w:rsidR="00426A12" w:rsidRDefault="00426A12" w:rsidP="00426A12">
      <w:pPr>
        <w:pStyle w:val="NormalBulletround"/>
      </w:pPr>
      <w:r>
        <w:t xml:space="preserve">the extent to which relationships between renewals investment and asset condition and residual asset life are understood and modelled; </w:t>
      </w:r>
    </w:p>
    <w:p w14:paraId="196419B1" w14:textId="77777777" w:rsidR="00426A12" w:rsidRDefault="00426A12" w:rsidP="00426A12">
      <w:pPr>
        <w:pStyle w:val="NormalBulletround"/>
      </w:pPr>
      <w:r>
        <w:t xml:space="preserve">relationships between renewals investment and broader performance outcomes; </w:t>
      </w:r>
    </w:p>
    <w:p w14:paraId="303A4915" w14:textId="0B5214D1" w:rsidR="00426A12" w:rsidRDefault="00426A12" w:rsidP="00426A12">
      <w:pPr>
        <w:pStyle w:val="NormalBulletround"/>
      </w:pPr>
      <w:r>
        <w:t>the extent to which other feasibility considerations –</w:t>
      </w:r>
      <w:r w:rsidR="003647C8">
        <w:t xml:space="preserve"> </w:t>
      </w:r>
      <w:r>
        <w:t>such as traffic management impacts and asset obsolescence (in the case of technology) –</w:t>
      </w:r>
      <w:r w:rsidR="003647C8">
        <w:t xml:space="preserve"> </w:t>
      </w:r>
      <w:r>
        <w:t xml:space="preserve">are built into </w:t>
      </w:r>
      <w:r w:rsidR="009C5155">
        <w:t>National Highways’</w:t>
      </w:r>
      <w:r>
        <w:t xml:space="preserve"> long-term planning, and;</w:t>
      </w:r>
    </w:p>
    <w:p w14:paraId="2AED3F39" w14:textId="579B022F" w:rsidR="00D55566" w:rsidRDefault="00426A12" w:rsidP="00ED0457">
      <w:pPr>
        <w:pStyle w:val="NormalBulletround"/>
      </w:pPr>
      <w:r>
        <w:t>the extent to which the plans are informed by customers and stakeholders.</w:t>
      </w:r>
    </w:p>
    <w:p w14:paraId="71B470F9" w14:textId="77777777" w:rsidR="00D55566" w:rsidRDefault="00D55566" w:rsidP="00D55566">
      <w:r>
        <w:t xml:space="preserve">During RP3, DBFO (Design, Build, Finance and Operate) arrangements for eight sections of the SRN will come to an end. Responsibility for maintaining and renewing these roads will pass to National Highways. The study should explore how the company is taking account of this in their plans for RP3. </w:t>
      </w:r>
    </w:p>
    <w:p w14:paraId="7D11B0BB" w14:textId="42F7AD5D" w:rsidR="002B3B7B" w:rsidRDefault="002B3B7B" w:rsidP="00ED0457">
      <w:r>
        <w:t>Consultants should undertake their assessment for the asset types reviewed in 2022, namely:</w:t>
      </w:r>
    </w:p>
    <w:p w14:paraId="1FD623E1" w14:textId="2C329176" w:rsidR="002B3B7B" w:rsidRDefault="00426A12" w:rsidP="002B3B7B">
      <w:pPr>
        <w:pStyle w:val="NormalBulletround"/>
      </w:pPr>
      <w:r>
        <w:t>Flexible (asphalt) pavements</w:t>
      </w:r>
    </w:p>
    <w:p w14:paraId="35C5ABB4" w14:textId="14901991" w:rsidR="00426A12" w:rsidRDefault="00426A12" w:rsidP="002B3B7B">
      <w:pPr>
        <w:pStyle w:val="NormalBulletround"/>
      </w:pPr>
      <w:r>
        <w:t>Rigid (concrete) pavements</w:t>
      </w:r>
    </w:p>
    <w:p w14:paraId="42E890AD" w14:textId="22162F57" w:rsidR="00426A12" w:rsidRDefault="00426A12" w:rsidP="002B3B7B">
      <w:pPr>
        <w:pStyle w:val="NormalBulletround"/>
      </w:pPr>
      <w:r>
        <w:t>Structures</w:t>
      </w:r>
    </w:p>
    <w:p w14:paraId="7B7E5CD2" w14:textId="49A2D650" w:rsidR="00426A12" w:rsidRDefault="00426A12" w:rsidP="002B3B7B">
      <w:pPr>
        <w:pStyle w:val="NormalBulletround"/>
      </w:pPr>
      <w:r>
        <w:t>Road restraints</w:t>
      </w:r>
    </w:p>
    <w:p w14:paraId="55023CE6" w14:textId="7BB4A026" w:rsidR="00426A12" w:rsidRDefault="00426A12" w:rsidP="002B3B7B">
      <w:pPr>
        <w:pStyle w:val="NormalBulletround"/>
      </w:pPr>
      <w:r>
        <w:t>Roadside technology</w:t>
      </w:r>
    </w:p>
    <w:p w14:paraId="12F31FF1" w14:textId="1A84BB44" w:rsidR="00426A12" w:rsidRDefault="00426A12" w:rsidP="002B3B7B">
      <w:pPr>
        <w:pStyle w:val="NormalBulletround"/>
      </w:pPr>
      <w:r>
        <w:t>Drainage</w:t>
      </w:r>
    </w:p>
    <w:p w14:paraId="33F8FF10" w14:textId="010D7DC5" w:rsidR="002B3B7B" w:rsidRDefault="00426A12" w:rsidP="00ED0457">
      <w:pPr>
        <w:pStyle w:val="NormalBulletround"/>
      </w:pPr>
      <w:r>
        <w:t>Geotechnical assets</w:t>
      </w:r>
    </w:p>
    <w:p w14:paraId="4BEBAF5F" w14:textId="1F5C1D72" w:rsidR="00DD7583" w:rsidRDefault="00DD7583" w:rsidP="00ED0457">
      <w:r>
        <w:t>The following asset types, not included in 2022, should also be assessed:</w:t>
      </w:r>
    </w:p>
    <w:p w14:paraId="26B3F086" w14:textId="0AB451D1" w:rsidR="00DD7583" w:rsidRDefault="00DD7583" w:rsidP="00DD7583">
      <w:pPr>
        <w:pStyle w:val="NormalBulletround"/>
      </w:pPr>
      <w:r>
        <w:lastRenderedPageBreak/>
        <w:t>Lighting</w:t>
      </w:r>
    </w:p>
    <w:p w14:paraId="7AC5593D" w14:textId="049EB659" w:rsidR="00DD7583" w:rsidRDefault="00DD7583" w:rsidP="00DD7583">
      <w:pPr>
        <w:pStyle w:val="NormalBulletround"/>
      </w:pPr>
      <w:r>
        <w:t>Soft Estate</w:t>
      </w:r>
    </w:p>
    <w:p w14:paraId="6A6D454A" w14:textId="0E3CA84C" w:rsidR="00DD7583" w:rsidRDefault="00DD7583" w:rsidP="00DD7583">
      <w:pPr>
        <w:pStyle w:val="NormalBulletround"/>
      </w:pPr>
      <w:r>
        <w:t>Tunnels</w:t>
      </w:r>
    </w:p>
    <w:p w14:paraId="6E279FA1" w14:textId="70AFACFF" w:rsidR="002B3B7B" w:rsidRDefault="002B3B7B" w:rsidP="00ED0457">
      <w:r w:rsidRPr="002B3B7B">
        <w:t>Bidders should set out how they intend to deliver this task although we envisage</w:t>
      </w:r>
      <w:r>
        <w:t xml:space="preserve"> that workshops will be held with the renewals planning teams for each of the assets. Follow-up information and data requests may also be required. </w:t>
      </w:r>
      <w:r w:rsidRPr="002B3B7B">
        <w:t>Engagement with</w:t>
      </w:r>
      <w:r w:rsidR="00DD7583">
        <w:t xml:space="preserve"> one or more</w:t>
      </w:r>
      <w:r w:rsidRPr="002B3B7B">
        <w:t xml:space="preserve"> </w:t>
      </w:r>
      <w:r w:rsidR="009C5155">
        <w:t>National Highways’</w:t>
      </w:r>
      <w:r w:rsidRPr="002B3B7B">
        <w:t xml:space="preserve"> regional or area</w:t>
      </w:r>
      <w:r w:rsidR="00DD7583">
        <w:t>-</w:t>
      </w:r>
      <w:r w:rsidRPr="002B3B7B">
        <w:t xml:space="preserve">level teams may be beneficial.  </w:t>
      </w:r>
    </w:p>
    <w:p w14:paraId="5C9E78C1" w14:textId="67D2E54A" w:rsidR="00F331AE" w:rsidRPr="00EB2718" w:rsidRDefault="00F331AE" w:rsidP="00ED0457">
      <w:r>
        <w:t xml:space="preserve">The output of the study will be a report detailing National Highways’ approach to renewals investment planning for each of the above asset types. The report should provide an assessment of the level of maturity that the company has achieved with reference </w:t>
      </w:r>
      <w:r w:rsidR="008E5AE2">
        <w:t>to the roadmap</w:t>
      </w:r>
      <w:r>
        <w:t>.</w:t>
      </w: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1AA10CF6" w14:textId="0E7C37F3" w:rsidR="00C16316" w:rsidRDefault="00C16316" w:rsidP="00C16316">
      <w:r>
        <w:t>The consultants are to deliver the following:</w:t>
      </w:r>
    </w:p>
    <w:p w14:paraId="3EB76F43" w14:textId="77777777" w:rsidR="008D6049" w:rsidRDefault="008D6049" w:rsidP="008D6049">
      <w:pPr>
        <w:pStyle w:val="NormalBulletround"/>
      </w:pPr>
      <w:r>
        <w:t>a draft report for comment which details the findings, conclusions and recommendations;</w:t>
      </w:r>
    </w:p>
    <w:p w14:paraId="511C5513" w14:textId="00AA46E7" w:rsidR="008D6049" w:rsidRDefault="008D6049" w:rsidP="008D6049">
      <w:pPr>
        <w:pStyle w:val="NormalBulletround"/>
      </w:pPr>
      <w:r>
        <w:t xml:space="preserve">a final report which incorporates </w:t>
      </w:r>
      <w:r w:rsidR="00EE3DF5">
        <w:t>comments and amendments</w:t>
      </w:r>
      <w:r>
        <w:t xml:space="preserve"> from National Highways</w:t>
      </w:r>
      <w:r w:rsidR="00EE3DF5">
        <w:t xml:space="preserve"> and ORR. </w:t>
      </w:r>
      <w:r>
        <w:t xml:space="preserve">  </w:t>
      </w:r>
    </w:p>
    <w:p w14:paraId="574A7D1C" w14:textId="3BABED65" w:rsidR="009703EC" w:rsidRPr="00574B16" w:rsidRDefault="009703EC" w:rsidP="009703EC">
      <w:pPr>
        <w:rPr>
          <w:b/>
          <w:bCs/>
          <w:color w:val="B1173B"/>
        </w:rPr>
      </w:pPr>
      <w:r>
        <w:t xml:space="preserve">Reports will be published at the conclusion of the RIS3 process. Consultants should adhere to: </w:t>
      </w:r>
      <w:hyperlink r:id="rId22" w:history="1">
        <w:r>
          <w:rPr>
            <w:rStyle w:val="Hyperlink"/>
          </w:rPr>
          <w:t>Guidelines for writing accessible reports for ORR - Guidance for external suppliers | Office of Rail and Road</w:t>
        </w:r>
      </w:hyperlink>
    </w:p>
    <w:p w14:paraId="30DFB785" w14:textId="02A6F921" w:rsidR="00DB02EF" w:rsidRDefault="00DB02EF" w:rsidP="00DB02EF">
      <w:pPr>
        <w:pStyle w:val="Heading4"/>
      </w:pPr>
      <w:r>
        <w:t>Contract Management Requirements</w:t>
      </w:r>
    </w:p>
    <w:p w14:paraId="03193743" w14:textId="556C3317" w:rsidR="008D6049" w:rsidRDefault="008D6049" w:rsidP="008D6049">
      <w:pPr>
        <w:pStyle w:val="Heading5"/>
      </w:pPr>
      <w:r>
        <w:t>Contract management</w:t>
      </w:r>
    </w:p>
    <w:p w14:paraId="2F45EA72" w14:textId="5AFBA5EC" w:rsidR="00C16316" w:rsidRDefault="008D6049" w:rsidP="008475B8">
      <w:r w:rsidRPr="008D6049">
        <w:t>We would expect to hold progress meetings on a fortnightly basis via MS Teams. Consultants should provide a brief emailed progress report in advance.</w:t>
      </w:r>
    </w:p>
    <w:p w14:paraId="6A2001DD" w14:textId="4A7743C8" w:rsidR="008D6049" w:rsidRDefault="008D6049" w:rsidP="008D6049">
      <w:pPr>
        <w:pStyle w:val="Heading5"/>
      </w:pPr>
      <w:r w:rsidRPr="008D6049">
        <w:t xml:space="preserve">Engagement with </w:t>
      </w:r>
      <w:r>
        <w:t>National Highways</w:t>
      </w:r>
    </w:p>
    <w:p w14:paraId="348A79C9" w14:textId="7969C7B9" w:rsidR="008D6049" w:rsidRDefault="008D6049" w:rsidP="008475B8">
      <w:r>
        <w:t>National Highways</w:t>
      </w:r>
      <w:r w:rsidRPr="008D6049">
        <w:t xml:space="preserve"> is supportive of this review and will facilitate access to its staff and other information as appropriate. </w:t>
      </w:r>
      <w:r>
        <w:t>National Highways’</w:t>
      </w:r>
      <w:r w:rsidRPr="008D6049">
        <w:t xml:space="preserve"> involvement will be co-ordinated through its Customer, Strategy and Communications</w:t>
      </w:r>
      <w:r>
        <w:t xml:space="preserve"> team </w:t>
      </w:r>
      <w:r w:rsidRPr="008D6049">
        <w:t xml:space="preserve">who are responsible for </w:t>
      </w:r>
      <w:r w:rsidRPr="008D6049">
        <w:lastRenderedPageBreak/>
        <w:t xml:space="preserve">managing the relationship with ORR. The Customer, Strategy and Communications team will assist in scheduling meetings and dealing with data requests. Engagement with </w:t>
      </w:r>
      <w:r>
        <w:t>National Highways</w:t>
      </w:r>
      <w:r w:rsidRPr="008D6049">
        <w:t xml:space="preserve"> should be proportionate and sensitive </w:t>
      </w:r>
      <w:r>
        <w:t xml:space="preserve">to </w:t>
      </w:r>
      <w:r w:rsidRPr="008D6049">
        <w:t>resource pressures.</w:t>
      </w:r>
    </w:p>
    <w:p w14:paraId="1582CAFF" w14:textId="519A838A" w:rsidR="008D6049" w:rsidRDefault="008D6049" w:rsidP="008D6049">
      <w:r>
        <w:t>The consultancy should note that National Highways may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National Highways.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w:t>
      </w:r>
    </w:p>
    <w:p w14:paraId="65A6AC49" w14:textId="55B24BD0" w:rsidR="008D6049" w:rsidRPr="008D6049" w:rsidRDefault="008D6049" w:rsidP="008D6049">
      <w:r>
        <w:t>The appointed consultancy will have access to available information necessary to carry out the project and to deliver the objectives and requirements identified above.</w:t>
      </w:r>
    </w:p>
    <w:p w14:paraId="75F8969E" w14:textId="18013AB0" w:rsidR="00D6160E" w:rsidRDefault="00AF7AF9" w:rsidP="00AF7AF9">
      <w:pPr>
        <w:pStyle w:val="Heading3"/>
      </w:pPr>
      <w:bookmarkStart w:id="13" w:name="_Toc111551922"/>
      <w:r>
        <w:t>2.4 Project Timescales</w:t>
      </w:r>
      <w:bookmarkEnd w:id="13"/>
    </w:p>
    <w:p w14:paraId="727BA3B5" w14:textId="77777777" w:rsidR="00471099" w:rsidRDefault="00471099" w:rsidP="00471099">
      <w:r>
        <w:t>The provisional project timetable is as follows:</w:t>
      </w:r>
    </w:p>
    <w:p w14:paraId="1A5E1720" w14:textId="6B01C572" w:rsidR="00AF7AF9" w:rsidRDefault="008E3DAC" w:rsidP="00AF7AF9">
      <w:pPr>
        <w:pStyle w:val="NormalBulletround"/>
      </w:pPr>
      <w:r>
        <w:t>C</w:t>
      </w:r>
      <w:r w:rsidR="00AF7AF9">
        <w:t>ommencement w/c</w:t>
      </w:r>
      <w:r w:rsidR="00757B3D">
        <w:t xml:space="preserve"> </w:t>
      </w:r>
      <w:r>
        <w:t>0</w:t>
      </w:r>
      <w:r w:rsidR="00757B3D">
        <w:t>9 October</w:t>
      </w:r>
    </w:p>
    <w:p w14:paraId="26A9F78D" w14:textId="0465512E" w:rsidR="00AF7AF9" w:rsidRDefault="00EE3DF5" w:rsidP="00AF7AF9">
      <w:pPr>
        <w:pStyle w:val="NormalBulletround"/>
      </w:pPr>
      <w:r>
        <w:t>Fortnightly</w:t>
      </w:r>
      <w:r w:rsidR="00AF7AF9">
        <w:t xml:space="preserve"> updates on progress and any issues</w:t>
      </w:r>
    </w:p>
    <w:p w14:paraId="1CB48C52" w14:textId="7D111527" w:rsidR="00AF7AF9" w:rsidRDefault="00AF7AF9" w:rsidP="00AF7AF9">
      <w:pPr>
        <w:pStyle w:val="NormalBulletround"/>
      </w:pPr>
      <w:r>
        <w:t>Draft report by</w:t>
      </w:r>
      <w:r w:rsidR="00757B3D">
        <w:t xml:space="preserve"> 17 November</w:t>
      </w:r>
    </w:p>
    <w:p w14:paraId="32F71BB4" w14:textId="188D3AAF" w:rsidR="00471099" w:rsidRDefault="00AF7AF9" w:rsidP="00471099">
      <w:pPr>
        <w:pStyle w:val="NormalBulletround"/>
      </w:pPr>
      <w:r>
        <w:t xml:space="preserve">Final report by </w:t>
      </w:r>
      <w:r w:rsidR="008E3DAC">
        <w:t>0</w:t>
      </w:r>
      <w:r w:rsidR="00757B3D">
        <w:t>8 December</w:t>
      </w:r>
    </w:p>
    <w:p w14:paraId="76E3EE61" w14:textId="420F91D1" w:rsidR="00AF7AF9" w:rsidRDefault="00AF7AF9" w:rsidP="00AF7AF9">
      <w:pPr>
        <w:pStyle w:val="Heading3"/>
      </w:pPr>
      <w:bookmarkStart w:id="14" w:name="_Toc111551923"/>
      <w:r w:rsidRPr="00AF7AF9">
        <w:t>2.5 Budget and Payment Schedule</w:t>
      </w:r>
      <w:bookmarkEnd w:id="14"/>
    </w:p>
    <w:p w14:paraId="7D86A410" w14:textId="6F157809" w:rsidR="00D401C8" w:rsidRDefault="00D401C8" w:rsidP="00D401C8">
      <w:r>
        <w:t xml:space="preserve">The maximum budget for this piece of work </w:t>
      </w:r>
      <w:r w:rsidRPr="008C5B75">
        <w:t>is £</w:t>
      </w:r>
      <w:r w:rsidR="008D6049" w:rsidRPr="008C5B75">
        <w:t>50</w:t>
      </w:r>
      <w:r w:rsidRPr="008C5B75">
        <w:t>,</w:t>
      </w:r>
      <w:r w:rsidR="008D6049" w:rsidRPr="008C5B75">
        <w:t>000</w:t>
      </w:r>
      <w:r w:rsidR="008D6049">
        <w:t xml:space="preserve"> </w:t>
      </w:r>
      <w:r>
        <w:t>(inc. of expenses, exc. of VAT).</w:t>
      </w:r>
    </w:p>
    <w:p w14:paraId="083C837C" w14:textId="77777777" w:rsidR="00D401C8" w:rsidRDefault="00D401C8" w:rsidP="00D401C8">
      <w:r>
        <w:t>Payment Schedule:</w:t>
      </w:r>
    </w:p>
    <w:p w14:paraId="148CDE07" w14:textId="60D2DF8E" w:rsidR="00D401C8" w:rsidRDefault="008D6049" w:rsidP="008D6049">
      <w:pPr>
        <w:pStyle w:val="NormalBulletround"/>
      </w:pPr>
      <w:r>
        <w:t>50</w:t>
      </w:r>
      <w:r w:rsidR="00D401C8">
        <w:t>%</w:t>
      </w:r>
      <w:r w:rsidR="00BB610A">
        <w:t xml:space="preserve"> </w:t>
      </w:r>
      <w:r w:rsidR="00D401C8">
        <w:t xml:space="preserve">on delivery of </w:t>
      </w:r>
      <w:r>
        <w:t>draft report</w:t>
      </w:r>
    </w:p>
    <w:p w14:paraId="3EEFB546" w14:textId="1FCD968B" w:rsidR="00D401C8" w:rsidRDefault="008D6049" w:rsidP="008D6049">
      <w:pPr>
        <w:pStyle w:val="NormalBulletround"/>
      </w:pPr>
      <w:r>
        <w:t>50</w:t>
      </w:r>
      <w:r w:rsidR="00BB610A">
        <w:t>%</w:t>
      </w:r>
      <w:r w:rsidR="00D401C8">
        <w:t xml:space="preserve"> on delivery and acceptance by ORR of the final report</w:t>
      </w:r>
    </w:p>
    <w:p w14:paraId="3BB5AE4A" w14:textId="4C2DE6EF"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lastRenderedPageBreak/>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362FEBB8" w:rsidR="001768F1" w:rsidRDefault="001768F1" w:rsidP="001768F1">
      <w:r>
        <w:t>The proposals for this project should include an outline of how bidders will meet the requirement outlined in section (ii) “Statement of Requirement”. The following information should be included</w:t>
      </w:r>
      <w:r w:rsidRPr="004A24AB">
        <w:rPr>
          <w:color w:val="B1173B"/>
        </w:rPr>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77D7C539"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37CE5915" w:rsidR="001768F1" w:rsidRDefault="001768F1" w:rsidP="001E7C87">
      <w:pPr>
        <w:pStyle w:val="NormalBullet-"/>
      </w:pPr>
      <w:r>
        <w:t>An understanding of the risks, and explain how they would be mitigated to ensure delivery</w:t>
      </w:r>
      <w:r w:rsidR="00A52D29">
        <w:t xml:space="preserve">; and </w:t>
      </w:r>
    </w:p>
    <w:p w14:paraId="16625C17" w14:textId="74E2F8EB" w:rsidR="001768F1" w:rsidRDefault="001768F1" w:rsidP="001E7C87">
      <w:pPr>
        <w:pStyle w:val="NormalBullet-"/>
      </w:pPr>
      <w:r>
        <w:t>What support bidders will require from ORR</w:t>
      </w:r>
      <w:r w:rsidR="00A52D29">
        <w:t>.</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69DA540F" w:rsidR="001768F1" w:rsidRDefault="001768F1" w:rsidP="001E7C87">
      <w:pPr>
        <w:pStyle w:val="NormalBullet-"/>
      </w:pPr>
      <w:r>
        <w:lastRenderedPageBreak/>
        <w:t>Some relevant examples of previous work that bidders have carried out (eg.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Pr="00BB610A" w:rsidRDefault="005C29ED" w:rsidP="005C29ED">
      <w:pPr>
        <w:rPr>
          <w:rFonts w:eastAsiaTheme="majorEastAsia" w:cstheme="majorBidi"/>
          <w:b/>
          <w:iCs/>
          <w:color w:val="253268" w:themeColor="text2"/>
          <w:sz w:val="28"/>
        </w:rPr>
      </w:pPr>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64E652BC" w:rsidR="005C29ED" w:rsidRDefault="005C29ED" w:rsidP="00D61976">
      <w:pPr>
        <w:pStyle w:val="Heading4"/>
      </w:pPr>
      <w:r>
        <w:t xml:space="preserve">Methodology </w:t>
      </w:r>
      <w:r w:rsidRPr="00BB610A">
        <w:t>(</w:t>
      </w:r>
      <w:r w:rsidR="00A52D29" w:rsidRPr="00BB610A">
        <w:t>30</w:t>
      </w:r>
      <w:r w:rsidRPr="00BB610A">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29"/>
        </w:numPr>
      </w:pPr>
      <w:r>
        <w:lastRenderedPageBreak/>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29"/>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29"/>
        </w:numPr>
      </w:pPr>
      <w:r>
        <w:t>Explain how your organisation will engage with external stakeholders;</w:t>
      </w:r>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787825CF" w:rsidR="005C29ED" w:rsidRDefault="005C29ED" w:rsidP="00350594">
      <w:pPr>
        <w:pStyle w:val="Heading4"/>
      </w:pPr>
      <w:r>
        <w:t xml:space="preserve">Delivery </w:t>
      </w:r>
      <w:r w:rsidRPr="00BB610A">
        <w:t>(</w:t>
      </w:r>
      <w:r w:rsidR="00757B3D" w:rsidRPr="00BB610A">
        <w:t>30</w:t>
      </w:r>
      <w:r w:rsidRPr="00BB610A">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1F304AED" w:rsidR="005C29ED" w:rsidRPr="00BB610A" w:rsidRDefault="005C29ED" w:rsidP="00350594">
      <w:pPr>
        <w:pStyle w:val="Heading4"/>
      </w:pPr>
      <w:r>
        <w:t xml:space="preserve">Experience </w:t>
      </w:r>
      <w:r w:rsidRPr="00BB610A">
        <w:t>(</w:t>
      </w:r>
      <w:r w:rsidR="00A52D29" w:rsidRPr="00BB610A">
        <w:t>30</w:t>
      </w:r>
      <w:r w:rsidRPr="00BB610A">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project;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3822EF67" w:rsidR="005C29ED" w:rsidRDefault="005C29ED" w:rsidP="00350594">
      <w:pPr>
        <w:pStyle w:val="Heading4"/>
      </w:pPr>
      <w:r>
        <w:t xml:space="preserve">Cost / Value for money </w:t>
      </w:r>
      <w:r w:rsidRPr="00BB610A">
        <w:t>(</w:t>
      </w:r>
      <w:r w:rsidR="00757B3D" w:rsidRPr="00BB610A">
        <w:t>10</w:t>
      </w:r>
      <w:r w:rsidRPr="00BB610A">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1155192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11551929"/>
      <w:r>
        <w:t>Tendering Timetable</w:t>
      </w:r>
      <w:bookmarkEnd w:id="20"/>
    </w:p>
    <w:p w14:paraId="04007131" w14:textId="213E10EB" w:rsidR="00C26E3E" w:rsidRDefault="00400432" w:rsidP="00400432">
      <w:r>
        <w:t>The timescales for the procurement process are as follows:</w:t>
      </w:r>
    </w:p>
    <w:tbl>
      <w:tblPr>
        <w:tblW w:w="13438" w:type="dxa"/>
        <w:tblInd w:w="26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300"/>
        <w:gridCol w:w="4069"/>
        <w:gridCol w:w="4069"/>
      </w:tblGrid>
      <w:tr w:rsidR="00BB610A" w:rsidRPr="00400432" w14:paraId="197182DC" w14:textId="4D217CAC" w:rsidTr="00BB610A">
        <w:trPr>
          <w:gridAfter w:val="1"/>
          <w:wAfter w:w="4069" w:type="dxa"/>
          <w:tblHeader/>
        </w:trPr>
        <w:tc>
          <w:tcPr>
            <w:tcW w:w="5300" w:type="dxa"/>
            <w:tcBorders>
              <w:bottom w:val="single" w:sz="12" w:space="0" w:color="FFFFFF"/>
            </w:tcBorders>
            <w:shd w:val="solid" w:color="253268" w:themeColor="dark2" w:fill="253268" w:themeFill="dark2"/>
          </w:tcPr>
          <w:p w14:paraId="0D9AD0CD" w14:textId="77777777" w:rsidR="00BB610A" w:rsidRPr="00400432" w:rsidRDefault="00BB610A"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BB610A" w:rsidRPr="00400432" w:rsidRDefault="00BB610A" w:rsidP="00400432">
            <w:pPr>
              <w:pStyle w:val="TblHeading"/>
            </w:pPr>
            <w:r w:rsidRPr="00400432">
              <w:t>Timescale</w:t>
            </w:r>
          </w:p>
        </w:tc>
      </w:tr>
      <w:tr w:rsidR="00BB610A" w:rsidRPr="00400432" w14:paraId="36ED9179" w14:textId="02FC3832" w:rsidTr="00BB610A">
        <w:tc>
          <w:tcPr>
            <w:tcW w:w="5300" w:type="dxa"/>
            <w:tcBorders>
              <w:bottom w:val="single" w:sz="12" w:space="0" w:color="FFFFFF"/>
            </w:tcBorders>
            <w:shd w:val="clear" w:color="auto" w:fill="FFFFFF" w:themeFill="background1"/>
          </w:tcPr>
          <w:p w14:paraId="32B5FFC6" w14:textId="77777777" w:rsidR="00BB610A" w:rsidRPr="00400432" w:rsidRDefault="00BB610A" w:rsidP="00400432">
            <w:pPr>
              <w:pStyle w:val="TblText"/>
            </w:pPr>
            <w:r w:rsidRPr="00400432">
              <w:t>Invitation to tender issued</w:t>
            </w:r>
          </w:p>
        </w:tc>
        <w:tc>
          <w:tcPr>
            <w:tcW w:w="4069" w:type="dxa"/>
            <w:tcBorders>
              <w:bottom w:val="single" w:sz="12" w:space="0" w:color="FFFFFF"/>
            </w:tcBorders>
            <w:shd w:val="clear" w:color="auto" w:fill="FFFFFF" w:themeFill="background1"/>
          </w:tcPr>
          <w:p w14:paraId="0B221E35" w14:textId="6DB598B7" w:rsidR="00BB610A" w:rsidRPr="00400432" w:rsidRDefault="00BB610A" w:rsidP="00400432">
            <w:pPr>
              <w:pStyle w:val="TblText"/>
            </w:pPr>
            <w:r>
              <w:t>3</w:t>
            </w:r>
            <w:r w:rsidR="00A8079D">
              <w:t>1</w:t>
            </w:r>
            <w:r>
              <w:t>/08/2023</w:t>
            </w:r>
          </w:p>
        </w:tc>
        <w:tc>
          <w:tcPr>
            <w:tcW w:w="4069" w:type="dxa"/>
            <w:tcBorders>
              <w:bottom w:val="single" w:sz="12" w:space="0" w:color="FFFFFF"/>
            </w:tcBorders>
            <w:shd w:val="clear" w:color="auto" w:fill="FFFFFF" w:themeFill="background1"/>
          </w:tcPr>
          <w:p w14:paraId="21047F3A" w14:textId="77777777" w:rsidR="00BB610A" w:rsidRDefault="00BB610A" w:rsidP="00400432">
            <w:pPr>
              <w:pStyle w:val="TblText"/>
            </w:pPr>
          </w:p>
        </w:tc>
      </w:tr>
      <w:tr w:rsidR="00BB610A" w:rsidRPr="00400432" w14:paraId="42283B80" w14:textId="44919C3B" w:rsidTr="00BB610A">
        <w:tc>
          <w:tcPr>
            <w:tcW w:w="5300" w:type="dxa"/>
            <w:tcBorders>
              <w:bottom w:val="single" w:sz="12" w:space="0" w:color="FFFFFF"/>
            </w:tcBorders>
            <w:shd w:val="clear" w:color="auto" w:fill="D9D9E9" w:themeFill="accent6" w:themeFillTint="33"/>
          </w:tcPr>
          <w:p w14:paraId="52F2ADF7" w14:textId="77777777" w:rsidR="00BB610A" w:rsidRPr="00400432" w:rsidRDefault="00BB610A" w:rsidP="00400432">
            <w:pPr>
              <w:pStyle w:val="TblText"/>
            </w:pPr>
            <w:r w:rsidRPr="00400432">
              <w:t>Deadline for the submission of clarification questions</w:t>
            </w:r>
          </w:p>
        </w:tc>
        <w:tc>
          <w:tcPr>
            <w:tcW w:w="4069" w:type="dxa"/>
            <w:tcBorders>
              <w:bottom w:val="single" w:sz="12" w:space="0" w:color="FFFFFF"/>
            </w:tcBorders>
            <w:shd w:val="clear" w:color="auto" w:fill="D9D9E9" w:themeFill="accent6" w:themeFillTint="33"/>
          </w:tcPr>
          <w:p w14:paraId="4308C2DC" w14:textId="1B1EC21B" w:rsidR="00BB610A" w:rsidRPr="00400432" w:rsidRDefault="00BB610A" w:rsidP="00400432">
            <w:pPr>
              <w:pStyle w:val="TblText"/>
            </w:pPr>
            <w:r>
              <w:t>15/09/2023</w:t>
            </w:r>
            <w:r w:rsidR="00A8079D">
              <w:t xml:space="preserve"> 12pm</w:t>
            </w:r>
          </w:p>
        </w:tc>
        <w:tc>
          <w:tcPr>
            <w:tcW w:w="4069" w:type="dxa"/>
            <w:tcBorders>
              <w:bottom w:val="single" w:sz="12" w:space="0" w:color="FFFFFF"/>
            </w:tcBorders>
            <w:shd w:val="clear" w:color="auto" w:fill="FFFFFF" w:themeFill="background1"/>
          </w:tcPr>
          <w:p w14:paraId="21234AD8" w14:textId="77777777" w:rsidR="00BB610A" w:rsidRDefault="00BB610A" w:rsidP="00400432">
            <w:pPr>
              <w:pStyle w:val="TblText"/>
            </w:pPr>
          </w:p>
        </w:tc>
      </w:tr>
      <w:tr w:rsidR="00BB610A" w:rsidRPr="00400432" w14:paraId="66301268" w14:textId="61FAF7EA" w:rsidTr="00BB610A">
        <w:tc>
          <w:tcPr>
            <w:tcW w:w="5300" w:type="dxa"/>
            <w:tcBorders>
              <w:bottom w:val="single" w:sz="12" w:space="0" w:color="FFFFFF"/>
            </w:tcBorders>
            <w:shd w:val="clear" w:color="auto" w:fill="FFFFFF" w:themeFill="background1"/>
          </w:tcPr>
          <w:p w14:paraId="1C7F8594" w14:textId="77777777" w:rsidR="00BB610A" w:rsidRPr="00400432" w:rsidRDefault="00BB610A" w:rsidP="00400432">
            <w:pPr>
              <w:pStyle w:val="TblText"/>
            </w:pPr>
            <w:r w:rsidRPr="00400432">
              <w:t>Deadline for submission of proposals</w:t>
            </w:r>
          </w:p>
        </w:tc>
        <w:tc>
          <w:tcPr>
            <w:tcW w:w="4069" w:type="dxa"/>
            <w:tcBorders>
              <w:bottom w:val="single" w:sz="12" w:space="0" w:color="FFFFFF"/>
            </w:tcBorders>
            <w:shd w:val="clear" w:color="auto" w:fill="FFFFFF" w:themeFill="background1"/>
          </w:tcPr>
          <w:p w14:paraId="63343DB4" w14:textId="6BC3EFEF" w:rsidR="00BB610A" w:rsidRPr="00400432" w:rsidRDefault="00BB610A" w:rsidP="00400432">
            <w:pPr>
              <w:pStyle w:val="TblText"/>
            </w:pPr>
            <w:r>
              <w:t>2</w:t>
            </w:r>
            <w:r w:rsidR="00660DAC">
              <w:t>1</w:t>
            </w:r>
            <w:r>
              <w:t>/09/2023</w:t>
            </w:r>
            <w:r w:rsidR="00A8079D">
              <w:t xml:space="preserve"> 12pm</w:t>
            </w:r>
          </w:p>
        </w:tc>
        <w:tc>
          <w:tcPr>
            <w:tcW w:w="4069" w:type="dxa"/>
            <w:tcBorders>
              <w:bottom w:val="single" w:sz="12" w:space="0" w:color="FFFFFF"/>
            </w:tcBorders>
            <w:shd w:val="clear" w:color="auto" w:fill="FFFFFF" w:themeFill="background1"/>
          </w:tcPr>
          <w:p w14:paraId="7405B5BB" w14:textId="77777777" w:rsidR="00BB610A" w:rsidRDefault="00BB610A" w:rsidP="00400432">
            <w:pPr>
              <w:pStyle w:val="TblText"/>
            </w:pPr>
          </w:p>
        </w:tc>
      </w:tr>
      <w:tr w:rsidR="00BB610A" w:rsidRPr="00400432" w14:paraId="0217C7BB" w14:textId="1A19AC17" w:rsidTr="00BB610A">
        <w:tc>
          <w:tcPr>
            <w:tcW w:w="5300" w:type="dxa"/>
            <w:tcBorders>
              <w:bottom w:val="single" w:sz="12" w:space="0" w:color="FFFFFF"/>
            </w:tcBorders>
            <w:shd w:val="clear" w:color="auto" w:fill="D9D9E9" w:themeFill="accent6" w:themeFillTint="33"/>
          </w:tcPr>
          <w:p w14:paraId="32D5FD17" w14:textId="77777777" w:rsidR="00BB610A" w:rsidRPr="00400432" w:rsidRDefault="00BB610A" w:rsidP="00400432">
            <w:pPr>
              <w:pStyle w:val="TblText"/>
            </w:pPr>
            <w:r w:rsidRPr="00400432">
              <w:t>Interviews and presentations*</w:t>
            </w:r>
          </w:p>
        </w:tc>
        <w:tc>
          <w:tcPr>
            <w:tcW w:w="4069" w:type="dxa"/>
            <w:tcBorders>
              <w:bottom w:val="single" w:sz="12" w:space="0" w:color="FFFFFF"/>
            </w:tcBorders>
            <w:shd w:val="clear" w:color="auto" w:fill="D9D9E9" w:themeFill="accent6" w:themeFillTint="33"/>
          </w:tcPr>
          <w:p w14:paraId="565B27EE" w14:textId="037C5FF1" w:rsidR="00BB610A" w:rsidRPr="00400432" w:rsidRDefault="00BB610A" w:rsidP="00400432">
            <w:pPr>
              <w:pStyle w:val="TblText"/>
            </w:pPr>
            <w:r>
              <w:t>04/10/2023</w:t>
            </w:r>
            <w:r w:rsidRPr="00400432">
              <w:t xml:space="preserve"> if required</w:t>
            </w:r>
          </w:p>
        </w:tc>
        <w:tc>
          <w:tcPr>
            <w:tcW w:w="4069" w:type="dxa"/>
            <w:tcBorders>
              <w:bottom w:val="single" w:sz="12" w:space="0" w:color="FFFFFF"/>
            </w:tcBorders>
            <w:shd w:val="clear" w:color="auto" w:fill="FFFFFF" w:themeFill="background1"/>
          </w:tcPr>
          <w:p w14:paraId="65EBAA39" w14:textId="77777777" w:rsidR="00BB610A" w:rsidRDefault="00BB610A" w:rsidP="00400432">
            <w:pPr>
              <w:pStyle w:val="TblText"/>
            </w:pPr>
          </w:p>
        </w:tc>
      </w:tr>
      <w:tr w:rsidR="00BB610A" w:rsidRPr="00400432" w14:paraId="2D3D0936" w14:textId="1CEE2B92" w:rsidTr="00BB610A">
        <w:tc>
          <w:tcPr>
            <w:tcW w:w="5300" w:type="dxa"/>
            <w:tcBorders>
              <w:bottom w:val="single" w:sz="12" w:space="0" w:color="FFFFFF"/>
            </w:tcBorders>
            <w:shd w:val="clear" w:color="auto" w:fill="FFFFFF" w:themeFill="background1"/>
          </w:tcPr>
          <w:p w14:paraId="6556047B" w14:textId="77777777" w:rsidR="00BB610A" w:rsidRPr="00400432" w:rsidRDefault="00BB610A" w:rsidP="00400432">
            <w:pPr>
              <w:pStyle w:val="TblText"/>
            </w:pPr>
            <w:r w:rsidRPr="00400432">
              <w:t>Award contract</w:t>
            </w:r>
          </w:p>
        </w:tc>
        <w:tc>
          <w:tcPr>
            <w:tcW w:w="4069" w:type="dxa"/>
            <w:tcBorders>
              <w:bottom w:val="single" w:sz="12" w:space="0" w:color="FFFFFF"/>
            </w:tcBorders>
            <w:shd w:val="clear" w:color="auto" w:fill="FFFFFF" w:themeFill="background1"/>
          </w:tcPr>
          <w:p w14:paraId="2FF6E1B1" w14:textId="27F7B97D" w:rsidR="00BB610A" w:rsidRPr="00400432" w:rsidRDefault="00BB610A" w:rsidP="00400432">
            <w:pPr>
              <w:pStyle w:val="TblText"/>
            </w:pPr>
            <w:r>
              <w:t>06/10/2023</w:t>
            </w:r>
          </w:p>
        </w:tc>
        <w:tc>
          <w:tcPr>
            <w:tcW w:w="4069" w:type="dxa"/>
            <w:tcBorders>
              <w:bottom w:val="single" w:sz="12" w:space="0" w:color="FFFFFF"/>
            </w:tcBorders>
            <w:shd w:val="clear" w:color="auto" w:fill="FFFFFF" w:themeFill="background1"/>
          </w:tcPr>
          <w:p w14:paraId="780A31DD" w14:textId="77777777" w:rsidR="00BB610A" w:rsidRDefault="00BB610A" w:rsidP="00400432">
            <w:pPr>
              <w:pStyle w:val="TblText"/>
            </w:pPr>
          </w:p>
        </w:tc>
      </w:tr>
      <w:tr w:rsidR="00BB610A" w:rsidRPr="00400432" w14:paraId="3E83975E" w14:textId="3A27E379" w:rsidTr="00BB610A">
        <w:tc>
          <w:tcPr>
            <w:tcW w:w="5300" w:type="dxa"/>
            <w:shd w:val="clear" w:color="auto" w:fill="D9D9E9" w:themeFill="accent6" w:themeFillTint="33"/>
          </w:tcPr>
          <w:p w14:paraId="19972227" w14:textId="77777777" w:rsidR="00BB610A" w:rsidRPr="00400432" w:rsidRDefault="00BB610A" w:rsidP="00400432">
            <w:pPr>
              <w:pStyle w:val="TblText"/>
            </w:pPr>
            <w:r w:rsidRPr="00400432">
              <w:t>Project Inception Meeting</w:t>
            </w:r>
          </w:p>
        </w:tc>
        <w:tc>
          <w:tcPr>
            <w:tcW w:w="4069" w:type="dxa"/>
            <w:shd w:val="clear" w:color="auto" w:fill="D9D9E9" w:themeFill="accent6" w:themeFillTint="33"/>
          </w:tcPr>
          <w:p w14:paraId="5605FB39" w14:textId="294FEB71" w:rsidR="00BB610A" w:rsidRPr="00400432" w:rsidRDefault="00BB610A" w:rsidP="00400432">
            <w:pPr>
              <w:pStyle w:val="TblText"/>
            </w:pPr>
            <w:r>
              <w:t>w/c 09/10/2023</w:t>
            </w:r>
          </w:p>
        </w:tc>
        <w:tc>
          <w:tcPr>
            <w:tcW w:w="4069" w:type="dxa"/>
            <w:shd w:val="clear" w:color="auto" w:fill="FFFFFF" w:themeFill="background1"/>
          </w:tcPr>
          <w:p w14:paraId="274E59EC" w14:textId="77777777" w:rsidR="00BB610A" w:rsidRDefault="00BB610A" w:rsidP="00400432">
            <w:pPr>
              <w:pStyle w:val="TblText"/>
            </w:pPr>
          </w:p>
        </w:tc>
      </w:tr>
    </w:tbl>
    <w:p w14:paraId="34A006DD" w14:textId="14220BEE" w:rsidR="002D3643" w:rsidRDefault="008E3DAC" w:rsidP="00400432">
      <w:pPr>
        <w:pStyle w:val="TblSource"/>
      </w:pPr>
      <w:r>
        <w:t>*</w:t>
      </w:r>
      <w:r w:rsidR="00400432"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1155193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3"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4"/>
          <w:headerReference w:type="default" r:id="rId25"/>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7"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8"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9" w:history="1">
        <w:r w:rsidR="008F0B87" w:rsidRPr="00C9621C">
          <w:rPr>
            <w:rStyle w:val="Hyperlink"/>
          </w:rPr>
          <w:t>procurementteam@orr.gov.uk</w:t>
        </w:r>
      </w:hyperlink>
      <w:r w:rsidR="008F0B87">
        <w:t xml:space="preserve"> </w:t>
      </w:r>
    </w:p>
    <w:sectPr w:rsidR="00D25F7E" w:rsidRPr="00D25F7E" w:rsidSect="00D25F7E">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9A76BCC"/>
    <w:multiLevelType w:val="multilevel"/>
    <w:tmpl w:val="D79C245A"/>
    <w:numStyleLink w:val="ORRNormalList"/>
  </w:abstractNum>
  <w:abstractNum w:abstractNumId="11"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5"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6" w15:restartNumberingAfterBreak="0">
    <w:nsid w:val="68BD5682"/>
    <w:multiLevelType w:val="multilevel"/>
    <w:tmpl w:val="EAD453D0"/>
    <w:numStyleLink w:val="NumbListHighlight"/>
  </w:abstractNum>
  <w:abstractNum w:abstractNumId="17"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15:restartNumberingAfterBreak="0">
    <w:nsid w:val="774C62AB"/>
    <w:multiLevelType w:val="multilevel"/>
    <w:tmpl w:val="6B204466"/>
    <w:numStyleLink w:val="ORRAnnex"/>
  </w:abstractNum>
  <w:abstractNum w:abstractNumId="20" w15:restartNumberingAfterBreak="0">
    <w:nsid w:val="7DDA5CB4"/>
    <w:multiLevelType w:val="multilevel"/>
    <w:tmpl w:val="6B204466"/>
    <w:numStyleLink w:val="ORRAnnex"/>
  </w:abstractNum>
  <w:num w:numId="1" w16cid:durableId="1233007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18"/>
  </w:num>
  <w:num w:numId="3" w16cid:durableId="615990203">
    <w:abstractNumId w:val="6"/>
  </w:num>
  <w:num w:numId="4" w16cid:durableId="1539008159">
    <w:abstractNumId w:val="14"/>
  </w:num>
  <w:num w:numId="5" w16cid:durableId="1334801291">
    <w:abstractNumId w:val="7"/>
  </w:num>
  <w:num w:numId="6" w16cid:durableId="116142554">
    <w:abstractNumId w:val="10"/>
  </w:num>
  <w:num w:numId="7" w16cid:durableId="1708795862">
    <w:abstractNumId w:val="8"/>
  </w:num>
  <w:num w:numId="8" w16cid:durableId="1432780497">
    <w:abstractNumId w:val="4"/>
  </w:num>
  <w:num w:numId="9" w16cid:durableId="35012236">
    <w:abstractNumId w:val="3"/>
  </w:num>
  <w:num w:numId="10" w16cid:durableId="711077664">
    <w:abstractNumId w:val="0"/>
  </w:num>
  <w:num w:numId="11" w16cid:durableId="1604993918">
    <w:abstractNumId w:val="16"/>
  </w:num>
  <w:num w:numId="12" w16cid:durableId="435447028">
    <w:abstractNumId w:val="15"/>
  </w:num>
  <w:num w:numId="13" w16cid:durableId="2048019962">
    <w:abstractNumId w:val="19"/>
  </w:num>
  <w:num w:numId="14" w16cid:durableId="2025738407">
    <w:abstractNumId w:val="16"/>
  </w:num>
  <w:num w:numId="15" w16cid:durableId="150879135">
    <w:abstractNumId w:val="16"/>
  </w:num>
  <w:num w:numId="16" w16cid:durableId="891042484">
    <w:abstractNumId w:val="16"/>
  </w:num>
  <w:num w:numId="17" w16cid:durableId="727414043">
    <w:abstractNumId w:val="15"/>
  </w:num>
  <w:num w:numId="18" w16cid:durableId="1027833524">
    <w:abstractNumId w:val="1"/>
  </w:num>
  <w:num w:numId="19" w16cid:durableId="50661355">
    <w:abstractNumId w:val="5"/>
  </w:num>
  <w:num w:numId="20" w16cid:durableId="1446195555">
    <w:abstractNumId w:val="3"/>
  </w:num>
  <w:num w:numId="21" w16cid:durableId="558327301">
    <w:abstractNumId w:val="20"/>
  </w:num>
  <w:num w:numId="22" w16cid:durableId="463500638">
    <w:abstractNumId w:val="12"/>
  </w:num>
  <w:num w:numId="23" w16cid:durableId="1527019102">
    <w:abstractNumId w:val="2"/>
  </w:num>
  <w:num w:numId="24" w16cid:durableId="1992102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9"/>
  </w:num>
  <w:num w:numId="26" w16cid:durableId="1830293373">
    <w:abstractNumId w:val="17"/>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3"/>
  </w:num>
  <w:num w:numId="33" w16cid:durableId="2078430535">
    <w:abstractNumId w:val="3"/>
  </w:num>
  <w:num w:numId="34" w16cid:durableId="155414866">
    <w:abstractNumId w:val="3"/>
  </w:num>
  <w:num w:numId="35" w16cid:durableId="190683547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3350C"/>
    <w:rsid w:val="00036DEB"/>
    <w:rsid w:val="00037BD2"/>
    <w:rsid w:val="00042B65"/>
    <w:rsid w:val="00043DA2"/>
    <w:rsid w:val="0004428A"/>
    <w:rsid w:val="00045607"/>
    <w:rsid w:val="0005181F"/>
    <w:rsid w:val="00066737"/>
    <w:rsid w:val="000735F1"/>
    <w:rsid w:val="00076B67"/>
    <w:rsid w:val="000833AF"/>
    <w:rsid w:val="00084783"/>
    <w:rsid w:val="00084972"/>
    <w:rsid w:val="0008514C"/>
    <w:rsid w:val="000876CB"/>
    <w:rsid w:val="0009126F"/>
    <w:rsid w:val="0009203F"/>
    <w:rsid w:val="000A0438"/>
    <w:rsid w:val="000A6DE7"/>
    <w:rsid w:val="000B0266"/>
    <w:rsid w:val="000B2019"/>
    <w:rsid w:val="000B309A"/>
    <w:rsid w:val="000B6176"/>
    <w:rsid w:val="000C7B66"/>
    <w:rsid w:val="000D2970"/>
    <w:rsid w:val="000E135E"/>
    <w:rsid w:val="000E5AB1"/>
    <w:rsid w:val="000E5E49"/>
    <w:rsid w:val="000E650F"/>
    <w:rsid w:val="000F4554"/>
    <w:rsid w:val="000F5529"/>
    <w:rsid w:val="000F70BB"/>
    <w:rsid w:val="000F7BB6"/>
    <w:rsid w:val="001012B6"/>
    <w:rsid w:val="00102F62"/>
    <w:rsid w:val="00120892"/>
    <w:rsid w:val="00120F3C"/>
    <w:rsid w:val="0012193D"/>
    <w:rsid w:val="00124D1D"/>
    <w:rsid w:val="00127F60"/>
    <w:rsid w:val="00137015"/>
    <w:rsid w:val="00137A97"/>
    <w:rsid w:val="00141746"/>
    <w:rsid w:val="001518CF"/>
    <w:rsid w:val="001526A6"/>
    <w:rsid w:val="00155088"/>
    <w:rsid w:val="0015625B"/>
    <w:rsid w:val="00156D5F"/>
    <w:rsid w:val="00160B26"/>
    <w:rsid w:val="00162B03"/>
    <w:rsid w:val="001659DD"/>
    <w:rsid w:val="00175A76"/>
    <w:rsid w:val="001768F1"/>
    <w:rsid w:val="00180E47"/>
    <w:rsid w:val="0018485E"/>
    <w:rsid w:val="001858EB"/>
    <w:rsid w:val="00185E6B"/>
    <w:rsid w:val="00194E09"/>
    <w:rsid w:val="00195C79"/>
    <w:rsid w:val="001A00F0"/>
    <w:rsid w:val="001A1058"/>
    <w:rsid w:val="001B0AE0"/>
    <w:rsid w:val="001B3FD8"/>
    <w:rsid w:val="001B54A7"/>
    <w:rsid w:val="001B551F"/>
    <w:rsid w:val="001B5A48"/>
    <w:rsid w:val="001B62CD"/>
    <w:rsid w:val="001B71F8"/>
    <w:rsid w:val="001C60A4"/>
    <w:rsid w:val="001D1536"/>
    <w:rsid w:val="001D51C8"/>
    <w:rsid w:val="001D590D"/>
    <w:rsid w:val="001D5DF3"/>
    <w:rsid w:val="001E23F4"/>
    <w:rsid w:val="001E7C87"/>
    <w:rsid w:val="001F1140"/>
    <w:rsid w:val="001F55B8"/>
    <w:rsid w:val="001F6DCD"/>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433A"/>
    <w:rsid w:val="00286CF2"/>
    <w:rsid w:val="0028735A"/>
    <w:rsid w:val="0029283C"/>
    <w:rsid w:val="00293D38"/>
    <w:rsid w:val="00297104"/>
    <w:rsid w:val="002B3B7B"/>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11FD5"/>
    <w:rsid w:val="003228CE"/>
    <w:rsid w:val="003247A4"/>
    <w:rsid w:val="003366E7"/>
    <w:rsid w:val="0034288F"/>
    <w:rsid w:val="00343838"/>
    <w:rsid w:val="00347F87"/>
    <w:rsid w:val="00350594"/>
    <w:rsid w:val="003543C0"/>
    <w:rsid w:val="0035753E"/>
    <w:rsid w:val="003647C8"/>
    <w:rsid w:val="0036504A"/>
    <w:rsid w:val="00372316"/>
    <w:rsid w:val="00372ABD"/>
    <w:rsid w:val="00374BAE"/>
    <w:rsid w:val="0037522A"/>
    <w:rsid w:val="003760F0"/>
    <w:rsid w:val="003764B8"/>
    <w:rsid w:val="003813C5"/>
    <w:rsid w:val="00384699"/>
    <w:rsid w:val="00385387"/>
    <w:rsid w:val="00385F6B"/>
    <w:rsid w:val="00386AF7"/>
    <w:rsid w:val="00386E0A"/>
    <w:rsid w:val="003A024E"/>
    <w:rsid w:val="003A5AC1"/>
    <w:rsid w:val="003A6CAD"/>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6A12"/>
    <w:rsid w:val="004276BA"/>
    <w:rsid w:val="004308C7"/>
    <w:rsid w:val="00433557"/>
    <w:rsid w:val="00433D4D"/>
    <w:rsid w:val="004372B6"/>
    <w:rsid w:val="0043752D"/>
    <w:rsid w:val="00437772"/>
    <w:rsid w:val="0044151A"/>
    <w:rsid w:val="004437C1"/>
    <w:rsid w:val="004462A6"/>
    <w:rsid w:val="00446747"/>
    <w:rsid w:val="00451C67"/>
    <w:rsid w:val="00452F29"/>
    <w:rsid w:val="00454D76"/>
    <w:rsid w:val="00457556"/>
    <w:rsid w:val="00465E6B"/>
    <w:rsid w:val="00471099"/>
    <w:rsid w:val="00472A7C"/>
    <w:rsid w:val="00476327"/>
    <w:rsid w:val="0048300B"/>
    <w:rsid w:val="0048774B"/>
    <w:rsid w:val="00490915"/>
    <w:rsid w:val="00494943"/>
    <w:rsid w:val="0049513F"/>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65AD"/>
    <w:rsid w:val="00526956"/>
    <w:rsid w:val="00530F48"/>
    <w:rsid w:val="00532B91"/>
    <w:rsid w:val="00534962"/>
    <w:rsid w:val="00536EB2"/>
    <w:rsid w:val="00544099"/>
    <w:rsid w:val="00546AF7"/>
    <w:rsid w:val="00555585"/>
    <w:rsid w:val="005612F3"/>
    <w:rsid w:val="005635FA"/>
    <w:rsid w:val="00574B16"/>
    <w:rsid w:val="00576FA4"/>
    <w:rsid w:val="00580A77"/>
    <w:rsid w:val="00585CEE"/>
    <w:rsid w:val="00591161"/>
    <w:rsid w:val="00596F73"/>
    <w:rsid w:val="005B27FB"/>
    <w:rsid w:val="005B3ED1"/>
    <w:rsid w:val="005B621F"/>
    <w:rsid w:val="005B7791"/>
    <w:rsid w:val="005C0E21"/>
    <w:rsid w:val="005C29ED"/>
    <w:rsid w:val="005C5BD8"/>
    <w:rsid w:val="005C6471"/>
    <w:rsid w:val="005C78C8"/>
    <w:rsid w:val="005D0524"/>
    <w:rsid w:val="005D169D"/>
    <w:rsid w:val="005D45FD"/>
    <w:rsid w:val="005E1447"/>
    <w:rsid w:val="005E1F2E"/>
    <w:rsid w:val="005E2832"/>
    <w:rsid w:val="005E2FF2"/>
    <w:rsid w:val="005F12AF"/>
    <w:rsid w:val="005F217E"/>
    <w:rsid w:val="005F2187"/>
    <w:rsid w:val="005F2393"/>
    <w:rsid w:val="005F31A1"/>
    <w:rsid w:val="005F386D"/>
    <w:rsid w:val="005F74FA"/>
    <w:rsid w:val="006023B5"/>
    <w:rsid w:val="0060629A"/>
    <w:rsid w:val="00613440"/>
    <w:rsid w:val="00615D12"/>
    <w:rsid w:val="00617B7F"/>
    <w:rsid w:val="006242F0"/>
    <w:rsid w:val="006316B1"/>
    <w:rsid w:val="00632A37"/>
    <w:rsid w:val="00636173"/>
    <w:rsid w:val="00637198"/>
    <w:rsid w:val="00640445"/>
    <w:rsid w:val="00645AEB"/>
    <w:rsid w:val="00645EB9"/>
    <w:rsid w:val="006465D2"/>
    <w:rsid w:val="0065616A"/>
    <w:rsid w:val="00660DAC"/>
    <w:rsid w:val="0066567C"/>
    <w:rsid w:val="006701F0"/>
    <w:rsid w:val="0067313B"/>
    <w:rsid w:val="00673E70"/>
    <w:rsid w:val="00680F51"/>
    <w:rsid w:val="00683A4B"/>
    <w:rsid w:val="00683F80"/>
    <w:rsid w:val="00691342"/>
    <w:rsid w:val="006A063F"/>
    <w:rsid w:val="006A6751"/>
    <w:rsid w:val="006B10E9"/>
    <w:rsid w:val="006B198C"/>
    <w:rsid w:val="006B27E0"/>
    <w:rsid w:val="006C004C"/>
    <w:rsid w:val="006C02BD"/>
    <w:rsid w:val="006C15DB"/>
    <w:rsid w:val="006C7602"/>
    <w:rsid w:val="006D1DD8"/>
    <w:rsid w:val="006D451E"/>
    <w:rsid w:val="006D4741"/>
    <w:rsid w:val="006D6465"/>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857"/>
    <w:rsid w:val="00745B89"/>
    <w:rsid w:val="00745F36"/>
    <w:rsid w:val="00752063"/>
    <w:rsid w:val="00755F22"/>
    <w:rsid w:val="0075633E"/>
    <w:rsid w:val="0075674E"/>
    <w:rsid w:val="00756E0D"/>
    <w:rsid w:val="00757472"/>
    <w:rsid w:val="00757B3D"/>
    <w:rsid w:val="00760514"/>
    <w:rsid w:val="00762C46"/>
    <w:rsid w:val="00763F4B"/>
    <w:rsid w:val="007679D8"/>
    <w:rsid w:val="00773068"/>
    <w:rsid w:val="00785291"/>
    <w:rsid w:val="00785937"/>
    <w:rsid w:val="00790401"/>
    <w:rsid w:val="00790AD2"/>
    <w:rsid w:val="00791057"/>
    <w:rsid w:val="0079264A"/>
    <w:rsid w:val="00796755"/>
    <w:rsid w:val="00796E71"/>
    <w:rsid w:val="007979A7"/>
    <w:rsid w:val="00797F75"/>
    <w:rsid w:val="007A1F12"/>
    <w:rsid w:val="007B1555"/>
    <w:rsid w:val="007C43C1"/>
    <w:rsid w:val="007D5014"/>
    <w:rsid w:val="007E2744"/>
    <w:rsid w:val="007E4EC4"/>
    <w:rsid w:val="007E6E4B"/>
    <w:rsid w:val="007F3F24"/>
    <w:rsid w:val="007F4B75"/>
    <w:rsid w:val="007F6498"/>
    <w:rsid w:val="007F6B18"/>
    <w:rsid w:val="00806042"/>
    <w:rsid w:val="008122F2"/>
    <w:rsid w:val="008145A2"/>
    <w:rsid w:val="0081555F"/>
    <w:rsid w:val="0081639D"/>
    <w:rsid w:val="008174A6"/>
    <w:rsid w:val="00826F5D"/>
    <w:rsid w:val="008277B1"/>
    <w:rsid w:val="00831EE0"/>
    <w:rsid w:val="0083798F"/>
    <w:rsid w:val="00841B8C"/>
    <w:rsid w:val="008422F2"/>
    <w:rsid w:val="00845EDF"/>
    <w:rsid w:val="008475B8"/>
    <w:rsid w:val="008477F5"/>
    <w:rsid w:val="00851E44"/>
    <w:rsid w:val="00852E5A"/>
    <w:rsid w:val="00856DAD"/>
    <w:rsid w:val="008624E2"/>
    <w:rsid w:val="008640BB"/>
    <w:rsid w:val="008667A9"/>
    <w:rsid w:val="00873479"/>
    <w:rsid w:val="0087426B"/>
    <w:rsid w:val="00882BEF"/>
    <w:rsid w:val="00884568"/>
    <w:rsid w:val="00885126"/>
    <w:rsid w:val="00886DE9"/>
    <w:rsid w:val="00887AE1"/>
    <w:rsid w:val="00890BB8"/>
    <w:rsid w:val="008911C0"/>
    <w:rsid w:val="00892039"/>
    <w:rsid w:val="00892CA9"/>
    <w:rsid w:val="00894644"/>
    <w:rsid w:val="008946A7"/>
    <w:rsid w:val="00894D7D"/>
    <w:rsid w:val="00897A5A"/>
    <w:rsid w:val="008A1C58"/>
    <w:rsid w:val="008A1E4C"/>
    <w:rsid w:val="008A25C5"/>
    <w:rsid w:val="008A7042"/>
    <w:rsid w:val="008A771E"/>
    <w:rsid w:val="008B39F2"/>
    <w:rsid w:val="008B50A1"/>
    <w:rsid w:val="008B6DC1"/>
    <w:rsid w:val="008C091C"/>
    <w:rsid w:val="008C1870"/>
    <w:rsid w:val="008C30D2"/>
    <w:rsid w:val="008C5B75"/>
    <w:rsid w:val="008D4781"/>
    <w:rsid w:val="008D5E69"/>
    <w:rsid w:val="008D6049"/>
    <w:rsid w:val="008D60C8"/>
    <w:rsid w:val="008E3D37"/>
    <w:rsid w:val="008E3DAC"/>
    <w:rsid w:val="008E3E7D"/>
    <w:rsid w:val="008E5AE2"/>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75BF"/>
    <w:rsid w:val="0094130E"/>
    <w:rsid w:val="00945239"/>
    <w:rsid w:val="009617D1"/>
    <w:rsid w:val="00963E0B"/>
    <w:rsid w:val="009646F5"/>
    <w:rsid w:val="009703EC"/>
    <w:rsid w:val="00973BC6"/>
    <w:rsid w:val="009757DA"/>
    <w:rsid w:val="00981E60"/>
    <w:rsid w:val="009822CC"/>
    <w:rsid w:val="00982820"/>
    <w:rsid w:val="009852F9"/>
    <w:rsid w:val="0099269F"/>
    <w:rsid w:val="00992B05"/>
    <w:rsid w:val="00994102"/>
    <w:rsid w:val="009942BE"/>
    <w:rsid w:val="009A5DA3"/>
    <w:rsid w:val="009B04F7"/>
    <w:rsid w:val="009B39AE"/>
    <w:rsid w:val="009B5565"/>
    <w:rsid w:val="009C3E78"/>
    <w:rsid w:val="009C5155"/>
    <w:rsid w:val="009C7888"/>
    <w:rsid w:val="009D4BF5"/>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46005"/>
    <w:rsid w:val="00A5113C"/>
    <w:rsid w:val="00A525B9"/>
    <w:rsid w:val="00A52D29"/>
    <w:rsid w:val="00A575FC"/>
    <w:rsid w:val="00A66AC8"/>
    <w:rsid w:val="00A67863"/>
    <w:rsid w:val="00A70557"/>
    <w:rsid w:val="00A739EA"/>
    <w:rsid w:val="00A73FDA"/>
    <w:rsid w:val="00A77317"/>
    <w:rsid w:val="00A8079D"/>
    <w:rsid w:val="00A90826"/>
    <w:rsid w:val="00A93476"/>
    <w:rsid w:val="00A95FB0"/>
    <w:rsid w:val="00AB3000"/>
    <w:rsid w:val="00AB6599"/>
    <w:rsid w:val="00AC3F17"/>
    <w:rsid w:val="00AE1221"/>
    <w:rsid w:val="00AE4B04"/>
    <w:rsid w:val="00AF205E"/>
    <w:rsid w:val="00AF2FE3"/>
    <w:rsid w:val="00AF41B0"/>
    <w:rsid w:val="00AF5A70"/>
    <w:rsid w:val="00AF7AF9"/>
    <w:rsid w:val="00B017A5"/>
    <w:rsid w:val="00B04D1F"/>
    <w:rsid w:val="00B0622B"/>
    <w:rsid w:val="00B111AB"/>
    <w:rsid w:val="00B20994"/>
    <w:rsid w:val="00B2713B"/>
    <w:rsid w:val="00B2725F"/>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B610A"/>
    <w:rsid w:val="00BD1EDB"/>
    <w:rsid w:val="00BE1FE1"/>
    <w:rsid w:val="00BE2981"/>
    <w:rsid w:val="00BE7901"/>
    <w:rsid w:val="00BF056F"/>
    <w:rsid w:val="00BF2BC5"/>
    <w:rsid w:val="00BF321E"/>
    <w:rsid w:val="00BF3BAC"/>
    <w:rsid w:val="00BF50D6"/>
    <w:rsid w:val="00C00032"/>
    <w:rsid w:val="00C129B9"/>
    <w:rsid w:val="00C12DE6"/>
    <w:rsid w:val="00C15B7B"/>
    <w:rsid w:val="00C16316"/>
    <w:rsid w:val="00C23E57"/>
    <w:rsid w:val="00C260C9"/>
    <w:rsid w:val="00C26E3E"/>
    <w:rsid w:val="00C32699"/>
    <w:rsid w:val="00C34125"/>
    <w:rsid w:val="00C35494"/>
    <w:rsid w:val="00C42B54"/>
    <w:rsid w:val="00C43F22"/>
    <w:rsid w:val="00C4471E"/>
    <w:rsid w:val="00C44B4E"/>
    <w:rsid w:val="00C50737"/>
    <w:rsid w:val="00C50F62"/>
    <w:rsid w:val="00C54CD1"/>
    <w:rsid w:val="00C57A84"/>
    <w:rsid w:val="00C602D8"/>
    <w:rsid w:val="00C6176E"/>
    <w:rsid w:val="00C61F00"/>
    <w:rsid w:val="00C6719E"/>
    <w:rsid w:val="00C7169D"/>
    <w:rsid w:val="00C76E4E"/>
    <w:rsid w:val="00C81D2B"/>
    <w:rsid w:val="00C83E72"/>
    <w:rsid w:val="00C8418E"/>
    <w:rsid w:val="00C84CC1"/>
    <w:rsid w:val="00C91699"/>
    <w:rsid w:val="00C97CC2"/>
    <w:rsid w:val="00C97F2B"/>
    <w:rsid w:val="00CA080B"/>
    <w:rsid w:val="00CA25B2"/>
    <w:rsid w:val="00CA2A88"/>
    <w:rsid w:val="00CB28B5"/>
    <w:rsid w:val="00CB359C"/>
    <w:rsid w:val="00CC0085"/>
    <w:rsid w:val="00CC21C9"/>
    <w:rsid w:val="00CC51FF"/>
    <w:rsid w:val="00CD62FF"/>
    <w:rsid w:val="00CE2434"/>
    <w:rsid w:val="00CE4C99"/>
    <w:rsid w:val="00CE4F9A"/>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566"/>
    <w:rsid w:val="00D55AD3"/>
    <w:rsid w:val="00D55BB5"/>
    <w:rsid w:val="00D6141A"/>
    <w:rsid w:val="00D6160E"/>
    <w:rsid w:val="00D61976"/>
    <w:rsid w:val="00D643F1"/>
    <w:rsid w:val="00D7043B"/>
    <w:rsid w:val="00D7062B"/>
    <w:rsid w:val="00D70ECD"/>
    <w:rsid w:val="00D735B7"/>
    <w:rsid w:val="00D776B6"/>
    <w:rsid w:val="00D8563F"/>
    <w:rsid w:val="00D92143"/>
    <w:rsid w:val="00D933A3"/>
    <w:rsid w:val="00D973E5"/>
    <w:rsid w:val="00D97BF7"/>
    <w:rsid w:val="00DA0028"/>
    <w:rsid w:val="00DA02F0"/>
    <w:rsid w:val="00DA0DA7"/>
    <w:rsid w:val="00DA1456"/>
    <w:rsid w:val="00DA19CC"/>
    <w:rsid w:val="00DA2F53"/>
    <w:rsid w:val="00DA39EF"/>
    <w:rsid w:val="00DA5AE6"/>
    <w:rsid w:val="00DB0136"/>
    <w:rsid w:val="00DB02EF"/>
    <w:rsid w:val="00DB54FF"/>
    <w:rsid w:val="00DB7BCE"/>
    <w:rsid w:val="00DC0F9E"/>
    <w:rsid w:val="00DC6AE7"/>
    <w:rsid w:val="00DD1BE1"/>
    <w:rsid w:val="00DD1F06"/>
    <w:rsid w:val="00DD276E"/>
    <w:rsid w:val="00DD35AB"/>
    <w:rsid w:val="00DD6763"/>
    <w:rsid w:val="00DD758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60E5"/>
    <w:rsid w:val="00E3647D"/>
    <w:rsid w:val="00E450CC"/>
    <w:rsid w:val="00E46FDA"/>
    <w:rsid w:val="00E478C5"/>
    <w:rsid w:val="00E507FC"/>
    <w:rsid w:val="00E54EEF"/>
    <w:rsid w:val="00E5669C"/>
    <w:rsid w:val="00E57950"/>
    <w:rsid w:val="00E57EDD"/>
    <w:rsid w:val="00E61A8D"/>
    <w:rsid w:val="00E63058"/>
    <w:rsid w:val="00E638CC"/>
    <w:rsid w:val="00E73450"/>
    <w:rsid w:val="00E73568"/>
    <w:rsid w:val="00E8348A"/>
    <w:rsid w:val="00E871F3"/>
    <w:rsid w:val="00E90359"/>
    <w:rsid w:val="00E90510"/>
    <w:rsid w:val="00E94F29"/>
    <w:rsid w:val="00E955B8"/>
    <w:rsid w:val="00E96219"/>
    <w:rsid w:val="00EA39F1"/>
    <w:rsid w:val="00EA449D"/>
    <w:rsid w:val="00EA6405"/>
    <w:rsid w:val="00EA78E7"/>
    <w:rsid w:val="00EB0DC4"/>
    <w:rsid w:val="00EB0EDA"/>
    <w:rsid w:val="00EB2718"/>
    <w:rsid w:val="00EB4D22"/>
    <w:rsid w:val="00EB64CF"/>
    <w:rsid w:val="00EB6E48"/>
    <w:rsid w:val="00EB72F2"/>
    <w:rsid w:val="00EC2A84"/>
    <w:rsid w:val="00EC3758"/>
    <w:rsid w:val="00EC4B09"/>
    <w:rsid w:val="00EC5142"/>
    <w:rsid w:val="00EC6B13"/>
    <w:rsid w:val="00ED0457"/>
    <w:rsid w:val="00ED0A15"/>
    <w:rsid w:val="00ED3BA5"/>
    <w:rsid w:val="00ED6FD1"/>
    <w:rsid w:val="00EE0513"/>
    <w:rsid w:val="00EE278D"/>
    <w:rsid w:val="00EE3DF5"/>
    <w:rsid w:val="00EE5809"/>
    <w:rsid w:val="00EE5FED"/>
    <w:rsid w:val="00EF09B1"/>
    <w:rsid w:val="00EF33AC"/>
    <w:rsid w:val="00EF3FD3"/>
    <w:rsid w:val="00EF62CE"/>
    <w:rsid w:val="00F01773"/>
    <w:rsid w:val="00F052B9"/>
    <w:rsid w:val="00F056ED"/>
    <w:rsid w:val="00F1129E"/>
    <w:rsid w:val="00F165F6"/>
    <w:rsid w:val="00F20E70"/>
    <w:rsid w:val="00F2241A"/>
    <w:rsid w:val="00F22872"/>
    <w:rsid w:val="00F23344"/>
    <w:rsid w:val="00F24468"/>
    <w:rsid w:val="00F266B7"/>
    <w:rsid w:val="00F27257"/>
    <w:rsid w:val="00F309D3"/>
    <w:rsid w:val="00F331AE"/>
    <w:rsid w:val="00F33BA6"/>
    <w:rsid w:val="00F345E3"/>
    <w:rsid w:val="00F3535F"/>
    <w:rsid w:val="00F35764"/>
    <w:rsid w:val="00F373D0"/>
    <w:rsid w:val="00F4453E"/>
    <w:rsid w:val="00F521D3"/>
    <w:rsid w:val="00F52217"/>
    <w:rsid w:val="00F54D62"/>
    <w:rsid w:val="00F670B0"/>
    <w:rsid w:val="00F679B4"/>
    <w:rsid w:val="00F708E3"/>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E644F"/>
    <w:rsid w:val="00FF09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21" Type="http://schemas.openxmlformats.org/officeDocument/2006/relationships/hyperlink" Target="https://www.orr.gov.uk/sites/default/files/2022-05/ris3-renewals-planning-task-1-eam-report.pdf" TargetMode="Externa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search-consultations/orrs-role-and-approach-ris3" TargetMode="External"/><Relationship Id="rId29" Type="http://schemas.openxmlformats.org/officeDocument/2006/relationships/hyperlink" Target="mailto:procurementteam@orr.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orr.gov.uk/media/23638" TargetMode="External"/><Relationship Id="rId28" Type="http://schemas.openxmlformats.org/officeDocument/2006/relationships/hyperlink" Target="https://www.gov.uk/contracts-finder"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orr.gov.uk/media/23638" TargetMode="External"/><Relationship Id="rId27" Type="http://schemas.openxmlformats.org/officeDocument/2006/relationships/hyperlink" Target="http:\\www.nationalarchives.gov.uk/doc/open-government-licence/version/3" TargetMode="External"/><Relationship Id="rId30" Type="http://schemas.openxmlformats.org/officeDocument/2006/relationships/header" Target="header8.xml"/><Relationship Id="rId35" Type="http://schemas.openxmlformats.org/officeDocument/2006/relationships/footer" Target="footer8.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3A6E9F"/>
    <w:rsid w:val="0052131C"/>
    <w:rsid w:val="00843948"/>
    <w:rsid w:val="0090447A"/>
    <w:rsid w:val="009E0644"/>
    <w:rsid w:val="00A257DF"/>
    <w:rsid w:val="00A72823"/>
    <w:rsid w:val="00F06A05"/>
    <w:rsid w:val="00FB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335</TotalTime>
  <Pages>24</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Title of project</dc:subject>
  <dc:creator>Angeriz-Santos, Paula</dc:creator>
  <cp:keywords/>
  <dc:description/>
  <cp:lastModifiedBy>Augusto, Barbara</cp:lastModifiedBy>
  <cp:revision>24</cp:revision>
  <cp:lastPrinted>2021-02-24T15:29:00Z</cp:lastPrinted>
  <dcterms:created xsi:type="dcterms:W3CDTF">2023-07-21T09:33:00Z</dcterms:created>
  <dcterms:modified xsi:type="dcterms:W3CDTF">2023-08-31T08:12:00Z</dcterms:modified>
</cp:coreProperties>
</file>