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275923" w:rsidRPr="0067203F" w:rsidRDefault="00E072A5" w:rsidP="00275923">
      <w:pPr>
        <w:pStyle w:val="Heading2"/>
        <w:numPr>
          <w:ilvl w:val="0"/>
          <w:numId w:val="0"/>
        </w:numPr>
        <w:jc w:val="center"/>
        <w:rPr>
          <w:b/>
        </w:rPr>
      </w:pPr>
      <w:r>
        <w:rPr>
          <w:b/>
        </w:rPr>
        <w:t>NHS Arden &amp; GEM CSU</w:t>
      </w:r>
    </w:p>
    <w:p w:rsidR="00B04484" w:rsidRPr="0067203F" w:rsidRDefault="00B04484" w:rsidP="00275923">
      <w:pPr>
        <w:pStyle w:val="Heading2"/>
        <w:numPr>
          <w:ilvl w:val="0"/>
          <w:numId w:val="0"/>
        </w:numPr>
        <w:jc w:val="center"/>
        <w:rPr>
          <w:b/>
        </w:rPr>
      </w:pPr>
    </w:p>
    <w:p w:rsidR="00E072A5" w:rsidRPr="005D7675" w:rsidRDefault="00E072A5" w:rsidP="00E072A5">
      <w:pPr>
        <w:pStyle w:val="Heading2"/>
        <w:numPr>
          <w:ilvl w:val="0"/>
          <w:numId w:val="0"/>
        </w:numPr>
        <w:jc w:val="center"/>
        <w:rPr>
          <w:b/>
        </w:rPr>
      </w:pPr>
      <w:r w:rsidRPr="005D7675">
        <w:rPr>
          <w:b/>
        </w:rPr>
        <w:t xml:space="preserve">Invitation to tender for </w:t>
      </w:r>
      <w:r w:rsidR="0080033D" w:rsidRPr="0080033D">
        <w:rPr>
          <w:b/>
        </w:rPr>
        <w:t xml:space="preserve">PBR Analysis and Recommendations </w:t>
      </w:r>
      <w:r w:rsidRPr="00045DB9">
        <w:rPr>
          <w:b/>
        </w:rPr>
        <w:t>for NHS England</w:t>
      </w:r>
    </w:p>
    <w:p w:rsidR="00E072A5" w:rsidRPr="005D7675" w:rsidRDefault="00E072A5" w:rsidP="00E072A5">
      <w:pPr>
        <w:pStyle w:val="Heading2"/>
        <w:numPr>
          <w:ilvl w:val="0"/>
          <w:numId w:val="0"/>
        </w:numPr>
        <w:jc w:val="center"/>
        <w:rPr>
          <w:b/>
        </w:rPr>
      </w:pPr>
    </w:p>
    <w:p w:rsidR="00E072A5" w:rsidRPr="005D7675" w:rsidRDefault="00E072A5" w:rsidP="00E072A5">
      <w:pPr>
        <w:pStyle w:val="Heading2"/>
        <w:numPr>
          <w:ilvl w:val="0"/>
          <w:numId w:val="0"/>
        </w:numPr>
        <w:jc w:val="center"/>
        <w:rPr>
          <w:b/>
          <w:shd w:val="clear" w:color="auto" w:fill="FFFF66"/>
        </w:rPr>
      </w:pPr>
      <w:r w:rsidRPr="005D7675">
        <w:rPr>
          <w:b/>
        </w:rPr>
        <w:t xml:space="preserve">Date of advertisement on Contract Finder:  </w:t>
      </w:r>
      <w:r w:rsidR="00491C1B">
        <w:rPr>
          <w:b/>
        </w:rPr>
        <w:t>26th</w:t>
      </w:r>
      <w:r w:rsidR="0080033D">
        <w:rPr>
          <w:b/>
        </w:rPr>
        <w:t xml:space="preserve"> September 2017</w:t>
      </w:r>
    </w:p>
    <w:p w:rsidR="00E072A5" w:rsidRPr="005D7675" w:rsidRDefault="00E072A5" w:rsidP="00E072A5">
      <w:pPr>
        <w:pStyle w:val="Heading2"/>
        <w:numPr>
          <w:ilvl w:val="0"/>
          <w:numId w:val="0"/>
        </w:numPr>
        <w:jc w:val="center"/>
        <w:rPr>
          <w:b/>
          <w:shd w:val="clear" w:color="auto" w:fill="FFFF66"/>
        </w:rPr>
      </w:pPr>
    </w:p>
    <w:p w:rsidR="00E072A5" w:rsidRPr="005D7675" w:rsidRDefault="00E072A5" w:rsidP="00E072A5">
      <w:pPr>
        <w:pStyle w:val="Heading2"/>
        <w:numPr>
          <w:ilvl w:val="0"/>
          <w:numId w:val="0"/>
        </w:numPr>
        <w:jc w:val="center"/>
        <w:rPr>
          <w:b/>
          <w:shd w:val="clear" w:color="auto" w:fill="FFFF66"/>
        </w:rPr>
      </w:pPr>
    </w:p>
    <w:p w:rsidR="00E072A5" w:rsidRPr="005D7675" w:rsidRDefault="00E072A5" w:rsidP="00E072A5">
      <w:pPr>
        <w:pStyle w:val="Heading2"/>
        <w:numPr>
          <w:ilvl w:val="0"/>
          <w:numId w:val="0"/>
        </w:numPr>
        <w:jc w:val="center"/>
        <w:rPr>
          <w:b/>
        </w:rPr>
      </w:pPr>
      <w:r w:rsidRPr="005D7675">
        <w:rPr>
          <w:b/>
        </w:rPr>
        <w:t>Authority's reference number:  AGEMCSU/TRANS/17</w:t>
      </w:r>
      <w:r w:rsidR="0080033D">
        <w:rPr>
          <w:b/>
        </w:rPr>
        <w:t>/470</w:t>
      </w:r>
    </w:p>
    <w:p w:rsidR="00E072A5" w:rsidRPr="005D7675" w:rsidRDefault="00E072A5" w:rsidP="00E072A5">
      <w:pPr>
        <w:pStyle w:val="Heading2"/>
        <w:numPr>
          <w:ilvl w:val="0"/>
          <w:numId w:val="0"/>
        </w:numPr>
        <w:jc w:val="center"/>
        <w:rPr>
          <w:b/>
        </w:rPr>
      </w:pPr>
    </w:p>
    <w:p w:rsidR="00E072A5" w:rsidRPr="005D7675" w:rsidRDefault="00E072A5" w:rsidP="00E072A5">
      <w:pPr>
        <w:pStyle w:val="Heading2"/>
        <w:numPr>
          <w:ilvl w:val="0"/>
          <w:numId w:val="0"/>
        </w:numPr>
        <w:jc w:val="center"/>
        <w:rPr>
          <w:b/>
        </w:rPr>
      </w:pPr>
    </w:p>
    <w:p w:rsidR="00E072A5" w:rsidRPr="005D7675" w:rsidRDefault="00E072A5" w:rsidP="00E072A5">
      <w:pPr>
        <w:pStyle w:val="Heading2"/>
        <w:numPr>
          <w:ilvl w:val="0"/>
          <w:numId w:val="0"/>
        </w:numPr>
        <w:jc w:val="center"/>
        <w:rPr>
          <w:b/>
        </w:rPr>
      </w:pPr>
      <w:r w:rsidRPr="005D7675">
        <w:rPr>
          <w:b/>
        </w:rPr>
        <w:t xml:space="preserve">Deadline for Tenders to be received:  5pm Friday </w:t>
      </w:r>
      <w:r w:rsidR="00491C1B">
        <w:rPr>
          <w:b/>
        </w:rPr>
        <w:t>10th</w:t>
      </w:r>
      <w:r w:rsidR="0080033D">
        <w:rPr>
          <w:b/>
        </w:rPr>
        <w:t xml:space="preserve"> October</w:t>
      </w:r>
      <w:r w:rsidRPr="005D7675">
        <w:rPr>
          <w:b/>
        </w:rPr>
        <w:t xml:space="preserve"> 2017</w:t>
      </w:r>
    </w:p>
    <w:p w:rsidR="00BB6934" w:rsidRPr="00211BCD" w:rsidRDefault="00BB6934" w:rsidP="00BB6934">
      <w:pPr>
        <w:pStyle w:val="Heading2"/>
        <w:numPr>
          <w:ilvl w:val="0"/>
          <w:numId w:val="0"/>
        </w:numPr>
        <w:jc w:val="center"/>
        <w:rPr>
          <w:b/>
        </w:rP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AD4D56">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AD4D56">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AD4D56">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AD4D56">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AD4D56">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731E9D" w:rsidRPr="00061A7F" w:rsidRDefault="00BE1F4B" w:rsidP="00DD5B00">
      <w:pPr>
        <w:pStyle w:val="DH"/>
      </w:pPr>
      <w:r>
        <w:t>(Sections 1, 2, 3, 4 and 5 WITHIN THE BRAVO E-PROCUREMENT ONLINE RESPONSE TEMPLATE)</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EB6ABD">
      <w:pPr>
        <w:numPr>
          <w:ilvl w:val="0"/>
          <w:numId w:val="27"/>
        </w:numPr>
        <w:ind w:right="-332" w:hanging="358"/>
        <w:contextualSpacing/>
        <w:rPr>
          <w:rFonts w:cs="Arial"/>
        </w:rPr>
      </w:pPr>
      <w:r w:rsidRPr="00483D8C">
        <w:rPr>
          <w:rFonts w:eastAsia="Arial" w:cs="Arial"/>
        </w:rPr>
        <w:t>names of all consortium members;</w:t>
      </w:r>
    </w:p>
    <w:p w:rsidR="00DD5B00" w:rsidRPr="00483D8C" w:rsidRDefault="00DD5B00" w:rsidP="00EB6ABD">
      <w:pPr>
        <w:numPr>
          <w:ilvl w:val="0"/>
          <w:numId w:val="27"/>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EB6ABD">
      <w:pPr>
        <w:numPr>
          <w:ilvl w:val="0"/>
          <w:numId w:val="27"/>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EB6ABD">
      <w:pPr>
        <w:numPr>
          <w:ilvl w:val="0"/>
          <w:numId w:val="26"/>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EB6ABD">
      <w:pPr>
        <w:numPr>
          <w:ilvl w:val="0"/>
          <w:numId w:val="26"/>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EB6ABD">
      <w:pPr>
        <w:numPr>
          <w:ilvl w:val="0"/>
          <w:numId w:val="26"/>
        </w:numPr>
        <w:ind w:hanging="358"/>
        <w:contextualSpacing/>
        <w:rPr>
          <w:rFonts w:cs="Arial"/>
        </w:rPr>
      </w:pPr>
      <w:bookmarkStart w:id="17" w:name="h.3dy6vkm" w:colFirst="0" w:colLast="0"/>
      <w:bookmarkEnd w:id="17"/>
      <w:r w:rsidRPr="00483D8C">
        <w:rPr>
          <w:rFonts w:eastAsia="Arial" w:cs="Arial"/>
        </w:rPr>
        <w:t>taken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19" w:name="_Toc413145496"/>
    <w:p w:rsidR="00275923" w:rsidRDefault="007A6CEC" w:rsidP="007D06CE">
      <w:pPr>
        <w:pStyle w:val="DH"/>
      </w:pPr>
      <w:r w:rsidRPr="00F7512A">
        <w:rPr>
          <w:noProof/>
        </w:rPr>
        <w:lastRenderedPageBreak/>
        <mc:AlternateContent>
          <mc:Choice Requires="wps">
            <w:drawing>
              <wp:anchor distT="0" distB="0" distL="114300" distR="114300" simplePos="0" relativeHeight="251727872" behindDoc="0" locked="0" layoutInCell="1" allowOverlap="1" wp14:anchorId="22C6E6B5" wp14:editId="438D6F51">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D06CE" w:rsidRPr="00A02231" w:rsidRDefault="007D06CE"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7D06CE" w:rsidRPr="00A02231" w:rsidRDefault="007D06CE" w:rsidP="007A6CEC">
                      <w:pPr>
                        <w:rPr>
                          <w:color w:val="FF0000"/>
                        </w:rPr>
                      </w:pPr>
                    </w:p>
                  </w:txbxContent>
                </v:textbox>
              </v:shape>
            </w:pict>
          </mc:Fallback>
        </mc:AlternateContent>
      </w:r>
      <w:r w:rsidRPr="003F0440">
        <w:t>ANNEX B2</w:t>
      </w:r>
      <w:r w:rsidRPr="003F0440">
        <w:br/>
      </w:r>
      <w:r w:rsidRPr="00F7512A">
        <w:t>SPECIFICATION</w:t>
      </w:r>
      <w:bookmarkEnd w:id="19"/>
    </w:p>
    <w:p w:rsidR="007D06CE" w:rsidRPr="0067203F" w:rsidRDefault="007D06CE" w:rsidP="0067203F">
      <w:pPr>
        <w:pStyle w:val="Heading1"/>
        <w:jc w:val="center"/>
      </w:pPr>
      <w:bookmarkStart w:id="20" w:name="_Toc343591381"/>
      <w:r w:rsidRPr="00FC5AC6">
        <w:t>SCHEDULE 2 – THE SERVICE</w:t>
      </w:r>
      <w:bookmarkEnd w:id="20"/>
    </w:p>
    <w:p w:rsidR="0067203F" w:rsidRDefault="0067203F" w:rsidP="0067203F">
      <w:pPr>
        <w:pStyle w:val="ListParagraph"/>
        <w:ind w:left="0"/>
        <w:outlineLvl w:val="1"/>
        <w:rPr>
          <w:rFonts w:cs="Arial"/>
          <w:b/>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ITT Part B Annex B2</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Service Specification</w:t>
      </w:r>
    </w:p>
    <w:p w:rsidR="0067203F" w:rsidRPr="0067203F" w:rsidRDefault="0067203F" w:rsidP="003E5043">
      <w:pPr>
        <w:pStyle w:val="TableParagraph"/>
        <w:ind w:right="117"/>
        <w:rPr>
          <w:rFonts w:ascii="Arial" w:eastAsia="Calibri" w:hAnsi="Arial" w:cs="Arial"/>
          <w:b/>
          <w:bCs/>
          <w:spacing w:val="3"/>
          <w:sz w:val="20"/>
          <w:szCs w:val="20"/>
        </w:rPr>
      </w:pPr>
    </w:p>
    <w:p w:rsidR="00EB6ABD" w:rsidRPr="00EB6ABD" w:rsidRDefault="00EB6ABD" w:rsidP="00EB6ABD">
      <w:pPr>
        <w:pStyle w:val="ListParagraph"/>
        <w:outlineLvl w:val="1"/>
        <w:rPr>
          <w:rFonts w:cs="Arial"/>
        </w:rPr>
      </w:pPr>
      <w:r w:rsidRPr="00EB6ABD">
        <w:rPr>
          <w:rFonts w:cs="Arial"/>
        </w:rPr>
        <w:t>PBR analysis and recommendations URGENT Analysis requirements</w:t>
      </w:r>
    </w:p>
    <w:p w:rsidR="00EB6ABD" w:rsidRPr="00AD4D56" w:rsidRDefault="00EB6ABD" w:rsidP="00AD4D56">
      <w:pPr>
        <w:pStyle w:val="ListParagraph"/>
        <w:outlineLvl w:val="1"/>
        <w:rPr>
          <w:rFonts w:cs="Arial"/>
        </w:rPr>
      </w:pPr>
      <w:r w:rsidRPr="00EB6ABD">
        <w:rPr>
          <w:rFonts w:cs="Arial"/>
        </w:rPr>
        <w:t xml:space="preserve"> </w:t>
      </w:r>
      <w:bookmarkStart w:id="21" w:name="_GoBack"/>
      <w:bookmarkEnd w:id="21"/>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Service Specification and Supporting Information</w:t>
      </w:r>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Analysis of Coding &amp; Counting for Specialised Services - NHS England South</w:t>
      </w:r>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The South Region of NHS England wishes to secure additional expert support from an external supplier to review the coding and counting of specialised services across relevant providers based on activity data over a multi-year period up to and including Q1 17/18.  The analysis shall be completed by the middle of October in order to inform potential follow-up by NHS England South during the remainder of FY 17/18.</w:t>
      </w:r>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The analysis will review the coding and counting information provided by providers across secondary care specialist services commissioned by NHS England. We expect the supplier to outline the approach that they would take to ensure appropriate coverage and analytical depth. We expect that this will encompass:</w:t>
      </w:r>
    </w:p>
    <w:p w:rsidR="00EB6ABD" w:rsidRPr="00EB6ABD" w:rsidRDefault="00EB6ABD" w:rsidP="00EB6ABD">
      <w:pPr>
        <w:pStyle w:val="ListParagraph"/>
        <w:numPr>
          <w:ilvl w:val="0"/>
          <w:numId w:val="28"/>
        </w:numPr>
        <w:outlineLvl w:val="1"/>
        <w:rPr>
          <w:rFonts w:cs="Arial"/>
        </w:rPr>
      </w:pPr>
      <w:r w:rsidRPr="00EB6ABD">
        <w:rPr>
          <w:rFonts w:cs="Arial"/>
        </w:rPr>
        <w:t>Activity profiling</w:t>
      </w:r>
    </w:p>
    <w:p w:rsidR="00EB6ABD" w:rsidRPr="00EB6ABD" w:rsidRDefault="00EB6ABD" w:rsidP="00EB6ABD">
      <w:pPr>
        <w:pStyle w:val="ListParagraph"/>
        <w:numPr>
          <w:ilvl w:val="0"/>
          <w:numId w:val="28"/>
        </w:numPr>
        <w:outlineLvl w:val="1"/>
        <w:rPr>
          <w:rFonts w:cs="Arial"/>
        </w:rPr>
      </w:pPr>
      <w:r w:rsidRPr="00EB6ABD">
        <w:rPr>
          <w:rFonts w:cs="Arial"/>
        </w:rPr>
        <w:t>Coding and counting metrics</w:t>
      </w:r>
    </w:p>
    <w:p w:rsidR="00EB6ABD" w:rsidRPr="00EB6ABD" w:rsidRDefault="00EB6ABD" w:rsidP="00EB6ABD">
      <w:pPr>
        <w:pStyle w:val="ListParagraph"/>
        <w:numPr>
          <w:ilvl w:val="0"/>
          <w:numId w:val="28"/>
        </w:numPr>
        <w:outlineLvl w:val="1"/>
        <w:rPr>
          <w:rFonts w:cs="Arial"/>
        </w:rPr>
      </w:pPr>
      <w:r w:rsidRPr="00EB6ABD">
        <w:rPr>
          <w:rFonts w:cs="Arial"/>
        </w:rPr>
        <w:t>Identification of areas requiring further attention / investigation</w:t>
      </w:r>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We anticipate that the supplier’s analysis team will include the following skills:</w:t>
      </w:r>
    </w:p>
    <w:p w:rsidR="00EB6ABD" w:rsidRPr="00EB6ABD" w:rsidRDefault="00EB6ABD" w:rsidP="00EB6ABD">
      <w:pPr>
        <w:pStyle w:val="ListParagraph"/>
        <w:numPr>
          <w:ilvl w:val="0"/>
          <w:numId w:val="29"/>
        </w:numPr>
        <w:outlineLvl w:val="1"/>
        <w:rPr>
          <w:rFonts w:cs="Arial"/>
        </w:rPr>
      </w:pPr>
      <w:r w:rsidRPr="00EB6ABD">
        <w:rPr>
          <w:rFonts w:cs="Arial"/>
        </w:rPr>
        <w:t>A lead: who will ensure all members of the team are aware of responsibilities, scope of the and check conflicts of interest etc. of the team</w:t>
      </w:r>
    </w:p>
    <w:p w:rsidR="00EB6ABD" w:rsidRPr="00EB6ABD" w:rsidRDefault="00EB6ABD" w:rsidP="00EB6ABD">
      <w:pPr>
        <w:pStyle w:val="ListParagraph"/>
        <w:numPr>
          <w:ilvl w:val="0"/>
          <w:numId w:val="29"/>
        </w:numPr>
        <w:outlineLvl w:val="1"/>
        <w:rPr>
          <w:rFonts w:cs="Arial"/>
        </w:rPr>
      </w:pPr>
      <w:r w:rsidRPr="00EB6ABD">
        <w:rPr>
          <w:rFonts w:cs="Arial"/>
        </w:rPr>
        <w:t>Expertise in coding and counting of NHS activity flows</w:t>
      </w:r>
    </w:p>
    <w:p w:rsidR="00EB6ABD" w:rsidRPr="00EB6ABD" w:rsidRDefault="00EB6ABD" w:rsidP="00EB6ABD">
      <w:pPr>
        <w:pStyle w:val="ListParagraph"/>
        <w:numPr>
          <w:ilvl w:val="0"/>
          <w:numId w:val="29"/>
        </w:numPr>
        <w:outlineLvl w:val="1"/>
        <w:rPr>
          <w:rFonts w:cs="Arial"/>
        </w:rPr>
      </w:pPr>
      <w:r w:rsidRPr="00EB6ABD">
        <w:rPr>
          <w:rFonts w:cs="Arial"/>
        </w:rPr>
        <w:t>Data analysis capability</w:t>
      </w:r>
    </w:p>
    <w:p w:rsidR="00EB6ABD" w:rsidRPr="00EB6ABD" w:rsidRDefault="00EB6ABD" w:rsidP="00EB6ABD">
      <w:pPr>
        <w:pStyle w:val="ListParagraph"/>
        <w:numPr>
          <w:ilvl w:val="0"/>
          <w:numId w:val="29"/>
        </w:numPr>
        <w:outlineLvl w:val="1"/>
        <w:rPr>
          <w:rFonts w:cs="Arial"/>
        </w:rPr>
      </w:pPr>
      <w:r w:rsidRPr="00EB6ABD">
        <w:rPr>
          <w:rFonts w:cs="Arial"/>
        </w:rPr>
        <w:t>Clinical pathway and clinical coding expertise</w:t>
      </w:r>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The preferred supplier will, ideally, be able to evidence:</w:t>
      </w:r>
    </w:p>
    <w:p w:rsidR="00EB6ABD" w:rsidRPr="00EB6ABD" w:rsidRDefault="00EB6ABD" w:rsidP="00EB6ABD">
      <w:pPr>
        <w:pStyle w:val="ListParagraph"/>
        <w:numPr>
          <w:ilvl w:val="0"/>
          <w:numId w:val="30"/>
        </w:numPr>
        <w:outlineLvl w:val="1"/>
        <w:rPr>
          <w:rFonts w:cs="Arial"/>
        </w:rPr>
      </w:pPr>
      <w:r w:rsidRPr="00EB6ABD">
        <w:rPr>
          <w:rFonts w:cs="Arial"/>
        </w:rPr>
        <w:t>A recent track record in undertaking coding and counting reviews for other NHS organisations</w:t>
      </w:r>
    </w:p>
    <w:p w:rsidR="00EB6ABD" w:rsidRPr="00EB6ABD" w:rsidRDefault="00EB6ABD" w:rsidP="00EB6ABD">
      <w:pPr>
        <w:pStyle w:val="ListParagraph"/>
        <w:numPr>
          <w:ilvl w:val="0"/>
          <w:numId w:val="30"/>
        </w:numPr>
        <w:outlineLvl w:val="1"/>
        <w:rPr>
          <w:rFonts w:cs="Arial"/>
        </w:rPr>
      </w:pPr>
      <w:r w:rsidRPr="00EB6ABD">
        <w:rPr>
          <w:rFonts w:cs="Arial"/>
        </w:rPr>
        <w:t>Experience of working with commissioners of specialised services, preferably in the South of England</w:t>
      </w:r>
    </w:p>
    <w:p w:rsidR="00EB6ABD" w:rsidRPr="00EB6ABD" w:rsidRDefault="00EB6ABD" w:rsidP="00EB6ABD">
      <w:pPr>
        <w:pStyle w:val="ListParagraph"/>
        <w:numPr>
          <w:ilvl w:val="0"/>
          <w:numId w:val="30"/>
        </w:numPr>
        <w:outlineLvl w:val="1"/>
        <w:rPr>
          <w:rFonts w:cs="Arial"/>
        </w:rPr>
      </w:pPr>
      <w:r w:rsidRPr="00EB6ABD">
        <w:rPr>
          <w:rFonts w:cs="Arial"/>
        </w:rPr>
        <w:t>Experience of engaging with providers of NHS specialised services, including in areas relating to the inte</w:t>
      </w:r>
      <w:r>
        <w:rPr>
          <w:rFonts w:cs="Arial"/>
        </w:rPr>
        <w:t>rpretation and application of PB</w:t>
      </w:r>
      <w:r w:rsidRPr="00EB6ABD">
        <w:rPr>
          <w:rFonts w:cs="Arial"/>
        </w:rPr>
        <w:t>R guidance</w:t>
      </w:r>
    </w:p>
    <w:p w:rsidR="00EB6ABD" w:rsidRPr="00EB6ABD" w:rsidRDefault="00EB6ABD" w:rsidP="00EB6ABD">
      <w:pPr>
        <w:pStyle w:val="ListParagraph"/>
        <w:outlineLvl w:val="1"/>
        <w:rPr>
          <w:rFonts w:cs="Arial"/>
        </w:rPr>
      </w:pPr>
      <w:r w:rsidRPr="00EB6ABD">
        <w:rPr>
          <w:rFonts w:cs="Arial"/>
        </w:rPr>
        <w:t xml:space="preserve"> </w:t>
      </w:r>
    </w:p>
    <w:p w:rsidR="00EB6ABD" w:rsidRPr="00EB6ABD" w:rsidRDefault="00EB6ABD" w:rsidP="00EB6ABD">
      <w:pPr>
        <w:pStyle w:val="ListParagraph"/>
        <w:outlineLvl w:val="1"/>
        <w:rPr>
          <w:rFonts w:cs="Arial"/>
        </w:rPr>
      </w:pPr>
      <w:r w:rsidRPr="00EB6ABD">
        <w:rPr>
          <w:rFonts w:cs="Arial"/>
        </w:rPr>
        <w:t>It is anticipated that the initial findings will be reported within 4 weeks of the commencement of work.</w:t>
      </w:r>
    </w:p>
    <w:p w:rsidR="00EB6ABD" w:rsidRPr="00EB6ABD" w:rsidRDefault="00EB6ABD" w:rsidP="00EB6ABD">
      <w:pPr>
        <w:pStyle w:val="ListParagraph"/>
        <w:outlineLvl w:val="1"/>
        <w:rPr>
          <w:rFonts w:cs="Arial"/>
        </w:rPr>
      </w:pPr>
      <w:r w:rsidRPr="00EB6ABD">
        <w:rPr>
          <w:rFonts w:cs="Arial"/>
        </w:rPr>
        <w:t xml:space="preserve"> </w:t>
      </w:r>
    </w:p>
    <w:p w:rsidR="0067203F" w:rsidRPr="00EB6ABD" w:rsidRDefault="00EB6ABD" w:rsidP="00EB6ABD">
      <w:pPr>
        <w:pStyle w:val="ListParagraph"/>
        <w:ind w:left="0"/>
        <w:outlineLvl w:val="1"/>
        <w:rPr>
          <w:rFonts w:cs="Arial"/>
        </w:rPr>
      </w:pPr>
      <w:r w:rsidRPr="00EB6ABD">
        <w:rPr>
          <w:rFonts w:cs="Arial"/>
        </w:rPr>
        <w:t>We are expecting the supplier to provide an opinion on whether there is merit in pursuing further work with individual providers to investigate any identified coding and counting issues in detail. This might potentially include follow-up on-site review and / or audit.  The supplier should explain how its approach to analysis will facilitate this.</w:t>
      </w: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Default="00E072A5" w:rsidP="0067203F">
      <w:pPr>
        <w:pStyle w:val="ListParagraph"/>
        <w:ind w:left="0"/>
        <w:outlineLvl w:val="1"/>
        <w:rPr>
          <w:rFonts w:cs="Arial"/>
          <w:b/>
        </w:rPr>
      </w:pPr>
    </w:p>
    <w:p w:rsidR="00E072A5" w:rsidRPr="006E67E3" w:rsidRDefault="00E072A5" w:rsidP="0067203F">
      <w:pPr>
        <w:pStyle w:val="ListParagraph"/>
        <w:ind w:left="0"/>
        <w:outlineLvl w:val="1"/>
        <w:rPr>
          <w:rFonts w:cs="Arial"/>
          <w:b/>
        </w:rPr>
      </w:pPr>
    </w:p>
    <w:bookmarkEnd w:id="3"/>
    <w:bookmarkEnd w:id="4"/>
    <w:bookmarkEnd w:id="5"/>
    <w:bookmarkEnd w:id="6"/>
    <w:bookmarkEnd w:id="7"/>
    <w:bookmarkEnd w:id="10"/>
    <w:bookmarkEnd w:id="12"/>
    <w:p w:rsidR="009612D8" w:rsidRDefault="009612D8" w:rsidP="009612D8">
      <w:pPr>
        <w:spacing w:after="240"/>
        <w:jc w:val="left"/>
        <w:rPr>
          <w:rFonts w:eastAsia="Times New Roman" w:cs="Arial"/>
          <w:b/>
          <w:lang w:eastAsia="en-GB"/>
        </w:rPr>
      </w:pPr>
    </w:p>
    <w:p w:rsidR="00EB6ABD" w:rsidRDefault="00EB6ABD" w:rsidP="009612D8">
      <w:pPr>
        <w:spacing w:after="240"/>
        <w:jc w:val="left"/>
        <w:rPr>
          <w:rFonts w:eastAsia="Times New Roman" w:cs="Arial"/>
          <w:b/>
          <w:lang w:eastAsia="en-GB"/>
        </w:rPr>
      </w:pPr>
    </w:p>
    <w:p w:rsidR="00EB6ABD" w:rsidRDefault="00EB6ABD" w:rsidP="009612D8">
      <w:pPr>
        <w:spacing w:after="240"/>
        <w:jc w:val="left"/>
        <w:rPr>
          <w:rFonts w:eastAsia="Times New Roman" w:cs="Arial"/>
          <w:b/>
          <w:lang w:eastAsia="en-GB"/>
        </w:rPr>
      </w:pPr>
    </w:p>
    <w:p w:rsidR="00EB6ABD" w:rsidRDefault="00EB6ABD" w:rsidP="009612D8">
      <w:pPr>
        <w:spacing w:after="240"/>
        <w:jc w:val="left"/>
        <w:rPr>
          <w:rFonts w:eastAsia="Times New Roman" w:cs="Arial"/>
          <w:b/>
          <w:lang w:eastAsia="en-GB"/>
        </w:rPr>
      </w:pPr>
    </w:p>
    <w:p w:rsidR="00EB6ABD" w:rsidRDefault="00EB6ABD"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Pr="003372DA" w:rsidRDefault="00F46092" w:rsidP="009612D8">
      <w:pPr>
        <w:spacing w:after="240"/>
        <w:jc w:val="left"/>
        <w:rPr>
          <w:rFonts w:eastAsia="Times New Roman" w:cs="Arial"/>
          <w:b/>
          <w:lang w:eastAsia="en-GB"/>
        </w:rPr>
      </w:pPr>
    </w:p>
    <w:p w:rsidR="009612D8" w:rsidRPr="003372DA" w:rsidRDefault="009612D8" w:rsidP="009612D8">
      <w:pPr>
        <w:pStyle w:val="DH"/>
      </w:pPr>
      <w:bookmarkStart w:id="22" w:name="_Toc403557262"/>
      <w:bookmarkStart w:id="23" w:name="_Toc403557358"/>
      <w:bookmarkStart w:id="24" w:name="_Toc403567321"/>
      <w:bookmarkStart w:id="25" w:name="_Toc403567451"/>
      <w:bookmarkStart w:id="26" w:name="_Toc403573347"/>
      <w:bookmarkStart w:id="27" w:name="_Toc403575415"/>
      <w:bookmarkStart w:id="28" w:name="_Toc403644310"/>
      <w:bookmarkStart w:id="29" w:name="_Toc406659027"/>
      <w:bookmarkStart w:id="30" w:name="_Toc413145497"/>
      <w:r w:rsidRPr="003372DA">
        <w:t>ANNEX B</w:t>
      </w:r>
      <w:bookmarkEnd w:id="22"/>
      <w:bookmarkEnd w:id="23"/>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2A5198EA" wp14:editId="17641DD4">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1" w:name="handaxxb2"/>
                          <w:bookmarkEnd w:id="31"/>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2" w:name="handaxxb2"/>
                    <w:bookmarkEnd w:id="32"/>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v:textbox>
              </v:shape>
            </w:pict>
          </mc:Fallback>
        </mc:AlternateContent>
      </w:r>
      <w:bookmarkEnd w:id="24"/>
      <w:bookmarkEnd w:id="25"/>
      <w:bookmarkEnd w:id="26"/>
      <w:bookmarkEnd w:id="27"/>
      <w:bookmarkEnd w:id="28"/>
      <w:bookmarkEnd w:id="29"/>
      <w:bookmarkEnd w:id="30"/>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sidRPr="00E279EB">
        <w:rPr>
          <w:rFonts w:eastAsia="Times New Roman" w:cs="Times New Roman"/>
          <w:b/>
          <w:color w:val="000000" w:themeColor="text1"/>
          <w:lang w:eastAsia="en-GB"/>
        </w:rPr>
        <w:t xml:space="preserve">Please respond using the On-Line Response Template within the Bravo e-procurement portal.  </w:t>
      </w:r>
      <w:hyperlink r:id="rId19" w:history="1">
        <w:r w:rsidRPr="00E279EB">
          <w:rPr>
            <w:rStyle w:val="Hyperlink"/>
            <w:rFonts w:eastAsia="Times New Roman" w:cs="Times New Roman"/>
            <w:b/>
            <w:lang w:eastAsia="en-GB"/>
          </w:rPr>
          <w:t>Www.ardengemcsu.bravosolution.co.uk</w:t>
        </w:r>
      </w:hyperlink>
      <w:r w:rsidRPr="00E279EB">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E279EB">
        <w:rPr>
          <w:rFonts w:eastAsia="Times New Roman" w:cs="Times New Roman"/>
          <w:b/>
          <w:color w:val="000000" w:themeColor="text1"/>
          <w:u w:val="single"/>
          <w:lang w:eastAsia="en-GB"/>
        </w:rPr>
        <w:t>do not</w:t>
      </w:r>
      <w:r w:rsidRPr="00E279EB">
        <w:rPr>
          <w:rFonts w:eastAsia="Times New Roman" w:cs="Times New Roman"/>
          <w:b/>
          <w:color w:val="000000" w:themeColor="text1"/>
          <w:lang w:eastAsia="en-GB"/>
        </w:rPr>
        <w:t xml:space="preserve"> respond using your own </w:t>
      </w:r>
      <w:r w:rsidR="00C35232" w:rsidRPr="00E279EB">
        <w:rPr>
          <w:rFonts w:eastAsia="Times New Roman" w:cs="Times New Roman"/>
          <w:b/>
          <w:color w:val="000000" w:themeColor="text1"/>
          <w:lang w:eastAsia="en-GB"/>
        </w:rPr>
        <w:t xml:space="preserve">attachment </w:t>
      </w:r>
      <w:r w:rsidRPr="00E279EB">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lastRenderedPageBreak/>
        <w:br w:type="page"/>
      </w:r>
    </w:p>
    <w:p w:rsidR="00C35232" w:rsidRPr="000201FA" w:rsidRDefault="00C35232" w:rsidP="009612D8">
      <w:pPr>
        <w:spacing w:after="240"/>
        <w:outlineLvl w:val="1"/>
        <w:rPr>
          <w:rFonts w:eastAsia="Times New Roman" w:cs="Times New Roman"/>
          <w:b/>
          <w:color w:val="000000" w:themeColor="text1"/>
          <w:lang w:eastAsia="en-GB"/>
        </w:rPr>
      </w:pPr>
    </w:p>
    <w:p w:rsidR="009612D8" w:rsidRPr="003372DA" w:rsidRDefault="009612D8" w:rsidP="009612D8">
      <w:pPr>
        <w:pStyle w:val="DH"/>
      </w:pPr>
      <w:bookmarkStart w:id="32" w:name="_Toc403557263"/>
      <w:bookmarkStart w:id="33" w:name="_Toc403557359"/>
      <w:bookmarkStart w:id="34" w:name="_Toc403567322"/>
      <w:bookmarkStart w:id="35" w:name="_Toc403567452"/>
      <w:bookmarkStart w:id="36" w:name="_Toc403573348"/>
      <w:bookmarkStart w:id="37" w:name="_Toc403575416"/>
      <w:bookmarkStart w:id="38" w:name="_Toc403644311"/>
      <w:bookmarkStart w:id="39" w:name="_Toc406659028"/>
      <w:bookmarkStart w:id="40" w:name="_Toc413145498"/>
      <w:r w:rsidRPr="003372DA">
        <w:t>ANNEX B</w:t>
      </w:r>
      <w:bookmarkEnd w:id="32"/>
      <w:bookmarkEnd w:id="33"/>
      <w:r w:rsidR="00F7512A">
        <w:t>4</w:t>
      </w:r>
      <w:r w:rsidRPr="003372DA">
        <w:br/>
      </w:r>
      <w:r w:rsidR="000D02D8">
        <w:t>COMMERCIAL</w:t>
      </w:r>
      <w:r w:rsidRPr="003372DA">
        <w:t xml:space="preserve"> SCHEDULE</w:t>
      </w:r>
      <w:bookmarkEnd w:id="34"/>
      <w:bookmarkEnd w:id="35"/>
      <w:bookmarkEnd w:id="36"/>
      <w:bookmarkEnd w:id="37"/>
      <w:bookmarkEnd w:id="38"/>
      <w:bookmarkEnd w:id="39"/>
      <w:bookmarkEnd w:id="40"/>
    </w:p>
    <w:p w:rsidR="00C35232" w:rsidRDefault="00C35232">
      <w:pPr>
        <w:spacing w:after="240"/>
        <w:jc w:val="left"/>
      </w:pPr>
      <w:r w:rsidRPr="00E279EB">
        <w:t xml:space="preserve">Please respond using the on-line template within the Bravo e-procurement portal.  </w:t>
      </w:r>
      <w:hyperlink r:id="rId20" w:history="1">
        <w:r w:rsidRPr="00E279EB">
          <w:rPr>
            <w:rStyle w:val="Hyperlink"/>
          </w:rPr>
          <w:t>www.ardengemcsu.bravosolution.co.uk</w:t>
        </w:r>
      </w:hyperlink>
      <w:r w:rsidRPr="00E279EB">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41" w:name="_Toc403557264"/>
      <w:bookmarkStart w:id="42" w:name="_Toc403557360"/>
      <w:bookmarkStart w:id="43" w:name="_Toc403567323"/>
      <w:bookmarkStart w:id="44" w:name="_Toc403567453"/>
      <w:bookmarkStart w:id="45" w:name="_Toc403573349"/>
      <w:bookmarkStart w:id="46" w:name="_Toc403575417"/>
      <w:bookmarkStart w:id="47" w:name="_Toc403644312"/>
      <w:bookmarkStart w:id="48" w:name="_Toc406659029"/>
      <w:bookmarkStart w:id="49" w:name="_Toc413145499"/>
      <w:r w:rsidRPr="003372DA">
        <w:t>ANNEX B</w:t>
      </w:r>
      <w:bookmarkEnd w:id="41"/>
      <w:bookmarkEnd w:id="42"/>
      <w:r w:rsidR="00F7512A">
        <w:t>5</w:t>
      </w:r>
      <w:r w:rsidRPr="003372DA">
        <w:br/>
        <w:t>CONFIDENTIAL AND COMMERCIALLY SENSITIVE INFORMATION</w:t>
      </w:r>
      <w:bookmarkEnd w:id="43"/>
      <w:bookmarkEnd w:id="44"/>
      <w:bookmarkEnd w:id="45"/>
      <w:bookmarkEnd w:id="46"/>
      <w:bookmarkEnd w:id="47"/>
      <w:bookmarkEnd w:id="48"/>
      <w:bookmarkEnd w:id="49"/>
    </w:p>
    <w:p w:rsidR="009612D8" w:rsidRPr="00AE6D3B" w:rsidRDefault="00AE6D3B" w:rsidP="00EB6ABD">
      <w:pPr>
        <w:pStyle w:val="MRNumberedHeading1"/>
        <w:numPr>
          <w:ilvl w:val="0"/>
          <w:numId w:val="25"/>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EB6ABD">
      <w:pPr>
        <w:pStyle w:val="MRNumberedHeading1"/>
        <w:numPr>
          <w:ilvl w:val="0"/>
          <w:numId w:val="19"/>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0" w:name="_Toc403557265"/>
      <w:bookmarkStart w:id="51" w:name="_Toc403557361"/>
      <w:bookmarkStart w:id="52" w:name="_Toc403567324"/>
      <w:bookmarkStart w:id="53" w:name="_Toc403567454"/>
      <w:bookmarkStart w:id="54" w:name="_Toc403573350"/>
      <w:bookmarkStart w:id="55" w:name="_Toc403575418"/>
      <w:r>
        <w:br w:type="page"/>
      </w:r>
    </w:p>
    <w:p w:rsidR="00F7512A" w:rsidRPr="003F0440" w:rsidRDefault="009612D8" w:rsidP="006E2EC7">
      <w:pPr>
        <w:pStyle w:val="DH"/>
        <w:rPr>
          <w:rStyle w:val="Strong"/>
          <w:bCs w:val="0"/>
        </w:rPr>
      </w:pPr>
      <w:bookmarkStart w:id="56" w:name="_Toc403567325"/>
      <w:bookmarkStart w:id="57" w:name="_Toc403567455"/>
      <w:bookmarkStart w:id="58" w:name="_Toc403573351"/>
      <w:bookmarkStart w:id="59" w:name="_Toc403575419"/>
      <w:bookmarkStart w:id="60" w:name="_Toc403644314"/>
      <w:bookmarkStart w:id="61" w:name="_Toc406150158"/>
      <w:bookmarkStart w:id="62" w:name="_Toc406659030"/>
      <w:bookmarkStart w:id="63" w:name="_Toc413145500"/>
      <w:bookmarkEnd w:id="50"/>
      <w:bookmarkEnd w:id="51"/>
      <w:bookmarkEnd w:id="52"/>
      <w:bookmarkEnd w:id="53"/>
      <w:bookmarkEnd w:id="54"/>
      <w:bookmarkEnd w:id="55"/>
      <w:r w:rsidRPr="00F7512A">
        <w:lastRenderedPageBreak/>
        <w:t>ANNEX B</w:t>
      </w:r>
      <w:bookmarkEnd w:id="56"/>
      <w:r w:rsidR="00F7512A" w:rsidRPr="00F7512A">
        <w:t>7</w:t>
      </w:r>
      <w:r w:rsidRPr="00F7512A">
        <w:br/>
      </w:r>
      <w:bookmarkEnd w:id="57"/>
      <w:bookmarkEnd w:id="58"/>
      <w:bookmarkEnd w:id="59"/>
      <w:bookmarkEnd w:id="60"/>
      <w:r w:rsidR="00F7512A" w:rsidRPr="003F0440">
        <w:t>FORM OF TENDER</w:t>
      </w:r>
      <w:bookmarkEnd w:id="61"/>
      <w:bookmarkEnd w:id="62"/>
      <w:bookmarkEnd w:id="63"/>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B04484"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E072A5">
        <w:rPr>
          <w:rFonts w:eastAsia="Times New Roman" w:cs="Arial"/>
          <w:b/>
          <w:lang w:eastAsia="en-GB"/>
        </w:rPr>
        <w:t>NHS Arden &amp; GEM CSU</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67203F">
        <w:rPr>
          <w:rFonts w:eastAsia="Times New Roman" w:cs="Arial"/>
          <w:b/>
          <w:lang w:eastAsia="en-GB"/>
        </w:rPr>
        <w:t xml:space="preserve">Provide </w:t>
      </w:r>
      <w:r w:rsidR="0080033D" w:rsidRPr="0080033D">
        <w:rPr>
          <w:rFonts w:eastAsia="Times New Roman" w:cs="Arial"/>
          <w:b/>
          <w:lang w:eastAsia="en-GB"/>
        </w:rPr>
        <w:t>PBR Analysis and Recommendations</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67203F">
        <w:rPr>
          <w:b/>
        </w:rPr>
        <w:t>AGEMCSU/TRANS/1</w:t>
      </w:r>
      <w:r w:rsidR="00E072A5">
        <w:rPr>
          <w:b/>
        </w:rPr>
        <w:t>7</w:t>
      </w:r>
      <w:r w:rsidR="0067203F">
        <w:rPr>
          <w:b/>
        </w:rPr>
        <w:t>/4</w:t>
      </w:r>
      <w:r w:rsidR="0080033D">
        <w:rPr>
          <w:b/>
        </w:rPr>
        <w:t>70</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proofErr w:type="gramStart"/>
      <w:r w:rsidR="00491C1B">
        <w:t>26</w:t>
      </w:r>
      <w:r w:rsidR="00491C1B" w:rsidRPr="00491C1B">
        <w:rPr>
          <w:vertAlign w:val="superscript"/>
        </w:rPr>
        <w:t>th</w:t>
      </w:r>
      <w:r w:rsidR="00491C1B">
        <w:t xml:space="preserve"> </w:t>
      </w:r>
      <w:r w:rsidR="0080033D">
        <w:t xml:space="preserve"> September</w:t>
      </w:r>
      <w:proofErr w:type="gramEnd"/>
      <w:r w:rsidR="0080033D">
        <w:t xml:space="preserve"> </w:t>
      </w:r>
      <w:r w:rsidR="00E072A5">
        <w:t>2017</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1"/>
      <w:footerReference w:type="default" r:id="rId22"/>
      <w:headerReference w:type="first" r:id="rId23"/>
      <w:footerReference w:type="first" r:id="rId24"/>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42" w:rsidRDefault="00686D42" w:rsidP="00C82318">
      <w:r>
        <w:separator/>
      </w:r>
    </w:p>
    <w:p w:rsidR="00686D42" w:rsidRDefault="00686D42"/>
  </w:endnote>
  <w:endnote w:type="continuationSeparator" w:id="0">
    <w:p w:rsidR="00686D42" w:rsidRDefault="00686D42" w:rsidP="00C82318">
      <w:r>
        <w:continuationSeparator/>
      </w:r>
    </w:p>
    <w:p w:rsidR="00686D42" w:rsidRDefault="0068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AD4D56">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AD4D56">
          <w:rPr>
            <w:noProof/>
          </w:rPr>
          <w:t>3</w:t>
        </w:r>
        <w:r>
          <w:rPr>
            <w:noProof/>
          </w:rPr>
          <w:fldChar w:fldCharType="end"/>
        </w:r>
      </w:p>
    </w:sdtContent>
  </w:sdt>
  <w:p w:rsidR="007D06CE" w:rsidRDefault="007D06CE"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AD4D56">
          <w:rPr>
            <w:noProof/>
          </w:rPr>
          <w:t>2</w:t>
        </w:r>
        <w:r>
          <w:rPr>
            <w:noProof/>
          </w:rPr>
          <w:fldChar w:fldCharType="end"/>
        </w:r>
      </w:p>
    </w:sdtContent>
  </w:sdt>
  <w:p w:rsidR="007D06CE" w:rsidRDefault="007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42" w:rsidRDefault="00686D42" w:rsidP="00C82318">
      <w:r>
        <w:separator/>
      </w:r>
    </w:p>
    <w:p w:rsidR="00686D42" w:rsidRDefault="00686D42"/>
  </w:footnote>
  <w:footnote w:type="continuationSeparator" w:id="0">
    <w:p w:rsidR="00686D42" w:rsidRDefault="00686D42" w:rsidP="00C82318">
      <w:r>
        <w:continuationSeparator/>
      </w:r>
    </w:p>
    <w:p w:rsidR="00686D42" w:rsidRDefault="00686D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C94D01">
    <w:pPr>
      <w:pStyle w:val="Header"/>
      <w:rPr>
        <w:b/>
        <w:color w:val="808080" w:themeColor="background1" w:themeShade="80"/>
      </w:rPr>
    </w:pPr>
    <w:r>
      <w:rPr>
        <w:rFonts w:cs="Arial"/>
        <w:noProof/>
      </w:rPr>
      <w:drawing>
        <wp:inline distT="0" distB="0" distL="0" distR="0" wp14:anchorId="1C1478E2" wp14:editId="586E460D">
          <wp:extent cx="5257800" cy="1075055"/>
          <wp:effectExtent l="0" t="0" r="0" b="0"/>
          <wp:docPr id="2" name="Picture 2"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CF3F4A" w:rsidRDefault="007D06CE"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p w:rsidR="007D06CE" w:rsidRDefault="007D06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7D06CE">
    <w:pPr>
      <w:pStyle w:val="Header"/>
      <w:rPr>
        <w:b/>
        <w:color w:val="808080" w:themeColor="background1" w:themeShade="80"/>
      </w:rPr>
    </w:pPr>
  </w:p>
  <w:p w:rsidR="007D06CE" w:rsidRDefault="007D0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4">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0">
    <w:nsid w:val="3AC963B2"/>
    <w:multiLevelType w:val="hybridMultilevel"/>
    <w:tmpl w:val="05E44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nsid w:val="56913272"/>
    <w:multiLevelType w:val="hybridMultilevel"/>
    <w:tmpl w:val="290043F6"/>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6">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1">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3">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79A630AD"/>
    <w:multiLevelType w:val="hybridMultilevel"/>
    <w:tmpl w:val="298A2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2"/>
  </w:num>
  <w:num w:numId="3">
    <w:abstractNumId w:val="11"/>
  </w:num>
  <w:num w:numId="4">
    <w:abstractNumId w:val="12"/>
  </w:num>
  <w:num w:numId="5">
    <w:abstractNumId w:val="1"/>
  </w:num>
  <w:num w:numId="6">
    <w:abstractNumId w:val="5"/>
  </w:num>
  <w:num w:numId="7">
    <w:abstractNumId w:val="18"/>
  </w:num>
  <w:num w:numId="8">
    <w:abstractNumId w:val="0"/>
  </w:num>
  <w:num w:numId="9">
    <w:abstractNumId w:val="21"/>
  </w:num>
  <w:num w:numId="10">
    <w:abstractNumId w:val="16"/>
  </w:num>
  <w:num w:numId="11">
    <w:abstractNumId w:val="17"/>
  </w:num>
  <w:num w:numId="12">
    <w:abstractNumId w:val="20"/>
  </w:num>
  <w:num w:numId="13">
    <w:abstractNumId w:val="4"/>
  </w:num>
  <w:num w:numId="14">
    <w:abstractNumId w:val="6"/>
  </w:num>
  <w:num w:numId="15">
    <w:abstractNumId w:val="22"/>
  </w:num>
  <w:num w:numId="16">
    <w:abstractNumId w:val="9"/>
  </w:num>
  <w:num w:numId="17">
    <w:abstractNumId w:val="19"/>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8"/>
  </w:num>
  <w:num w:numId="22">
    <w:abstractNumId w:val="27"/>
  </w:num>
  <w:num w:numId="23">
    <w:abstractNumId w:val="14"/>
  </w:num>
  <w:num w:numId="24">
    <w:abstractNumId w:val="2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5"/>
  </w:num>
  <w:num w:numId="28">
    <w:abstractNumId w:val="10"/>
  </w:num>
  <w:num w:numId="29">
    <w:abstractNumId w:val="15"/>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28E5"/>
    <w:rsid w:val="001C30BB"/>
    <w:rsid w:val="001C4CA0"/>
    <w:rsid w:val="001C747B"/>
    <w:rsid w:val="001D1FC8"/>
    <w:rsid w:val="001D268B"/>
    <w:rsid w:val="001D5911"/>
    <w:rsid w:val="001E27EC"/>
    <w:rsid w:val="001E3579"/>
    <w:rsid w:val="001E5F7F"/>
    <w:rsid w:val="001E7C74"/>
    <w:rsid w:val="001E7D3C"/>
    <w:rsid w:val="001F3352"/>
    <w:rsid w:val="001F37D7"/>
    <w:rsid w:val="001F5CE4"/>
    <w:rsid w:val="00200E60"/>
    <w:rsid w:val="00203270"/>
    <w:rsid w:val="0020513D"/>
    <w:rsid w:val="00205C4E"/>
    <w:rsid w:val="00210AD3"/>
    <w:rsid w:val="002110DD"/>
    <w:rsid w:val="00211BC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4033"/>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53A99"/>
    <w:rsid w:val="00454862"/>
    <w:rsid w:val="00456FE6"/>
    <w:rsid w:val="00457D9A"/>
    <w:rsid w:val="00461A05"/>
    <w:rsid w:val="00465002"/>
    <w:rsid w:val="00465EF9"/>
    <w:rsid w:val="004834F5"/>
    <w:rsid w:val="004853B4"/>
    <w:rsid w:val="00486F32"/>
    <w:rsid w:val="004900DB"/>
    <w:rsid w:val="00491808"/>
    <w:rsid w:val="00491C1B"/>
    <w:rsid w:val="00496B53"/>
    <w:rsid w:val="00496E8B"/>
    <w:rsid w:val="004A4107"/>
    <w:rsid w:val="004B02BA"/>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75983"/>
    <w:rsid w:val="00585FA5"/>
    <w:rsid w:val="00586837"/>
    <w:rsid w:val="00590096"/>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203F"/>
    <w:rsid w:val="0067469F"/>
    <w:rsid w:val="006762F3"/>
    <w:rsid w:val="00680611"/>
    <w:rsid w:val="006856A7"/>
    <w:rsid w:val="00686D42"/>
    <w:rsid w:val="00690AAF"/>
    <w:rsid w:val="0069159F"/>
    <w:rsid w:val="00692B07"/>
    <w:rsid w:val="0069631B"/>
    <w:rsid w:val="00696981"/>
    <w:rsid w:val="006A3BFB"/>
    <w:rsid w:val="006A3F34"/>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06CE"/>
    <w:rsid w:val="007D3F43"/>
    <w:rsid w:val="007D7562"/>
    <w:rsid w:val="007E1147"/>
    <w:rsid w:val="007E124C"/>
    <w:rsid w:val="007E158C"/>
    <w:rsid w:val="007E269D"/>
    <w:rsid w:val="007E379F"/>
    <w:rsid w:val="007F5F02"/>
    <w:rsid w:val="0080033D"/>
    <w:rsid w:val="00807AD4"/>
    <w:rsid w:val="00807CF7"/>
    <w:rsid w:val="00811FA0"/>
    <w:rsid w:val="00814588"/>
    <w:rsid w:val="00815813"/>
    <w:rsid w:val="00816028"/>
    <w:rsid w:val="00825FC5"/>
    <w:rsid w:val="00830130"/>
    <w:rsid w:val="00830FE1"/>
    <w:rsid w:val="00831204"/>
    <w:rsid w:val="00831521"/>
    <w:rsid w:val="008347D9"/>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171A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77967"/>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56"/>
    <w:rsid w:val="00AD4DB1"/>
    <w:rsid w:val="00AD6671"/>
    <w:rsid w:val="00AE18C1"/>
    <w:rsid w:val="00AE4ABC"/>
    <w:rsid w:val="00AE6D3B"/>
    <w:rsid w:val="00AE7ABC"/>
    <w:rsid w:val="00AF3925"/>
    <w:rsid w:val="00AF5CF2"/>
    <w:rsid w:val="00AF6234"/>
    <w:rsid w:val="00B00C70"/>
    <w:rsid w:val="00B04484"/>
    <w:rsid w:val="00B04798"/>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5E86"/>
    <w:rsid w:val="00BD09FF"/>
    <w:rsid w:val="00BD1F42"/>
    <w:rsid w:val="00BD2C5B"/>
    <w:rsid w:val="00BD4B12"/>
    <w:rsid w:val="00BD4D8C"/>
    <w:rsid w:val="00BD53EA"/>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072A5"/>
    <w:rsid w:val="00E1373C"/>
    <w:rsid w:val="00E17A66"/>
    <w:rsid w:val="00E20603"/>
    <w:rsid w:val="00E2328D"/>
    <w:rsid w:val="00E23574"/>
    <w:rsid w:val="00E271B9"/>
    <w:rsid w:val="00E279EB"/>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478F"/>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B6ABD"/>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www.ardengemcsu.bravosolution.co.u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ardengemcsu.bravosolution.co.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43E28-B1DF-4842-856A-4EDC5747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3</cp:revision>
  <cp:lastPrinted>2015-01-12T17:40:00Z</cp:lastPrinted>
  <dcterms:created xsi:type="dcterms:W3CDTF">2017-09-26T14:49:00Z</dcterms:created>
  <dcterms:modified xsi:type="dcterms:W3CDTF">2017-09-26T15:16:00Z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