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CD6" w:rsidRDefault="00890E19"/>
    <w:p w:rsidR="00890E19" w:rsidRDefault="00890E19" w:rsidP="00890E19">
      <w:pPr>
        <w:jc w:val="center"/>
        <w:rPr>
          <w:b/>
          <w:u w:val="single"/>
        </w:rPr>
      </w:pPr>
      <w:r w:rsidRPr="00890E19">
        <w:rPr>
          <w:b/>
          <w:u w:val="single"/>
        </w:rPr>
        <w:t>Expression of Interest</w:t>
      </w:r>
      <w:bookmarkStart w:id="0" w:name="_GoBack"/>
      <w:bookmarkEnd w:id="0"/>
    </w:p>
    <w:p w:rsidR="00890E19" w:rsidRDefault="00890E19" w:rsidP="00890E19">
      <w:pPr>
        <w:jc w:val="center"/>
        <w:rPr>
          <w:b/>
          <w:u w:val="single"/>
        </w:rPr>
      </w:pPr>
    </w:p>
    <w:p w:rsidR="00890E19" w:rsidRDefault="00890E19" w:rsidP="00890E19">
      <w:pPr>
        <w:spacing w:after="0" w:line="240" w:lineRule="auto"/>
        <w:contextualSpacing/>
        <w:jc w:val="both"/>
      </w:pPr>
      <w:r>
        <w:t>Interested parties must confirm the following:</w:t>
      </w:r>
    </w:p>
    <w:p w:rsidR="00890E19" w:rsidRDefault="00890E19" w:rsidP="00890E19">
      <w:pPr>
        <w:spacing w:after="0" w:line="240" w:lineRule="auto"/>
        <w:contextualSpacing/>
        <w:jc w:val="both"/>
      </w:pPr>
    </w:p>
    <w:p w:rsidR="00890E19" w:rsidRDefault="00890E19" w:rsidP="00890E19">
      <w:pPr>
        <w:rPr>
          <w:b/>
          <w:u w:val="single"/>
        </w:rPr>
      </w:pPr>
    </w:p>
    <w:tbl>
      <w:tblPr>
        <w:tblW w:w="0" w:type="auto"/>
        <w:tblInd w:w="108" w:type="dxa"/>
        <w:tblCellMar>
          <w:left w:w="0" w:type="dxa"/>
          <w:right w:w="0" w:type="dxa"/>
        </w:tblCellMar>
        <w:tblLook w:val="04A0" w:firstRow="1" w:lastRow="0" w:firstColumn="1" w:lastColumn="0" w:noHBand="0" w:noVBand="1"/>
      </w:tblPr>
      <w:tblGrid>
        <w:gridCol w:w="384"/>
        <w:gridCol w:w="6530"/>
        <w:gridCol w:w="963"/>
        <w:gridCol w:w="1021"/>
      </w:tblGrid>
      <w:tr w:rsidR="00890E19" w:rsidTr="00FB5B56">
        <w:trPr>
          <w:trHeight w:val="399"/>
        </w:trPr>
        <w:tc>
          <w:tcPr>
            <w:tcW w:w="27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90E19" w:rsidRDefault="00890E19" w:rsidP="00FB5B56">
            <w:pPr>
              <w:rPr>
                <w:rFonts w:ascii="Calibri" w:hAnsi="Calibri"/>
              </w:rPr>
            </w:pPr>
            <w:r>
              <w:t> </w:t>
            </w:r>
          </w:p>
        </w:tc>
        <w:tc>
          <w:tcPr>
            <w:tcW w:w="67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90E19" w:rsidRDefault="00890E19" w:rsidP="00FB5B56">
            <w:pPr>
              <w:rPr>
                <w:rFonts w:ascii="Calibri" w:hAnsi="Calibri"/>
              </w:rPr>
            </w:pPr>
            <w:r>
              <w:rPr>
                <w:b/>
                <w:bCs/>
              </w:rPr>
              <w:t>Question</w:t>
            </w:r>
          </w:p>
        </w:tc>
        <w:tc>
          <w:tcPr>
            <w:tcW w:w="9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90E19" w:rsidRDefault="00890E19" w:rsidP="00FB5B56">
            <w:pPr>
              <w:rPr>
                <w:rFonts w:ascii="Calibri" w:hAnsi="Calibri"/>
              </w:rPr>
            </w:pPr>
            <w:r>
              <w:rPr>
                <w:b/>
                <w:bCs/>
              </w:rPr>
              <w:t>Yes</w:t>
            </w:r>
          </w:p>
        </w:tc>
        <w:tc>
          <w:tcPr>
            <w:tcW w:w="104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90E19" w:rsidRDefault="00890E19" w:rsidP="00FB5B56">
            <w:pPr>
              <w:rPr>
                <w:rFonts w:ascii="Calibri" w:hAnsi="Calibri"/>
              </w:rPr>
            </w:pPr>
            <w:r>
              <w:rPr>
                <w:b/>
                <w:bCs/>
              </w:rPr>
              <w:t>No</w:t>
            </w:r>
          </w:p>
        </w:tc>
      </w:tr>
      <w:tr w:rsidR="00890E19" w:rsidTr="00FB5B56">
        <w:trPr>
          <w:trHeight w:val="641"/>
        </w:trPr>
        <w:tc>
          <w:tcPr>
            <w:tcW w:w="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xml:space="preserve">1. </w:t>
            </w:r>
          </w:p>
        </w:tc>
        <w:tc>
          <w:tcPr>
            <w:tcW w:w="6724"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rPr>
                <w:lang w:val="en"/>
              </w:rPr>
              <w:t xml:space="preserve">The </w:t>
            </w:r>
            <w:proofErr w:type="spellStart"/>
            <w:r>
              <w:rPr>
                <w:lang w:val="en"/>
              </w:rPr>
              <w:t>organisation</w:t>
            </w:r>
            <w:proofErr w:type="spellEnd"/>
            <w:r>
              <w:rPr>
                <w:lang w:val="en"/>
              </w:rPr>
              <w:t xml:space="preserve"> would be ready to begin implementation and </w:t>
            </w:r>
            <w:proofErr w:type="spellStart"/>
            <w:r>
              <w:rPr>
                <w:lang w:val="en"/>
              </w:rPr>
              <w:t>mobilisation</w:t>
            </w:r>
            <w:proofErr w:type="spellEnd"/>
            <w:r>
              <w:rPr>
                <w:lang w:val="en"/>
              </w:rPr>
              <w:t xml:space="preserve"> in the last quarter of this financial year </w:t>
            </w:r>
            <w:r>
              <w:t>2018/2019.</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Times New Roman" w:eastAsia="Times New Roman" w:hAnsi="Times New Roman"/>
                <w:sz w:val="20"/>
                <w:szCs w:val="20"/>
                <w:lang w:eastAsia="en-GB"/>
              </w:rPr>
            </w:pP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w:t>
            </w:r>
          </w:p>
        </w:tc>
      </w:tr>
      <w:tr w:rsidR="00890E19" w:rsidTr="00FB5B56">
        <w:trPr>
          <w:trHeight w:val="1815"/>
        </w:trPr>
        <w:tc>
          <w:tcPr>
            <w:tcW w:w="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xml:space="preserve">2. </w:t>
            </w:r>
          </w:p>
        </w:tc>
        <w:tc>
          <w:tcPr>
            <w:tcW w:w="6724"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rPr>
                <w:lang w:val="en"/>
              </w:rPr>
              <w:t xml:space="preserve">The </w:t>
            </w:r>
            <w:proofErr w:type="spellStart"/>
            <w:r>
              <w:rPr>
                <w:lang w:val="en"/>
              </w:rPr>
              <w:t>organisation</w:t>
            </w:r>
            <w:proofErr w:type="spellEnd"/>
            <w:r>
              <w:rPr>
                <w:lang w:val="en"/>
              </w:rPr>
              <w:t xml:space="preserve"> will be able to clearly provide, when requested, demonstrable experience and track record in delivering referral management services, in respect of complex care determinations and arrangements, including processing referrals from primary care, referrals to as well as flexing community services, ability to directly facilitate secondary care assessments as part of assessment activity in a seamless and efficient manner where appropriate.</w:t>
            </w:r>
            <w:r>
              <w:t> </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Times New Roman" w:eastAsia="Times New Roman" w:hAnsi="Times New Roman"/>
                <w:sz w:val="20"/>
                <w:szCs w:val="20"/>
                <w:lang w:eastAsia="en-GB"/>
              </w:rPr>
            </w:pP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w:t>
            </w:r>
          </w:p>
        </w:tc>
      </w:tr>
      <w:tr w:rsidR="00890E19" w:rsidTr="00FB5B56">
        <w:trPr>
          <w:trHeight w:val="114"/>
        </w:trPr>
        <w:tc>
          <w:tcPr>
            <w:tcW w:w="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xml:space="preserve">3. </w:t>
            </w:r>
          </w:p>
        </w:tc>
        <w:tc>
          <w:tcPr>
            <w:tcW w:w="6724"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lang w:val="en"/>
              </w:rPr>
            </w:pPr>
            <w:r>
              <w:rPr>
                <w:lang w:val="en"/>
              </w:rPr>
              <w:t xml:space="preserve">The </w:t>
            </w:r>
            <w:proofErr w:type="spellStart"/>
            <w:r>
              <w:rPr>
                <w:lang w:val="en"/>
              </w:rPr>
              <w:t>organisation</w:t>
            </w:r>
            <w:proofErr w:type="spellEnd"/>
            <w:r>
              <w:rPr>
                <w:lang w:val="en"/>
              </w:rPr>
              <w:t xml:space="preserve"> will be able to clearly provide, when requested, demonstrable experience in the delivery of clinical services and clinical decision making</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890E19" w:rsidRDefault="00890E19" w:rsidP="00FB5B56">
            <w:pPr>
              <w:rPr>
                <w:rFonts w:ascii="Times New Roman" w:hAnsi="Times New Roman"/>
                <w:sz w:val="20"/>
                <w:szCs w:val="20"/>
                <w:lang w:eastAsia="en-GB"/>
              </w:rPr>
            </w:pPr>
          </w:p>
        </w:tc>
        <w:tc>
          <w:tcPr>
            <w:tcW w:w="1042" w:type="dxa"/>
            <w:tcBorders>
              <w:top w:val="nil"/>
              <w:left w:val="nil"/>
              <w:bottom w:val="single" w:sz="8" w:space="0" w:color="auto"/>
              <w:right w:val="single" w:sz="8" w:space="0" w:color="auto"/>
            </w:tcBorders>
            <w:tcMar>
              <w:top w:w="0" w:type="dxa"/>
              <w:left w:w="108" w:type="dxa"/>
              <w:bottom w:w="0" w:type="dxa"/>
              <w:right w:w="108" w:type="dxa"/>
            </w:tcMar>
          </w:tcPr>
          <w:p w:rsidR="00890E19" w:rsidRDefault="00890E19" w:rsidP="00FB5B56">
            <w:pPr>
              <w:rPr>
                <w:rFonts w:ascii="Calibri" w:hAnsi="Calibri"/>
              </w:rPr>
            </w:pPr>
          </w:p>
        </w:tc>
      </w:tr>
      <w:tr w:rsidR="00890E19" w:rsidTr="00FB5B56">
        <w:trPr>
          <w:trHeight w:val="114"/>
        </w:trPr>
        <w:tc>
          <w:tcPr>
            <w:tcW w:w="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xml:space="preserve">4. </w:t>
            </w:r>
          </w:p>
        </w:tc>
        <w:tc>
          <w:tcPr>
            <w:tcW w:w="6724"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xml:space="preserve">The organisation will be able to demonstrate compliance with </w:t>
            </w:r>
            <w:r>
              <w:rPr>
                <w:lang w:val="en"/>
              </w:rPr>
              <w:t xml:space="preserve">NHS </w:t>
            </w:r>
            <w:proofErr w:type="spellStart"/>
            <w:r>
              <w:rPr>
                <w:lang w:val="en"/>
              </w:rPr>
              <w:t>IGSoC</w:t>
            </w:r>
            <w:proofErr w:type="spellEnd"/>
            <w:r>
              <w:rPr>
                <w:lang w:val="en"/>
              </w:rPr>
              <w:t>.</w:t>
            </w:r>
            <w:r>
              <w:t> </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Times New Roman" w:eastAsia="Times New Roman" w:hAnsi="Times New Roman"/>
                <w:sz w:val="20"/>
                <w:szCs w:val="20"/>
                <w:lang w:eastAsia="en-GB"/>
              </w:rPr>
            </w:pP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rsidR="00890E19" w:rsidRDefault="00890E19" w:rsidP="00FB5B56">
            <w:pPr>
              <w:rPr>
                <w:rFonts w:ascii="Calibri" w:hAnsi="Calibri"/>
              </w:rPr>
            </w:pPr>
            <w:r>
              <w:t> </w:t>
            </w:r>
          </w:p>
        </w:tc>
      </w:tr>
    </w:tbl>
    <w:p w:rsidR="00890E19" w:rsidRDefault="00890E19" w:rsidP="00890E19">
      <w:pPr>
        <w:rPr>
          <w:b/>
          <w:u w:val="single"/>
        </w:rPr>
      </w:pPr>
    </w:p>
    <w:p w:rsidR="00890E19" w:rsidRDefault="00890E19" w:rsidP="00890E19">
      <w:pPr>
        <w:rPr>
          <w:b/>
          <w:u w:val="single"/>
        </w:rPr>
      </w:pPr>
    </w:p>
    <w:p w:rsidR="00890E19" w:rsidRDefault="00890E19" w:rsidP="00890E19">
      <w:pPr>
        <w:spacing w:after="0" w:line="240" w:lineRule="auto"/>
        <w:contextualSpacing/>
        <w:jc w:val="both"/>
      </w:pPr>
      <w:r>
        <w:t xml:space="preserve">Name: </w:t>
      </w:r>
    </w:p>
    <w:p w:rsidR="00890E19" w:rsidRDefault="00890E19" w:rsidP="00890E19">
      <w:pPr>
        <w:spacing w:after="0" w:line="240" w:lineRule="auto"/>
        <w:contextualSpacing/>
        <w:jc w:val="both"/>
      </w:pPr>
    </w:p>
    <w:p w:rsidR="00890E19" w:rsidRDefault="00890E19" w:rsidP="00890E19">
      <w:pPr>
        <w:spacing w:after="0" w:line="240" w:lineRule="auto"/>
        <w:contextualSpacing/>
        <w:jc w:val="both"/>
      </w:pPr>
      <w:r>
        <w:t xml:space="preserve">Organisation: </w:t>
      </w:r>
    </w:p>
    <w:p w:rsidR="00890E19" w:rsidRDefault="00890E19" w:rsidP="00890E19">
      <w:pPr>
        <w:spacing w:after="0" w:line="240" w:lineRule="auto"/>
        <w:contextualSpacing/>
        <w:jc w:val="both"/>
      </w:pPr>
    </w:p>
    <w:p w:rsidR="00890E19" w:rsidRDefault="00890E19" w:rsidP="00890E19">
      <w:pPr>
        <w:spacing w:after="0" w:line="240" w:lineRule="auto"/>
        <w:contextualSpacing/>
        <w:jc w:val="both"/>
      </w:pPr>
      <w:r>
        <w:t xml:space="preserve">Email: </w:t>
      </w:r>
    </w:p>
    <w:p w:rsidR="00890E19" w:rsidRDefault="00890E19" w:rsidP="00890E19">
      <w:pPr>
        <w:spacing w:after="0" w:line="240" w:lineRule="auto"/>
        <w:contextualSpacing/>
        <w:jc w:val="both"/>
      </w:pPr>
    </w:p>
    <w:p w:rsidR="00890E19" w:rsidRDefault="00890E19" w:rsidP="00890E19">
      <w:pPr>
        <w:spacing w:after="0" w:line="240" w:lineRule="auto"/>
        <w:contextualSpacing/>
        <w:jc w:val="both"/>
      </w:pPr>
      <w:r>
        <w:t xml:space="preserve">Telephone: </w:t>
      </w:r>
    </w:p>
    <w:p w:rsidR="00890E19" w:rsidRPr="00890E19" w:rsidRDefault="00890E19" w:rsidP="00890E19">
      <w:pPr>
        <w:rPr>
          <w:b/>
          <w:u w:val="single"/>
        </w:rPr>
      </w:pPr>
    </w:p>
    <w:sectPr w:rsidR="00890E19" w:rsidRPr="00890E1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19" w:rsidRDefault="00890E19" w:rsidP="00890E19">
      <w:pPr>
        <w:spacing w:after="0" w:line="240" w:lineRule="auto"/>
      </w:pPr>
      <w:r>
        <w:separator/>
      </w:r>
    </w:p>
  </w:endnote>
  <w:endnote w:type="continuationSeparator" w:id="0">
    <w:p w:rsidR="00890E19" w:rsidRDefault="00890E19" w:rsidP="0089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19" w:rsidRDefault="00890E19" w:rsidP="00890E19">
      <w:pPr>
        <w:spacing w:after="0" w:line="240" w:lineRule="auto"/>
      </w:pPr>
      <w:r>
        <w:separator/>
      </w:r>
    </w:p>
  </w:footnote>
  <w:footnote w:type="continuationSeparator" w:id="0">
    <w:p w:rsidR="00890E19" w:rsidRDefault="00890E19" w:rsidP="00890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19" w:rsidRDefault="00890E19" w:rsidP="00890E19">
    <w:pPr>
      <w:pStyle w:val="Header"/>
      <w:jc w:val="center"/>
    </w:pPr>
    <w:r>
      <w:t>Northants Market test Integrated CHC delivery - new models September 2018</w:t>
    </w:r>
  </w:p>
  <w:p w:rsidR="00890E19" w:rsidRDefault="00890E19" w:rsidP="00890E19">
    <w:pPr>
      <w:pStyle w:val="Header"/>
    </w:pPr>
  </w:p>
  <w:p w:rsidR="00890E19" w:rsidRPr="00890E19" w:rsidRDefault="00890E19" w:rsidP="00890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19"/>
    <w:rsid w:val="002F6906"/>
    <w:rsid w:val="00890E19"/>
    <w:rsid w:val="00FF5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4C05"/>
  <w15:chartTrackingRefBased/>
  <w15:docId w15:val="{6F5E7FFB-FE70-4D86-B324-13F3DC34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E19"/>
  </w:style>
  <w:style w:type="paragraph" w:styleId="Footer">
    <w:name w:val="footer"/>
    <w:basedOn w:val="Normal"/>
    <w:link w:val="FooterChar"/>
    <w:uiPriority w:val="99"/>
    <w:unhideWhenUsed/>
    <w:rsid w:val="00890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Rosalind - Procurement Specialist</dc:creator>
  <cp:keywords/>
  <dc:description/>
  <cp:lastModifiedBy>Carter, Rosalind - Procurement Specialist</cp:lastModifiedBy>
  <cp:revision>1</cp:revision>
  <dcterms:created xsi:type="dcterms:W3CDTF">2018-09-27T13:46:00Z</dcterms:created>
  <dcterms:modified xsi:type="dcterms:W3CDTF">2018-09-27T13:50:00Z</dcterms:modified>
</cp:coreProperties>
</file>