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AE" w:rsidRDefault="008654AE" w:rsidP="00E67E61">
      <w:pPr>
        <w:pStyle w:val="Default"/>
        <w:rPr>
          <w:rFonts w:asciiTheme="minorHAnsi" w:hAnsiTheme="minorHAnsi"/>
          <w:b/>
        </w:rPr>
      </w:pPr>
    </w:p>
    <w:p w:rsidR="00E67E61" w:rsidRPr="00E67E61" w:rsidRDefault="00E67E61" w:rsidP="00E67E61">
      <w:pPr>
        <w:pStyle w:val="Default"/>
        <w:rPr>
          <w:rFonts w:asciiTheme="minorHAnsi" w:hAnsiTheme="minorHAnsi"/>
          <w:b/>
        </w:rPr>
      </w:pPr>
      <w:r w:rsidRPr="00E67E61">
        <w:rPr>
          <w:rFonts w:asciiTheme="minorHAnsi" w:hAnsiTheme="minorHAnsi"/>
          <w:b/>
        </w:rPr>
        <w:t>Background to this initiative</w:t>
      </w:r>
    </w:p>
    <w:p w:rsidR="00E67E61" w:rsidRPr="00E67E61" w:rsidRDefault="00E67E61" w:rsidP="00E67E61">
      <w:pPr>
        <w:pStyle w:val="Default"/>
        <w:rPr>
          <w:rFonts w:asciiTheme="minorHAnsi" w:hAnsiTheme="minorHAnsi"/>
          <w:b/>
        </w:rPr>
      </w:pPr>
    </w:p>
    <w:p w:rsidR="00E67E61" w:rsidRDefault="00E67E61" w:rsidP="00E67E61">
      <w:pPr>
        <w:pStyle w:val="Default"/>
        <w:rPr>
          <w:rFonts w:asciiTheme="minorHAnsi" w:hAnsiTheme="minorHAnsi"/>
        </w:rPr>
      </w:pPr>
      <w:r w:rsidRPr="00E67E61">
        <w:rPr>
          <w:rFonts w:asciiTheme="minorHAnsi" w:hAnsiTheme="minorHAnsi"/>
        </w:rPr>
        <w:t xml:space="preserve">Initial Health Assessments are required when a child or young person enters the care of the local authority. The number of </w:t>
      </w:r>
      <w:r w:rsidR="00420F97">
        <w:rPr>
          <w:rFonts w:asciiTheme="minorHAnsi" w:hAnsiTheme="minorHAnsi"/>
        </w:rPr>
        <w:t xml:space="preserve">children who are Looked After </w:t>
      </w:r>
      <w:r w:rsidR="00894120">
        <w:rPr>
          <w:rFonts w:asciiTheme="minorHAnsi" w:hAnsiTheme="minorHAnsi"/>
        </w:rPr>
        <w:t>by BCC</w:t>
      </w:r>
      <w:r w:rsidRPr="00E67E61">
        <w:rPr>
          <w:rFonts w:asciiTheme="minorHAnsi" w:hAnsiTheme="minorHAnsi"/>
        </w:rPr>
        <w:t xml:space="preserve"> is growing, and </w:t>
      </w:r>
      <w:r>
        <w:rPr>
          <w:rFonts w:asciiTheme="minorHAnsi" w:hAnsiTheme="minorHAnsi"/>
        </w:rPr>
        <w:t>Buckinghamsh</w:t>
      </w:r>
      <w:r w:rsidR="00894120">
        <w:rPr>
          <w:rFonts w:asciiTheme="minorHAnsi" w:hAnsiTheme="minorHAnsi"/>
        </w:rPr>
        <w:t>ire CCGs working with the</w:t>
      </w:r>
      <w:r>
        <w:rPr>
          <w:rFonts w:asciiTheme="minorHAnsi" w:hAnsiTheme="minorHAnsi"/>
        </w:rPr>
        <w:t xml:space="preserve"> Council have already established a small local pool of</w:t>
      </w:r>
      <w:r w:rsidRPr="00E67E61">
        <w:rPr>
          <w:rFonts w:asciiTheme="minorHAnsi" w:hAnsiTheme="minorHAnsi"/>
        </w:rPr>
        <w:t xml:space="preserve"> GP</w:t>
      </w:r>
      <w:r>
        <w:rPr>
          <w:rFonts w:asciiTheme="minorHAnsi" w:hAnsiTheme="minorHAnsi"/>
        </w:rPr>
        <w:t>s to assess older children who do not have complex needs</w:t>
      </w:r>
      <w:r w:rsidR="00894120">
        <w:rPr>
          <w:rFonts w:asciiTheme="minorHAnsi" w:hAnsiTheme="minorHAnsi"/>
        </w:rPr>
        <w:t xml:space="preserve"> requiring a paediatric assessment. The commissioners</w:t>
      </w:r>
      <w:r>
        <w:rPr>
          <w:rFonts w:asciiTheme="minorHAnsi" w:hAnsiTheme="minorHAnsi"/>
        </w:rPr>
        <w:t xml:space="preserve"> now wish to extend this provision to children placed at distance from the county.</w:t>
      </w:r>
    </w:p>
    <w:p w:rsidR="00E67E61" w:rsidRDefault="00E67E61" w:rsidP="00E67E61">
      <w:pPr>
        <w:pStyle w:val="Default"/>
        <w:rPr>
          <w:rFonts w:asciiTheme="minorHAnsi" w:hAnsiTheme="minorHAnsi"/>
        </w:rPr>
      </w:pPr>
    </w:p>
    <w:p w:rsidR="00E67E61" w:rsidRPr="00E67E61" w:rsidRDefault="00E67E61" w:rsidP="00E67E6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This</w:t>
      </w:r>
      <w:r w:rsidRPr="00E67E61">
        <w:rPr>
          <w:rFonts w:asciiTheme="minorHAnsi" w:hAnsiTheme="minorHAnsi"/>
        </w:rPr>
        <w:t xml:space="preserve"> </w:t>
      </w:r>
      <w:r w:rsidR="00894120">
        <w:rPr>
          <w:rFonts w:asciiTheme="minorHAnsi" w:hAnsiTheme="minorHAnsi"/>
        </w:rPr>
        <w:t>additional capacity will assist in meeting the need for assessments</w:t>
      </w:r>
      <w:r w:rsidR="0079046E">
        <w:rPr>
          <w:rFonts w:asciiTheme="minorHAnsi" w:hAnsiTheme="minorHAnsi"/>
        </w:rPr>
        <w:t>,</w:t>
      </w:r>
      <w:r w:rsidR="00894120">
        <w:rPr>
          <w:rFonts w:asciiTheme="minorHAnsi" w:hAnsiTheme="minorHAnsi"/>
        </w:rPr>
        <w:t xml:space="preserve"> within the required timescales</w:t>
      </w:r>
      <w:r w:rsidR="0079046E">
        <w:rPr>
          <w:rFonts w:asciiTheme="minorHAnsi" w:hAnsiTheme="minorHAnsi"/>
        </w:rPr>
        <w:t>,</w:t>
      </w:r>
      <w:r w:rsidRPr="00E67E61">
        <w:rPr>
          <w:rFonts w:asciiTheme="minorHAnsi" w:hAnsiTheme="minorHAnsi"/>
        </w:rPr>
        <w:t xml:space="preserve"> at times of </w:t>
      </w:r>
      <w:r>
        <w:rPr>
          <w:rFonts w:asciiTheme="minorHAnsi" w:hAnsiTheme="minorHAnsi"/>
        </w:rPr>
        <w:t>high and fluctuating demand, especially in</w:t>
      </w:r>
      <w:r w:rsidRPr="00E67E61">
        <w:rPr>
          <w:rFonts w:asciiTheme="minorHAnsi" w:hAnsiTheme="minorHAnsi"/>
        </w:rPr>
        <w:t xml:space="preserve"> </w:t>
      </w:r>
      <w:r w:rsidR="00894120">
        <w:rPr>
          <w:rFonts w:asciiTheme="minorHAnsi" w:hAnsiTheme="minorHAnsi"/>
        </w:rPr>
        <w:t xml:space="preserve">other local authority </w:t>
      </w:r>
      <w:r w:rsidRPr="00E67E61">
        <w:rPr>
          <w:rFonts w:asciiTheme="minorHAnsi" w:hAnsiTheme="minorHAnsi"/>
        </w:rPr>
        <w:t>areas</w:t>
      </w:r>
      <w:r w:rsidR="00894120">
        <w:rPr>
          <w:rFonts w:asciiTheme="minorHAnsi" w:hAnsiTheme="minorHAnsi"/>
        </w:rPr>
        <w:t xml:space="preserve"> where</w:t>
      </w:r>
      <w:r>
        <w:rPr>
          <w:rFonts w:asciiTheme="minorHAnsi" w:hAnsiTheme="minorHAnsi"/>
        </w:rPr>
        <w:t xml:space="preserve"> </w:t>
      </w:r>
      <w:r w:rsidRPr="00E67E61">
        <w:rPr>
          <w:rFonts w:asciiTheme="minorHAnsi" w:hAnsiTheme="minorHAnsi"/>
        </w:rPr>
        <w:t>pae</w:t>
      </w:r>
      <w:r w:rsidR="00894120">
        <w:rPr>
          <w:rFonts w:asciiTheme="minorHAnsi" w:hAnsiTheme="minorHAnsi"/>
        </w:rPr>
        <w:t xml:space="preserve">diatric </w:t>
      </w:r>
      <w:r>
        <w:rPr>
          <w:rFonts w:asciiTheme="minorHAnsi" w:hAnsiTheme="minorHAnsi"/>
        </w:rPr>
        <w:t>resources are already</w:t>
      </w:r>
      <w:r w:rsidRPr="00E67E61">
        <w:rPr>
          <w:rFonts w:asciiTheme="minorHAnsi" w:hAnsiTheme="minorHAnsi"/>
        </w:rPr>
        <w:t xml:space="preserve"> overstretched.</w:t>
      </w:r>
    </w:p>
    <w:p w:rsidR="00E67E61" w:rsidRPr="00E67E61" w:rsidRDefault="00E67E61" w:rsidP="00E67E61">
      <w:pPr>
        <w:pStyle w:val="Default"/>
        <w:rPr>
          <w:rFonts w:asciiTheme="minorHAnsi" w:hAnsiTheme="minorHAnsi"/>
        </w:rPr>
      </w:pPr>
    </w:p>
    <w:p w:rsidR="00E67E61" w:rsidRDefault="00E67E61" w:rsidP="00E67E61">
      <w:pPr>
        <w:pStyle w:val="Default"/>
        <w:rPr>
          <w:rFonts w:asciiTheme="minorHAnsi" w:hAnsiTheme="minorHAnsi"/>
        </w:rPr>
      </w:pPr>
      <w:r w:rsidRPr="00E67E61">
        <w:rPr>
          <w:rFonts w:asciiTheme="minorHAnsi" w:hAnsiTheme="minorHAnsi"/>
        </w:rPr>
        <w:t xml:space="preserve">Children coming into care will be </w:t>
      </w:r>
      <w:r w:rsidR="004E5D8E">
        <w:rPr>
          <w:rFonts w:asciiTheme="minorHAnsi" w:hAnsiTheme="minorHAnsi"/>
        </w:rPr>
        <w:t>‘</w:t>
      </w:r>
      <w:r w:rsidR="0008310D">
        <w:rPr>
          <w:rFonts w:asciiTheme="minorHAnsi" w:hAnsiTheme="minorHAnsi"/>
        </w:rPr>
        <w:t>paper</w:t>
      </w:r>
      <w:r w:rsidR="004E5D8E">
        <w:rPr>
          <w:rFonts w:asciiTheme="minorHAnsi" w:hAnsiTheme="minorHAnsi"/>
        </w:rPr>
        <w:t>’</w:t>
      </w:r>
      <w:r w:rsidR="0008310D">
        <w:rPr>
          <w:rFonts w:asciiTheme="minorHAnsi" w:hAnsiTheme="minorHAnsi"/>
        </w:rPr>
        <w:t>-</w:t>
      </w:r>
      <w:r w:rsidRPr="00E67E61">
        <w:rPr>
          <w:rFonts w:asciiTheme="minorHAnsi" w:hAnsiTheme="minorHAnsi"/>
        </w:rPr>
        <w:t xml:space="preserve">triaged by clinicians in the </w:t>
      </w:r>
      <w:r w:rsidR="008A39A6">
        <w:rPr>
          <w:rFonts w:asciiTheme="minorHAnsi" w:hAnsiTheme="minorHAnsi"/>
        </w:rPr>
        <w:t xml:space="preserve">Buckinghamshire </w:t>
      </w:r>
      <w:r w:rsidRPr="00E67E61">
        <w:rPr>
          <w:rFonts w:asciiTheme="minorHAnsi" w:hAnsiTheme="minorHAnsi"/>
        </w:rPr>
        <w:t xml:space="preserve">Looked </w:t>
      </w:r>
      <w:proofErr w:type="gramStart"/>
      <w:r w:rsidRPr="00E67E61">
        <w:rPr>
          <w:rFonts w:asciiTheme="minorHAnsi" w:hAnsiTheme="minorHAnsi"/>
        </w:rPr>
        <w:t>After</w:t>
      </w:r>
      <w:proofErr w:type="gramEnd"/>
      <w:r w:rsidRPr="00E67E61">
        <w:rPr>
          <w:rFonts w:asciiTheme="minorHAnsi" w:hAnsiTheme="minorHAnsi"/>
        </w:rPr>
        <w:t xml:space="preserve"> Children Health Team, who will confirm that assessment by a GP </w:t>
      </w:r>
      <w:r w:rsidR="0008310D">
        <w:rPr>
          <w:rFonts w:asciiTheme="minorHAnsi" w:hAnsiTheme="minorHAnsi"/>
        </w:rPr>
        <w:t>(</w:t>
      </w:r>
      <w:r w:rsidR="004E5D8E">
        <w:rPr>
          <w:rFonts w:asciiTheme="minorHAnsi" w:hAnsiTheme="minorHAnsi"/>
        </w:rPr>
        <w:t>or paediatric resources</w:t>
      </w:r>
      <w:r w:rsidR="0008310D">
        <w:rPr>
          <w:rFonts w:asciiTheme="minorHAnsi" w:hAnsiTheme="minorHAnsi"/>
        </w:rPr>
        <w:t>)</w:t>
      </w:r>
      <w:r w:rsidR="0008310D" w:rsidRPr="00E67E61">
        <w:rPr>
          <w:rFonts w:asciiTheme="minorHAnsi" w:hAnsiTheme="minorHAnsi"/>
        </w:rPr>
        <w:t xml:space="preserve"> </w:t>
      </w:r>
      <w:r w:rsidRPr="00E67E61">
        <w:rPr>
          <w:rFonts w:asciiTheme="minorHAnsi" w:hAnsiTheme="minorHAnsi"/>
        </w:rPr>
        <w:t xml:space="preserve">as an alternative to a </w:t>
      </w:r>
      <w:r w:rsidR="0046244F">
        <w:rPr>
          <w:rFonts w:asciiTheme="minorHAnsi" w:hAnsiTheme="minorHAnsi"/>
        </w:rPr>
        <w:t xml:space="preserve">local </w:t>
      </w:r>
      <w:r w:rsidR="00C23C7B">
        <w:rPr>
          <w:rFonts w:asciiTheme="minorHAnsi" w:hAnsiTheme="minorHAnsi"/>
        </w:rPr>
        <w:t xml:space="preserve">community </w:t>
      </w:r>
      <w:r w:rsidR="00C23C7B" w:rsidRPr="00E67E61">
        <w:rPr>
          <w:rFonts w:asciiTheme="minorHAnsi" w:hAnsiTheme="minorHAnsi"/>
        </w:rPr>
        <w:t>paediatric</w:t>
      </w:r>
      <w:r w:rsidRPr="00E67E61">
        <w:rPr>
          <w:rFonts w:asciiTheme="minorHAnsi" w:hAnsiTheme="minorHAnsi"/>
        </w:rPr>
        <w:t xml:space="preserve"> assessment is appropriate to their needs and within the agreed remit.</w:t>
      </w:r>
      <w:r w:rsidR="008A39A6">
        <w:rPr>
          <w:rFonts w:asciiTheme="minorHAnsi" w:hAnsiTheme="minorHAnsi"/>
        </w:rPr>
        <w:t xml:space="preserve"> Children in areas where assessment resources are scarce will then be referred on promptly to the provider for assessment.</w:t>
      </w:r>
    </w:p>
    <w:p w:rsidR="00D3664D" w:rsidRDefault="00D3664D" w:rsidP="00E67E61">
      <w:pPr>
        <w:pStyle w:val="Default"/>
        <w:rPr>
          <w:rFonts w:asciiTheme="minorHAnsi" w:hAnsiTheme="minorHAnsi"/>
        </w:rPr>
      </w:pPr>
    </w:p>
    <w:p w:rsidR="00D3664D" w:rsidRDefault="00D3664D" w:rsidP="00E67E61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Areas where assessment resources are especially required</w:t>
      </w:r>
    </w:p>
    <w:p w:rsidR="00D3664D" w:rsidRDefault="00D3664D" w:rsidP="00E67E61">
      <w:pPr>
        <w:pStyle w:val="Default"/>
        <w:rPr>
          <w:rFonts w:asciiTheme="minorHAnsi" w:hAnsiTheme="minorHAnsi"/>
          <w:b/>
        </w:rPr>
      </w:pPr>
    </w:p>
    <w:p w:rsidR="00D3664D" w:rsidRDefault="00D3664D" w:rsidP="00E67E6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Between April 2015 and March 2016, a total of 203 Bucks children received an IHA. A number of other children entered care, but returned home before an IHA could be completed.</w:t>
      </w:r>
    </w:p>
    <w:p w:rsidR="00D3664D" w:rsidRDefault="00D3664D" w:rsidP="00E67E61">
      <w:pPr>
        <w:pStyle w:val="Default"/>
        <w:rPr>
          <w:rFonts w:asciiTheme="minorHAnsi" w:hAnsiTheme="minorHAnsi"/>
        </w:rPr>
      </w:pPr>
    </w:p>
    <w:p w:rsidR="00D3664D" w:rsidRDefault="00A71133" w:rsidP="00E67E6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Of these</w:t>
      </w:r>
      <w:r w:rsidR="00D3664D">
        <w:rPr>
          <w:rFonts w:asciiTheme="minorHAnsi" w:hAnsiTheme="minorHAnsi"/>
        </w:rPr>
        <w:t xml:space="preserve"> 203 children, </w:t>
      </w:r>
      <w:r>
        <w:rPr>
          <w:rFonts w:asciiTheme="minorHAnsi" w:hAnsiTheme="minorHAnsi"/>
        </w:rPr>
        <w:t>41% (</w:t>
      </w:r>
      <w:r w:rsidR="00D3664D">
        <w:rPr>
          <w:rFonts w:asciiTheme="minorHAnsi" w:hAnsiTheme="minorHAnsi"/>
        </w:rPr>
        <w:t>84</w:t>
      </w:r>
      <w:r>
        <w:rPr>
          <w:rFonts w:asciiTheme="minorHAnsi" w:hAnsiTheme="minorHAnsi"/>
        </w:rPr>
        <w:t xml:space="preserve"> children) </w:t>
      </w:r>
      <w:r w:rsidR="00D3664D">
        <w:rPr>
          <w:rFonts w:asciiTheme="minorHAnsi" w:hAnsiTheme="minorHAnsi"/>
        </w:rPr>
        <w:t>were placed out-county</w:t>
      </w:r>
      <w:r w:rsidR="00604758">
        <w:rPr>
          <w:rFonts w:asciiTheme="minorHAnsi" w:hAnsiTheme="minorHAnsi"/>
        </w:rPr>
        <w:t xml:space="preserve"> and, of the children placed out-county,</w:t>
      </w:r>
      <w:r w:rsidR="00D3664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70% (</w:t>
      </w:r>
      <w:r w:rsidR="00D3664D">
        <w:rPr>
          <w:rFonts w:asciiTheme="minorHAnsi" w:hAnsiTheme="minorHAnsi"/>
        </w:rPr>
        <w:t>59</w:t>
      </w:r>
      <w:r>
        <w:rPr>
          <w:rFonts w:asciiTheme="minorHAnsi" w:hAnsiTheme="minorHAnsi"/>
        </w:rPr>
        <w:t xml:space="preserve"> children) </w:t>
      </w:r>
      <w:r w:rsidR="00604758">
        <w:rPr>
          <w:rFonts w:asciiTheme="minorHAnsi" w:hAnsiTheme="minorHAnsi"/>
        </w:rPr>
        <w:t xml:space="preserve">were </w:t>
      </w:r>
      <w:r w:rsidR="00604758" w:rsidRPr="00A71133">
        <w:rPr>
          <w:rFonts w:asciiTheme="minorHAnsi" w:hAnsiTheme="minorHAnsi"/>
          <w:u w:val="single"/>
        </w:rPr>
        <w:t>not</w:t>
      </w:r>
      <w:r w:rsidR="00604758">
        <w:rPr>
          <w:rFonts w:asciiTheme="minorHAnsi" w:hAnsiTheme="minorHAnsi"/>
        </w:rPr>
        <w:t xml:space="preserve"> seen within the 28-day timeframe</w:t>
      </w:r>
      <w:r w:rsidR="00D3664D">
        <w:rPr>
          <w:rFonts w:asciiTheme="minorHAnsi" w:hAnsiTheme="minorHAnsi"/>
        </w:rPr>
        <w:t xml:space="preserve">. </w:t>
      </w:r>
    </w:p>
    <w:p w:rsidR="00604758" w:rsidRDefault="00604758" w:rsidP="00E67E61">
      <w:pPr>
        <w:pStyle w:val="Default"/>
        <w:rPr>
          <w:rFonts w:asciiTheme="minorHAnsi" w:hAnsiTheme="minorHAnsi"/>
        </w:rPr>
      </w:pPr>
    </w:p>
    <w:p w:rsidR="00604758" w:rsidRDefault="00604758" w:rsidP="00E67E6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compares with 28% of children placed in-county who were </w:t>
      </w:r>
      <w:r w:rsidRPr="00A71133">
        <w:rPr>
          <w:rFonts w:asciiTheme="minorHAnsi" w:hAnsiTheme="minorHAnsi"/>
          <w:u w:val="single"/>
        </w:rPr>
        <w:t>not</w:t>
      </w:r>
      <w:r>
        <w:rPr>
          <w:rFonts w:asciiTheme="minorHAnsi" w:hAnsiTheme="minorHAnsi"/>
        </w:rPr>
        <w:t xml:space="preserve"> seen within the timeframe.</w:t>
      </w:r>
    </w:p>
    <w:p w:rsidR="00604758" w:rsidRDefault="00604758" w:rsidP="00E67E61">
      <w:pPr>
        <w:pStyle w:val="Default"/>
        <w:rPr>
          <w:rFonts w:asciiTheme="minorHAnsi" w:hAnsiTheme="minorHAnsi"/>
        </w:rPr>
      </w:pPr>
    </w:p>
    <w:p w:rsidR="00A71133" w:rsidRDefault="00604758" w:rsidP="00E67E6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Buckinghamshire CCGs and Council therefore wish to recruit GP or paediatric resources in those out-county areas where Bucks children are parti</w:t>
      </w:r>
      <w:r w:rsidR="00A71133">
        <w:rPr>
          <w:rFonts w:asciiTheme="minorHAnsi" w:hAnsiTheme="minorHAnsi"/>
        </w:rPr>
        <w:t xml:space="preserve">cularly likely to be placed. </w:t>
      </w:r>
    </w:p>
    <w:p w:rsidR="00A71133" w:rsidRDefault="00A71133" w:rsidP="00E67E61">
      <w:pPr>
        <w:pStyle w:val="Default"/>
        <w:rPr>
          <w:rFonts w:asciiTheme="minorHAnsi" w:hAnsiTheme="minorHAnsi"/>
        </w:rPr>
      </w:pPr>
    </w:p>
    <w:p w:rsidR="00604758" w:rsidRDefault="00A71133" w:rsidP="00E67E6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 analysis of </w:t>
      </w:r>
      <w:r w:rsidR="0094558C">
        <w:rPr>
          <w:rFonts w:asciiTheme="minorHAnsi" w:hAnsiTheme="minorHAnsi"/>
        </w:rPr>
        <w:t xml:space="preserve">out-county </w:t>
      </w:r>
      <w:r>
        <w:rPr>
          <w:rFonts w:asciiTheme="minorHAnsi" w:hAnsiTheme="minorHAnsi"/>
        </w:rPr>
        <w:t>placements made in the first 7 months of this year</w:t>
      </w:r>
      <w:r w:rsidR="0094558C">
        <w:rPr>
          <w:rFonts w:asciiTheme="minorHAnsi" w:hAnsiTheme="minorHAnsi"/>
        </w:rPr>
        <w:t xml:space="preserve"> (January – July 2016)</w:t>
      </w:r>
      <w:r>
        <w:rPr>
          <w:rFonts w:asciiTheme="minorHAnsi" w:hAnsiTheme="minorHAnsi"/>
        </w:rPr>
        <w:t xml:space="preserve"> revealed that there were particular clusters</w:t>
      </w:r>
      <w:r w:rsidR="00D93F2A">
        <w:rPr>
          <w:rFonts w:asciiTheme="minorHAnsi" w:hAnsiTheme="minorHAnsi"/>
        </w:rPr>
        <w:t xml:space="preserve"> in</w:t>
      </w:r>
      <w:r w:rsidR="001A414B">
        <w:rPr>
          <w:rFonts w:asciiTheme="minorHAnsi" w:hAnsiTheme="minorHAnsi"/>
        </w:rPr>
        <w:t xml:space="preserve"> 6 local authority areas</w:t>
      </w:r>
      <w:r w:rsidR="00D93F2A">
        <w:rPr>
          <w:rFonts w:asciiTheme="minorHAnsi" w:hAnsiTheme="minorHAnsi"/>
        </w:rPr>
        <w:t>, as</w:t>
      </w:r>
      <w:r w:rsidR="001A414B">
        <w:rPr>
          <w:rFonts w:asciiTheme="minorHAnsi" w:hAnsiTheme="minorHAnsi"/>
        </w:rPr>
        <w:t xml:space="preserve"> indicated in the table below</w:t>
      </w:r>
      <w:r>
        <w:rPr>
          <w:rFonts w:asciiTheme="minorHAnsi" w:hAnsiTheme="minorHAnsi"/>
        </w:rPr>
        <w:t>:</w:t>
      </w:r>
    </w:p>
    <w:p w:rsidR="00F27576" w:rsidRDefault="00F27576" w:rsidP="00E67E61">
      <w:pPr>
        <w:pStyle w:val="Default"/>
        <w:rPr>
          <w:rFonts w:asciiTheme="minorHAnsi" w:hAnsiTheme="minorHAnsi"/>
        </w:rPr>
      </w:pPr>
      <w:bookmarkStart w:id="0" w:name="_GoBack"/>
      <w:bookmarkEnd w:id="0"/>
    </w:p>
    <w:p w:rsidR="00BE4682" w:rsidRPr="00BE4682" w:rsidRDefault="00BE4682" w:rsidP="00E67E61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Placement clusters – Bucks children placed out-county</w:t>
      </w:r>
      <w:r w:rsidR="004E181A">
        <w:rPr>
          <w:rFonts w:asciiTheme="minorHAnsi" w:hAnsiTheme="minorHAnsi"/>
          <w:b/>
        </w:rPr>
        <w:t xml:space="preserve"> January – July 2016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5434"/>
      </w:tblGrid>
      <w:tr w:rsidR="00F27576" w:rsidTr="00BE4682">
        <w:tc>
          <w:tcPr>
            <w:tcW w:w="2802" w:type="dxa"/>
          </w:tcPr>
          <w:p w:rsidR="00F27576" w:rsidRPr="00BE4682" w:rsidRDefault="00BE4682" w:rsidP="00BE4682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BE4682">
              <w:rPr>
                <w:rFonts w:asciiTheme="minorHAnsi" w:hAnsiTheme="minorHAnsi"/>
                <w:b/>
              </w:rPr>
              <w:t>Local Authority Area</w:t>
            </w:r>
          </w:p>
        </w:tc>
        <w:tc>
          <w:tcPr>
            <w:tcW w:w="2268" w:type="dxa"/>
          </w:tcPr>
          <w:p w:rsidR="00F27576" w:rsidRDefault="00BE4682" w:rsidP="00BE4682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BE4682">
              <w:rPr>
                <w:rFonts w:asciiTheme="minorHAnsi" w:hAnsiTheme="minorHAnsi"/>
                <w:b/>
              </w:rPr>
              <w:t>Number of children</w:t>
            </w:r>
          </w:p>
          <w:p w:rsidR="004E181A" w:rsidRPr="00C23C7B" w:rsidRDefault="004E181A" w:rsidP="00BE4682">
            <w:pPr>
              <w:pStyle w:val="Default"/>
              <w:jc w:val="center"/>
              <w:rPr>
                <w:rFonts w:asciiTheme="minorHAnsi" w:hAnsiTheme="minorHAnsi"/>
              </w:rPr>
            </w:pPr>
            <w:r w:rsidRPr="00C23C7B">
              <w:rPr>
                <w:rFonts w:asciiTheme="minorHAnsi" w:hAnsiTheme="minorHAnsi"/>
              </w:rPr>
              <w:t>(All ages and needs)</w:t>
            </w:r>
          </w:p>
        </w:tc>
        <w:tc>
          <w:tcPr>
            <w:tcW w:w="5434" w:type="dxa"/>
          </w:tcPr>
          <w:p w:rsidR="00F27576" w:rsidRPr="00BE4682" w:rsidRDefault="00BE4682" w:rsidP="00BE4682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BE4682">
              <w:rPr>
                <w:rFonts w:asciiTheme="minorHAnsi" w:hAnsiTheme="minorHAnsi"/>
                <w:b/>
              </w:rPr>
              <w:t>Town/Borough</w:t>
            </w:r>
          </w:p>
        </w:tc>
      </w:tr>
      <w:tr w:rsidR="00F27576" w:rsidTr="00BE4682">
        <w:tc>
          <w:tcPr>
            <w:tcW w:w="2802" w:type="dxa"/>
          </w:tcPr>
          <w:p w:rsidR="00F27576" w:rsidRDefault="00F27576" w:rsidP="00E67E6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Milton Keynes area</w:t>
            </w:r>
          </w:p>
        </w:tc>
        <w:tc>
          <w:tcPr>
            <w:tcW w:w="2268" w:type="dxa"/>
          </w:tcPr>
          <w:p w:rsidR="00F27576" w:rsidRDefault="00BE4682" w:rsidP="00BE468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  <w:p w:rsidR="00F27576" w:rsidRDefault="00F27576" w:rsidP="00BE468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434" w:type="dxa"/>
          </w:tcPr>
          <w:p w:rsidR="00F27576" w:rsidRDefault="00E305C0" w:rsidP="00E67E6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="004E5D8E">
              <w:rPr>
                <w:rFonts w:asciiTheme="minorHAnsi" w:hAnsiTheme="minorHAnsi"/>
              </w:rPr>
              <w:t xml:space="preserve">ilton </w:t>
            </w:r>
            <w:r>
              <w:rPr>
                <w:rFonts w:asciiTheme="minorHAnsi" w:hAnsiTheme="minorHAnsi"/>
              </w:rPr>
              <w:t>K</w:t>
            </w:r>
            <w:r w:rsidR="004E5D8E">
              <w:rPr>
                <w:rFonts w:asciiTheme="minorHAnsi" w:hAnsiTheme="minorHAnsi"/>
              </w:rPr>
              <w:t>eynes</w:t>
            </w:r>
            <w:r>
              <w:rPr>
                <w:rFonts w:asciiTheme="minorHAnsi" w:hAnsiTheme="minorHAnsi"/>
              </w:rPr>
              <w:t xml:space="preserve"> and</w:t>
            </w:r>
            <w:r w:rsidR="0094558C">
              <w:rPr>
                <w:rFonts w:asciiTheme="minorHAnsi" w:hAnsiTheme="minorHAnsi"/>
              </w:rPr>
              <w:t xml:space="preserve"> Bletchley</w:t>
            </w:r>
          </w:p>
        </w:tc>
      </w:tr>
      <w:tr w:rsidR="00F27576" w:rsidTr="00BE4682">
        <w:tc>
          <w:tcPr>
            <w:tcW w:w="2802" w:type="dxa"/>
          </w:tcPr>
          <w:p w:rsidR="00F27576" w:rsidRDefault="00F27576" w:rsidP="00E67E6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Bedfordshire</w:t>
            </w:r>
          </w:p>
        </w:tc>
        <w:tc>
          <w:tcPr>
            <w:tcW w:w="2268" w:type="dxa"/>
          </w:tcPr>
          <w:p w:rsidR="00F27576" w:rsidRDefault="00BE4682" w:rsidP="00BE468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5434" w:type="dxa"/>
          </w:tcPr>
          <w:p w:rsidR="00F27576" w:rsidRDefault="00F27576" w:rsidP="00E67E6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Ampthill, Bedford, Dunstable, Leighton Buzzard and Luton Unitary</w:t>
            </w:r>
          </w:p>
        </w:tc>
      </w:tr>
      <w:tr w:rsidR="00BE4682" w:rsidTr="00BE4682">
        <w:tc>
          <w:tcPr>
            <w:tcW w:w="2802" w:type="dxa"/>
          </w:tcPr>
          <w:p w:rsidR="00BE4682" w:rsidRDefault="00BE4682" w:rsidP="00BE4682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Northamptonshire </w:t>
            </w:r>
          </w:p>
        </w:tc>
        <w:tc>
          <w:tcPr>
            <w:tcW w:w="2268" w:type="dxa"/>
          </w:tcPr>
          <w:p w:rsidR="00BE4682" w:rsidRDefault="00BE4682" w:rsidP="00BE468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5434" w:type="dxa"/>
          </w:tcPr>
          <w:p w:rsidR="00BE4682" w:rsidRDefault="00BE4682" w:rsidP="00BE4682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Includes </w:t>
            </w:r>
            <w:proofErr w:type="spellStart"/>
            <w:r>
              <w:rPr>
                <w:rFonts w:asciiTheme="minorHAnsi" w:hAnsiTheme="minorHAnsi"/>
              </w:rPr>
              <w:t>Brackley</w:t>
            </w:r>
            <w:proofErr w:type="spellEnd"/>
            <w:r w:rsidR="00E305C0">
              <w:rPr>
                <w:rFonts w:asciiTheme="minorHAnsi" w:hAnsiTheme="minorHAnsi"/>
              </w:rPr>
              <w:t xml:space="preserve"> 4 children</w:t>
            </w:r>
          </w:p>
          <w:p w:rsidR="00BE4682" w:rsidRDefault="00BE4682" w:rsidP="00E67E61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F27576" w:rsidTr="00BE4682">
        <w:tc>
          <w:tcPr>
            <w:tcW w:w="2802" w:type="dxa"/>
          </w:tcPr>
          <w:p w:rsidR="00F27576" w:rsidRDefault="00BE4682" w:rsidP="00E67E6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Oxfordshire</w:t>
            </w:r>
          </w:p>
        </w:tc>
        <w:tc>
          <w:tcPr>
            <w:tcW w:w="2268" w:type="dxa"/>
          </w:tcPr>
          <w:p w:rsidR="00F27576" w:rsidRDefault="00BE4682" w:rsidP="00BE468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5434" w:type="dxa"/>
          </w:tcPr>
          <w:p w:rsidR="00F27576" w:rsidRDefault="00E305C0" w:rsidP="00E67E6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Includes </w:t>
            </w:r>
            <w:r w:rsidR="00BE4682">
              <w:rPr>
                <w:rFonts w:asciiTheme="minorHAnsi" w:hAnsiTheme="minorHAnsi"/>
              </w:rPr>
              <w:t>Banbury 1 child, Great Milton 3 children</w:t>
            </w:r>
          </w:p>
          <w:p w:rsidR="00E305C0" w:rsidRDefault="00E305C0" w:rsidP="00E67E61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F27576" w:rsidTr="00BE4682">
        <w:tc>
          <w:tcPr>
            <w:tcW w:w="2802" w:type="dxa"/>
          </w:tcPr>
          <w:p w:rsidR="00F27576" w:rsidRDefault="00BE4682" w:rsidP="00E67E6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North/North West/West </w:t>
            </w:r>
            <w:r>
              <w:rPr>
                <w:rFonts w:asciiTheme="minorHAnsi" w:hAnsiTheme="minorHAnsi"/>
              </w:rPr>
              <w:lastRenderedPageBreak/>
              <w:t>London</w:t>
            </w:r>
          </w:p>
        </w:tc>
        <w:tc>
          <w:tcPr>
            <w:tcW w:w="2268" w:type="dxa"/>
          </w:tcPr>
          <w:p w:rsidR="00F27576" w:rsidRDefault="00491070" w:rsidP="00BE468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7</w:t>
            </w:r>
          </w:p>
        </w:tc>
        <w:tc>
          <w:tcPr>
            <w:tcW w:w="5434" w:type="dxa"/>
          </w:tcPr>
          <w:p w:rsidR="00BE4682" w:rsidRDefault="00BE4682" w:rsidP="00E67E6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Hillingdon including Hayes and Uxbridge 3 children; </w:t>
            </w:r>
          </w:p>
          <w:p w:rsidR="00E305C0" w:rsidRDefault="00BE4682" w:rsidP="00E67E6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Barnet 2 </w:t>
            </w:r>
            <w:proofErr w:type="spellStart"/>
            <w:r>
              <w:rPr>
                <w:rFonts w:asciiTheme="minorHAnsi" w:hAnsiTheme="minorHAnsi"/>
              </w:rPr>
              <w:t>children</w:t>
            </w:r>
            <w:r w:rsidR="004E181A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Ealing</w:t>
            </w:r>
            <w:proofErr w:type="spellEnd"/>
            <w:r>
              <w:rPr>
                <w:rFonts w:asciiTheme="minorHAnsi" w:hAnsiTheme="minorHAnsi"/>
              </w:rPr>
              <w:t xml:space="preserve">, Southall </w:t>
            </w:r>
            <w:r w:rsidR="00491070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chil</w:t>
            </w:r>
            <w:r w:rsidR="00D93F2A">
              <w:rPr>
                <w:rFonts w:asciiTheme="minorHAnsi" w:hAnsiTheme="minorHAnsi"/>
              </w:rPr>
              <w:t>dren.</w:t>
            </w:r>
          </w:p>
        </w:tc>
      </w:tr>
      <w:tr w:rsidR="00F27576" w:rsidTr="00BE4682">
        <w:tc>
          <w:tcPr>
            <w:tcW w:w="2802" w:type="dxa"/>
          </w:tcPr>
          <w:p w:rsidR="00F27576" w:rsidRDefault="00BE4682" w:rsidP="00E67E6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Berkshire</w:t>
            </w:r>
          </w:p>
        </w:tc>
        <w:tc>
          <w:tcPr>
            <w:tcW w:w="2268" w:type="dxa"/>
          </w:tcPr>
          <w:p w:rsidR="00F27576" w:rsidRDefault="00BE4682" w:rsidP="00BE468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5434" w:type="dxa"/>
          </w:tcPr>
          <w:p w:rsidR="00F27576" w:rsidRDefault="00BE4682" w:rsidP="00E67E6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Slough Unitary 4 children, Reading 2 children</w:t>
            </w:r>
          </w:p>
          <w:p w:rsidR="00E305C0" w:rsidRDefault="00E305C0" w:rsidP="00E67E61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F27576" w:rsidTr="00BE4682">
        <w:tc>
          <w:tcPr>
            <w:tcW w:w="2802" w:type="dxa"/>
          </w:tcPr>
          <w:p w:rsidR="00F27576" w:rsidRDefault="00D56541" w:rsidP="00E67E6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All o</w:t>
            </w:r>
            <w:r w:rsidR="001A414B">
              <w:rPr>
                <w:rFonts w:asciiTheme="minorHAnsi" w:hAnsiTheme="minorHAnsi"/>
              </w:rPr>
              <w:t>ther local authority areas</w:t>
            </w:r>
          </w:p>
        </w:tc>
        <w:tc>
          <w:tcPr>
            <w:tcW w:w="2268" w:type="dxa"/>
          </w:tcPr>
          <w:p w:rsidR="00F27576" w:rsidRDefault="00491070" w:rsidP="00E305C0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5434" w:type="dxa"/>
          </w:tcPr>
          <w:p w:rsidR="00F27576" w:rsidRDefault="00944B3D" w:rsidP="00E67E6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Essex</w:t>
            </w:r>
            <w:r w:rsidR="00491070">
              <w:rPr>
                <w:rFonts w:asciiTheme="minorHAnsi" w:hAnsiTheme="minorHAnsi"/>
              </w:rPr>
              <w:t xml:space="preserve"> 2</w:t>
            </w:r>
            <w:r>
              <w:rPr>
                <w:rFonts w:asciiTheme="minorHAnsi" w:hAnsiTheme="minorHAnsi"/>
              </w:rPr>
              <w:t xml:space="preserve">; </w:t>
            </w:r>
            <w:r w:rsidR="001A414B">
              <w:rPr>
                <w:rFonts w:asciiTheme="minorHAnsi" w:hAnsiTheme="minorHAnsi"/>
              </w:rPr>
              <w:t>Bristol</w:t>
            </w:r>
            <w:r w:rsidR="00D56541">
              <w:rPr>
                <w:rFonts w:asciiTheme="minorHAnsi" w:hAnsiTheme="minorHAnsi"/>
              </w:rPr>
              <w:t xml:space="preserve"> 1</w:t>
            </w:r>
            <w:r w:rsidR="001A414B">
              <w:rPr>
                <w:rFonts w:asciiTheme="minorHAnsi" w:hAnsiTheme="minorHAnsi"/>
              </w:rPr>
              <w:t>; Cambridgeshire (</w:t>
            </w:r>
            <w:proofErr w:type="spellStart"/>
            <w:r w:rsidR="001A414B">
              <w:rPr>
                <w:rFonts w:asciiTheme="minorHAnsi" w:hAnsiTheme="minorHAnsi"/>
              </w:rPr>
              <w:t>Wisbech</w:t>
            </w:r>
            <w:proofErr w:type="spellEnd"/>
            <w:r w:rsidR="001A414B">
              <w:rPr>
                <w:rFonts w:asciiTheme="minorHAnsi" w:hAnsiTheme="minorHAnsi"/>
              </w:rPr>
              <w:t>)</w:t>
            </w:r>
            <w:r w:rsidR="00D56541">
              <w:rPr>
                <w:rFonts w:asciiTheme="minorHAnsi" w:hAnsiTheme="minorHAnsi"/>
              </w:rPr>
              <w:t xml:space="preserve"> 1</w:t>
            </w:r>
            <w:r w:rsidR="001A414B">
              <w:rPr>
                <w:rFonts w:asciiTheme="minorHAnsi" w:hAnsiTheme="minorHAnsi"/>
              </w:rPr>
              <w:t>; Hertfordshire (St Albans)</w:t>
            </w:r>
            <w:r w:rsidR="00D56541">
              <w:rPr>
                <w:rFonts w:asciiTheme="minorHAnsi" w:hAnsiTheme="minorHAnsi"/>
              </w:rPr>
              <w:t xml:space="preserve"> 1; Feltham Y0 1</w:t>
            </w:r>
            <w:r w:rsidR="001A414B">
              <w:rPr>
                <w:rFonts w:asciiTheme="minorHAnsi" w:hAnsiTheme="minorHAnsi"/>
              </w:rPr>
              <w:t>.</w:t>
            </w:r>
          </w:p>
        </w:tc>
      </w:tr>
      <w:tr w:rsidR="00D56541" w:rsidDel="001A414B" w:rsidTr="00BE4682">
        <w:tc>
          <w:tcPr>
            <w:tcW w:w="2802" w:type="dxa"/>
          </w:tcPr>
          <w:p w:rsidR="00D56541" w:rsidDel="001A414B" w:rsidRDefault="00D56541" w:rsidP="00E67E6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2268" w:type="dxa"/>
          </w:tcPr>
          <w:p w:rsidR="00D56541" w:rsidDel="001A414B" w:rsidRDefault="00D56541" w:rsidP="00BE468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5434" w:type="dxa"/>
          </w:tcPr>
          <w:p w:rsidR="00D56541" w:rsidDel="001A414B" w:rsidRDefault="00D56541" w:rsidP="00E67E6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Note: 9 returned home before being assessed</w:t>
            </w:r>
          </w:p>
        </w:tc>
      </w:tr>
    </w:tbl>
    <w:p w:rsidR="00F27576" w:rsidRDefault="00F27576" w:rsidP="00E67E61">
      <w:pPr>
        <w:pStyle w:val="Default"/>
        <w:rPr>
          <w:rFonts w:asciiTheme="minorHAnsi" w:hAnsiTheme="minorHAnsi"/>
        </w:rPr>
      </w:pPr>
    </w:p>
    <w:p w:rsidR="00E305C0" w:rsidRDefault="00E305C0" w:rsidP="00E67E6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However, please note: placement cluster areas for January – July 2016 serve as an indication only. Although areas that are adjacent or close to Buckinghamshire are</w:t>
      </w:r>
      <w:r w:rsidR="003A5B55">
        <w:rPr>
          <w:rFonts w:asciiTheme="minorHAnsi" w:hAnsiTheme="minorHAnsi"/>
        </w:rPr>
        <w:t xml:space="preserve"> now more frequently used and will</w:t>
      </w:r>
      <w:r>
        <w:rPr>
          <w:rFonts w:asciiTheme="minorHAnsi" w:hAnsiTheme="minorHAnsi"/>
        </w:rPr>
        <w:t xml:space="preserve"> remain</w:t>
      </w:r>
      <w:r w:rsidR="003A5B55">
        <w:rPr>
          <w:rFonts w:asciiTheme="minorHAnsi" w:hAnsiTheme="minorHAnsi"/>
        </w:rPr>
        <w:t xml:space="preserve"> the</w:t>
      </w:r>
      <w:r>
        <w:rPr>
          <w:rFonts w:asciiTheme="minorHAnsi" w:hAnsiTheme="minorHAnsi"/>
        </w:rPr>
        <w:t xml:space="preserve"> preferred areas for children </w:t>
      </w:r>
      <w:r w:rsidR="003A5B55">
        <w:rPr>
          <w:rFonts w:asciiTheme="minorHAnsi" w:hAnsiTheme="minorHAnsi"/>
        </w:rPr>
        <w:t xml:space="preserve">who are </w:t>
      </w:r>
      <w:r>
        <w:rPr>
          <w:rFonts w:asciiTheme="minorHAnsi" w:hAnsiTheme="minorHAnsi"/>
        </w:rPr>
        <w:t xml:space="preserve">placed out-county, it cannot be guaranteed that future placements will be made in the same numbers in these areas, or </w:t>
      </w:r>
      <w:r w:rsidR="004E5D8E">
        <w:rPr>
          <w:rFonts w:asciiTheme="minorHAnsi" w:hAnsiTheme="minorHAnsi"/>
        </w:rPr>
        <w:t>in the towns/boroughs indicated and could be anywhere across England and Wales.</w:t>
      </w:r>
    </w:p>
    <w:p w:rsidR="003A5B55" w:rsidRDefault="003A5B55" w:rsidP="00E67E61">
      <w:pPr>
        <w:pStyle w:val="Default"/>
        <w:rPr>
          <w:rFonts w:asciiTheme="minorHAnsi" w:hAnsiTheme="minorHAnsi"/>
        </w:rPr>
      </w:pPr>
    </w:p>
    <w:p w:rsidR="00EB38D6" w:rsidRDefault="003A5B55" w:rsidP="00E67E6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In 2015, children who were not seen within the 28 days were more widely placed, to also include other</w:t>
      </w:r>
      <w:r w:rsidR="00EB38D6">
        <w:rPr>
          <w:rFonts w:asciiTheme="minorHAnsi" w:hAnsiTheme="minorHAnsi"/>
        </w:rPr>
        <w:t xml:space="preserve"> parts of Greater London, Kent, Hampshire, West Midlands, East Anglia, Shropshire, Lancashire, Leicestershire and South Yorkshire</w:t>
      </w:r>
      <w:r>
        <w:rPr>
          <w:rFonts w:asciiTheme="minorHAnsi" w:hAnsiTheme="minorHAnsi"/>
        </w:rPr>
        <w:t xml:space="preserve">. </w:t>
      </w:r>
    </w:p>
    <w:p w:rsidR="00EB38D6" w:rsidRDefault="00EB38D6" w:rsidP="00E67E61">
      <w:pPr>
        <w:pStyle w:val="Default"/>
        <w:rPr>
          <w:rFonts w:asciiTheme="minorHAnsi" w:hAnsiTheme="minorHAnsi"/>
        </w:rPr>
      </w:pPr>
    </w:p>
    <w:p w:rsidR="00BF1389" w:rsidRDefault="00BF1389" w:rsidP="00E67E61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Number of assessments required annually from this initiative</w:t>
      </w:r>
    </w:p>
    <w:p w:rsidR="00BF1389" w:rsidRDefault="00BF1389" w:rsidP="00E67E61">
      <w:pPr>
        <w:pStyle w:val="Default"/>
        <w:rPr>
          <w:rFonts w:asciiTheme="minorHAnsi" w:hAnsiTheme="minorHAnsi"/>
          <w:b/>
        </w:rPr>
      </w:pPr>
    </w:p>
    <w:p w:rsidR="00BF1389" w:rsidRDefault="00490169" w:rsidP="00E67E6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It is expected that the number of </w:t>
      </w:r>
      <w:r w:rsidR="00BF1389">
        <w:rPr>
          <w:rFonts w:asciiTheme="minorHAnsi" w:hAnsiTheme="minorHAnsi"/>
        </w:rPr>
        <w:t xml:space="preserve">Buckinghamshire </w:t>
      </w:r>
      <w:r>
        <w:rPr>
          <w:rFonts w:asciiTheme="minorHAnsi" w:hAnsiTheme="minorHAnsi"/>
        </w:rPr>
        <w:t xml:space="preserve">children placed </w:t>
      </w:r>
      <w:r w:rsidRPr="00BF1389">
        <w:rPr>
          <w:rFonts w:asciiTheme="minorHAnsi" w:hAnsiTheme="minorHAnsi"/>
          <w:u w:val="single"/>
        </w:rPr>
        <w:t>out-county, aged over 10, and at risk of not being seen within the 28 days</w:t>
      </w:r>
      <w:r>
        <w:rPr>
          <w:rFonts w:asciiTheme="minorHAnsi" w:hAnsiTheme="minorHAnsi"/>
        </w:rPr>
        <w:t xml:space="preserve">, will remain approximately 20 children per </w:t>
      </w:r>
      <w:r w:rsidR="00BF1389">
        <w:rPr>
          <w:rFonts w:asciiTheme="minorHAnsi" w:hAnsiTheme="minorHAnsi"/>
        </w:rPr>
        <w:t>annum.</w:t>
      </w:r>
    </w:p>
    <w:p w:rsidR="00BF1389" w:rsidRDefault="00BF1389" w:rsidP="00E67E61">
      <w:pPr>
        <w:pStyle w:val="Default"/>
        <w:rPr>
          <w:rFonts w:asciiTheme="minorHAnsi" w:hAnsiTheme="minorHAnsi"/>
        </w:rPr>
      </w:pPr>
    </w:p>
    <w:p w:rsidR="00490169" w:rsidRDefault="00BF1389" w:rsidP="00E67E6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490169">
        <w:rPr>
          <w:rFonts w:asciiTheme="minorHAnsi" w:hAnsiTheme="minorHAnsi"/>
        </w:rPr>
        <w:t>t is this group</w:t>
      </w:r>
      <w:r>
        <w:rPr>
          <w:rFonts w:asciiTheme="minorHAnsi" w:hAnsiTheme="minorHAnsi"/>
        </w:rPr>
        <w:t xml:space="preserve"> of 20 children</w:t>
      </w:r>
      <w:r w:rsidR="00490169">
        <w:rPr>
          <w:rFonts w:asciiTheme="minorHAnsi" w:hAnsiTheme="minorHAnsi"/>
        </w:rPr>
        <w:t xml:space="preserve"> that the current initiative will focus on</w:t>
      </w:r>
      <w:r w:rsidR="00B72A3F">
        <w:rPr>
          <w:rFonts w:asciiTheme="minorHAnsi" w:hAnsiTheme="minorHAnsi"/>
        </w:rPr>
        <w:t xml:space="preserve"> for assessment</w:t>
      </w:r>
      <w:r w:rsidR="00490169">
        <w:rPr>
          <w:rFonts w:asciiTheme="minorHAnsi" w:hAnsiTheme="minorHAnsi"/>
        </w:rPr>
        <w:t xml:space="preserve"> in the first instance.</w:t>
      </w:r>
    </w:p>
    <w:p w:rsidR="00E67E61" w:rsidRPr="00E67E61" w:rsidRDefault="00E67E61" w:rsidP="00E67E61">
      <w:pPr>
        <w:pStyle w:val="Default"/>
        <w:rPr>
          <w:rFonts w:asciiTheme="minorHAnsi" w:hAnsiTheme="minorHAnsi"/>
        </w:rPr>
      </w:pPr>
    </w:p>
    <w:p w:rsidR="00E67E61" w:rsidRPr="00E67E61" w:rsidRDefault="00E67E61" w:rsidP="00E67E61">
      <w:pPr>
        <w:pStyle w:val="Default"/>
        <w:rPr>
          <w:rFonts w:asciiTheme="minorHAnsi" w:hAnsiTheme="minorHAnsi"/>
          <w:b/>
        </w:rPr>
      </w:pPr>
      <w:r w:rsidRPr="00E67E61">
        <w:rPr>
          <w:rFonts w:asciiTheme="minorHAnsi" w:hAnsiTheme="minorHAnsi"/>
          <w:b/>
        </w:rPr>
        <w:t>The Initial Health Assessment and the requirements of the GP</w:t>
      </w:r>
      <w:r w:rsidR="005B74AD">
        <w:rPr>
          <w:rFonts w:asciiTheme="minorHAnsi" w:hAnsiTheme="minorHAnsi"/>
          <w:b/>
        </w:rPr>
        <w:t xml:space="preserve"> </w:t>
      </w:r>
      <w:r w:rsidR="005B74AD" w:rsidRPr="005B74AD">
        <w:rPr>
          <w:rFonts w:asciiTheme="minorHAnsi" w:hAnsiTheme="minorHAnsi"/>
          <w:b/>
        </w:rPr>
        <w:t>or paediatric resources</w:t>
      </w:r>
    </w:p>
    <w:p w:rsidR="00E67E61" w:rsidRPr="00E67E61" w:rsidRDefault="00E67E61" w:rsidP="00E67E61">
      <w:pPr>
        <w:pStyle w:val="Default"/>
        <w:rPr>
          <w:rFonts w:asciiTheme="minorHAnsi" w:hAnsiTheme="minorHAnsi"/>
        </w:rPr>
      </w:pPr>
      <w:r w:rsidRPr="00E67E61">
        <w:rPr>
          <w:rFonts w:asciiTheme="minorHAnsi" w:hAnsiTheme="minorHAnsi"/>
        </w:rPr>
        <w:t xml:space="preserve"> </w:t>
      </w:r>
    </w:p>
    <w:p w:rsidR="00E67E61" w:rsidRPr="00E67E61" w:rsidRDefault="00E67E61" w:rsidP="00E67E61">
      <w:pPr>
        <w:pStyle w:val="Default"/>
        <w:rPr>
          <w:rFonts w:asciiTheme="minorHAnsi" w:hAnsiTheme="minorHAnsi"/>
        </w:rPr>
      </w:pPr>
      <w:r w:rsidRPr="00E67E61">
        <w:rPr>
          <w:rFonts w:asciiTheme="minorHAnsi" w:hAnsiTheme="minorHAnsi"/>
        </w:rPr>
        <w:t xml:space="preserve">The assessment will require comment on the young person’s development, cognition/learning, social and communication ability, and level of independence, as well as their physical and emotional health and lifestyle choices. </w:t>
      </w:r>
    </w:p>
    <w:p w:rsidR="00E67E61" w:rsidRPr="00E67E61" w:rsidRDefault="00E67E61" w:rsidP="00E67E61">
      <w:pPr>
        <w:pStyle w:val="Default"/>
        <w:rPr>
          <w:rFonts w:asciiTheme="minorHAnsi" w:hAnsiTheme="minorHAnsi"/>
        </w:rPr>
      </w:pPr>
    </w:p>
    <w:p w:rsidR="00E67E61" w:rsidRPr="00E67E61" w:rsidRDefault="00C23C7B" w:rsidP="00E67E6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Clinicians</w:t>
      </w:r>
      <w:r w:rsidRPr="00E67E61">
        <w:rPr>
          <w:rFonts w:asciiTheme="minorHAnsi" w:hAnsiTheme="minorHAnsi"/>
        </w:rPr>
        <w:t xml:space="preserve"> </w:t>
      </w:r>
      <w:r w:rsidR="00E67E61" w:rsidRPr="00E67E61">
        <w:rPr>
          <w:rFonts w:asciiTheme="minorHAnsi" w:hAnsiTheme="minorHAnsi"/>
        </w:rPr>
        <w:t xml:space="preserve">who agree to undertake these assessments will be expected to be confident in their paediatric skills, but do not need a higher level of paediatric training. </w:t>
      </w:r>
    </w:p>
    <w:p w:rsidR="00E67E61" w:rsidRPr="00E67E61" w:rsidRDefault="00E67E61" w:rsidP="00E67E61">
      <w:pPr>
        <w:pStyle w:val="Default"/>
        <w:rPr>
          <w:rFonts w:asciiTheme="minorHAnsi" w:hAnsiTheme="minorHAnsi"/>
        </w:rPr>
      </w:pPr>
    </w:p>
    <w:p w:rsidR="00E67E61" w:rsidRPr="00E67E61" w:rsidRDefault="00E67E61" w:rsidP="00E67E61">
      <w:pPr>
        <w:pStyle w:val="Default"/>
        <w:rPr>
          <w:rFonts w:asciiTheme="minorHAnsi" w:hAnsiTheme="minorHAnsi"/>
        </w:rPr>
      </w:pPr>
      <w:r w:rsidRPr="00E67E61">
        <w:rPr>
          <w:rFonts w:asciiTheme="minorHAnsi" w:hAnsiTheme="minorHAnsi"/>
        </w:rPr>
        <w:t xml:space="preserve">It is important that </w:t>
      </w:r>
      <w:r w:rsidR="001A414B">
        <w:rPr>
          <w:rFonts w:asciiTheme="minorHAnsi" w:hAnsiTheme="minorHAnsi"/>
        </w:rPr>
        <w:t xml:space="preserve">all clinicians who undertake assessments </w:t>
      </w:r>
      <w:r w:rsidRPr="00E67E61">
        <w:rPr>
          <w:rFonts w:asciiTheme="minorHAnsi" w:hAnsiTheme="minorHAnsi"/>
        </w:rPr>
        <w:t xml:space="preserve">have excellent communication skills and enthusiasm for working with young people. These are a vulnerable group of young people, who are likely to present with health issues related to their vulnerability. </w:t>
      </w:r>
    </w:p>
    <w:p w:rsidR="00E67E61" w:rsidRPr="00E67E61" w:rsidRDefault="00E67E61" w:rsidP="00E67E61">
      <w:pPr>
        <w:pStyle w:val="Default"/>
        <w:rPr>
          <w:rFonts w:asciiTheme="minorHAnsi" w:hAnsiTheme="minorHAnsi"/>
        </w:rPr>
      </w:pPr>
    </w:p>
    <w:p w:rsidR="00E67E61" w:rsidRPr="00E67E61" w:rsidRDefault="00E67E61" w:rsidP="00E67E61">
      <w:pPr>
        <w:pStyle w:val="Default"/>
        <w:rPr>
          <w:rFonts w:asciiTheme="minorHAnsi" w:hAnsiTheme="minorHAnsi"/>
        </w:rPr>
      </w:pPr>
      <w:r w:rsidRPr="00E67E61">
        <w:rPr>
          <w:rFonts w:asciiTheme="minorHAnsi" w:hAnsiTheme="minorHAnsi"/>
        </w:rPr>
        <w:t>Assessments will take around an hour to complete, with an extra 60 minutes approximately to develop a written health summary and health care plan, which will become part of the child’s overall care plan. This process will include the extraction of a certain amount of information from records that will be provided.</w:t>
      </w:r>
    </w:p>
    <w:p w:rsidR="00E67E61" w:rsidRPr="00E67E61" w:rsidRDefault="00E67E61" w:rsidP="00E67E61">
      <w:pPr>
        <w:pStyle w:val="Default"/>
        <w:rPr>
          <w:rFonts w:asciiTheme="minorHAnsi" w:hAnsiTheme="minorHAnsi"/>
        </w:rPr>
      </w:pPr>
    </w:p>
    <w:p w:rsidR="00E67E61" w:rsidRPr="00E67E61" w:rsidRDefault="00E67E61" w:rsidP="00E67E61">
      <w:pPr>
        <w:pStyle w:val="Default"/>
        <w:rPr>
          <w:rFonts w:asciiTheme="minorHAnsi" w:hAnsiTheme="minorHAnsi"/>
        </w:rPr>
      </w:pPr>
      <w:r w:rsidRPr="00E67E61">
        <w:rPr>
          <w:rFonts w:asciiTheme="minorHAnsi" w:hAnsiTheme="minorHAnsi"/>
        </w:rPr>
        <w:t xml:space="preserve">Although most of the assessments are ‘one-off’, some will require a follow-up phone call to ensure that recommendations are carried out. It will be the responsibility of the clinician carrying out the IHA to ensure that this follow-up takes place. </w:t>
      </w:r>
    </w:p>
    <w:p w:rsidR="00E67E61" w:rsidRPr="00E67E61" w:rsidRDefault="00E67E61" w:rsidP="00E67E61">
      <w:pPr>
        <w:pStyle w:val="Default"/>
        <w:rPr>
          <w:rFonts w:asciiTheme="minorHAnsi" w:hAnsiTheme="minorHAnsi"/>
        </w:rPr>
      </w:pPr>
    </w:p>
    <w:p w:rsidR="008A39A6" w:rsidRDefault="00E67E61" w:rsidP="00E67E61">
      <w:pPr>
        <w:pStyle w:val="Default"/>
        <w:rPr>
          <w:rFonts w:asciiTheme="minorHAnsi" w:hAnsiTheme="minorHAnsi"/>
        </w:rPr>
      </w:pPr>
      <w:r w:rsidRPr="00E67E61">
        <w:rPr>
          <w:rFonts w:asciiTheme="minorHAnsi" w:hAnsiTheme="minorHAnsi"/>
        </w:rPr>
        <w:t>The assessments may take place in a number of settings, including the GP</w:t>
      </w:r>
      <w:r w:rsidR="001A414B">
        <w:rPr>
          <w:rFonts w:asciiTheme="minorHAnsi" w:hAnsiTheme="minorHAnsi"/>
        </w:rPr>
        <w:t>’s</w:t>
      </w:r>
      <w:r w:rsidR="005B74AD">
        <w:rPr>
          <w:rFonts w:asciiTheme="minorHAnsi" w:hAnsiTheme="minorHAnsi"/>
        </w:rPr>
        <w:t xml:space="preserve"> </w:t>
      </w:r>
      <w:r w:rsidRPr="00E67E61">
        <w:rPr>
          <w:rFonts w:asciiTheme="minorHAnsi" w:hAnsiTheme="minorHAnsi"/>
        </w:rPr>
        <w:t xml:space="preserve">practice, </w:t>
      </w:r>
      <w:r w:rsidR="005B74AD">
        <w:rPr>
          <w:rFonts w:asciiTheme="minorHAnsi" w:hAnsiTheme="minorHAnsi"/>
        </w:rPr>
        <w:t xml:space="preserve">the provider’s locations </w:t>
      </w:r>
      <w:r w:rsidRPr="00E67E61">
        <w:rPr>
          <w:rFonts w:asciiTheme="minorHAnsi" w:hAnsiTheme="minorHAnsi"/>
        </w:rPr>
        <w:t xml:space="preserve">and sometimes in the child’s placement. </w:t>
      </w:r>
    </w:p>
    <w:p w:rsidR="00B65E21" w:rsidRDefault="00B65E21" w:rsidP="00E67E61">
      <w:pPr>
        <w:pStyle w:val="Default"/>
        <w:rPr>
          <w:rFonts w:asciiTheme="minorHAnsi" w:hAnsiTheme="minorHAnsi"/>
        </w:rPr>
      </w:pPr>
    </w:p>
    <w:p w:rsidR="008A39A6" w:rsidRPr="00E67E61" w:rsidRDefault="008A39A6" w:rsidP="00E67E6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It is essential that assessments are completed (including the return of the report) within 28 days, and this would be the expectation for cases referred to the provider.</w:t>
      </w:r>
    </w:p>
    <w:p w:rsidR="00E67E61" w:rsidRPr="00E67E61" w:rsidRDefault="00E67E61" w:rsidP="00E67E61">
      <w:pPr>
        <w:pStyle w:val="Default"/>
        <w:rPr>
          <w:rFonts w:asciiTheme="minorHAnsi" w:hAnsiTheme="minorHAnsi"/>
        </w:rPr>
      </w:pPr>
      <w:r w:rsidRPr="00E67E61">
        <w:rPr>
          <w:rFonts w:asciiTheme="minorHAnsi" w:hAnsiTheme="minorHAnsi"/>
        </w:rPr>
        <w:lastRenderedPageBreak/>
        <w:t xml:space="preserve"> </w:t>
      </w:r>
    </w:p>
    <w:p w:rsidR="00E67E61" w:rsidRPr="00E67E61" w:rsidRDefault="00E67E61" w:rsidP="00E67E61">
      <w:pPr>
        <w:pStyle w:val="Default"/>
        <w:rPr>
          <w:rFonts w:asciiTheme="minorHAnsi" w:hAnsiTheme="minorHAnsi"/>
        </w:rPr>
      </w:pPr>
      <w:r w:rsidRPr="00E67E61">
        <w:rPr>
          <w:rFonts w:asciiTheme="minorHAnsi" w:hAnsiTheme="minorHAnsi"/>
        </w:rPr>
        <w:t>The assessments are remunerated at a nationally-agreed fee level</w:t>
      </w:r>
      <w:r w:rsidR="00B65E21">
        <w:rPr>
          <w:rFonts w:asciiTheme="minorHAnsi" w:hAnsiTheme="minorHAnsi"/>
        </w:rPr>
        <w:t xml:space="preserve"> (currently £500 per assessment) with n</w:t>
      </w:r>
      <w:r w:rsidRPr="00E67E61">
        <w:rPr>
          <w:rFonts w:asciiTheme="minorHAnsi" w:hAnsiTheme="minorHAnsi"/>
        </w:rPr>
        <w:t xml:space="preserve">ecessary expenses </w:t>
      </w:r>
      <w:r w:rsidR="00B65E21">
        <w:rPr>
          <w:rFonts w:asciiTheme="minorHAnsi" w:hAnsiTheme="minorHAnsi"/>
        </w:rPr>
        <w:t>(principally travel costs)</w:t>
      </w:r>
      <w:r w:rsidRPr="00E67E61">
        <w:rPr>
          <w:rFonts w:asciiTheme="minorHAnsi" w:hAnsiTheme="minorHAnsi"/>
        </w:rPr>
        <w:t xml:space="preserve"> also be</w:t>
      </w:r>
      <w:r w:rsidR="00B65E21">
        <w:rPr>
          <w:rFonts w:asciiTheme="minorHAnsi" w:hAnsiTheme="minorHAnsi"/>
        </w:rPr>
        <w:t>ing</w:t>
      </w:r>
      <w:r w:rsidRPr="00E67E61">
        <w:rPr>
          <w:rFonts w:asciiTheme="minorHAnsi" w:hAnsiTheme="minorHAnsi"/>
        </w:rPr>
        <w:t xml:space="preserve"> paid.</w:t>
      </w:r>
    </w:p>
    <w:p w:rsidR="00E67E61" w:rsidRPr="00E67E61" w:rsidRDefault="00E67E61" w:rsidP="00E67E61">
      <w:pPr>
        <w:pStyle w:val="Default"/>
        <w:rPr>
          <w:rFonts w:asciiTheme="minorHAnsi" w:hAnsiTheme="minorHAnsi"/>
        </w:rPr>
      </w:pPr>
    </w:p>
    <w:p w:rsidR="00E67E61" w:rsidRDefault="00E67E61" w:rsidP="00E67E61">
      <w:pPr>
        <w:pStyle w:val="Default"/>
        <w:rPr>
          <w:rFonts w:asciiTheme="minorHAnsi" w:hAnsiTheme="minorHAnsi"/>
        </w:rPr>
      </w:pPr>
      <w:r w:rsidRPr="00E67E61">
        <w:rPr>
          <w:rFonts w:asciiTheme="minorHAnsi" w:hAnsiTheme="minorHAnsi"/>
        </w:rPr>
        <w:t xml:space="preserve">Training and on-going support will be provided by the BHT Children in Care Health Team, or an equivalent if required. Assessments will be quality-checked by the team to ensure statutory requirements are met. </w:t>
      </w:r>
    </w:p>
    <w:p w:rsidR="00692F63" w:rsidRPr="00E67E61" w:rsidRDefault="00692F63" w:rsidP="00E67E61">
      <w:pPr>
        <w:pStyle w:val="Default"/>
        <w:rPr>
          <w:rFonts w:asciiTheme="minorHAnsi" w:hAnsiTheme="minorHAnsi"/>
        </w:rPr>
      </w:pPr>
    </w:p>
    <w:p w:rsidR="00E67E61" w:rsidRPr="00E67E61" w:rsidRDefault="00E67E61">
      <w:pPr>
        <w:spacing w:after="0"/>
        <w:ind w:left="121"/>
        <w:rPr>
          <w:rFonts w:asciiTheme="minorHAnsi" w:hAnsiTheme="minorHAnsi"/>
          <w:sz w:val="24"/>
          <w:szCs w:val="24"/>
        </w:rPr>
      </w:pPr>
    </w:p>
    <w:p w:rsidR="00E712EB" w:rsidRDefault="003F790D" w:rsidP="003F790D">
      <w:pPr>
        <w:spacing w:after="0"/>
        <w:rPr>
          <w:b/>
          <w:sz w:val="24"/>
        </w:rPr>
      </w:pPr>
      <w:r>
        <w:rPr>
          <w:b/>
          <w:sz w:val="24"/>
        </w:rPr>
        <w:t>Outline of the service</w:t>
      </w:r>
    </w:p>
    <w:p w:rsidR="003F790D" w:rsidRPr="003F790D" w:rsidRDefault="003F790D" w:rsidP="003F790D">
      <w:pPr>
        <w:spacing w:after="0"/>
        <w:rPr>
          <w:b/>
          <w:sz w:val="24"/>
        </w:rPr>
      </w:pPr>
    </w:p>
    <w:p w:rsidR="00984172" w:rsidRDefault="00E712EB" w:rsidP="00F6753D">
      <w:pPr>
        <w:spacing w:after="0"/>
        <w:rPr>
          <w:sz w:val="24"/>
        </w:rPr>
      </w:pPr>
      <w:r>
        <w:rPr>
          <w:sz w:val="24"/>
        </w:rPr>
        <w:t>There are 2 phases</w:t>
      </w:r>
      <w:r w:rsidR="006312BA">
        <w:rPr>
          <w:sz w:val="24"/>
        </w:rPr>
        <w:t xml:space="preserve"> to the desired service</w:t>
      </w:r>
      <w:r w:rsidR="00F6753D">
        <w:rPr>
          <w:sz w:val="24"/>
        </w:rPr>
        <w:t xml:space="preserve">. </w:t>
      </w:r>
    </w:p>
    <w:p w:rsidR="00984172" w:rsidRDefault="00984172" w:rsidP="00F6753D">
      <w:pPr>
        <w:spacing w:after="0"/>
        <w:rPr>
          <w:sz w:val="24"/>
        </w:rPr>
      </w:pPr>
    </w:p>
    <w:p w:rsidR="00984172" w:rsidRDefault="00F6753D" w:rsidP="00F6753D">
      <w:pPr>
        <w:spacing w:after="0"/>
        <w:rPr>
          <w:sz w:val="24"/>
        </w:rPr>
      </w:pPr>
      <w:r>
        <w:rPr>
          <w:sz w:val="24"/>
        </w:rPr>
        <w:t xml:space="preserve">Phase 1 is </w:t>
      </w:r>
      <w:r w:rsidR="00984172">
        <w:rPr>
          <w:sz w:val="24"/>
        </w:rPr>
        <w:t>currently a stand-alone proposal.</w:t>
      </w:r>
    </w:p>
    <w:p w:rsidR="00984172" w:rsidRDefault="00984172" w:rsidP="00F6753D">
      <w:pPr>
        <w:spacing w:after="0"/>
        <w:rPr>
          <w:sz w:val="24"/>
        </w:rPr>
      </w:pPr>
    </w:p>
    <w:p w:rsidR="008A39A6" w:rsidRDefault="00F6753D" w:rsidP="00F6753D">
      <w:pPr>
        <w:spacing w:after="0"/>
        <w:rPr>
          <w:sz w:val="24"/>
        </w:rPr>
      </w:pPr>
      <w:r>
        <w:rPr>
          <w:sz w:val="24"/>
        </w:rPr>
        <w:t>Phase 2</w:t>
      </w:r>
      <w:r w:rsidR="00984172">
        <w:rPr>
          <w:sz w:val="24"/>
        </w:rPr>
        <w:t xml:space="preserve"> will depend</w:t>
      </w:r>
      <w:r>
        <w:rPr>
          <w:sz w:val="24"/>
        </w:rPr>
        <w:t xml:space="preserve"> on the successful roll-out of Phase 1 and on agreements regarding the availability of funding</w:t>
      </w:r>
      <w:r w:rsidR="00984172">
        <w:rPr>
          <w:sz w:val="24"/>
        </w:rPr>
        <w:t xml:space="preserve"> and the funding model for Phase 2</w:t>
      </w:r>
      <w:r w:rsidR="00E712EB">
        <w:rPr>
          <w:sz w:val="24"/>
        </w:rPr>
        <w:t>:</w:t>
      </w:r>
    </w:p>
    <w:p w:rsidR="008A39A6" w:rsidRDefault="008A39A6">
      <w:pPr>
        <w:spacing w:after="0"/>
        <w:ind w:left="121"/>
        <w:rPr>
          <w:sz w:val="24"/>
        </w:rPr>
      </w:pPr>
    </w:p>
    <w:p w:rsidR="00692F63" w:rsidRDefault="00692F63">
      <w:pPr>
        <w:spacing w:after="0"/>
        <w:ind w:left="121"/>
        <w:rPr>
          <w:sz w:val="24"/>
        </w:rPr>
      </w:pPr>
    </w:p>
    <w:p w:rsidR="00E712EB" w:rsidRDefault="00E712EB">
      <w:pPr>
        <w:spacing w:after="0"/>
        <w:ind w:left="121"/>
        <w:rPr>
          <w:sz w:val="24"/>
        </w:rPr>
      </w:pPr>
      <w:r w:rsidRPr="00692F63">
        <w:rPr>
          <w:sz w:val="24"/>
          <w:u w:val="single"/>
        </w:rPr>
        <w:t>Phase 1</w:t>
      </w:r>
      <w:r w:rsidR="00EC292A">
        <w:rPr>
          <w:sz w:val="24"/>
        </w:rPr>
        <w:t xml:space="preserve"> (</w:t>
      </w:r>
      <w:r w:rsidR="00B65E21">
        <w:rPr>
          <w:sz w:val="24"/>
        </w:rPr>
        <w:t>circa</w:t>
      </w:r>
      <w:r w:rsidR="00C805BF">
        <w:rPr>
          <w:sz w:val="24"/>
        </w:rPr>
        <w:t xml:space="preserve"> </w:t>
      </w:r>
      <w:r w:rsidR="00EC292A">
        <w:rPr>
          <w:sz w:val="24"/>
        </w:rPr>
        <w:t>Sept 2016 – March 2017)</w:t>
      </w:r>
    </w:p>
    <w:p w:rsidR="00984172" w:rsidRDefault="00984172">
      <w:pPr>
        <w:spacing w:after="0"/>
        <w:ind w:left="121"/>
        <w:rPr>
          <w:sz w:val="24"/>
        </w:rPr>
      </w:pPr>
    </w:p>
    <w:p w:rsidR="00E712EB" w:rsidRDefault="00E712EB" w:rsidP="00E712EB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The recruitment, training, supervision and clinical governance of</w:t>
      </w:r>
      <w:r w:rsidR="00984172">
        <w:rPr>
          <w:sz w:val="24"/>
        </w:rPr>
        <w:t xml:space="preserve"> General Practitioners</w:t>
      </w:r>
      <w:r w:rsidR="00B65E21" w:rsidRPr="00E67E61">
        <w:rPr>
          <w:rFonts w:asciiTheme="minorHAnsi" w:hAnsiTheme="minorHAnsi"/>
        </w:rPr>
        <w:t xml:space="preserve"> </w:t>
      </w:r>
      <w:r w:rsidR="00B65E21">
        <w:rPr>
          <w:rFonts w:asciiTheme="minorHAnsi" w:hAnsiTheme="minorHAnsi"/>
        </w:rPr>
        <w:t>(or paediatric resources)</w:t>
      </w:r>
      <w:r w:rsidR="00984172">
        <w:rPr>
          <w:sz w:val="24"/>
        </w:rPr>
        <w:t>, who are able to</w:t>
      </w:r>
      <w:r>
        <w:rPr>
          <w:sz w:val="24"/>
        </w:rPr>
        <w:t xml:space="preserve"> provide good qual</w:t>
      </w:r>
      <w:r w:rsidR="00984172">
        <w:rPr>
          <w:sz w:val="24"/>
        </w:rPr>
        <w:t>ity and timely assessments for Looked After Children aged 10</w:t>
      </w:r>
      <w:r>
        <w:rPr>
          <w:sz w:val="24"/>
        </w:rPr>
        <w:t>+ who have no complex health needs</w:t>
      </w:r>
      <w:r w:rsidR="00984172">
        <w:rPr>
          <w:sz w:val="24"/>
        </w:rPr>
        <w:t xml:space="preserve"> requiring a community paediatric assessment,</w:t>
      </w:r>
      <w:r w:rsidR="00EC292A">
        <w:rPr>
          <w:sz w:val="24"/>
        </w:rPr>
        <w:t xml:space="preserve"> and are placed at distance from Buck</w:t>
      </w:r>
      <w:r w:rsidR="00C805BF">
        <w:rPr>
          <w:sz w:val="24"/>
        </w:rPr>
        <w:t>inghamshire</w:t>
      </w:r>
      <w:r>
        <w:rPr>
          <w:sz w:val="24"/>
        </w:rPr>
        <w:t>.</w:t>
      </w:r>
    </w:p>
    <w:p w:rsidR="008A39A6" w:rsidRDefault="008A39A6" w:rsidP="00E712EB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The provision of a minimum of 10 health </w:t>
      </w:r>
      <w:r w:rsidR="003F790D">
        <w:rPr>
          <w:sz w:val="24"/>
        </w:rPr>
        <w:t>assessments (these will be on request</w:t>
      </w:r>
      <w:r w:rsidR="00984172">
        <w:rPr>
          <w:sz w:val="24"/>
        </w:rPr>
        <w:t>,</w:t>
      </w:r>
      <w:r w:rsidR="003F790D">
        <w:rPr>
          <w:sz w:val="24"/>
        </w:rPr>
        <w:t xml:space="preserve"> and some requests may occur after 31</w:t>
      </w:r>
      <w:r w:rsidR="003F790D" w:rsidRPr="003F790D">
        <w:rPr>
          <w:sz w:val="24"/>
          <w:vertAlign w:val="superscript"/>
        </w:rPr>
        <w:t>st</w:t>
      </w:r>
      <w:r w:rsidR="00F6753D">
        <w:rPr>
          <w:sz w:val="24"/>
        </w:rPr>
        <w:t xml:space="preserve"> March 2017)</w:t>
      </w:r>
      <w:r>
        <w:rPr>
          <w:sz w:val="24"/>
        </w:rPr>
        <w:t>.</w:t>
      </w:r>
    </w:p>
    <w:p w:rsidR="008A39A6" w:rsidRDefault="008A39A6" w:rsidP="00EC292A">
      <w:pPr>
        <w:spacing w:after="0"/>
        <w:ind w:firstLine="142"/>
        <w:rPr>
          <w:sz w:val="24"/>
        </w:rPr>
      </w:pPr>
    </w:p>
    <w:p w:rsidR="008A39A6" w:rsidRDefault="008A39A6" w:rsidP="00EC292A">
      <w:pPr>
        <w:spacing w:after="0"/>
        <w:ind w:firstLine="142"/>
        <w:rPr>
          <w:sz w:val="24"/>
        </w:rPr>
      </w:pPr>
    </w:p>
    <w:p w:rsidR="00E712EB" w:rsidRDefault="00E712EB" w:rsidP="00EC292A">
      <w:pPr>
        <w:spacing w:after="0"/>
        <w:ind w:firstLine="142"/>
        <w:rPr>
          <w:sz w:val="24"/>
        </w:rPr>
      </w:pPr>
      <w:r w:rsidRPr="00692F63">
        <w:rPr>
          <w:sz w:val="24"/>
          <w:u w:val="single"/>
        </w:rPr>
        <w:t>Phase 2</w:t>
      </w:r>
      <w:r w:rsidR="00EC292A">
        <w:rPr>
          <w:sz w:val="24"/>
        </w:rPr>
        <w:t xml:space="preserve"> (from April 2017)</w:t>
      </w:r>
    </w:p>
    <w:p w:rsidR="00984172" w:rsidRDefault="00984172" w:rsidP="00EC292A">
      <w:pPr>
        <w:spacing w:after="0"/>
        <w:ind w:firstLine="142"/>
        <w:rPr>
          <w:sz w:val="24"/>
        </w:rPr>
      </w:pPr>
    </w:p>
    <w:p w:rsidR="00EC292A" w:rsidRDefault="00EC292A" w:rsidP="00EC292A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The continued provision, supervision and governance of the </w:t>
      </w:r>
      <w:r w:rsidR="00B65E21">
        <w:rPr>
          <w:sz w:val="24"/>
        </w:rPr>
        <w:t xml:space="preserve">GPs </w:t>
      </w:r>
      <w:r w:rsidR="00B65E21" w:rsidRPr="00E67E61">
        <w:rPr>
          <w:rFonts w:asciiTheme="minorHAnsi" w:hAnsiTheme="minorHAnsi"/>
        </w:rPr>
        <w:t>(</w:t>
      </w:r>
      <w:r w:rsidR="00B65E21">
        <w:rPr>
          <w:rFonts w:asciiTheme="minorHAnsi" w:hAnsiTheme="minorHAnsi"/>
        </w:rPr>
        <w:t xml:space="preserve">or paediatric resources) </w:t>
      </w:r>
      <w:r>
        <w:rPr>
          <w:sz w:val="24"/>
        </w:rPr>
        <w:t>recruited in Phase 1</w:t>
      </w:r>
      <w:r w:rsidR="00984172">
        <w:rPr>
          <w:sz w:val="24"/>
        </w:rPr>
        <w:t xml:space="preserve">, maximising the use of a) cascade training and b) peer support and supervision, undertaken by the </w:t>
      </w:r>
      <w:r w:rsidR="00B65E21">
        <w:rPr>
          <w:sz w:val="24"/>
        </w:rPr>
        <w:t xml:space="preserve">GPs </w:t>
      </w:r>
      <w:r w:rsidR="00B65E21" w:rsidRPr="00E67E61">
        <w:rPr>
          <w:rFonts w:asciiTheme="minorHAnsi" w:hAnsiTheme="minorHAnsi"/>
        </w:rPr>
        <w:t>(</w:t>
      </w:r>
      <w:r w:rsidR="00B65E21">
        <w:rPr>
          <w:rFonts w:asciiTheme="minorHAnsi" w:hAnsiTheme="minorHAnsi"/>
        </w:rPr>
        <w:t>or paediatric resources)</w:t>
      </w:r>
      <w:r w:rsidR="00984172">
        <w:rPr>
          <w:sz w:val="24"/>
        </w:rPr>
        <w:t xml:space="preserve"> who have gained experience and skills in Phase 1</w:t>
      </w:r>
      <w:r w:rsidR="003F790D">
        <w:rPr>
          <w:sz w:val="24"/>
        </w:rPr>
        <w:t>.</w:t>
      </w:r>
    </w:p>
    <w:p w:rsidR="003F790D" w:rsidRDefault="003F790D" w:rsidP="00EC292A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The provision on request of GP</w:t>
      </w:r>
      <w:r w:rsidR="00B65E21" w:rsidRPr="00E67E61">
        <w:rPr>
          <w:rFonts w:asciiTheme="minorHAnsi" w:hAnsiTheme="minorHAnsi"/>
        </w:rPr>
        <w:t xml:space="preserve"> </w:t>
      </w:r>
      <w:r w:rsidR="00B65E21">
        <w:rPr>
          <w:rFonts w:asciiTheme="minorHAnsi" w:hAnsiTheme="minorHAnsi"/>
        </w:rPr>
        <w:t>(or paediatric resources)</w:t>
      </w:r>
      <w:r>
        <w:rPr>
          <w:sz w:val="24"/>
        </w:rPr>
        <w:t xml:space="preserve"> health assessments.</w:t>
      </w:r>
    </w:p>
    <w:p w:rsidR="00984172" w:rsidRDefault="00984172" w:rsidP="00984172">
      <w:pPr>
        <w:spacing w:after="0"/>
        <w:rPr>
          <w:sz w:val="24"/>
        </w:rPr>
      </w:pPr>
    </w:p>
    <w:p w:rsidR="00984172" w:rsidRPr="00984172" w:rsidRDefault="00984172" w:rsidP="00984172">
      <w:pPr>
        <w:spacing w:after="0"/>
        <w:ind w:left="142"/>
        <w:rPr>
          <w:sz w:val="24"/>
        </w:rPr>
      </w:pPr>
      <w:r>
        <w:rPr>
          <w:sz w:val="24"/>
        </w:rPr>
        <w:t xml:space="preserve">The option of also providing paediatricians, for children who require this level of assessment, </w:t>
      </w:r>
      <w:proofErr w:type="gramStart"/>
      <w:r>
        <w:rPr>
          <w:sz w:val="24"/>
        </w:rPr>
        <w:t>may  be</w:t>
      </w:r>
      <w:proofErr w:type="gramEnd"/>
      <w:r>
        <w:rPr>
          <w:sz w:val="24"/>
        </w:rPr>
        <w:t xml:space="preserve"> included at Phase 2, again depending on agreements regarding funding and the funding model.</w:t>
      </w:r>
    </w:p>
    <w:p w:rsidR="009D1464" w:rsidRDefault="009D1464">
      <w:pPr>
        <w:spacing w:after="0"/>
        <w:ind w:left="121"/>
        <w:rPr>
          <w:sz w:val="24"/>
        </w:rPr>
      </w:pPr>
    </w:p>
    <w:p w:rsidR="00692F63" w:rsidRDefault="00692F63">
      <w:pPr>
        <w:spacing w:after="0"/>
        <w:ind w:left="121"/>
        <w:rPr>
          <w:sz w:val="24"/>
        </w:rPr>
      </w:pPr>
    </w:p>
    <w:p w:rsidR="009D1464" w:rsidRDefault="00010BD0" w:rsidP="009D1464">
      <w:pPr>
        <w:spacing w:after="0"/>
        <w:ind w:left="121"/>
        <w:rPr>
          <w:b/>
          <w:sz w:val="24"/>
        </w:rPr>
      </w:pPr>
      <w:r>
        <w:rPr>
          <w:b/>
          <w:sz w:val="24"/>
        </w:rPr>
        <w:t>Contract terms and value</w:t>
      </w:r>
    </w:p>
    <w:p w:rsidR="00010BD0" w:rsidRPr="00010BD0" w:rsidRDefault="00010BD0" w:rsidP="009D1464">
      <w:pPr>
        <w:spacing w:after="0"/>
        <w:ind w:left="121"/>
        <w:rPr>
          <w:b/>
          <w:sz w:val="24"/>
        </w:rPr>
      </w:pPr>
    </w:p>
    <w:p w:rsidR="00E213AD" w:rsidRDefault="009D1464" w:rsidP="009D1464">
      <w:pPr>
        <w:spacing w:after="0"/>
        <w:ind w:left="121"/>
        <w:rPr>
          <w:sz w:val="24"/>
        </w:rPr>
      </w:pPr>
      <w:r>
        <w:rPr>
          <w:sz w:val="24"/>
        </w:rPr>
        <w:t>Should the Commissioners decide to proceed with the service</w:t>
      </w:r>
      <w:r w:rsidR="00E213AD">
        <w:rPr>
          <w:sz w:val="24"/>
        </w:rPr>
        <w:t>,</w:t>
      </w:r>
      <w:r>
        <w:rPr>
          <w:sz w:val="24"/>
        </w:rPr>
        <w:t xml:space="preserve"> it is expected that </w:t>
      </w:r>
      <w:r w:rsidR="00CD0DBF">
        <w:rPr>
          <w:sz w:val="24"/>
        </w:rPr>
        <w:t xml:space="preserve">the contract </w:t>
      </w:r>
      <w:r w:rsidR="00E213AD">
        <w:rPr>
          <w:sz w:val="24"/>
        </w:rPr>
        <w:t>term and value will be as follows:</w:t>
      </w:r>
    </w:p>
    <w:p w:rsidR="00E213AD" w:rsidRDefault="00E213AD" w:rsidP="009D1464">
      <w:pPr>
        <w:spacing w:after="0"/>
        <w:ind w:left="121"/>
        <w:rPr>
          <w:sz w:val="24"/>
        </w:rPr>
      </w:pPr>
    </w:p>
    <w:p w:rsidR="00E213AD" w:rsidRPr="00E213AD" w:rsidRDefault="00E213AD" w:rsidP="009D1464">
      <w:pPr>
        <w:spacing w:after="0"/>
        <w:ind w:left="121"/>
        <w:rPr>
          <w:sz w:val="24"/>
          <w:u w:val="single"/>
        </w:rPr>
      </w:pPr>
      <w:r w:rsidRPr="00E213AD">
        <w:rPr>
          <w:sz w:val="24"/>
          <w:u w:val="single"/>
        </w:rPr>
        <w:t xml:space="preserve">For Phase 1 </w:t>
      </w:r>
    </w:p>
    <w:p w:rsidR="004D13AC" w:rsidRDefault="004D13AC" w:rsidP="009D1464">
      <w:pPr>
        <w:spacing w:after="0"/>
        <w:ind w:left="121"/>
        <w:rPr>
          <w:sz w:val="24"/>
        </w:rPr>
      </w:pPr>
    </w:p>
    <w:p w:rsidR="00CD0DBF" w:rsidRDefault="00E213AD" w:rsidP="009D1464">
      <w:pPr>
        <w:spacing w:after="0"/>
        <w:ind w:left="121"/>
        <w:rPr>
          <w:sz w:val="24"/>
        </w:rPr>
      </w:pPr>
      <w:r>
        <w:rPr>
          <w:sz w:val="24"/>
        </w:rPr>
        <w:t xml:space="preserve">The contract </w:t>
      </w:r>
      <w:r w:rsidR="00CD0DBF">
        <w:rPr>
          <w:sz w:val="24"/>
        </w:rPr>
        <w:t>will be valid for a maximum of 12 months from the agreed service commencement date.  Total contract value</w:t>
      </w:r>
      <w:r w:rsidR="009C1A77">
        <w:rPr>
          <w:sz w:val="24"/>
        </w:rPr>
        <w:t xml:space="preserve"> will be </w:t>
      </w:r>
      <w:r w:rsidR="009C1A77" w:rsidRPr="009C1A77">
        <w:rPr>
          <w:b/>
          <w:i/>
          <w:sz w:val="24"/>
        </w:rPr>
        <w:t>up to</w:t>
      </w:r>
      <w:r w:rsidR="009C1A77">
        <w:rPr>
          <w:sz w:val="24"/>
        </w:rPr>
        <w:t xml:space="preserve"> a maximum of £15,000 to recruit</w:t>
      </w:r>
      <w:r>
        <w:rPr>
          <w:sz w:val="24"/>
        </w:rPr>
        <w:t>,</w:t>
      </w:r>
      <w:r w:rsidR="00CD0DBF">
        <w:rPr>
          <w:sz w:val="24"/>
        </w:rPr>
        <w:t xml:space="preserve"> </w:t>
      </w:r>
      <w:r w:rsidR="009C1A77">
        <w:rPr>
          <w:sz w:val="24"/>
        </w:rPr>
        <w:t>train and supervise the GPs and to provide 20 assessments. The payment model for the assessments will be agreed, and may be a block payment, or spot purchase</w:t>
      </w:r>
      <w:r w:rsidR="00490169">
        <w:rPr>
          <w:sz w:val="24"/>
        </w:rPr>
        <w:t>, or a combination of block and spot purchase,</w:t>
      </w:r>
      <w:r w:rsidR="009C1A77">
        <w:rPr>
          <w:sz w:val="24"/>
        </w:rPr>
        <w:t xml:space="preserve"> up to a minimum agreed number of assessments.  </w:t>
      </w:r>
    </w:p>
    <w:p w:rsidR="009C1A77" w:rsidRDefault="009C1A77" w:rsidP="009D1464">
      <w:pPr>
        <w:spacing w:after="0"/>
        <w:ind w:left="121"/>
        <w:rPr>
          <w:sz w:val="24"/>
        </w:rPr>
      </w:pPr>
    </w:p>
    <w:p w:rsidR="00CD0DBF" w:rsidRDefault="00CD0DBF" w:rsidP="009D1464">
      <w:pPr>
        <w:spacing w:after="0"/>
        <w:ind w:left="121"/>
        <w:rPr>
          <w:sz w:val="24"/>
        </w:rPr>
      </w:pPr>
      <w:r>
        <w:rPr>
          <w:sz w:val="24"/>
        </w:rPr>
        <w:t>Broadly the service required</w:t>
      </w:r>
      <w:r w:rsidR="00343A73">
        <w:rPr>
          <w:sz w:val="24"/>
        </w:rPr>
        <w:t xml:space="preserve"> in Phase 1</w:t>
      </w:r>
      <w:r>
        <w:rPr>
          <w:sz w:val="24"/>
        </w:rPr>
        <w:t xml:space="preserve"> is as follows:</w:t>
      </w:r>
    </w:p>
    <w:p w:rsidR="00CD0DBF" w:rsidRDefault="00CD0DBF" w:rsidP="009D1464">
      <w:pPr>
        <w:spacing w:after="0"/>
        <w:ind w:left="121"/>
        <w:rPr>
          <w:sz w:val="24"/>
        </w:rPr>
      </w:pPr>
    </w:p>
    <w:p w:rsidR="0092698C" w:rsidRDefault="00E213AD" w:rsidP="00CD0DBF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The recruitment of GPs</w:t>
      </w:r>
      <w:r w:rsidR="00B65E21" w:rsidRPr="00E67E61">
        <w:rPr>
          <w:rFonts w:asciiTheme="minorHAnsi" w:hAnsiTheme="minorHAnsi"/>
        </w:rPr>
        <w:t xml:space="preserve"> </w:t>
      </w:r>
      <w:r w:rsidR="00B65E21">
        <w:rPr>
          <w:rFonts w:asciiTheme="minorHAnsi" w:hAnsiTheme="minorHAnsi"/>
        </w:rPr>
        <w:t>(or paediatric resources)</w:t>
      </w:r>
      <w:r>
        <w:rPr>
          <w:sz w:val="24"/>
        </w:rPr>
        <w:t xml:space="preserve"> </w:t>
      </w:r>
      <w:proofErr w:type="gramStart"/>
      <w:r>
        <w:rPr>
          <w:sz w:val="24"/>
        </w:rPr>
        <w:t>who</w:t>
      </w:r>
      <w:proofErr w:type="gramEnd"/>
      <w:r>
        <w:rPr>
          <w:sz w:val="24"/>
        </w:rPr>
        <w:t xml:space="preserve"> are located in, or willing and able to travel to, the geographical areas in</w:t>
      </w:r>
      <w:r w:rsidR="0092698C">
        <w:rPr>
          <w:sz w:val="24"/>
        </w:rPr>
        <w:t>dicated above.</w:t>
      </w:r>
    </w:p>
    <w:p w:rsidR="0092698C" w:rsidRDefault="0092698C" w:rsidP="00CD0DBF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The provision of training for the recruited GPs</w:t>
      </w:r>
      <w:r w:rsidR="00B65E21" w:rsidRPr="00E67E61">
        <w:rPr>
          <w:rFonts w:asciiTheme="minorHAnsi" w:hAnsiTheme="minorHAnsi"/>
        </w:rPr>
        <w:t xml:space="preserve"> </w:t>
      </w:r>
      <w:r w:rsidR="00B65E21">
        <w:rPr>
          <w:rFonts w:asciiTheme="minorHAnsi" w:hAnsiTheme="minorHAnsi"/>
        </w:rPr>
        <w:t>(or paediatric resources)</w:t>
      </w:r>
      <w:r>
        <w:rPr>
          <w:sz w:val="24"/>
        </w:rPr>
        <w:t xml:space="preserve"> to ensure they fully understand the task and are equipped to undertake comprehensive and high quality assessments.</w:t>
      </w:r>
    </w:p>
    <w:p w:rsidR="0092698C" w:rsidRDefault="0092698C" w:rsidP="00CD0DBF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The provision of regular clinical supervision and governance for these GPs</w:t>
      </w:r>
      <w:r w:rsidR="00B65E21" w:rsidRPr="00E67E61">
        <w:rPr>
          <w:rFonts w:asciiTheme="minorHAnsi" w:hAnsiTheme="minorHAnsi"/>
        </w:rPr>
        <w:t xml:space="preserve"> </w:t>
      </w:r>
      <w:r w:rsidR="00B65E21">
        <w:rPr>
          <w:rFonts w:asciiTheme="minorHAnsi" w:hAnsiTheme="minorHAnsi"/>
        </w:rPr>
        <w:t>(or paediatric resources)</w:t>
      </w:r>
      <w:r w:rsidR="009C1A77">
        <w:rPr>
          <w:sz w:val="24"/>
        </w:rPr>
        <w:t>, which over time will be replaced by peer support and supervision.</w:t>
      </w:r>
      <w:r>
        <w:rPr>
          <w:sz w:val="24"/>
        </w:rPr>
        <w:t xml:space="preserve"> </w:t>
      </w:r>
    </w:p>
    <w:p w:rsidR="004D13AC" w:rsidRDefault="004D13AC" w:rsidP="00CD0DBF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The completion of an agreed number of assessments on request (some </w:t>
      </w:r>
      <w:r w:rsidR="00097663">
        <w:rPr>
          <w:sz w:val="24"/>
        </w:rPr>
        <w:t xml:space="preserve">of </w:t>
      </w:r>
      <w:r>
        <w:rPr>
          <w:sz w:val="24"/>
        </w:rPr>
        <w:t xml:space="preserve">which </w:t>
      </w:r>
      <w:r w:rsidR="00097663">
        <w:rPr>
          <w:sz w:val="24"/>
        </w:rPr>
        <w:t xml:space="preserve">requests </w:t>
      </w:r>
      <w:r>
        <w:rPr>
          <w:sz w:val="24"/>
        </w:rPr>
        <w:t>may t</w:t>
      </w:r>
      <w:r w:rsidR="00097663">
        <w:rPr>
          <w:sz w:val="24"/>
        </w:rPr>
        <w:t>ake place after 31/3/17, but no</w:t>
      </w:r>
      <w:r>
        <w:rPr>
          <w:sz w:val="24"/>
        </w:rPr>
        <w:t xml:space="preserve"> later than 12 months after the contract start date).</w:t>
      </w:r>
    </w:p>
    <w:p w:rsidR="00E213AD" w:rsidRPr="009C1A77" w:rsidRDefault="004233CA" w:rsidP="009C1A7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The completion</w:t>
      </w:r>
      <w:r w:rsidR="0092698C">
        <w:rPr>
          <w:sz w:val="24"/>
        </w:rPr>
        <w:t xml:space="preserve"> of </w:t>
      </w:r>
      <w:r w:rsidR="009C1A77">
        <w:rPr>
          <w:sz w:val="24"/>
        </w:rPr>
        <w:t>each assessment</w:t>
      </w:r>
      <w:r w:rsidR="00E213AD">
        <w:rPr>
          <w:sz w:val="24"/>
        </w:rPr>
        <w:t xml:space="preserve"> in the area where the c</w:t>
      </w:r>
      <w:r>
        <w:rPr>
          <w:sz w:val="24"/>
        </w:rPr>
        <w:t>hild is placed, or within</w:t>
      </w:r>
      <w:r w:rsidR="00E213AD">
        <w:rPr>
          <w:sz w:val="24"/>
        </w:rPr>
        <w:t xml:space="preserve"> reasonable travelling distance</w:t>
      </w:r>
      <w:r w:rsidR="009C1A77">
        <w:rPr>
          <w:sz w:val="24"/>
        </w:rPr>
        <w:t>, at a suitable venue which may be the child’s placement address.</w:t>
      </w:r>
    </w:p>
    <w:p w:rsidR="004233CA" w:rsidRDefault="004233CA" w:rsidP="00CD0DBF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The provision of a completed assessment report within 28 days of the child entering care (for at least 95% of children).</w:t>
      </w:r>
    </w:p>
    <w:p w:rsidR="00E213AD" w:rsidRDefault="00E213AD" w:rsidP="00E213AD">
      <w:pPr>
        <w:spacing w:after="0"/>
        <w:rPr>
          <w:sz w:val="24"/>
        </w:rPr>
      </w:pPr>
    </w:p>
    <w:p w:rsidR="00F35117" w:rsidRDefault="00343A73" w:rsidP="00F35117">
      <w:pPr>
        <w:spacing w:after="0"/>
        <w:ind w:left="121"/>
        <w:rPr>
          <w:sz w:val="24"/>
          <w:u w:val="single"/>
        </w:rPr>
      </w:pPr>
      <w:r>
        <w:rPr>
          <w:sz w:val="24"/>
          <w:u w:val="single"/>
        </w:rPr>
        <w:t xml:space="preserve">For </w:t>
      </w:r>
      <w:r w:rsidR="004233CA">
        <w:rPr>
          <w:sz w:val="24"/>
          <w:u w:val="single"/>
        </w:rPr>
        <w:t>Phase 2</w:t>
      </w:r>
    </w:p>
    <w:p w:rsidR="004D13AC" w:rsidRDefault="004D13AC" w:rsidP="00F35117">
      <w:pPr>
        <w:spacing w:after="0"/>
        <w:ind w:left="121"/>
        <w:rPr>
          <w:sz w:val="24"/>
        </w:rPr>
      </w:pPr>
    </w:p>
    <w:p w:rsidR="00343A73" w:rsidRDefault="00343A73" w:rsidP="00F35117">
      <w:pPr>
        <w:spacing w:after="0"/>
        <w:ind w:left="121"/>
        <w:rPr>
          <w:sz w:val="24"/>
        </w:rPr>
      </w:pPr>
      <w:r>
        <w:rPr>
          <w:sz w:val="24"/>
        </w:rPr>
        <w:t>The contract will be valid for an agreed term</w:t>
      </w:r>
      <w:r w:rsidR="004D13AC">
        <w:rPr>
          <w:sz w:val="24"/>
        </w:rPr>
        <w:t xml:space="preserve"> following the completion of Phase1</w:t>
      </w:r>
      <w:r w:rsidR="00097663">
        <w:rPr>
          <w:sz w:val="24"/>
        </w:rPr>
        <w:t>, or overlapping with the completion of Phase 1, on or after 01/04/17</w:t>
      </w:r>
      <w:r w:rsidR="004D13AC">
        <w:rPr>
          <w:sz w:val="24"/>
        </w:rPr>
        <w:t>.</w:t>
      </w:r>
    </w:p>
    <w:p w:rsidR="00343A73" w:rsidRDefault="00343A73" w:rsidP="00F35117">
      <w:pPr>
        <w:spacing w:after="0"/>
        <w:ind w:left="121"/>
        <w:rPr>
          <w:sz w:val="24"/>
        </w:rPr>
      </w:pPr>
    </w:p>
    <w:p w:rsidR="00513CFB" w:rsidRDefault="00343A73" w:rsidP="00097663">
      <w:pPr>
        <w:spacing w:after="0"/>
        <w:ind w:left="121"/>
        <w:rPr>
          <w:sz w:val="24"/>
        </w:rPr>
      </w:pPr>
      <w:r>
        <w:rPr>
          <w:sz w:val="24"/>
        </w:rPr>
        <w:t>An agreed fee will be paid per assessment that will also include supervision, travel and administration costs. It is expected that each assessment will cost in the region of £500, the nationally-agreed rate.</w:t>
      </w:r>
      <w:r w:rsidR="00097663">
        <w:rPr>
          <w:sz w:val="24"/>
        </w:rPr>
        <w:t xml:space="preserve"> </w:t>
      </w:r>
    </w:p>
    <w:p w:rsidR="00513CFB" w:rsidRDefault="00513CFB" w:rsidP="00097663">
      <w:pPr>
        <w:spacing w:after="0"/>
        <w:ind w:left="121"/>
        <w:rPr>
          <w:sz w:val="24"/>
        </w:rPr>
      </w:pPr>
    </w:p>
    <w:p w:rsidR="00343A73" w:rsidRPr="00513CFB" w:rsidRDefault="00097663" w:rsidP="00097663">
      <w:pPr>
        <w:spacing w:after="0"/>
        <w:ind w:left="121"/>
        <w:rPr>
          <w:b/>
          <w:i/>
          <w:sz w:val="24"/>
        </w:rPr>
      </w:pPr>
      <w:r>
        <w:rPr>
          <w:sz w:val="24"/>
        </w:rPr>
        <w:t>The funding model (whether block, spot purchase, or cost-volume purchase will be agreed)</w:t>
      </w:r>
      <w:r w:rsidR="00513CFB">
        <w:rPr>
          <w:sz w:val="24"/>
        </w:rPr>
        <w:t xml:space="preserve">, but it is expected that the required volume will again be </w:t>
      </w:r>
      <w:r w:rsidR="00513CFB" w:rsidRPr="00513CFB">
        <w:rPr>
          <w:b/>
          <w:i/>
          <w:sz w:val="24"/>
        </w:rPr>
        <w:t>in the region of 20 assessments per annum at a value of £10k</w:t>
      </w:r>
      <w:r w:rsidRPr="00513CFB">
        <w:rPr>
          <w:b/>
          <w:i/>
          <w:sz w:val="24"/>
        </w:rPr>
        <w:t>.</w:t>
      </w:r>
    </w:p>
    <w:p w:rsidR="00343A73" w:rsidRPr="00343A73" w:rsidRDefault="00343A73" w:rsidP="00F35117">
      <w:pPr>
        <w:spacing w:after="0"/>
        <w:ind w:left="121"/>
        <w:rPr>
          <w:sz w:val="24"/>
        </w:rPr>
      </w:pPr>
    </w:p>
    <w:p w:rsidR="00343A73" w:rsidRDefault="00343A73" w:rsidP="00343A73">
      <w:pPr>
        <w:spacing w:after="0"/>
        <w:ind w:left="121"/>
        <w:rPr>
          <w:sz w:val="24"/>
        </w:rPr>
      </w:pPr>
      <w:r>
        <w:rPr>
          <w:sz w:val="24"/>
        </w:rPr>
        <w:t>Broadly the service required at Phase 2 is as follows:</w:t>
      </w:r>
    </w:p>
    <w:p w:rsidR="004233CA" w:rsidRDefault="004233CA" w:rsidP="00F35117">
      <w:pPr>
        <w:spacing w:after="0"/>
        <w:ind w:left="121"/>
        <w:rPr>
          <w:sz w:val="24"/>
          <w:u w:val="single"/>
        </w:rPr>
      </w:pPr>
    </w:p>
    <w:p w:rsidR="004233CA" w:rsidRDefault="004233CA" w:rsidP="004233CA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The continued provision of supervision and governance to the GPs</w:t>
      </w:r>
      <w:r w:rsidR="00B65E21" w:rsidRPr="00E67E61">
        <w:rPr>
          <w:rFonts w:asciiTheme="minorHAnsi" w:hAnsiTheme="minorHAnsi"/>
        </w:rPr>
        <w:t xml:space="preserve"> </w:t>
      </w:r>
      <w:r w:rsidR="00B65E21">
        <w:rPr>
          <w:rFonts w:asciiTheme="minorHAnsi" w:hAnsiTheme="minorHAnsi"/>
        </w:rPr>
        <w:t>(or paediatric resources)</w:t>
      </w:r>
      <w:r>
        <w:rPr>
          <w:sz w:val="24"/>
        </w:rPr>
        <w:t xml:space="preserve"> undertaking assessments</w:t>
      </w:r>
      <w:r w:rsidR="00097663">
        <w:rPr>
          <w:sz w:val="24"/>
        </w:rPr>
        <w:t>, maximising the use of peer supervision and support by GPs</w:t>
      </w:r>
      <w:r w:rsidR="00B65E21" w:rsidRPr="00E67E61">
        <w:rPr>
          <w:rFonts w:asciiTheme="minorHAnsi" w:hAnsiTheme="minorHAnsi"/>
        </w:rPr>
        <w:t xml:space="preserve"> </w:t>
      </w:r>
      <w:r w:rsidR="00B65E21">
        <w:rPr>
          <w:rFonts w:asciiTheme="minorHAnsi" w:hAnsiTheme="minorHAnsi"/>
        </w:rPr>
        <w:t>(or paediatric resources)</w:t>
      </w:r>
      <w:r w:rsidR="00097663">
        <w:rPr>
          <w:sz w:val="24"/>
        </w:rPr>
        <w:t xml:space="preserve"> who have gained experience and expertise in Phase 1</w:t>
      </w:r>
      <w:r>
        <w:rPr>
          <w:sz w:val="24"/>
        </w:rPr>
        <w:t>.</w:t>
      </w:r>
    </w:p>
    <w:p w:rsidR="004233CA" w:rsidRDefault="004233CA" w:rsidP="004233CA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233CA">
        <w:rPr>
          <w:sz w:val="24"/>
        </w:rPr>
        <w:t>The continued provision/sourcing of high quality GP or paediatrician</w:t>
      </w:r>
      <w:r>
        <w:rPr>
          <w:sz w:val="24"/>
        </w:rPr>
        <w:t>-led</w:t>
      </w:r>
      <w:r w:rsidRPr="004233CA">
        <w:rPr>
          <w:sz w:val="24"/>
        </w:rPr>
        <w:t xml:space="preserve"> </w:t>
      </w:r>
      <w:r w:rsidR="00097663">
        <w:rPr>
          <w:sz w:val="24"/>
        </w:rPr>
        <w:t>assessments for children aged 10</w:t>
      </w:r>
      <w:r w:rsidRPr="004233CA">
        <w:rPr>
          <w:sz w:val="24"/>
        </w:rPr>
        <w:t>+ who are not complex</w:t>
      </w:r>
      <w:r>
        <w:rPr>
          <w:sz w:val="24"/>
        </w:rPr>
        <w:t>, and placed at distance from Bucks</w:t>
      </w:r>
      <w:r w:rsidRPr="004233CA">
        <w:rPr>
          <w:sz w:val="24"/>
        </w:rPr>
        <w:t>.</w:t>
      </w:r>
    </w:p>
    <w:p w:rsidR="004233CA" w:rsidRDefault="00097663" w:rsidP="004233CA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On request, t</w:t>
      </w:r>
      <w:r w:rsidR="004233CA">
        <w:rPr>
          <w:sz w:val="24"/>
        </w:rPr>
        <w:t>he provision of paediatrician-led</w:t>
      </w:r>
      <w:r>
        <w:rPr>
          <w:sz w:val="24"/>
        </w:rPr>
        <w:t xml:space="preserve"> IHAs for children aged </w:t>
      </w:r>
      <w:proofErr w:type="gramStart"/>
      <w:r>
        <w:rPr>
          <w:sz w:val="24"/>
        </w:rPr>
        <w:t>under</w:t>
      </w:r>
      <w:proofErr w:type="gramEnd"/>
      <w:r>
        <w:rPr>
          <w:sz w:val="24"/>
        </w:rPr>
        <w:t xml:space="preserve"> 10</w:t>
      </w:r>
      <w:r w:rsidR="004233CA">
        <w:rPr>
          <w:sz w:val="24"/>
        </w:rPr>
        <w:t xml:space="preserve"> years, or </w:t>
      </w:r>
      <w:r w:rsidR="00343A73">
        <w:rPr>
          <w:sz w:val="24"/>
        </w:rPr>
        <w:t xml:space="preserve">children </w:t>
      </w:r>
      <w:r w:rsidR="004233CA">
        <w:rPr>
          <w:sz w:val="24"/>
        </w:rPr>
        <w:t>who are complex, and placed at distance from Bucks</w:t>
      </w:r>
      <w:r w:rsidR="003F790D">
        <w:rPr>
          <w:sz w:val="24"/>
        </w:rPr>
        <w:t>.</w:t>
      </w:r>
    </w:p>
    <w:p w:rsidR="003F790D" w:rsidRDefault="003F790D" w:rsidP="003F790D">
      <w:pPr>
        <w:spacing w:after="0"/>
        <w:rPr>
          <w:sz w:val="24"/>
        </w:rPr>
      </w:pPr>
    </w:p>
    <w:p w:rsidR="00692F63" w:rsidRDefault="00692F63" w:rsidP="003F790D">
      <w:pPr>
        <w:spacing w:after="0"/>
        <w:rPr>
          <w:b/>
          <w:sz w:val="24"/>
        </w:rPr>
      </w:pPr>
    </w:p>
    <w:p w:rsidR="003F790D" w:rsidRDefault="003F790D" w:rsidP="003F790D">
      <w:pPr>
        <w:spacing w:after="0"/>
        <w:rPr>
          <w:b/>
          <w:sz w:val="24"/>
        </w:rPr>
      </w:pPr>
      <w:r>
        <w:rPr>
          <w:b/>
          <w:sz w:val="24"/>
        </w:rPr>
        <w:t>Service Standards</w:t>
      </w:r>
    </w:p>
    <w:p w:rsidR="003F790D" w:rsidRPr="003F790D" w:rsidRDefault="003F790D" w:rsidP="003F790D">
      <w:pPr>
        <w:spacing w:after="0"/>
        <w:rPr>
          <w:b/>
          <w:sz w:val="24"/>
        </w:rPr>
      </w:pPr>
    </w:p>
    <w:p w:rsidR="003F790D" w:rsidRDefault="003F790D" w:rsidP="003F790D">
      <w:pPr>
        <w:spacing w:after="0"/>
        <w:ind w:left="121"/>
        <w:rPr>
          <w:sz w:val="24"/>
        </w:rPr>
      </w:pPr>
      <w:r>
        <w:rPr>
          <w:sz w:val="24"/>
        </w:rPr>
        <w:t>As a minimum, interested parties would need to demonstrate that they meet a range of minimum criteria including:</w:t>
      </w:r>
    </w:p>
    <w:p w:rsidR="003F790D" w:rsidRDefault="003F790D" w:rsidP="003F790D">
      <w:pPr>
        <w:spacing w:after="0"/>
        <w:ind w:left="121"/>
        <w:rPr>
          <w:sz w:val="24"/>
        </w:rPr>
      </w:pPr>
    </w:p>
    <w:p w:rsidR="003F790D" w:rsidRDefault="003F790D" w:rsidP="003F790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Knowledge and understanding of the health needs of children entering care, and the impact of circumstances which has led to them entering care.</w:t>
      </w:r>
    </w:p>
    <w:p w:rsidR="003F790D" w:rsidRPr="00EC292A" w:rsidRDefault="003F790D" w:rsidP="003F790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The ability and willingness to recruit GPs or paediatricians who can achieve a positive rapport with children and young people who are in a stressful situation and undertake a high quality assessment of their health needs.</w:t>
      </w:r>
    </w:p>
    <w:p w:rsidR="003F790D" w:rsidRPr="00EC292A" w:rsidRDefault="003F790D" w:rsidP="003F790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The ability to provide or source appropriate clinical supervision and governance of the clinicians.</w:t>
      </w:r>
    </w:p>
    <w:p w:rsidR="003F790D" w:rsidRPr="00EC292A" w:rsidRDefault="003F790D" w:rsidP="003F790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The ability and commitment to source 95% of requested assessments within the statutory 28 days.</w:t>
      </w:r>
    </w:p>
    <w:p w:rsidR="003F790D" w:rsidRDefault="003F790D" w:rsidP="003F790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Capability to sign the standard NHS Contract.</w:t>
      </w:r>
    </w:p>
    <w:p w:rsidR="003F790D" w:rsidRDefault="003F790D" w:rsidP="003F790D">
      <w:pPr>
        <w:spacing w:after="0"/>
        <w:rPr>
          <w:sz w:val="24"/>
        </w:rPr>
      </w:pPr>
    </w:p>
    <w:p w:rsidR="00692F63" w:rsidRDefault="00692F63" w:rsidP="004233CA">
      <w:pPr>
        <w:spacing w:after="0"/>
        <w:rPr>
          <w:b/>
          <w:sz w:val="24"/>
        </w:rPr>
      </w:pPr>
    </w:p>
    <w:p w:rsidR="00343A73" w:rsidRDefault="00010BD0" w:rsidP="004233CA">
      <w:pPr>
        <w:spacing w:after="0"/>
        <w:rPr>
          <w:b/>
          <w:sz w:val="24"/>
        </w:rPr>
      </w:pPr>
      <w:r>
        <w:rPr>
          <w:b/>
          <w:sz w:val="24"/>
        </w:rPr>
        <w:t>Expressions of Interest</w:t>
      </w:r>
    </w:p>
    <w:p w:rsidR="00010BD0" w:rsidRPr="00010BD0" w:rsidRDefault="00010BD0" w:rsidP="004233CA">
      <w:pPr>
        <w:spacing w:after="0"/>
        <w:rPr>
          <w:b/>
          <w:sz w:val="24"/>
        </w:rPr>
      </w:pPr>
    </w:p>
    <w:p w:rsidR="00F35117" w:rsidRDefault="00F35117" w:rsidP="00F35117">
      <w:pPr>
        <w:spacing w:after="0"/>
        <w:ind w:left="121"/>
        <w:rPr>
          <w:sz w:val="24"/>
        </w:rPr>
      </w:pPr>
      <w:r>
        <w:rPr>
          <w:sz w:val="24"/>
        </w:rPr>
        <w:t>If you consider that you may be interested in providing this service</w:t>
      </w:r>
      <w:r w:rsidR="00385E63">
        <w:rPr>
          <w:sz w:val="24"/>
        </w:rPr>
        <w:t xml:space="preserve"> </w:t>
      </w:r>
      <w:r>
        <w:rPr>
          <w:sz w:val="24"/>
        </w:rPr>
        <w:t xml:space="preserve">please send an email to Alan Kilham </w:t>
      </w:r>
      <w:proofErr w:type="gramStart"/>
      <w:r>
        <w:rPr>
          <w:sz w:val="24"/>
        </w:rPr>
        <w:t xml:space="preserve">( </w:t>
      </w:r>
      <w:proofErr w:type="gramEnd"/>
      <w:hyperlink r:id="rId8" w:history="1">
        <w:r w:rsidRPr="002E4A62">
          <w:rPr>
            <w:rStyle w:val="Hyperlink"/>
            <w:sz w:val="24"/>
          </w:rPr>
          <w:t>akilham@nhs.net</w:t>
        </w:r>
      </w:hyperlink>
      <w:r w:rsidR="00097663">
        <w:rPr>
          <w:sz w:val="24"/>
        </w:rPr>
        <w:t xml:space="preserve"> )be</w:t>
      </w:r>
      <w:r>
        <w:rPr>
          <w:sz w:val="24"/>
        </w:rPr>
        <w:t xml:space="preserve">fore </w:t>
      </w:r>
      <w:r w:rsidR="00385E63">
        <w:rPr>
          <w:sz w:val="24"/>
        </w:rPr>
        <w:t>31</w:t>
      </w:r>
      <w:r w:rsidR="00385E63" w:rsidRPr="00385E63">
        <w:rPr>
          <w:sz w:val="24"/>
          <w:vertAlign w:val="superscript"/>
        </w:rPr>
        <w:t>st</w:t>
      </w:r>
      <w:r w:rsidR="00385E63">
        <w:rPr>
          <w:sz w:val="24"/>
        </w:rPr>
        <w:t xml:space="preserve"> August 2016 </w:t>
      </w:r>
      <w:r>
        <w:rPr>
          <w:sz w:val="24"/>
        </w:rPr>
        <w:t>stating the following:</w:t>
      </w:r>
    </w:p>
    <w:p w:rsidR="00F35117" w:rsidRDefault="00F35117" w:rsidP="00F35117">
      <w:pPr>
        <w:spacing w:after="0"/>
        <w:ind w:left="121"/>
        <w:rPr>
          <w:sz w:val="24"/>
        </w:rPr>
      </w:pPr>
    </w:p>
    <w:p w:rsidR="00F35117" w:rsidRDefault="00F35117" w:rsidP="00F3511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The name of the provider likely to sign any contract that is awarded.</w:t>
      </w:r>
    </w:p>
    <w:p w:rsidR="00F35117" w:rsidRDefault="00F35117" w:rsidP="00F3511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The full contact details for that provider.</w:t>
      </w:r>
    </w:p>
    <w:p w:rsidR="00B65E21" w:rsidRDefault="00B65E21" w:rsidP="00F3511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 brief outline of your appropriate experience.</w:t>
      </w:r>
    </w:p>
    <w:p w:rsidR="008F4BB2" w:rsidRPr="00345E7C" w:rsidRDefault="008F4BB2" w:rsidP="00BF171C">
      <w:pPr>
        <w:rPr>
          <w:rFonts w:asciiTheme="minorHAnsi" w:hAnsiTheme="minorHAnsi"/>
          <w:sz w:val="24"/>
          <w:szCs w:val="24"/>
        </w:rPr>
      </w:pPr>
    </w:p>
    <w:sectPr w:rsidR="008F4BB2" w:rsidRPr="00345E7C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15" w:right="867" w:bottom="1639" w:left="751" w:header="720" w:footer="62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32C" w:rsidRDefault="008E632C">
      <w:pPr>
        <w:spacing w:after="0" w:line="240" w:lineRule="auto"/>
      </w:pPr>
      <w:r>
        <w:separator/>
      </w:r>
    </w:p>
  </w:endnote>
  <w:endnote w:type="continuationSeparator" w:id="0">
    <w:p w:rsidR="008E632C" w:rsidRDefault="008E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6E0" w:rsidRDefault="0068246B">
    <w:pPr>
      <w:spacing w:after="0"/>
      <w:ind w:right="-2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41005B" wp14:editId="2CB794CD">
              <wp:simplePos x="0" y="0"/>
              <wp:positionH relativeFrom="page">
                <wp:posOffset>508000</wp:posOffset>
              </wp:positionH>
              <wp:positionV relativeFrom="page">
                <wp:posOffset>9936505</wp:posOffset>
              </wp:positionV>
              <wp:extent cx="6541300" cy="10160"/>
              <wp:effectExtent l="0" t="0" r="0" b="0"/>
              <wp:wrapSquare wrapText="bothSides"/>
              <wp:docPr id="2410" name="Group 24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1300" cy="10160"/>
                        <a:chOff x="0" y="0"/>
                        <a:chExt cx="6541300" cy="10160"/>
                      </a:xfrm>
                    </wpg:grpSpPr>
                    <wps:wsp>
                      <wps:cNvPr id="2411" name="Shape 2411"/>
                      <wps:cNvSpPr/>
                      <wps:spPr>
                        <a:xfrm>
                          <a:off x="0" y="0"/>
                          <a:ext cx="6541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41300">
                              <a:moveTo>
                                <a:pt x="0" y="0"/>
                              </a:moveTo>
                              <a:lnTo>
                                <a:pt x="6541300" y="0"/>
                              </a:lnTo>
                            </a:path>
                          </a:pathLst>
                        </a:custGeom>
                        <a:ln w="1016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group w14:anchorId="45AE296D" id="Group 2410" o:spid="_x0000_s1026" style="position:absolute;margin-left:40pt;margin-top:782.4pt;width:515.05pt;height:.8pt;z-index:251658240;mso-position-horizontal-relative:page;mso-position-vertical-relative:page" coordsize="6541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">
              <v:shape id="Shape 2411" o:spid="_x0000_s1027" style="position:absolute;width:65413;height:0;visibility:visible;mso-wrap-style:square;v-text-anchor:top" coordsize="6541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" path="m,l6541300,e" filled="f" strokeweight=".8pt">
                <v:stroke miterlimit="1" joinstyle="miter"/>
                <v:path arrowok="t" textboxrect="0,0,6541300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>Contracts Finder</w:t>
    </w:r>
  </w:p>
  <w:p w:rsidR="007D16E0" w:rsidRDefault="0068246B">
    <w:pPr>
      <w:spacing w:after="0"/>
      <w:ind w:right="-4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6E0" w:rsidRDefault="0068246B">
    <w:pPr>
      <w:spacing w:after="0"/>
      <w:ind w:right="-2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D44BF9" wp14:editId="00735E96">
              <wp:simplePos x="0" y="0"/>
              <wp:positionH relativeFrom="page">
                <wp:posOffset>508000</wp:posOffset>
              </wp:positionH>
              <wp:positionV relativeFrom="page">
                <wp:posOffset>9936505</wp:posOffset>
              </wp:positionV>
              <wp:extent cx="6541300" cy="10160"/>
              <wp:effectExtent l="0" t="0" r="0" b="0"/>
              <wp:wrapSquare wrapText="bothSides"/>
              <wp:docPr id="2399" name="Group 23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1300" cy="10160"/>
                        <a:chOff x="0" y="0"/>
                        <a:chExt cx="6541300" cy="10160"/>
                      </a:xfrm>
                    </wpg:grpSpPr>
                    <wps:wsp>
                      <wps:cNvPr id="2400" name="Shape 2400"/>
                      <wps:cNvSpPr/>
                      <wps:spPr>
                        <a:xfrm>
                          <a:off x="0" y="0"/>
                          <a:ext cx="6541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41300">
                              <a:moveTo>
                                <a:pt x="0" y="0"/>
                              </a:moveTo>
                              <a:lnTo>
                                <a:pt x="6541300" y="0"/>
                              </a:lnTo>
                            </a:path>
                          </a:pathLst>
                        </a:custGeom>
                        <a:ln w="1016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group w14:anchorId="1B829FBD" id="Group 2399" o:spid="_x0000_s1026" style="position:absolute;margin-left:40pt;margin-top:782.4pt;width:515.05pt;height:.8pt;z-index:251659264;mso-position-horizontal-relative:page;mso-position-vertical-relative:page" coordsize="6541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">
              <v:shape id="Shape 2400" o:spid="_x0000_s1027" style="position:absolute;width:65413;height:0;visibility:visible;mso-wrap-style:square;v-text-anchor:top" coordsize="6541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" path="m,l6541300,e" filled="f" strokeweight=".8pt">
                <v:stroke miterlimit="1" joinstyle="miter"/>
                <v:path arrowok="t" textboxrect="0,0,6541300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>Contracts Finder</w:t>
    </w:r>
  </w:p>
  <w:p w:rsidR="007D16E0" w:rsidRDefault="0068246B">
    <w:pPr>
      <w:spacing w:after="0"/>
      <w:ind w:right="-4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00A4" w:rsidRPr="001000A4">
      <w:rPr>
        <w:noProof/>
        <w:sz w:val="16"/>
      </w:rPr>
      <w:t>4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6E0" w:rsidRDefault="0068246B">
    <w:pPr>
      <w:spacing w:after="0"/>
      <w:ind w:right="-2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004CC6" wp14:editId="578E2F2E">
              <wp:simplePos x="0" y="0"/>
              <wp:positionH relativeFrom="page">
                <wp:posOffset>504381</wp:posOffset>
              </wp:positionH>
              <wp:positionV relativeFrom="page">
                <wp:posOffset>9930016</wp:posOffset>
              </wp:positionV>
              <wp:extent cx="6541287" cy="10160"/>
              <wp:effectExtent l="0" t="0" r="0" b="0"/>
              <wp:wrapSquare wrapText="bothSides"/>
              <wp:docPr id="2391" name="Group 23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1287" cy="10160"/>
                        <a:chOff x="0" y="0"/>
                        <a:chExt cx="6541287" cy="10160"/>
                      </a:xfrm>
                    </wpg:grpSpPr>
                    <wps:wsp>
                      <wps:cNvPr id="2392" name="Shape 2392"/>
                      <wps:cNvSpPr/>
                      <wps:spPr>
                        <a:xfrm>
                          <a:off x="0" y="0"/>
                          <a:ext cx="65412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41287">
                              <a:moveTo>
                                <a:pt x="0" y="0"/>
                              </a:moveTo>
                              <a:lnTo>
                                <a:pt x="6541287" y="0"/>
                              </a:lnTo>
                            </a:path>
                          </a:pathLst>
                        </a:custGeom>
                        <a:ln w="1016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group w14:anchorId="2D6E5887" id="Group 2391" o:spid="_x0000_s1026" style="position:absolute;margin-left:39.7pt;margin-top:781.9pt;width:515.05pt;height:.8pt;z-index:251660288;mso-position-horizontal-relative:page;mso-position-vertical-relative:page" coordsize="654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">
              <v:shape id="Shape 2392" o:spid="_x0000_s1027" style="position:absolute;width:65412;height:0;visibility:visible;mso-wrap-style:square;v-text-anchor:top" coordsize="6541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" path="m,l6541287,e" filled="f" strokeweight=".8pt">
                <v:stroke miterlimit="1" joinstyle="miter"/>
                <v:path arrowok="t" textboxrect="0,0,6541287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>Contracts Finder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32C" w:rsidRDefault="008E632C">
      <w:pPr>
        <w:spacing w:after="0" w:line="240" w:lineRule="auto"/>
      </w:pPr>
      <w:r>
        <w:separator/>
      </w:r>
    </w:p>
  </w:footnote>
  <w:footnote w:type="continuationSeparator" w:id="0">
    <w:p w:rsidR="008E632C" w:rsidRDefault="008E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AE" w:rsidRDefault="008654AE" w:rsidP="008654AE">
    <w:pPr>
      <w:pStyle w:val="Header"/>
      <w:jc w:val="right"/>
    </w:pPr>
    <w:r>
      <w:t>Attachment to Early Engagement Notice on Contracts Finder</w:t>
    </w:r>
  </w:p>
  <w:p w:rsidR="008654AE" w:rsidRDefault="008654AE" w:rsidP="008654A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B450B"/>
    <w:multiLevelType w:val="hybridMultilevel"/>
    <w:tmpl w:val="AEFC64C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9053CE8"/>
    <w:multiLevelType w:val="hybridMultilevel"/>
    <w:tmpl w:val="AA867F1C"/>
    <w:lvl w:ilvl="0" w:tplc="2B1C1584">
      <w:numFmt w:val="bullet"/>
      <w:lvlText w:val="-"/>
      <w:lvlJc w:val="left"/>
      <w:pPr>
        <w:ind w:left="481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E0"/>
    <w:rsid w:val="00010BD0"/>
    <w:rsid w:val="0008310D"/>
    <w:rsid w:val="00097663"/>
    <w:rsid w:val="000D53F3"/>
    <w:rsid w:val="000F7E75"/>
    <w:rsid w:val="001000A4"/>
    <w:rsid w:val="001069C8"/>
    <w:rsid w:val="00112009"/>
    <w:rsid w:val="001372BC"/>
    <w:rsid w:val="001A414B"/>
    <w:rsid w:val="001C15AB"/>
    <w:rsid w:val="001F2130"/>
    <w:rsid w:val="002464FD"/>
    <w:rsid w:val="00343A73"/>
    <w:rsid w:val="00345E7C"/>
    <w:rsid w:val="00345EFB"/>
    <w:rsid w:val="00363A39"/>
    <w:rsid w:val="00385E63"/>
    <w:rsid w:val="003A5B55"/>
    <w:rsid w:val="003F790D"/>
    <w:rsid w:val="00420F97"/>
    <w:rsid w:val="004233CA"/>
    <w:rsid w:val="004539C8"/>
    <w:rsid w:val="0046244F"/>
    <w:rsid w:val="00490169"/>
    <w:rsid w:val="00491070"/>
    <w:rsid w:val="004D13AC"/>
    <w:rsid w:val="004E181A"/>
    <w:rsid w:val="004E5D8E"/>
    <w:rsid w:val="004E61DB"/>
    <w:rsid w:val="00513CFB"/>
    <w:rsid w:val="00586BB0"/>
    <w:rsid w:val="005B74AD"/>
    <w:rsid w:val="00604758"/>
    <w:rsid w:val="006312BA"/>
    <w:rsid w:val="00650C91"/>
    <w:rsid w:val="00656562"/>
    <w:rsid w:val="0068246B"/>
    <w:rsid w:val="00692F63"/>
    <w:rsid w:val="006F26EA"/>
    <w:rsid w:val="0079046E"/>
    <w:rsid w:val="007D16E0"/>
    <w:rsid w:val="008654AE"/>
    <w:rsid w:val="00894120"/>
    <w:rsid w:val="008A39A6"/>
    <w:rsid w:val="008E632C"/>
    <w:rsid w:val="008F4BB2"/>
    <w:rsid w:val="0092698C"/>
    <w:rsid w:val="00944B3D"/>
    <w:rsid w:val="0094558C"/>
    <w:rsid w:val="00984172"/>
    <w:rsid w:val="00992E09"/>
    <w:rsid w:val="009A5586"/>
    <w:rsid w:val="009B4098"/>
    <w:rsid w:val="009C1A77"/>
    <w:rsid w:val="009D1464"/>
    <w:rsid w:val="00A07576"/>
    <w:rsid w:val="00A71133"/>
    <w:rsid w:val="00AB2C40"/>
    <w:rsid w:val="00B65E21"/>
    <w:rsid w:val="00B72A3F"/>
    <w:rsid w:val="00B919EF"/>
    <w:rsid w:val="00BE4682"/>
    <w:rsid w:val="00BF1389"/>
    <w:rsid w:val="00BF171C"/>
    <w:rsid w:val="00C23C7B"/>
    <w:rsid w:val="00C370A0"/>
    <w:rsid w:val="00C805BF"/>
    <w:rsid w:val="00CD0DBF"/>
    <w:rsid w:val="00D3664D"/>
    <w:rsid w:val="00D56541"/>
    <w:rsid w:val="00D93F2A"/>
    <w:rsid w:val="00DC1F81"/>
    <w:rsid w:val="00E213AD"/>
    <w:rsid w:val="00E305C0"/>
    <w:rsid w:val="00E4223D"/>
    <w:rsid w:val="00E67E61"/>
    <w:rsid w:val="00E712EB"/>
    <w:rsid w:val="00EB38D6"/>
    <w:rsid w:val="00EC292A"/>
    <w:rsid w:val="00F27576"/>
    <w:rsid w:val="00F35117"/>
    <w:rsid w:val="00F6555D"/>
    <w:rsid w:val="00F6753D"/>
    <w:rsid w:val="00F9194A"/>
    <w:rsid w:val="00F9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D14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511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E75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3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A7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43A7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1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43A73"/>
    <w:rPr>
      <w:rFonts w:eastAsiaTheme="minorHAnsi"/>
      <w:sz w:val="21"/>
      <w:lang w:val="en-US" w:eastAsia="ja-JP"/>
    </w:rPr>
  </w:style>
  <w:style w:type="paragraph" w:customStyle="1" w:styleId="Default">
    <w:name w:val="Default"/>
    <w:rsid w:val="00E67E6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0">
    <w:name w:val="Table Grid"/>
    <w:basedOn w:val="TableNormal"/>
    <w:uiPriority w:val="39"/>
    <w:rsid w:val="00F2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2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4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44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44F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D14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511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E75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3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A7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43A7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1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43A73"/>
    <w:rPr>
      <w:rFonts w:eastAsiaTheme="minorHAnsi"/>
      <w:sz w:val="21"/>
      <w:lang w:val="en-US" w:eastAsia="ja-JP"/>
    </w:rPr>
  </w:style>
  <w:style w:type="paragraph" w:customStyle="1" w:styleId="Default">
    <w:name w:val="Default"/>
    <w:rsid w:val="00E67E6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0">
    <w:name w:val="Table Grid"/>
    <w:basedOn w:val="TableNormal"/>
    <w:uiPriority w:val="39"/>
    <w:rsid w:val="00F2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2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4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44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44F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ilham@nhs.ne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County Council</Company>
  <LinksUpToDate>false</LinksUpToDate>
  <CharactersWithSpaces>11202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ILOVEPDF.COM</dc:creator>
  <cp:lastModifiedBy>Kilham Alan</cp:lastModifiedBy>
  <cp:revision>5</cp:revision>
  <cp:lastPrinted>2016-07-18T13:10:00Z</cp:lastPrinted>
  <dcterms:created xsi:type="dcterms:W3CDTF">2016-08-09T13:02:00Z</dcterms:created>
  <dcterms:modified xsi:type="dcterms:W3CDTF">2016-08-10T07:16:00Z</dcterms:modified>
</cp:coreProperties>
</file>