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41FDF5E8"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A26D7C" w:rsidRPr="00A26D7C">
        <w:t>RSSB2751 - T1167 - WP2 - Testing the effectiveness of detonators</w:t>
      </w:r>
    </w:p>
    <w:p w14:paraId="367CB7EE" w14:textId="73683531" w:rsidR="00E52B87" w:rsidRPr="00E52B87" w:rsidRDefault="00E52B87" w:rsidP="00E52B87">
      <w:pPr>
        <w:pStyle w:val="CoverTitle"/>
      </w:pPr>
    </w:p>
    <w:p w14:paraId="69A8EB25" w14:textId="1A03DF38" w:rsidR="00E52B87" w:rsidRPr="00E52B87" w:rsidRDefault="00E52B87" w:rsidP="00E52B87">
      <w:pPr>
        <w:pStyle w:val="CoverSubTitle"/>
      </w:pPr>
      <w:r w:rsidRPr="00E52B87">
        <w:t xml:space="preserve">Deadline: </w:t>
      </w:r>
      <w:r w:rsidR="00A121D7">
        <w:t xml:space="preserve">Friday </w:t>
      </w:r>
      <w:r w:rsidR="00A26D7C">
        <w:t>21</w:t>
      </w:r>
      <w:r w:rsidR="00A26D7C" w:rsidRPr="00A26D7C">
        <w:rPr>
          <w:vertAlign w:val="superscript"/>
        </w:rPr>
        <w:t>st</w:t>
      </w:r>
      <w:r w:rsidR="00A26D7C">
        <w:t xml:space="preserve"> December 12:00 Mid-Day</w:t>
      </w:r>
    </w:p>
    <w:p w14:paraId="1051D870" w14:textId="26FE7A15" w:rsidR="00E52B87" w:rsidRPr="00E52B87" w:rsidRDefault="00E52B87" w:rsidP="00E52B87">
      <w:pPr>
        <w:pStyle w:val="CoverSubTitle"/>
      </w:pPr>
      <w:r w:rsidRPr="00E52B87">
        <w:t xml:space="preserve">ITT Reference: </w:t>
      </w:r>
      <w:r w:rsidR="0095659E">
        <w:t xml:space="preserve"> </w:t>
      </w:r>
      <w:r w:rsidR="00A26D7C" w:rsidRPr="00A26D7C">
        <w:t>RSSB2751 - T1167 - WP2 - Testing the effectiveness of detonators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A26D7C" w:rsidRPr="005973DE" w14:paraId="0F869003" w14:textId="77777777" w:rsidTr="00A26D7C">
        <w:trPr>
          <w:trHeight w:val="504"/>
        </w:trPr>
        <w:tc>
          <w:tcPr>
            <w:tcW w:w="3095" w:type="pct"/>
          </w:tcPr>
          <w:p w14:paraId="158834C7" w14:textId="77777777" w:rsidR="00A26D7C" w:rsidRPr="005973DE" w:rsidRDefault="00A26D7C" w:rsidP="00A26D7C">
            <w:pPr>
              <w:spacing w:before="120" w:after="120"/>
              <w:rPr>
                <w:rFonts w:asciiTheme="minorHAnsi" w:hAnsiTheme="minorHAnsi" w:cs="Arial"/>
                <w:b/>
              </w:rPr>
            </w:pPr>
            <w:bookmarkStart w:id="2" w:name="_Hlk523920308"/>
          </w:p>
        </w:tc>
        <w:tc>
          <w:tcPr>
            <w:tcW w:w="1905" w:type="pct"/>
          </w:tcPr>
          <w:p w14:paraId="255D8365" w14:textId="77777777" w:rsidR="00A26D7C" w:rsidRPr="005973DE" w:rsidRDefault="00A26D7C" w:rsidP="00A26D7C">
            <w:pPr>
              <w:spacing w:before="120" w:after="120"/>
              <w:jc w:val="center"/>
              <w:rPr>
                <w:rFonts w:asciiTheme="minorHAnsi" w:hAnsiTheme="minorHAnsi" w:cs="Arial"/>
                <w:b/>
              </w:rPr>
            </w:pPr>
            <w:r w:rsidRPr="005973DE">
              <w:rPr>
                <w:rFonts w:asciiTheme="minorHAnsi" w:hAnsiTheme="minorHAnsi" w:cs="Arial"/>
                <w:b/>
              </w:rPr>
              <w:t>Start Date</w:t>
            </w:r>
          </w:p>
        </w:tc>
      </w:tr>
      <w:tr w:rsidR="00A26D7C" w:rsidRPr="005973DE" w14:paraId="2525A3BA" w14:textId="77777777" w:rsidTr="00A26D7C">
        <w:trPr>
          <w:trHeight w:val="504"/>
        </w:trPr>
        <w:tc>
          <w:tcPr>
            <w:tcW w:w="3095" w:type="pct"/>
          </w:tcPr>
          <w:p w14:paraId="384F8028" w14:textId="4BAB3095" w:rsidR="00A26D7C" w:rsidRPr="005973DE" w:rsidRDefault="00A26D7C" w:rsidP="00A26D7C">
            <w:pPr>
              <w:spacing w:before="120" w:after="120"/>
              <w:jc w:val="both"/>
              <w:rPr>
                <w:rFonts w:asciiTheme="minorHAnsi" w:hAnsiTheme="minorHAnsi" w:cs="Arial"/>
              </w:rPr>
            </w:pPr>
            <w:r>
              <w:rPr>
                <w:rFonts w:asciiTheme="minorHAnsi" w:hAnsiTheme="minorHAnsi" w:cs="Arial"/>
              </w:rPr>
              <w:t>I.T.T</w:t>
            </w:r>
            <w:r w:rsidRPr="005973DE">
              <w:rPr>
                <w:rFonts w:asciiTheme="minorHAnsi" w:hAnsiTheme="minorHAnsi" w:cs="Arial"/>
              </w:rPr>
              <w:t xml:space="preserve"> issued</w:t>
            </w:r>
          </w:p>
        </w:tc>
        <w:tc>
          <w:tcPr>
            <w:tcW w:w="1905" w:type="pct"/>
          </w:tcPr>
          <w:p w14:paraId="5CF459CB" w14:textId="3D1DE0ED" w:rsidR="00A26D7C" w:rsidRPr="005973DE" w:rsidRDefault="00A26D7C" w:rsidP="00A26D7C">
            <w:pPr>
              <w:spacing w:before="120" w:after="120"/>
              <w:rPr>
                <w:rFonts w:asciiTheme="minorHAnsi" w:hAnsiTheme="minorHAnsi" w:cs="Arial"/>
              </w:rPr>
            </w:pPr>
            <w:r>
              <w:rPr>
                <w:rFonts w:asciiTheme="minorHAnsi" w:hAnsiTheme="minorHAnsi" w:cs="Arial"/>
              </w:rPr>
              <w:t>20</w:t>
            </w:r>
            <w:r w:rsidRPr="005973DE">
              <w:rPr>
                <w:rFonts w:asciiTheme="minorHAnsi" w:hAnsiTheme="minorHAnsi" w:cs="Arial"/>
              </w:rPr>
              <w:t xml:space="preserve"> </w:t>
            </w:r>
            <w:r>
              <w:rPr>
                <w:rFonts w:asciiTheme="minorHAnsi" w:hAnsiTheme="minorHAnsi" w:cs="Arial"/>
              </w:rPr>
              <w:t xml:space="preserve">NOV </w:t>
            </w:r>
            <w:r w:rsidRPr="005973DE">
              <w:rPr>
                <w:rFonts w:asciiTheme="minorHAnsi" w:hAnsiTheme="minorHAnsi" w:cs="Arial"/>
              </w:rPr>
              <w:t>2018</w:t>
            </w:r>
          </w:p>
        </w:tc>
      </w:tr>
      <w:tr w:rsidR="00A26D7C" w:rsidRPr="005973DE" w14:paraId="74AEA944" w14:textId="77777777" w:rsidTr="00A26D7C">
        <w:trPr>
          <w:trHeight w:val="516"/>
        </w:trPr>
        <w:tc>
          <w:tcPr>
            <w:tcW w:w="3095" w:type="pct"/>
          </w:tcPr>
          <w:p w14:paraId="3006EE63" w14:textId="77777777" w:rsidR="00A26D7C" w:rsidRPr="005973DE" w:rsidRDefault="00A26D7C" w:rsidP="00A26D7C">
            <w:pPr>
              <w:spacing w:before="120" w:after="120"/>
              <w:jc w:val="both"/>
              <w:rPr>
                <w:rFonts w:asciiTheme="minorHAnsi" w:hAnsiTheme="minorHAnsi" w:cs="Arial"/>
              </w:rPr>
            </w:pPr>
            <w:r w:rsidRPr="005973DE">
              <w:rPr>
                <w:rFonts w:asciiTheme="minorHAnsi" w:hAnsiTheme="minorHAnsi" w:cs="Arial"/>
              </w:rPr>
              <w:t xml:space="preserve">Supplier clarification questions deadline </w:t>
            </w:r>
          </w:p>
        </w:tc>
        <w:tc>
          <w:tcPr>
            <w:tcW w:w="1905" w:type="pct"/>
          </w:tcPr>
          <w:p w14:paraId="14F42150" w14:textId="54EC8BC8" w:rsidR="00A26D7C" w:rsidRPr="005973DE" w:rsidRDefault="00A26D7C" w:rsidP="00A26D7C">
            <w:pPr>
              <w:spacing w:before="120" w:after="120"/>
              <w:rPr>
                <w:rFonts w:asciiTheme="minorHAnsi" w:hAnsiTheme="minorHAnsi" w:cs="Arial"/>
              </w:rPr>
            </w:pPr>
            <w:r>
              <w:rPr>
                <w:rFonts w:asciiTheme="minorHAnsi" w:hAnsiTheme="minorHAnsi" w:cs="Arial"/>
              </w:rPr>
              <w:t>27 NOV</w:t>
            </w:r>
            <w:r w:rsidRPr="005973DE">
              <w:rPr>
                <w:rFonts w:asciiTheme="minorHAnsi" w:hAnsiTheme="minorHAnsi" w:cs="Arial"/>
              </w:rPr>
              <w:t xml:space="preserve"> 2018; 12:00 hours</w:t>
            </w:r>
          </w:p>
        </w:tc>
      </w:tr>
      <w:tr w:rsidR="00A26D7C" w:rsidRPr="005973DE" w14:paraId="59ED73AF" w14:textId="77777777" w:rsidTr="00A26D7C">
        <w:trPr>
          <w:trHeight w:val="280"/>
        </w:trPr>
        <w:tc>
          <w:tcPr>
            <w:tcW w:w="3095" w:type="pct"/>
          </w:tcPr>
          <w:p w14:paraId="6BA0802D" w14:textId="77777777" w:rsidR="00A26D7C" w:rsidRPr="005973DE" w:rsidRDefault="00A26D7C" w:rsidP="00A26D7C">
            <w:pPr>
              <w:spacing w:before="120" w:after="120"/>
              <w:jc w:val="both"/>
              <w:rPr>
                <w:rFonts w:asciiTheme="minorHAnsi" w:hAnsiTheme="minorHAnsi" w:cs="Arial"/>
                <w:b/>
                <w:color w:val="FF0000"/>
              </w:rPr>
            </w:pPr>
            <w:r w:rsidRPr="005973DE">
              <w:rPr>
                <w:rFonts w:asciiTheme="minorHAnsi" w:hAnsiTheme="minorHAnsi" w:cs="Arial"/>
                <w:b/>
                <w:color w:val="FF0000"/>
              </w:rPr>
              <w:t>Deadline for Submitting Tenders</w:t>
            </w:r>
          </w:p>
        </w:tc>
        <w:tc>
          <w:tcPr>
            <w:tcW w:w="1905" w:type="pct"/>
          </w:tcPr>
          <w:p w14:paraId="07621C89" w14:textId="77777777" w:rsidR="00A26D7C" w:rsidRPr="005973DE" w:rsidRDefault="00A26D7C" w:rsidP="00A26D7C">
            <w:pPr>
              <w:spacing w:before="120" w:after="120"/>
              <w:rPr>
                <w:rFonts w:asciiTheme="minorHAnsi" w:hAnsiTheme="minorHAnsi" w:cs="Arial"/>
                <w:b/>
                <w:color w:val="FF0000"/>
              </w:rPr>
            </w:pPr>
            <w:r>
              <w:rPr>
                <w:rFonts w:asciiTheme="minorHAnsi" w:hAnsiTheme="minorHAnsi" w:cs="Arial"/>
                <w:b/>
                <w:color w:val="FF0000"/>
              </w:rPr>
              <w:t>21</w:t>
            </w:r>
            <w:r w:rsidRPr="005973DE">
              <w:rPr>
                <w:rFonts w:asciiTheme="minorHAnsi" w:hAnsiTheme="minorHAnsi" w:cs="Arial"/>
                <w:b/>
                <w:color w:val="FF0000"/>
              </w:rPr>
              <w:t xml:space="preserve"> </w:t>
            </w:r>
            <w:r>
              <w:rPr>
                <w:rFonts w:asciiTheme="minorHAnsi" w:hAnsiTheme="minorHAnsi" w:cs="Arial"/>
                <w:b/>
                <w:color w:val="FF0000"/>
              </w:rPr>
              <w:t xml:space="preserve">DEC </w:t>
            </w:r>
            <w:r w:rsidRPr="005973DE">
              <w:rPr>
                <w:rFonts w:asciiTheme="minorHAnsi" w:hAnsiTheme="minorHAnsi" w:cs="Arial"/>
                <w:b/>
                <w:color w:val="FF0000"/>
              </w:rPr>
              <w:t>2018; 1</w:t>
            </w:r>
            <w:r>
              <w:rPr>
                <w:rFonts w:asciiTheme="minorHAnsi" w:hAnsiTheme="minorHAnsi" w:cs="Arial"/>
                <w:b/>
                <w:color w:val="FF0000"/>
              </w:rPr>
              <w:t>2</w:t>
            </w:r>
            <w:r w:rsidRPr="005973DE">
              <w:rPr>
                <w:rFonts w:asciiTheme="minorHAnsi" w:hAnsiTheme="minorHAnsi" w:cs="Arial"/>
                <w:b/>
                <w:color w:val="FF0000"/>
              </w:rPr>
              <w:t>:00 hours</w:t>
            </w:r>
          </w:p>
        </w:tc>
      </w:tr>
      <w:tr w:rsidR="00A26D7C" w:rsidRPr="005973DE" w14:paraId="40E2797D" w14:textId="77777777" w:rsidTr="00A26D7C">
        <w:trPr>
          <w:trHeight w:val="624"/>
        </w:trPr>
        <w:tc>
          <w:tcPr>
            <w:tcW w:w="3095" w:type="pct"/>
          </w:tcPr>
          <w:p w14:paraId="057BD818" w14:textId="77777777" w:rsidR="00A26D7C" w:rsidRPr="005973DE" w:rsidRDefault="00A26D7C" w:rsidP="00A26D7C">
            <w:pPr>
              <w:spacing w:before="120" w:after="120"/>
              <w:jc w:val="both"/>
              <w:rPr>
                <w:rFonts w:asciiTheme="minorHAnsi" w:hAnsiTheme="minorHAnsi" w:cs="Arial"/>
              </w:rPr>
            </w:pPr>
            <w:r w:rsidRPr="005973DE">
              <w:rPr>
                <w:rFonts w:asciiTheme="minorHAnsi" w:hAnsiTheme="minorHAnsi" w:cs="Arial"/>
              </w:rPr>
              <w:t xml:space="preserve">Post Tender </w:t>
            </w:r>
            <w:r>
              <w:rPr>
                <w:rFonts w:asciiTheme="minorHAnsi" w:hAnsiTheme="minorHAnsi" w:cs="Arial"/>
              </w:rPr>
              <w:t xml:space="preserve">Evaluation and Clarification </w:t>
            </w:r>
          </w:p>
        </w:tc>
        <w:tc>
          <w:tcPr>
            <w:tcW w:w="1905" w:type="pct"/>
          </w:tcPr>
          <w:p w14:paraId="7B1DCA2F" w14:textId="77777777" w:rsidR="00A26D7C" w:rsidRPr="005973DE" w:rsidRDefault="00A26D7C" w:rsidP="00A26D7C">
            <w:pPr>
              <w:spacing w:before="120" w:after="120"/>
              <w:rPr>
                <w:rFonts w:asciiTheme="minorHAnsi" w:hAnsiTheme="minorHAnsi" w:cs="Arial"/>
              </w:rPr>
            </w:pPr>
            <w:r>
              <w:rPr>
                <w:rFonts w:asciiTheme="minorHAnsi" w:hAnsiTheme="minorHAnsi" w:cs="Arial"/>
              </w:rPr>
              <w:t xml:space="preserve">W/C 7 JAN </w:t>
            </w:r>
            <w:r w:rsidRPr="005973DE">
              <w:rPr>
                <w:rFonts w:asciiTheme="minorHAnsi" w:hAnsiTheme="minorHAnsi" w:cs="Arial"/>
              </w:rPr>
              <w:t>201</w:t>
            </w:r>
            <w:r>
              <w:rPr>
                <w:rFonts w:asciiTheme="minorHAnsi" w:hAnsiTheme="minorHAnsi" w:cs="Arial"/>
              </w:rPr>
              <w:t>9</w:t>
            </w:r>
          </w:p>
        </w:tc>
      </w:tr>
      <w:tr w:rsidR="00A26D7C" w:rsidRPr="005973DE" w14:paraId="5BA1BAD1" w14:textId="77777777" w:rsidTr="00A26D7C">
        <w:trPr>
          <w:trHeight w:val="504"/>
        </w:trPr>
        <w:tc>
          <w:tcPr>
            <w:tcW w:w="3095" w:type="pct"/>
          </w:tcPr>
          <w:p w14:paraId="4B5B9989" w14:textId="77777777" w:rsidR="00A26D7C" w:rsidRPr="005973DE" w:rsidRDefault="00A26D7C" w:rsidP="00A26D7C">
            <w:pPr>
              <w:spacing w:before="120" w:after="120"/>
              <w:jc w:val="both"/>
              <w:rPr>
                <w:rFonts w:asciiTheme="minorHAnsi" w:hAnsiTheme="minorHAnsi" w:cs="Arial"/>
              </w:rPr>
            </w:pPr>
            <w:r w:rsidRPr="005973DE">
              <w:rPr>
                <w:rFonts w:asciiTheme="minorHAnsi" w:hAnsiTheme="minorHAnsi" w:cs="Arial"/>
              </w:rPr>
              <w:t>Estimated notification of award decision</w:t>
            </w:r>
          </w:p>
        </w:tc>
        <w:tc>
          <w:tcPr>
            <w:tcW w:w="1905" w:type="pct"/>
          </w:tcPr>
          <w:p w14:paraId="141DF08B" w14:textId="77777777" w:rsidR="00A26D7C" w:rsidRPr="005973DE" w:rsidRDefault="00A26D7C" w:rsidP="00A26D7C">
            <w:pPr>
              <w:spacing w:before="120" w:after="120"/>
              <w:rPr>
                <w:rFonts w:asciiTheme="minorHAnsi" w:hAnsiTheme="minorHAnsi" w:cs="Arial"/>
              </w:rPr>
            </w:pPr>
            <w:r>
              <w:rPr>
                <w:rFonts w:asciiTheme="minorHAnsi" w:hAnsiTheme="minorHAnsi" w:cs="Arial"/>
              </w:rPr>
              <w:t>W/C 14</w:t>
            </w:r>
            <w:r w:rsidRPr="005973DE">
              <w:rPr>
                <w:rFonts w:asciiTheme="minorHAnsi" w:hAnsiTheme="minorHAnsi" w:cs="Arial"/>
              </w:rPr>
              <w:t xml:space="preserve"> </w:t>
            </w:r>
            <w:r>
              <w:rPr>
                <w:rFonts w:asciiTheme="minorHAnsi" w:hAnsiTheme="minorHAnsi" w:cs="Arial"/>
              </w:rPr>
              <w:t xml:space="preserve">JAN </w:t>
            </w:r>
            <w:r w:rsidRPr="005973DE">
              <w:rPr>
                <w:rFonts w:asciiTheme="minorHAnsi" w:hAnsiTheme="minorHAnsi" w:cs="Arial"/>
              </w:rPr>
              <w:t>201</w:t>
            </w:r>
            <w:r>
              <w:rPr>
                <w:rFonts w:asciiTheme="minorHAnsi" w:hAnsiTheme="minorHAnsi" w:cs="Arial"/>
              </w:rPr>
              <w:t>9</w:t>
            </w:r>
            <w:r w:rsidRPr="005973DE">
              <w:rPr>
                <w:rFonts w:asciiTheme="minorHAnsi" w:hAnsiTheme="minorHAnsi" w:cs="Arial"/>
              </w:rPr>
              <w:t xml:space="preserve"> </w:t>
            </w:r>
          </w:p>
        </w:tc>
      </w:tr>
      <w:tr w:rsidR="00A26D7C" w:rsidRPr="005973DE" w14:paraId="439F432B" w14:textId="77777777" w:rsidTr="00A26D7C">
        <w:trPr>
          <w:trHeight w:val="504"/>
        </w:trPr>
        <w:tc>
          <w:tcPr>
            <w:tcW w:w="3095" w:type="pct"/>
          </w:tcPr>
          <w:p w14:paraId="6688D836" w14:textId="77777777" w:rsidR="00A26D7C" w:rsidRPr="005973DE" w:rsidRDefault="00A26D7C" w:rsidP="00A26D7C">
            <w:pPr>
              <w:spacing w:before="120" w:after="120"/>
              <w:jc w:val="both"/>
              <w:rPr>
                <w:rFonts w:asciiTheme="minorHAnsi" w:hAnsiTheme="minorHAnsi" w:cs="Arial"/>
              </w:rPr>
            </w:pPr>
            <w:r w:rsidRPr="005973DE">
              <w:rPr>
                <w:rFonts w:asciiTheme="minorHAnsi" w:hAnsiTheme="minorHAnsi" w:cs="Arial"/>
              </w:rPr>
              <w:t>Target contract commencement date</w:t>
            </w:r>
          </w:p>
        </w:tc>
        <w:tc>
          <w:tcPr>
            <w:tcW w:w="1905" w:type="pct"/>
          </w:tcPr>
          <w:p w14:paraId="2ADB8C39" w14:textId="77777777" w:rsidR="00A26D7C" w:rsidRPr="005973DE" w:rsidRDefault="00A26D7C" w:rsidP="00A26D7C">
            <w:pPr>
              <w:spacing w:before="120" w:after="120"/>
              <w:rPr>
                <w:rFonts w:asciiTheme="minorHAnsi" w:hAnsiTheme="minorHAnsi" w:cs="Arial"/>
              </w:rPr>
            </w:pPr>
            <w:r>
              <w:rPr>
                <w:rFonts w:asciiTheme="minorHAnsi" w:hAnsiTheme="minorHAnsi" w:cs="Arial"/>
              </w:rPr>
              <w:t>W/C 21 JAN</w:t>
            </w:r>
            <w:r w:rsidRPr="005973DE">
              <w:rPr>
                <w:rFonts w:asciiTheme="minorHAnsi" w:hAnsiTheme="minorHAnsi" w:cs="Arial"/>
              </w:rPr>
              <w:t xml:space="preserve"> 201</w:t>
            </w:r>
            <w:r>
              <w:rPr>
                <w:rFonts w:asciiTheme="minorHAnsi" w:hAnsiTheme="minorHAnsi" w:cs="Arial"/>
              </w:rPr>
              <w:t>9</w:t>
            </w:r>
          </w:p>
        </w:tc>
      </w:tr>
      <w:bookmarkEnd w:id="2"/>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lastRenderedPageBreak/>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your business is a registered company, charity or any other registered organisation (including limited, non-limited or Industrial and Provident Society), please state your </w:t>
      </w:r>
      <w:r w:rsidRPr="0072709F">
        <w:rPr>
          <w:rFonts w:asciiTheme="minorHAnsi" w:eastAsia="Times New Roman" w:hAnsiTheme="minorHAnsi" w:cs="Arial"/>
          <w:lang w:eastAsia="en-GB"/>
        </w:rPr>
        <w:lastRenderedPageBreak/>
        <w:t>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755C68CC" w:rsidR="00036276" w:rsidRDefault="000140D4" w:rsidP="00036276">
      <w:pPr>
        <w:pStyle w:val="Heading1"/>
        <w:numPr>
          <w:ilvl w:val="0"/>
          <w:numId w:val="0"/>
        </w:numPr>
      </w:pPr>
      <w:r>
        <w:lastRenderedPageBreak/>
        <w:t xml:space="preserve">7.0 TENDER EVALUATION </w:t>
      </w:r>
      <w:r w:rsidRPr="00E52B87">
        <w:t>(</w:t>
      </w:r>
      <w:r>
        <w:t>SELECTION CRITERIA</w:t>
      </w:r>
      <w:r w:rsidR="00A26D7C">
        <w:t>)</w:t>
      </w:r>
    </w:p>
    <w:tbl>
      <w:tblPr>
        <w:tblStyle w:val="TableGrid"/>
        <w:tblW w:w="5423"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5"/>
        <w:gridCol w:w="5051"/>
        <w:gridCol w:w="7682"/>
      </w:tblGrid>
      <w:tr w:rsidR="00A26D7C" w:rsidRPr="005973DE" w14:paraId="08771457" w14:textId="77777777" w:rsidTr="00A26D7C">
        <w:trPr>
          <w:trHeight w:val="49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148D17" w14:textId="77777777" w:rsidR="00A26D7C" w:rsidRPr="005973DE" w:rsidRDefault="00A26D7C" w:rsidP="00A26D7C">
            <w:pPr>
              <w:spacing w:after="120"/>
              <w:rPr>
                <w:rFonts w:asciiTheme="minorHAnsi" w:hAnsiTheme="minorHAnsi" w:cs="Arial"/>
                <w:b/>
                <w:sz w:val="21"/>
                <w:szCs w:val="21"/>
              </w:rPr>
            </w:pPr>
            <w:r w:rsidRPr="005973DE">
              <w:rPr>
                <w:rFonts w:asciiTheme="minorHAnsi" w:hAnsiTheme="minorHAnsi" w:cs="Arial"/>
                <w:b/>
                <w:sz w:val="21"/>
                <w:szCs w:val="21"/>
              </w:rPr>
              <w:t>Heading</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75A545" w14:textId="77777777" w:rsidR="00A26D7C" w:rsidRPr="005973DE" w:rsidRDefault="00A26D7C" w:rsidP="00A26D7C">
            <w:pPr>
              <w:spacing w:after="120"/>
              <w:rPr>
                <w:rFonts w:asciiTheme="minorHAnsi" w:hAnsiTheme="minorHAnsi" w:cs="Arial"/>
                <w:b/>
                <w:sz w:val="21"/>
                <w:szCs w:val="21"/>
              </w:rPr>
            </w:pPr>
            <w:r w:rsidRPr="005973DE">
              <w:rPr>
                <w:rFonts w:asciiTheme="minorHAnsi" w:hAnsiTheme="minorHAnsi" w:cs="Arial"/>
                <w:b/>
                <w:sz w:val="21"/>
                <w:szCs w:val="21"/>
              </w:rPr>
              <w:t>Specific question(s)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51E97C" w14:textId="77777777" w:rsidR="00A26D7C" w:rsidRPr="005973DE" w:rsidRDefault="00A26D7C" w:rsidP="00A26D7C">
            <w:pPr>
              <w:spacing w:after="120"/>
              <w:rPr>
                <w:rFonts w:asciiTheme="minorHAnsi" w:hAnsiTheme="minorHAnsi" w:cs="Arial"/>
                <w:b/>
                <w:sz w:val="21"/>
                <w:szCs w:val="21"/>
              </w:rPr>
            </w:pPr>
            <w:r w:rsidRPr="005973DE">
              <w:rPr>
                <w:rFonts w:asciiTheme="minorHAnsi" w:hAnsiTheme="minorHAnsi" w:cs="Arial"/>
                <w:b/>
                <w:sz w:val="21"/>
                <w:szCs w:val="21"/>
              </w:rPr>
              <w:t>Evaluation Criteria</w:t>
            </w:r>
          </w:p>
        </w:tc>
      </w:tr>
      <w:tr w:rsidR="00A26D7C" w:rsidRPr="005973DE" w14:paraId="59B5E9A4" w14:textId="77777777" w:rsidTr="00A26D7C">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3FC5C" w14:textId="77777777" w:rsidR="00A26D7C" w:rsidRPr="005973DE" w:rsidRDefault="00A26D7C" w:rsidP="00A26D7C">
            <w:pPr>
              <w:spacing w:after="120"/>
              <w:rPr>
                <w:rFonts w:asciiTheme="minorHAnsi" w:hAnsiTheme="minorHAnsi" w:cs="Arial"/>
                <w:sz w:val="20"/>
                <w:szCs w:val="21"/>
              </w:rPr>
            </w:pPr>
            <w:r w:rsidRPr="005973DE">
              <w:rPr>
                <w:rFonts w:asciiTheme="minorHAnsi" w:hAnsiTheme="minorHAnsi" w:cs="Arial"/>
                <w:sz w:val="20"/>
                <w:szCs w:val="21"/>
              </w:rPr>
              <w:t>S</w:t>
            </w:r>
            <w:r>
              <w:rPr>
                <w:rFonts w:asciiTheme="minorHAnsi" w:hAnsiTheme="minorHAnsi" w:cs="Arial"/>
                <w:sz w:val="20"/>
                <w:szCs w:val="21"/>
              </w:rPr>
              <w:t>1</w:t>
            </w:r>
            <w:r w:rsidRPr="005973DE">
              <w:rPr>
                <w:rFonts w:asciiTheme="minorHAnsi" w:hAnsiTheme="minorHAnsi" w:cs="Arial"/>
                <w:sz w:val="20"/>
                <w:szCs w:val="21"/>
              </w:rPr>
              <w:t xml:space="preserve"> Experience of the supplier in </w:t>
            </w:r>
            <w:r>
              <w:rPr>
                <w:rFonts w:asciiTheme="minorHAnsi" w:hAnsiTheme="minorHAnsi" w:cs="Arial"/>
                <w:sz w:val="20"/>
                <w:szCs w:val="21"/>
              </w:rPr>
              <w:t>audibility testing and analysis</w:t>
            </w:r>
            <w:r w:rsidRPr="005973DE">
              <w:rPr>
                <w:rFonts w:asciiTheme="minorHAnsi" w:hAnsiTheme="minorHAnsi" w:cs="Arial"/>
                <w:sz w:val="20"/>
                <w:szCs w:val="21"/>
              </w:rPr>
              <w:t xml:space="preserve">.   </w:t>
            </w:r>
          </w:p>
          <w:p w14:paraId="40053C73" w14:textId="77777777" w:rsidR="00A26D7C" w:rsidRPr="005973DE" w:rsidRDefault="00A26D7C" w:rsidP="00A26D7C">
            <w:pPr>
              <w:spacing w:after="120"/>
              <w:rPr>
                <w:rFonts w:asciiTheme="minorHAnsi" w:hAnsiTheme="minorHAnsi" w:cs="Arial"/>
                <w:sz w:val="20"/>
                <w:szCs w:val="21"/>
              </w:rPr>
            </w:pPr>
            <w:r w:rsidRPr="005973DE">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ECD841" w14:textId="77777777" w:rsidR="00A26D7C" w:rsidRPr="005973DE" w:rsidRDefault="00A26D7C" w:rsidP="00A26D7C">
            <w:pPr>
              <w:spacing w:after="120"/>
              <w:rPr>
                <w:rFonts w:asciiTheme="minorHAnsi" w:hAnsiTheme="minorHAnsi" w:cs="Arial"/>
                <w:sz w:val="20"/>
                <w:szCs w:val="21"/>
              </w:rPr>
            </w:pPr>
            <w:r w:rsidRPr="005973DE">
              <w:rPr>
                <w:rFonts w:asciiTheme="minorHAnsi" w:hAnsiTheme="minorHAnsi" w:cs="Arial"/>
                <w:sz w:val="20"/>
                <w:szCs w:val="21"/>
              </w:rPr>
              <w:t xml:space="preserve">Could you provide a short description of two projects involving </w:t>
            </w:r>
            <w:r w:rsidRPr="000203BB">
              <w:rPr>
                <w:rFonts w:asciiTheme="minorHAnsi" w:hAnsiTheme="minorHAnsi" w:cs="Arial"/>
                <w:sz w:val="20"/>
                <w:szCs w:val="21"/>
              </w:rPr>
              <w:t>audibility testing</w:t>
            </w:r>
            <w:r>
              <w:rPr>
                <w:rFonts w:asciiTheme="minorHAnsi" w:hAnsiTheme="minorHAnsi" w:cs="Arial"/>
                <w:sz w:val="20"/>
                <w:szCs w:val="21"/>
              </w:rPr>
              <w:t xml:space="preserve"> and analysis</w:t>
            </w:r>
            <w:r w:rsidRPr="005973DE">
              <w:rPr>
                <w:rFonts w:asciiTheme="minorHAnsi" w:hAnsiTheme="minorHAnsi" w:cs="Arial"/>
                <w:sz w:val="20"/>
                <w:szCs w:val="21"/>
              </w:rPr>
              <w:t xml:space="preserve">, that you have delivered to clients over the last </w:t>
            </w:r>
            <w:r>
              <w:rPr>
                <w:rFonts w:asciiTheme="minorHAnsi" w:hAnsiTheme="minorHAnsi" w:cs="Arial"/>
                <w:sz w:val="20"/>
                <w:szCs w:val="21"/>
              </w:rPr>
              <w:t>three</w:t>
            </w:r>
            <w:r w:rsidRPr="005973DE">
              <w:rPr>
                <w:rFonts w:asciiTheme="minorHAnsi" w:hAnsiTheme="minorHAnsi" w:cs="Arial"/>
                <w:sz w:val="20"/>
                <w:szCs w:val="21"/>
              </w:rPr>
              <w:t xml:space="preserve"> years?  Please provide 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30EC3C" w14:textId="77777777" w:rsidR="00A26D7C" w:rsidRPr="005973DE" w:rsidRDefault="00A26D7C" w:rsidP="00A26D7C">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xml:space="preserve">: The tenderer </w:t>
            </w:r>
            <w:r>
              <w:rPr>
                <w:rFonts w:asciiTheme="minorHAnsi" w:hAnsiTheme="minorHAnsi" w:cs="Arial"/>
                <w:sz w:val="20"/>
                <w:szCs w:val="21"/>
              </w:rPr>
              <w:t xml:space="preserve">provides a short description of at least two projects involving audibility testing and analysis, that the tenderer has delivered to its clients over the last three years. Further, the tenderer provides a short explanation as to “Why?” its referenced projects are relevant to RSSB’s needs. Additionally, through the above this provides </w:t>
            </w:r>
            <w:r w:rsidRPr="005973DE">
              <w:rPr>
                <w:rFonts w:asciiTheme="minorHAnsi" w:hAnsiTheme="minorHAnsi" w:cs="Arial"/>
                <w:sz w:val="20"/>
                <w:szCs w:val="21"/>
              </w:rPr>
              <w:t xml:space="preserve">RSSB with a strong degree of confidence in its experience involving </w:t>
            </w:r>
            <w:r w:rsidRPr="000203BB">
              <w:rPr>
                <w:rFonts w:asciiTheme="minorHAnsi" w:hAnsiTheme="minorHAnsi" w:cs="Arial"/>
                <w:sz w:val="20"/>
                <w:szCs w:val="21"/>
              </w:rPr>
              <w:t>audibility testing and analysis</w:t>
            </w:r>
            <w:r w:rsidRPr="005973DE">
              <w:rPr>
                <w:rFonts w:asciiTheme="minorHAnsi" w:hAnsiTheme="minorHAnsi" w:cs="Arial"/>
                <w:sz w:val="20"/>
                <w:szCs w:val="21"/>
              </w:rPr>
              <w:t xml:space="preserve">. </w:t>
            </w:r>
          </w:p>
          <w:p w14:paraId="7FE3A398" w14:textId="77777777" w:rsidR="00A26D7C" w:rsidRDefault="00A26D7C" w:rsidP="00A26D7C">
            <w:pPr>
              <w:spacing w:after="120"/>
              <w:rPr>
                <w:rFonts w:asciiTheme="minorHAnsi" w:hAnsiTheme="minorHAnsi" w:cs="Arial"/>
                <w:sz w:val="20"/>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xml:space="preserve">: The tenderer either fails to provide </w:t>
            </w:r>
            <w:r>
              <w:rPr>
                <w:rFonts w:asciiTheme="minorHAnsi" w:hAnsiTheme="minorHAnsi" w:cs="Arial"/>
                <w:sz w:val="20"/>
                <w:szCs w:val="21"/>
              </w:rPr>
              <w:t>a short description of two projects involving audibility testing and analysis that the tenderer has delivered to clients over the last three years or fails to provide a short explanation as to “Why?” the referenced projects are relevant to RSSB’s needs or</w:t>
            </w:r>
            <w:r w:rsidRPr="005973DE">
              <w:rPr>
                <w:rFonts w:asciiTheme="minorHAnsi" w:hAnsiTheme="minorHAnsi" w:cs="Arial"/>
                <w:sz w:val="20"/>
                <w:szCs w:val="21"/>
              </w:rPr>
              <w:t xml:space="preserve"> fails to provide RSSB with sufficient confidence in its experience of delivering projects involving </w:t>
            </w:r>
            <w:r w:rsidRPr="000203BB">
              <w:rPr>
                <w:rFonts w:asciiTheme="minorHAnsi" w:hAnsiTheme="minorHAnsi" w:cs="Arial"/>
                <w:sz w:val="20"/>
                <w:szCs w:val="21"/>
              </w:rPr>
              <w:t>audibility testing and analysis</w:t>
            </w:r>
            <w:r w:rsidRPr="005973DE">
              <w:rPr>
                <w:rFonts w:asciiTheme="minorHAnsi" w:hAnsiTheme="minorHAnsi" w:cs="Arial"/>
                <w:sz w:val="20"/>
                <w:szCs w:val="21"/>
              </w:rPr>
              <w:t xml:space="preserve">. </w:t>
            </w:r>
          </w:p>
          <w:p w14:paraId="5B07EA57" w14:textId="77777777" w:rsidR="00A26D7C" w:rsidRPr="00CE6507" w:rsidRDefault="00A26D7C" w:rsidP="00A26D7C">
            <w:pPr>
              <w:spacing w:after="120"/>
              <w:rPr>
                <w:rFonts w:asciiTheme="minorHAnsi" w:hAnsiTheme="minorHAnsi" w:cs="Arial"/>
                <w:sz w:val="20"/>
                <w:szCs w:val="21"/>
              </w:rPr>
            </w:pPr>
            <w:r w:rsidRPr="00CE6507">
              <w:rPr>
                <w:rFonts w:asciiTheme="minorHAnsi" w:hAnsiTheme="minorHAnsi" w:cs="Arial"/>
                <w:b/>
                <w:sz w:val="20"/>
                <w:szCs w:val="21"/>
              </w:rPr>
              <w:t>Note:</w:t>
            </w:r>
            <w:r>
              <w:rPr>
                <w:rFonts w:asciiTheme="minorHAnsi" w:hAnsiTheme="minorHAnsi" w:cs="Arial"/>
                <w:sz w:val="20"/>
                <w:szCs w:val="21"/>
              </w:rPr>
              <w:t xml:space="preserve"> Should a “Fail” mark be given at this stage the tenderers bid will not be taken any further and the rest of the bid will not be evaluated.</w:t>
            </w:r>
          </w:p>
        </w:tc>
      </w:tr>
      <w:tr w:rsidR="00A26D7C" w:rsidRPr="005973DE" w14:paraId="3E180174" w14:textId="77777777" w:rsidTr="00A26D7C">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110D8" w14:textId="77777777" w:rsidR="00A26D7C" w:rsidRPr="005973DE" w:rsidRDefault="00A26D7C" w:rsidP="00A26D7C">
            <w:pPr>
              <w:spacing w:after="120"/>
              <w:rPr>
                <w:rFonts w:asciiTheme="minorHAnsi" w:hAnsiTheme="minorHAnsi" w:cs="Arial"/>
                <w:sz w:val="20"/>
                <w:szCs w:val="21"/>
              </w:rPr>
            </w:pPr>
            <w:r w:rsidRPr="005973DE">
              <w:rPr>
                <w:rFonts w:asciiTheme="minorHAnsi" w:hAnsiTheme="minorHAnsi" w:cs="Arial"/>
                <w:sz w:val="20"/>
                <w:szCs w:val="21"/>
              </w:rPr>
              <w:t>S</w:t>
            </w:r>
            <w:r>
              <w:rPr>
                <w:rFonts w:asciiTheme="minorHAnsi" w:hAnsiTheme="minorHAnsi" w:cs="Arial"/>
                <w:sz w:val="20"/>
                <w:szCs w:val="21"/>
              </w:rPr>
              <w:t>2</w:t>
            </w:r>
            <w:r w:rsidRPr="005973DE">
              <w:rPr>
                <w:rFonts w:asciiTheme="minorHAnsi" w:hAnsiTheme="minorHAnsi" w:cs="Arial"/>
                <w:sz w:val="20"/>
                <w:szCs w:val="21"/>
              </w:rPr>
              <w:t xml:space="preserve"> Strengths and key points of proposal</w:t>
            </w:r>
          </w:p>
          <w:p w14:paraId="19800743" w14:textId="77777777" w:rsidR="00A26D7C" w:rsidRPr="005973DE" w:rsidRDefault="00A26D7C" w:rsidP="00A26D7C">
            <w:pPr>
              <w:spacing w:after="120"/>
              <w:rPr>
                <w:rFonts w:asciiTheme="minorHAnsi" w:hAnsiTheme="minorHAnsi" w:cs="Arial"/>
                <w:sz w:val="21"/>
                <w:szCs w:val="21"/>
              </w:rPr>
            </w:pPr>
            <w:r w:rsidRPr="005973DE">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A3522E" w14:textId="77777777" w:rsidR="00A26D7C" w:rsidRPr="005973DE" w:rsidRDefault="00A26D7C" w:rsidP="00A26D7C">
            <w:pPr>
              <w:spacing w:after="120"/>
              <w:rPr>
                <w:rFonts w:asciiTheme="minorHAnsi" w:hAnsiTheme="minorHAnsi" w:cs="Arial"/>
                <w:sz w:val="21"/>
                <w:szCs w:val="21"/>
              </w:rPr>
            </w:pPr>
            <w:r w:rsidRPr="005973DE">
              <w:rPr>
                <w:rFonts w:asciiTheme="minorHAnsi" w:hAnsiTheme="minorHAnsi" w:cs="Arial"/>
                <w:sz w:val="20"/>
                <w:szCs w:val="21"/>
              </w:rPr>
              <w:t>Could you provide a short description a summary of the strengths and key points of the proposal?</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49B6F" w14:textId="77777777" w:rsidR="00A26D7C" w:rsidRPr="005973DE" w:rsidRDefault="00A26D7C" w:rsidP="00A26D7C">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The tenderer provides RSSB with a 1-page summary of the strengths and key points of their proposal</w:t>
            </w:r>
          </w:p>
          <w:p w14:paraId="3B1BBA4E" w14:textId="77777777" w:rsidR="00A26D7C" w:rsidRDefault="00A26D7C" w:rsidP="00A26D7C">
            <w:pPr>
              <w:spacing w:after="120"/>
              <w:rPr>
                <w:rFonts w:asciiTheme="minorHAnsi" w:hAnsiTheme="minorHAnsi" w:cs="Arial"/>
                <w:sz w:val="20"/>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The tenderer does not provide RSSB with a 1-page summary of the strengths and key points of their proposal</w:t>
            </w:r>
          </w:p>
          <w:p w14:paraId="31C71907" w14:textId="77777777" w:rsidR="00A26D7C" w:rsidRPr="005973DE" w:rsidRDefault="00A26D7C" w:rsidP="00A26D7C">
            <w:pPr>
              <w:spacing w:after="120"/>
              <w:rPr>
                <w:rFonts w:asciiTheme="minorHAnsi" w:hAnsiTheme="minorHAnsi" w:cs="Arial"/>
                <w:color w:val="00B050"/>
                <w:sz w:val="21"/>
                <w:szCs w:val="21"/>
              </w:rPr>
            </w:pPr>
            <w:r w:rsidRPr="00CE6507">
              <w:rPr>
                <w:rFonts w:asciiTheme="minorHAnsi" w:hAnsiTheme="minorHAnsi" w:cs="Arial"/>
                <w:b/>
                <w:sz w:val="20"/>
                <w:szCs w:val="21"/>
              </w:rPr>
              <w:t>Note:</w:t>
            </w:r>
            <w:r>
              <w:rPr>
                <w:rFonts w:asciiTheme="minorHAnsi" w:hAnsiTheme="minorHAnsi" w:cs="Arial"/>
                <w:sz w:val="20"/>
                <w:szCs w:val="21"/>
              </w:rPr>
              <w:t xml:space="preserve"> Should a “Fail” mark be given at this stage the tenderers bid will not be taken any further and the rest of the bid will not be evaluated.</w:t>
            </w:r>
          </w:p>
        </w:tc>
      </w:tr>
    </w:tbl>
    <w:p w14:paraId="752D409C" w14:textId="77777777" w:rsidR="00A26D7C" w:rsidRPr="00A26D7C" w:rsidRDefault="00A26D7C" w:rsidP="00A26D7C">
      <w:pPr>
        <w:pStyle w:val="Body"/>
      </w:pPr>
    </w:p>
    <w:p w14:paraId="5D4EE8D8" w14:textId="77777777" w:rsidR="000E1C02" w:rsidRPr="000E1C02" w:rsidRDefault="000E1C02" w:rsidP="000E1C02">
      <w:pPr>
        <w:pStyle w:val="Body"/>
      </w:pPr>
    </w:p>
    <w:p w14:paraId="0144D30D" w14:textId="0D9F6F33" w:rsidR="006D1C93" w:rsidRDefault="006D1C93" w:rsidP="006D1C93">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75B6BCCA"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21"/>
        <w:gridCol w:w="3626"/>
        <w:gridCol w:w="3247"/>
        <w:gridCol w:w="819"/>
      </w:tblGrid>
      <w:tr w:rsidR="00A26D7C" w:rsidRPr="005973DE" w14:paraId="731E4AF8" w14:textId="77777777" w:rsidTr="00A26D7C">
        <w:trPr>
          <w:trHeight w:val="45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CF6B23" w14:textId="77777777" w:rsidR="00A26D7C" w:rsidRPr="005973DE" w:rsidRDefault="00A26D7C" w:rsidP="00A26D7C">
            <w:pPr>
              <w:spacing w:after="120"/>
              <w:rPr>
                <w:rFonts w:asciiTheme="minorHAnsi" w:hAnsiTheme="minorHAnsi" w:cs="Arial"/>
                <w:b/>
                <w:sz w:val="20"/>
                <w:szCs w:val="20"/>
              </w:rPr>
            </w:pPr>
            <w:r w:rsidRPr="005973DE">
              <w:rPr>
                <w:rFonts w:asciiTheme="minorHAnsi" w:hAnsiTheme="minorHAnsi" w:cs="Arial"/>
                <w:b/>
                <w:sz w:val="20"/>
                <w:szCs w:val="20"/>
              </w:rPr>
              <w:t>Heading</w:t>
            </w:r>
          </w:p>
        </w:tc>
        <w:tc>
          <w:tcPr>
            <w:tcW w:w="21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4E1AEC" w14:textId="77777777" w:rsidR="00A26D7C" w:rsidRPr="005973DE" w:rsidRDefault="00A26D7C" w:rsidP="00A26D7C">
            <w:pPr>
              <w:spacing w:after="120"/>
              <w:rPr>
                <w:rFonts w:asciiTheme="minorHAnsi" w:hAnsiTheme="minorHAnsi" w:cs="Arial"/>
                <w:b/>
                <w:sz w:val="20"/>
                <w:szCs w:val="20"/>
              </w:rPr>
            </w:pPr>
            <w:r w:rsidRPr="005973DE">
              <w:rPr>
                <w:rFonts w:asciiTheme="minorHAnsi" w:hAnsiTheme="minorHAnsi" w:cs="Arial"/>
                <w:b/>
                <w:sz w:val="20"/>
                <w:szCs w:val="20"/>
              </w:rPr>
              <w:t>Specific question(s)</w:t>
            </w:r>
          </w:p>
        </w:tc>
        <w:tc>
          <w:tcPr>
            <w:tcW w:w="19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6B974A" w14:textId="77777777" w:rsidR="00A26D7C" w:rsidRPr="005973DE" w:rsidRDefault="00A26D7C" w:rsidP="00A26D7C">
            <w:pPr>
              <w:spacing w:after="120"/>
              <w:rPr>
                <w:rFonts w:asciiTheme="minorHAnsi" w:hAnsiTheme="minorHAnsi" w:cs="Arial"/>
                <w:b/>
                <w:sz w:val="20"/>
                <w:szCs w:val="20"/>
              </w:rPr>
            </w:pPr>
            <w:r w:rsidRPr="005973DE">
              <w:rPr>
                <w:rFonts w:asciiTheme="minorHAnsi" w:hAnsiTheme="minorHAnsi" w:cs="Arial"/>
                <w:b/>
                <w:sz w:val="20"/>
                <w:szCs w:val="20"/>
              </w:rPr>
              <w:t>Evaluation Criteria</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97DDA2" w14:textId="77777777" w:rsidR="00A26D7C" w:rsidRPr="005973DE" w:rsidRDefault="00A26D7C" w:rsidP="00A26D7C">
            <w:pPr>
              <w:spacing w:after="120"/>
              <w:rPr>
                <w:rFonts w:asciiTheme="minorHAnsi" w:hAnsiTheme="minorHAnsi" w:cs="Arial"/>
                <w:b/>
                <w:sz w:val="20"/>
                <w:szCs w:val="20"/>
              </w:rPr>
            </w:pPr>
            <w:r w:rsidRPr="005973DE">
              <w:rPr>
                <w:rFonts w:asciiTheme="minorHAnsi" w:hAnsiTheme="minorHAnsi" w:cs="Arial"/>
                <w:b/>
                <w:sz w:val="20"/>
                <w:szCs w:val="20"/>
              </w:rPr>
              <w:t xml:space="preserve">Weight </w:t>
            </w:r>
          </w:p>
        </w:tc>
      </w:tr>
      <w:tr w:rsidR="00A26D7C" w:rsidRPr="005973DE" w14:paraId="61792466" w14:textId="77777777" w:rsidTr="00A26D7C">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2EF1FE"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 xml:space="preserve">A1 Robust methodology and ability to apply it to client’s needs. </w:t>
            </w:r>
          </w:p>
          <w:p w14:paraId="60069EAC"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4</w:t>
            </w:r>
            <w:r w:rsidRPr="005973DE">
              <w:rPr>
                <w:rFonts w:asciiTheme="minorHAnsi" w:hAnsiTheme="minorHAnsi" w:cs="Arial"/>
                <w:sz w:val="20"/>
                <w:szCs w:val="20"/>
              </w:rPr>
              <w:t xml:space="preserve"> pages] </w:t>
            </w:r>
          </w:p>
        </w:tc>
        <w:tc>
          <w:tcPr>
            <w:tcW w:w="21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0220FF" w14:textId="77777777" w:rsidR="00A26D7C" w:rsidRPr="005973DE" w:rsidRDefault="00A26D7C" w:rsidP="00A26D7C">
            <w:pPr>
              <w:spacing w:after="120"/>
              <w:rPr>
                <w:rFonts w:asciiTheme="minorHAnsi" w:hAnsiTheme="minorHAnsi" w:cs="Arial"/>
                <w:sz w:val="20"/>
                <w:szCs w:val="20"/>
                <w:lang w:eastAsia="en-GB"/>
              </w:rPr>
            </w:pPr>
            <w:r w:rsidRPr="005973DE">
              <w:rPr>
                <w:rFonts w:asciiTheme="minorHAnsi" w:hAnsiTheme="minorHAnsi" w:cs="Arial"/>
                <w:sz w:val="20"/>
                <w:szCs w:val="20"/>
                <w:lang w:eastAsia="en-GB"/>
              </w:rPr>
              <w:t xml:space="preserve">The tenderer provides a method statement of how it is intended to </w:t>
            </w:r>
            <w:r w:rsidRPr="005973DE">
              <w:rPr>
                <w:rFonts w:asciiTheme="minorHAnsi" w:hAnsiTheme="minorHAnsi" w:cs="Arial"/>
                <w:sz w:val="20"/>
                <w:szCs w:val="20"/>
              </w:rPr>
              <w:t xml:space="preserve">deliver against </w:t>
            </w:r>
            <w:r w:rsidRPr="005973DE">
              <w:rPr>
                <w:rFonts w:asciiTheme="minorHAnsi" w:hAnsiTheme="minorHAnsi" w:cs="Arial"/>
                <w:sz w:val="20"/>
                <w:szCs w:val="20"/>
                <w:lang w:eastAsia="en-GB"/>
              </w:rPr>
              <w:t xml:space="preserve">all aspects of the work package objectives </w:t>
            </w:r>
            <w:r>
              <w:rPr>
                <w:rFonts w:asciiTheme="minorHAnsi" w:hAnsiTheme="minorHAnsi" w:cs="Arial"/>
                <w:sz w:val="20"/>
                <w:szCs w:val="20"/>
                <w:lang w:eastAsia="en-GB"/>
              </w:rPr>
              <w:t xml:space="preserve">and scope </w:t>
            </w:r>
            <w:r w:rsidRPr="005973DE">
              <w:rPr>
                <w:rFonts w:asciiTheme="minorHAnsi" w:hAnsiTheme="minorHAnsi" w:cs="Arial"/>
                <w:sz w:val="20"/>
                <w:szCs w:val="20"/>
                <w:lang w:eastAsia="en-GB"/>
              </w:rPr>
              <w:t xml:space="preserve">of this work.    </w:t>
            </w:r>
          </w:p>
          <w:p w14:paraId="61B8C1C8" w14:textId="77777777" w:rsidR="00A26D7C" w:rsidRPr="00B96E96" w:rsidRDefault="00A26D7C" w:rsidP="00A26D7C">
            <w:pPr>
              <w:pStyle w:val="ListParagraph"/>
              <w:numPr>
                <w:ilvl w:val="0"/>
                <w:numId w:val="59"/>
              </w:numPr>
              <w:spacing w:after="120"/>
              <w:rPr>
                <w:rFonts w:asciiTheme="minorHAnsi" w:hAnsiTheme="minorHAnsi"/>
                <w:sz w:val="20"/>
                <w:szCs w:val="20"/>
              </w:rPr>
            </w:pPr>
            <w:r w:rsidRPr="00B96E96">
              <w:rPr>
                <w:rFonts w:asciiTheme="minorHAnsi" w:hAnsiTheme="minorHAnsi"/>
                <w:sz w:val="20"/>
                <w:szCs w:val="20"/>
              </w:rPr>
              <w:t>What is the methodology the supplier intends to implement to test and analyse the effectiveness of detonator</w:t>
            </w:r>
            <w:r>
              <w:rPr>
                <w:rFonts w:asciiTheme="minorHAnsi" w:hAnsiTheme="minorHAnsi"/>
                <w:sz w:val="20"/>
                <w:szCs w:val="20"/>
              </w:rPr>
              <w:t>s</w:t>
            </w:r>
            <w:r w:rsidRPr="00B96E96">
              <w:rPr>
                <w:rFonts w:asciiTheme="minorHAnsi" w:hAnsiTheme="minorHAnsi"/>
                <w:sz w:val="20"/>
                <w:szCs w:val="20"/>
              </w:rPr>
              <w:t xml:space="preserve">? </w:t>
            </w:r>
          </w:p>
          <w:p w14:paraId="07EF0C45" w14:textId="77777777" w:rsidR="00A26D7C" w:rsidRDefault="00A26D7C" w:rsidP="00A26D7C">
            <w:pPr>
              <w:pStyle w:val="ListParagraph"/>
              <w:numPr>
                <w:ilvl w:val="0"/>
                <w:numId w:val="59"/>
              </w:numPr>
              <w:spacing w:after="120"/>
              <w:rPr>
                <w:rFonts w:asciiTheme="minorHAnsi" w:hAnsiTheme="minorHAnsi"/>
                <w:sz w:val="20"/>
                <w:szCs w:val="20"/>
              </w:rPr>
            </w:pPr>
            <w:r>
              <w:rPr>
                <w:rFonts w:asciiTheme="minorHAnsi" w:hAnsiTheme="minorHAnsi"/>
                <w:sz w:val="20"/>
                <w:szCs w:val="20"/>
              </w:rPr>
              <w:t>How will the supplier conduct the field testing?</w:t>
            </w:r>
          </w:p>
          <w:p w14:paraId="78B67B25" w14:textId="77777777" w:rsidR="00A26D7C" w:rsidRPr="005973DE" w:rsidRDefault="00A26D7C" w:rsidP="00A26D7C">
            <w:pPr>
              <w:pStyle w:val="ListParagraph"/>
              <w:numPr>
                <w:ilvl w:val="0"/>
                <w:numId w:val="59"/>
              </w:numPr>
              <w:spacing w:after="120"/>
              <w:rPr>
                <w:rFonts w:asciiTheme="minorHAnsi" w:hAnsiTheme="minorHAnsi"/>
                <w:sz w:val="20"/>
                <w:szCs w:val="20"/>
              </w:rPr>
            </w:pPr>
            <w:r w:rsidRPr="005973DE">
              <w:rPr>
                <w:rFonts w:asciiTheme="minorHAnsi" w:hAnsiTheme="minorHAnsi"/>
                <w:sz w:val="20"/>
                <w:szCs w:val="20"/>
              </w:rPr>
              <w:t>How will the supplier</w:t>
            </w:r>
            <w:r>
              <w:rPr>
                <w:rFonts w:asciiTheme="minorHAnsi" w:hAnsiTheme="minorHAnsi"/>
                <w:sz w:val="20"/>
                <w:szCs w:val="20"/>
              </w:rPr>
              <w:t xml:space="preserve"> i</w:t>
            </w:r>
            <w:r w:rsidRPr="00B96E96">
              <w:rPr>
                <w:rFonts w:asciiTheme="minorHAnsi" w:hAnsiTheme="minorHAnsi"/>
                <w:bCs/>
                <w:sz w:val="20"/>
                <w:szCs w:val="20"/>
              </w:rPr>
              <w:t xml:space="preserve">dentify </w:t>
            </w:r>
            <w:r>
              <w:rPr>
                <w:rFonts w:asciiTheme="minorHAnsi" w:hAnsiTheme="minorHAnsi"/>
                <w:bCs/>
                <w:sz w:val="20"/>
                <w:szCs w:val="20"/>
              </w:rPr>
              <w:t xml:space="preserve">and </w:t>
            </w:r>
            <w:r>
              <w:rPr>
                <w:rFonts w:asciiTheme="minorHAnsi" w:hAnsiTheme="minorHAnsi"/>
                <w:sz w:val="20"/>
                <w:szCs w:val="20"/>
              </w:rPr>
              <w:t xml:space="preserve">model </w:t>
            </w:r>
            <w:r>
              <w:rPr>
                <w:rFonts w:asciiTheme="minorHAnsi" w:hAnsiTheme="minorHAnsi"/>
                <w:bCs/>
                <w:sz w:val="20"/>
                <w:szCs w:val="20"/>
              </w:rPr>
              <w:t>t</w:t>
            </w:r>
            <w:r w:rsidRPr="00B96E96">
              <w:rPr>
                <w:rFonts w:asciiTheme="minorHAnsi" w:hAnsiTheme="minorHAnsi"/>
                <w:bCs/>
                <w:sz w:val="20"/>
                <w:szCs w:val="20"/>
              </w:rPr>
              <w:t>he audibility of detonator</w:t>
            </w:r>
            <w:r>
              <w:rPr>
                <w:rFonts w:asciiTheme="minorHAnsi" w:hAnsiTheme="minorHAnsi"/>
                <w:bCs/>
                <w:sz w:val="20"/>
                <w:szCs w:val="20"/>
              </w:rPr>
              <w:t>s</w:t>
            </w:r>
            <w:r w:rsidRPr="00B96E96">
              <w:rPr>
                <w:rFonts w:asciiTheme="minorHAnsi" w:hAnsiTheme="minorHAnsi"/>
                <w:bCs/>
                <w:sz w:val="20"/>
                <w:szCs w:val="20"/>
              </w:rPr>
              <w:t xml:space="preserve"> </w:t>
            </w:r>
            <w:r>
              <w:rPr>
                <w:rFonts w:asciiTheme="minorHAnsi" w:hAnsiTheme="minorHAnsi"/>
                <w:bCs/>
                <w:sz w:val="20"/>
                <w:szCs w:val="20"/>
              </w:rPr>
              <w:t>across a variety of conditions that influence their audibility</w:t>
            </w:r>
            <w:r w:rsidRPr="005973DE">
              <w:rPr>
                <w:rFonts w:asciiTheme="minorHAnsi" w:hAnsiTheme="minorHAnsi"/>
                <w:sz w:val="20"/>
                <w:szCs w:val="20"/>
              </w:rPr>
              <w:t xml:space="preserve">? </w:t>
            </w:r>
          </w:p>
          <w:p w14:paraId="0B9F309B" w14:textId="77777777" w:rsidR="00A26D7C" w:rsidRPr="00CE1F14" w:rsidRDefault="00A26D7C" w:rsidP="00A26D7C">
            <w:pPr>
              <w:pStyle w:val="ListParagraph"/>
              <w:numPr>
                <w:ilvl w:val="0"/>
                <w:numId w:val="59"/>
              </w:numPr>
              <w:rPr>
                <w:rFonts w:asciiTheme="minorHAnsi" w:hAnsiTheme="minorHAnsi"/>
                <w:sz w:val="20"/>
                <w:szCs w:val="20"/>
              </w:rPr>
            </w:pPr>
            <w:r w:rsidRPr="00B96E96">
              <w:rPr>
                <w:rFonts w:asciiTheme="minorHAnsi" w:hAnsiTheme="minorHAnsi"/>
                <w:sz w:val="20"/>
                <w:szCs w:val="20"/>
              </w:rPr>
              <w:t xml:space="preserve">How will the supplier </w:t>
            </w:r>
            <w:r>
              <w:rPr>
                <w:rFonts w:asciiTheme="minorHAnsi" w:hAnsiTheme="minorHAnsi"/>
                <w:sz w:val="20"/>
                <w:szCs w:val="20"/>
              </w:rPr>
              <w:t>identify the implications of</w:t>
            </w:r>
            <w:r w:rsidRPr="00B96E96">
              <w:rPr>
                <w:rFonts w:asciiTheme="minorHAnsi" w:hAnsiTheme="minorHAnsi"/>
                <w:sz w:val="20"/>
                <w:szCs w:val="20"/>
              </w:rPr>
              <w:t xml:space="preserve"> the findings </w:t>
            </w:r>
            <w:r>
              <w:rPr>
                <w:rFonts w:asciiTheme="minorHAnsi" w:hAnsiTheme="minorHAnsi"/>
                <w:sz w:val="20"/>
                <w:szCs w:val="20"/>
              </w:rPr>
              <w:t>on current expectations and practices</w:t>
            </w:r>
            <w:r w:rsidRPr="00B96E96">
              <w:rPr>
                <w:rFonts w:asciiTheme="minorHAnsi" w:hAnsiTheme="minorHAnsi"/>
                <w:sz w:val="20"/>
                <w:szCs w:val="20"/>
              </w:rPr>
              <w:t>?</w:t>
            </w:r>
          </w:p>
        </w:tc>
        <w:tc>
          <w:tcPr>
            <w:tcW w:w="19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186F04"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The Tenderer’s response:</w:t>
            </w:r>
          </w:p>
          <w:p w14:paraId="4567DBF2" w14:textId="77777777" w:rsidR="00A26D7C" w:rsidRPr="005973DE" w:rsidRDefault="00A26D7C" w:rsidP="00A26D7C">
            <w:pPr>
              <w:pStyle w:val="ListParagraph"/>
              <w:numPr>
                <w:ilvl w:val="0"/>
                <w:numId w:val="57"/>
              </w:numPr>
              <w:spacing w:after="120"/>
              <w:rPr>
                <w:rFonts w:asciiTheme="minorHAnsi" w:hAnsiTheme="minorHAnsi"/>
                <w:sz w:val="20"/>
                <w:szCs w:val="20"/>
              </w:rPr>
            </w:pPr>
            <w:r w:rsidRPr="005973DE">
              <w:rPr>
                <w:rFonts w:asciiTheme="minorHAnsi" w:hAnsiTheme="minorHAnsi"/>
                <w:sz w:val="20"/>
                <w:szCs w:val="20"/>
              </w:rPr>
              <w:t>Demonstrates their understanding of the objectives and provide a coherent and systematic approach to meeting all the objectives</w:t>
            </w:r>
          </w:p>
          <w:p w14:paraId="3C6DB78B" w14:textId="77777777" w:rsidR="00A26D7C" w:rsidRDefault="00A26D7C" w:rsidP="00A26D7C">
            <w:pPr>
              <w:pStyle w:val="ListParagraph"/>
              <w:numPr>
                <w:ilvl w:val="0"/>
                <w:numId w:val="57"/>
              </w:numPr>
              <w:rPr>
                <w:rFonts w:asciiTheme="minorHAnsi" w:hAnsiTheme="minorHAnsi"/>
                <w:sz w:val="20"/>
                <w:szCs w:val="20"/>
              </w:rPr>
            </w:pPr>
            <w:r w:rsidRPr="00B96E96">
              <w:rPr>
                <w:rFonts w:asciiTheme="minorHAnsi" w:hAnsiTheme="minorHAnsi"/>
                <w:sz w:val="20"/>
                <w:szCs w:val="20"/>
              </w:rPr>
              <w:t xml:space="preserve">Proposes a sound, impartial and robust methodology to test and analyse the effectiveness of detonators </w:t>
            </w:r>
          </w:p>
          <w:p w14:paraId="58272729" w14:textId="77777777" w:rsidR="00A26D7C" w:rsidRDefault="00A26D7C" w:rsidP="00A26D7C">
            <w:pPr>
              <w:pStyle w:val="ListParagraph"/>
              <w:numPr>
                <w:ilvl w:val="0"/>
                <w:numId w:val="57"/>
              </w:numPr>
              <w:rPr>
                <w:rFonts w:asciiTheme="minorHAnsi" w:hAnsiTheme="minorHAnsi"/>
                <w:sz w:val="20"/>
                <w:szCs w:val="20"/>
              </w:rPr>
            </w:pPr>
            <w:r>
              <w:rPr>
                <w:rFonts w:asciiTheme="minorHAnsi" w:hAnsiTheme="minorHAnsi"/>
                <w:sz w:val="20"/>
                <w:szCs w:val="20"/>
              </w:rPr>
              <w:t>Identifies</w:t>
            </w:r>
            <w:r w:rsidRPr="00B96E96">
              <w:rPr>
                <w:rFonts w:asciiTheme="minorHAnsi" w:hAnsiTheme="minorHAnsi"/>
                <w:sz w:val="20"/>
                <w:szCs w:val="20"/>
              </w:rPr>
              <w:t xml:space="preserve"> how </w:t>
            </w:r>
            <w:r>
              <w:rPr>
                <w:rFonts w:asciiTheme="minorHAnsi" w:hAnsiTheme="minorHAnsi"/>
                <w:sz w:val="20"/>
                <w:szCs w:val="20"/>
              </w:rPr>
              <w:t>the audibility of detonators will be tested in the field trial, modelled and analysed to identify the effectiveness across a variety of conditions</w:t>
            </w:r>
          </w:p>
          <w:p w14:paraId="71163DA9" w14:textId="77777777" w:rsidR="00A26D7C" w:rsidRPr="005973DE" w:rsidRDefault="00A26D7C" w:rsidP="00A26D7C">
            <w:pPr>
              <w:pStyle w:val="ListParagraph"/>
              <w:numPr>
                <w:ilvl w:val="0"/>
                <w:numId w:val="57"/>
              </w:numPr>
              <w:rPr>
                <w:rFonts w:asciiTheme="minorHAnsi" w:hAnsiTheme="minorHAnsi"/>
                <w:sz w:val="20"/>
                <w:szCs w:val="20"/>
              </w:rPr>
            </w:pPr>
            <w:r>
              <w:rPr>
                <w:rFonts w:asciiTheme="minorHAnsi" w:hAnsiTheme="minorHAnsi"/>
                <w:sz w:val="20"/>
                <w:szCs w:val="20"/>
              </w:rPr>
              <w:t xml:space="preserve">Proposes how the findings will be compared and understood in relation to appropriate regulations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488091"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30%</w:t>
            </w:r>
          </w:p>
        </w:tc>
      </w:tr>
      <w:tr w:rsidR="00A26D7C" w:rsidRPr="005973DE" w14:paraId="60728941" w14:textId="77777777" w:rsidTr="00A26D7C">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64247"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 xml:space="preserve">A2 Knowledge and expertise in subject area </w:t>
            </w:r>
          </w:p>
          <w:p w14:paraId="76D9AD34"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[Max 3 pages]</w:t>
            </w:r>
          </w:p>
        </w:tc>
        <w:tc>
          <w:tcPr>
            <w:tcW w:w="21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D69735" w14:textId="77777777" w:rsidR="00A26D7C" w:rsidRPr="005973DE" w:rsidRDefault="00A26D7C" w:rsidP="00A26D7C">
            <w:pPr>
              <w:spacing w:after="120"/>
              <w:rPr>
                <w:rFonts w:asciiTheme="minorHAnsi" w:hAnsiTheme="minorHAnsi" w:cs="Arial"/>
                <w:sz w:val="20"/>
                <w:szCs w:val="20"/>
              </w:rPr>
            </w:pPr>
            <w:r>
              <w:rPr>
                <w:rFonts w:asciiTheme="minorHAnsi" w:hAnsiTheme="minorHAnsi" w:cs="Arial"/>
                <w:sz w:val="20"/>
                <w:szCs w:val="20"/>
              </w:rPr>
              <w:t>The tenderer d</w:t>
            </w:r>
            <w:r w:rsidRPr="005973DE">
              <w:rPr>
                <w:rFonts w:asciiTheme="minorHAnsi" w:hAnsiTheme="minorHAnsi" w:cs="Arial"/>
                <w:sz w:val="20"/>
                <w:szCs w:val="20"/>
              </w:rPr>
              <w:t>etail</w:t>
            </w:r>
            <w:r>
              <w:rPr>
                <w:rFonts w:asciiTheme="minorHAnsi" w:hAnsiTheme="minorHAnsi" w:cs="Arial"/>
                <w:sz w:val="20"/>
                <w:szCs w:val="20"/>
              </w:rPr>
              <w:t>s</w:t>
            </w:r>
            <w:r w:rsidRPr="005973DE">
              <w:rPr>
                <w:rFonts w:asciiTheme="minorHAnsi" w:hAnsiTheme="minorHAnsi" w:cs="Arial"/>
                <w:sz w:val="20"/>
                <w:szCs w:val="20"/>
              </w:rPr>
              <w:t xml:space="preserve"> the knowledge and expertise of the team who will be undertaking this </w:t>
            </w:r>
            <w:proofErr w:type="gramStart"/>
            <w:r w:rsidRPr="005973DE">
              <w:rPr>
                <w:rFonts w:asciiTheme="minorHAnsi" w:hAnsiTheme="minorHAnsi" w:cs="Arial"/>
                <w:sz w:val="20"/>
                <w:szCs w:val="20"/>
              </w:rPr>
              <w:t xml:space="preserve">work, </w:t>
            </w:r>
            <w:r>
              <w:rPr>
                <w:rFonts w:asciiTheme="minorHAnsi" w:hAnsiTheme="minorHAnsi" w:cs="Arial"/>
                <w:sz w:val="20"/>
                <w:szCs w:val="20"/>
              </w:rPr>
              <w:t>and</w:t>
            </w:r>
            <w:proofErr w:type="gramEnd"/>
            <w:r>
              <w:rPr>
                <w:rFonts w:asciiTheme="minorHAnsi" w:hAnsiTheme="minorHAnsi" w:cs="Arial"/>
                <w:sz w:val="20"/>
                <w:szCs w:val="20"/>
              </w:rPr>
              <w:t xml:space="preserve"> demonstrate their relevance and value for this project</w:t>
            </w:r>
            <w:r w:rsidRPr="005973DE">
              <w:rPr>
                <w:rFonts w:asciiTheme="minorHAnsi" w:hAnsiTheme="minorHAnsi" w:cs="Arial"/>
                <w:sz w:val="20"/>
                <w:szCs w:val="20"/>
              </w:rPr>
              <w:t xml:space="preserve">.  </w:t>
            </w:r>
          </w:p>
          <w:p w14:paraId="1E7394B6" w14:textId="77777777" w:rsidR="00A26D7C" w:rsidRPr="006C1807" w:rsidRDefault="00A26D7C" w:rsidP="00A26D7C">
            <w:pPr>
              <w:pStyle w:val="ListParagraph"/>
              <w:numPr>
                <w:ilvl w:val="0"/>
                <w:numId w:val="61"/>
              </w:numPr>
              <w:spacing w:after="120"/>
              <w:rPr>
                <w:rFonts w:asciiTheme="minorHAnsi" w:hAnsiTheme="minorHAnsi"/>
                <w:sz w:val="20"/>
                <w:szCs w:val="20"/>
              </w:rPr>
            </w:pPr>
            <w:r w:rsidRPr="006C1807">
              <w:rPr>
                <w:rFonts w:asciiTheme="minorHAnsi" w:hAnsiTheme="minorHAnsi"/>
                <w:sz w:val="20"/>
                <w:szCs w:val="20"/>
              </w:rPr>
              <w:t>What expertise does the supplier have in audibility testing and modelling?</w:t>
            </w:r>
          </w:p>
          <w:p w14:paraId="531CD665" w14:textId="77777777" w:rsidR="00A26D7C" w:rsidRDefault="00A26D7C" w:rsidP="00A26D7C">
            <w:pPr>
              <w:pStyle w:val="ListParagraph"/>
              <w:numPr>
                <w:ilvl w:val="0"/>
                <w:numId w:val="61"/>
              </w:numPr>
              <w:spacing w:after="120"/>
              <w:rPr>
                <w:rFonts w:asciiTheme="minorHAnsi" w:hAnsiTheme="minorHAnsi"/>
                <w:sz w:val="20"/>
                <w:szCs w:val="20"/>
              </w:rPr>
            </w:pPr>
            <w:r>
              <w:rPr>
                <w:rFonts w:asciiTheme="minorHAnsi" w:hAnsiTheme="minorHAnsi"/>
                <w:sz w:val="20"/>
                <w:szCs w:val="20"/>
              </w:rPr>
              <w:t>W</w:t>
            </w:r>
            <w:r w:rsidRPr="004155D6">
              <w:rPr>
                <w:rFonts w:asciiTheme="minorHAnsi" w:hAnsiTheme="minorHAnsi"/>
                <w:sz w:val="20"/>
                <w:szCs w:val="20"/>
              </w:rPr>
              <w:t>hat experience does the supplier have in</w:t>
            </w:r>
            <w:r>
              <w:rPr>
                <w:rFonts w:asciiTheme="minorHAnsi" w:hAnsiTheme="minorHAnsi"/>
                <w:sz w:val="20"/>
                <w:szCs w:val="20"/>
              </w:rPr>
              <w:t xml:space="preserve"> undertaking audibility testing</w:t>
            </w:r>
            <w:r w:rsidRPr="004155D6">
              <w:rPr>
                <w:rFonts w:asciiTheme="minorHAnsi" w:hAnsiTheme="minorHAnsi"/>
                <w:sz w:val="20"/>
                <w:szCs w:val="20"/>
              </w:rPr>
              <w:t xml:space="preserve"> field-based</w:t>
            </w:r>
            <w:r>
              <w:rPr>
                <w:rFonts w:asciiTheme="minorHAnsi" w:hAnsiTheme="minorHAnsi"/>
                <w:sz w:val="20"/>
                <w:szCs w:val="20"/>
              </w:rPr>
              <w:t xml:space="preserve"> trials?</w:t>
            </w:r>
          </w:p>
          <w:p w14:paraId="1459B716" w14:textId="77777777" w:rsidR="00A26D7C" w:rsidRPr="006C1807" w:rsidRDefault="00A26D7C" w:rsidP="00A26D7C">
            <w:pPr>
              <w:pStyle w:val="ListParagraph"/>
              <w:numPr>
                <w:ilvl w:val="0"/>
                <w:numId w:val="61"/>
              </w:numPr>
              <w:spacing w:after="120"/>
              <w:rPr>
                <w:rFonts w:asciiTheme="minorHAnsi" w:hAnsiTheme="minorHAnsi"/>
                <w:sz w:val="20"/>
                <w:szCs w:val="20"/>
              </w:rPr>
            </w:pPr>
            <w:r w:rsidRPr="006C1807">
              <w:rPr>
                <w:rFonts w:asciiTheme="minorHAnsi" w:hAnsiTheme="minorHAnsi"/>
                <w:sz w:val="20"/>
                <w:szCs w:val="20"/>
              </w:rPr>
              <w:t>How will the tenderer apply their knowledge, expertise and skills to meet the objectives of this work?</w:t>
            </w:r>
          </w:p>
          <w:p w14:paraId="50D18B07" w14:textId="77777777" w:rsidR="00A26D7C" w:rsidRPr="006C1807" w:rsidRDefault="00A26D7C" w:rsidP="00A26D7C">
            <w:pPr>
              <w:pStyle w:val="ListParagraph"/>
              <w:numPr>
                <w:ilvl w:val="0"/>
                <w:numId w:val="61"/>
              </w:numPr>
              <w:spacing w:after="120"/>
              <w:rPr>
                <w:rFonts w:asciiTheme="minorHAnsi" w:hAnsiTheme="minorHAnsi"/>
                <w:sz w:val="20"/>
                <w:szCs w:val="20"/>
              </w:rPr>
            </w:pPr>
            <w:r w:rsidRPr="006C1807">
              <w:rPr>
                <w:rFonts w:asciiTheme="minorHAnsi" w:hAnsiTheme="minorHAnsi"/>
                <w:sz w:val="20"/>
                <w:szCs w:val="20"/>
              </w:rPr>
              <w:t xml:space="preserve">What </w:t>
            </w:r>
            <w:r>
              <w:rPr>
                <w:rFonts w:asciiTheme="minorHAnsi" w:hAnsiTheme="minorHAnsi"/>
                <w:sz w:val="20"/>
                <w:szCs w:val="20"/>
              </w:rPr>
              <w:t xml:space="preserve">experience does the supplier identify as the specific challenges of operating in the rail environment? </w:t>
            </w:r>
          </w:p>
        </w:tc>
        <w:tc>
          <w:tcPr>
            <w:tcW w:w="19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CF62B0"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The Tenderer’s response includes:</w:t>
            </w:r>
          </w:p>
          <w:p w14:paraId="5C09B6EE" w14:textId="77777777" w:rsidR="00A26D7C" w:rsidRPr="005973DE" w:rsidRDefault="00A26D7C" w:rsidP="00A26D7C">
            <w:pPr>
              <w:pStyle w:val="ListParagraph"/>
              <w:numPr>
                <w:ilvl w:val="0"/>
                <w:numId w:val="57"/>
              </w:numPr>
              <w:spacing w:after="120"/>
              <w:rPr>
                <w:rFonts w:asciiTheme="minorHAnsi" w:hAnsiTheme="minorHAnsi"/>
                <w:sz w:val="20"/>
                <w:szCs w:val="20"/>
              </w:rPr>
            </w:pPr>
            <w:r w:rsidRPr="005973DE">
              <w:rPr>
                <w:rFonts w:asciiTheme="minorHAnsi" w:hAnsiTheme="minorHAnsi"/>
                <w:sz w:val="20"/>
                <w:szCs w:val="20"/>
              </w:rPr>
              <w:t>Evidence of their knowledge and expertise in the subject area</w:t>
            </w:r>
          </w:p>
          <w:p w14:paraId="7BBB9CC0" w14:textId="77777777" w:rsidR="00A26D7C" w:rsidRDefault="00A26D7C" w:rsidP="00A26D7C">
            <w:pPr>
              <w:pStyle w:val="ListParagraph"/>
              <w:numPr>
                <w:ilvl w:val="0"/>
                <w:numId w:val="57"/>
              </w:numPr>
              <w:spacing w:after="120"/>
              <w:rPr>
                <w:rFonts w:asciiTheme="minorHAnsi" w:hAnsiTheme="minorHAnsi"/>
                <w:sz w:val="20"/>
                <w:szCs w:val="20"/>
              </w:rPr>
            </w:pPr>
            <w:r w:rsidRPr="005973DE">
              <w:rPr>
                <w:rFonts w:asciiTheme="minorHAnsi" w:hAnsiTheme="minorHAnsi"/>
                <w:sz w:val="20"/>
                <w:szCs w:val="20"/>
              </w:rPr>
              <w:t>Describes how they will apply their knowledge, expertise, and technical competence to deliver the objectives of this research</w:t>
            </w:r>
          </w:p>
          <w:p w14:paraId="67797F36" w14:textId="77777777" w:rsidR="00A26D7C" w:rsidRPr="00CE1F14" w:rsidRDefault="00A26D7C" w:rsidP="00A26D7C">
            <w:pPr>
              <w:pStyle w:val="ListParagraph"/>
              <w:numPr>
                <w:ilvl w:val="0"/>
                <w:numId w:val="57"/>
              </w:numPr>
              <w:spacing w:after="120"/>
              <w:rPr>
                <w:rFonts w:asciiTheme="minorHAnsi" w:hAnsiTheme="minorHAnsi"/>
                <w:sz w:val="20"/>
                <w:szCs w:val="20"/>
              </w:rPr>
            </w:pPr>
            <w:r w:rsidRPr="005973DE">
              <w:rPr>
                <w:rFonts w:asciiTheme="minorHAnsi" w:hAnsiTheme="minorHAnsi"/>
                <w:sz w:val="20"/>
                <w:szCs w:val="20"/>
              </w:rPr>
              <w:t>Evidence of their technical competence in</w:t>
            </w:r>
            <w:r>
              <w:rPr>
                <w:rFonts w:asciiTheme="minorHAnsi" w:hAnsiTheme="minorHAnsi"/>
                <w:sz w:val="20"/>
                <w:szCs w:val="20"/>
              </w:rPr>
              <w:t xml:space="preserve"> audibility testing, modelling, and</w:t>
            </w:r>
            <w:r w:rsidRPr="005973DE">
              <w:rPr>
                <w:rFonts w:asciiTheme="minorHAnsi" w:hAnsiTheme="minorHAnsi"/>
                <w:sz w:val="20"/>
                <w:szCs w:val="20"/>
              </w:rPr>
              <w:t xml:space="preserve"> </w:t>
            </w:r>
            <w:r w:rsidRPr="00CE1F14">
              <w:rPr>
                <w:rFonts w:asciiTheme="minorHAnsi" w:hAnsiTheme="minorHAnsi"/>
                <w:sz w:val="20"/>
                <w:szCs w:val="20"/>
              </w:rPr>
              <w:t>undertaking field</w:t>
            </w:r>
            <w:r>
              <w:rPr>
                <w:rFonts w:asciiTheme="minorHAnsi" w:hAnsiTheme="minorHAnsi"/>
                <w:sz w:val="20"/>
                <w:szCs w:val="20"/>
              </w:rPr>
              <w:t>-based</w:t>
            </w:r>
            <w:r w:rsidRPr="00CE1F14">
              <w:rPr>
                <w:rFonts w:asciiTheme="minorHAnsi" w:hAnsiTheme="minorHAnsi"/>
                <w:sz w:val="20"/>
                <w:szCs w:val="20"/>
              </w:rPr>
              <w:t xml:space="preserve"> </w:t>
            </w:r>
            <w:r>
              <w:rPr>
                <w:rFonts w:asciiTheme="minorHAnsi" w:hAnsiTheme="minorHAnsi"/>
                <w:sz w:val="20"/>
                <w:szCs w:val="20"/>
              </w:rPr>
              <w:t>trials</w:t>
            </w:r>
            <w:r w:rsidRPr="00CE1F14">
              <w:rPr>
                <w:rFonts w:asciiTheme="minorHAnsi" w:hAnsiTheme="minorHAnsi"/>
                <w:sz w:val="20"/>
                <w:szCs w:val="20"/>
              </w:rPr>
              <w:t xml:space="preserve"> </w:t>
            </w:r>
          </w:p>
          <w:p w14:paraId="3B12386C" w14:textId="77777777" w:rsidR="00A26D7C" w:rsidRPr="005973DE" w:rsidRDefault="00A26D7C" w:rsidP="00A26D7C">
            <w:pPr>
              <w:pStyle w:val="ListParagraph"/>
              <w:numPr>
                <w:ilvl w:val="0"/>
                <w:numId w:val="57"/>
              </w:numPr>
              <w:spacing w:after="120"/>
              <w:rPr>
                <w:rFonts w:asciiTheme="minorHAnsi" w:hAnsiTheme="minorHAnsi"/>
                <w:sz w:val="20"/>
                <w:szCs w:val="20"/>
              </w:rPr>
            </w:pPr>
            <w:r>
              <w:rPr>
                <w:rFonts w:asciiTheme="minorHAnsi" w:hAnsiTheme="minorHAnsi"/>
                <w:sz w:val="20"/>
                <w:szCs w:val="20"/>
              </w:rPr>
              <w:t>Evidence of their understanding of issues specifically applicable in the rail environment</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B6019"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20%</w:t>
            </w:r>
          </w:p>
        </w:tc>
      </w:tr>
      <w:tr w:rsidR="00A26D7C" w:rsidRPr="005973DE" w14:paraId="73EEB400" w14:textId="77777777" w:rsidTr="00A26D7C">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086B37" w14:textId="77777777" w:rsidR="00A26D7C" w:rsidRPr="005973DE" w:rsidRDefault="00A26D7C" w:rsidP="00A26D7C">
            <w:pPr>
              <w:spacing w:after="120"/>
              <w:rPr>
                <w:rFonts w:asciiTheme="minorHAnsi" w:hAnsiTheme="minorHAnsi"/>
                <w:sz w:val="20"/>
                <w:szCs w:val="20"/>
                <w:lang w:eastAsia="en-GB"/>
              </w:rPr>
            </w:pPr>
            <w:r w:rsidRPr="005973DE">
              <w:rPr>
                <w:rFonts w:asciiTheme="minorHAnsi" w:hAnsiTheme="minorHAnsi"/>
                <w:sz w:val="20"/>
                <w:szCs w:val="20"/>
                <w:lang w:eastAsia="en-GB"/>
              </w:rPr>
              <w:t>A</w:t>
            </w:r>
            <w:r>
              <w:rPr>
                <w:rFonts w:asciiTheme="minorHAnsi" w:hAnsiTheme="minorHAnsi"/>
                <w:sz w:val="20"/>
                <w:szCs w:val="20"/>
                <w:lang w:eastAsia="en-GB"/>
              </w:rPr>
              <w:t>3</w:t>
            </w:r>
            <w:r w:rsidRPr="005973DE">
              <w:rPr>
                <w:rFonts w:asciiTheme="minorHAnsi" w:hAnsiTheme="minorHAnsi"/>
                <w:sz w:val="20"/>
                <w:szCs w:val="20"/>
                <w:lang w:eastAsia="en-GB"/>
              </w:rPr>
              <w:t xml:space="preserve"> Project Delivery and resources</w:t>
            </w:r>
          </w:p>
          <w:p w14:paraId="4F05E656"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3</w:t>
            </w:r>
            <w:r w:rsidRPr="005973DE">
              <w:rPr>
                <w:rFonts w:asciiTheme="minorHAnsi" w:hAnsiTheme="minorHAnsi" w:cs="Arial"/>
                <w:sz w:val="20"/>
                <w:szCs w:val="20"/>
              </w:rPr>
              <w:t xml:space="preserve"> pages]</w:t>
            </w:r>
          </w:p>
        </w:tc>
        <w:tc>
          <w:tcPr>
            <w:tcW w:w="21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62446A" w14:textId="77777777" w:rsidR="00A26D7C" w:rsidRPr="005973DE" w:rsidRDefault="00A26D7C" w:rsidP="00A26D7C">
            <w:pPr>
              <w:spacing w:after="120"/>
              <w:rPr>
                <w:rFonts w:asciiTheme="minorHAnsi" w:hAnsiTheme="minorHAnsi" w:cs="Arial"/>
                <w:sz w:val="20"/>
                <w:szCs w:val="20"/>
              </w:rPr>
            </w:pPr>
            <w:r>
              <w:rPr>
                <w:rFonts w:asciiTheme="minorHAnsi" w:hAnsiTheme="minorHAnsi"/>
                <w:sz w:val="20"/>
                <w:szCs w:val="20"/>
                <w:lang w:eastAsia="en-GB"/>
              </w:rPr>
              <w:t xml:space="preserve">The tenderer demonstrates sound resourcing and planning to successfully deliver </w:t>
            </w:r>
            <w:r w:rsidRPr="005973DE">
              <w:rPr>
                <w:rFonts w:asciiTheme="minorHAnsi" w:hAnsiTheme="minorHAnsi"/>
                <w:sz w:val="20"/>
                <w:szCs w:val="20"/>
                <w:lang w:eastAsia="en-GB"/>
              </w:rPr>
              <w:t xml:space="preserve">this work.  </w:t>
            </w:r>
          </w:p>
          <w:p w14:paraId="44E761D0" w14:textId="77777777" w:rsidR="00A26D7C" w:rsidRPr="006C1807" w:rsidRDefault="00A26D7C" w:rsidP="00A26D7C">
            <w:pPr>
              <w:pStyle w:val="ListParagraph"/>
              <w:numPr>
                <w:ilvl w:val="0"/>
                <w:numId w:val="57"/>
              </w:numPr>
              <w:spacing w:after="120"/>
              <w:rPr>
                <w:rFonts w:asciiTheme="minorHAnsi" w:hAnsiTheme="minorHAnsi"/>
                <w:sz w:val="20"/>
                <w:szCs w:val="20"/>
              </w:rPr>
            </w:pPr>
            <w:r w:rsidRPr="006C1807">
              <w:rPr>
                <w:rFonts w:asciiTheme="minorHAnsi" w:hAnsiTheme="minorHAnsi"/>
                <w:sz w:val="20"/>
                <w:szCs w:val="20"/>
              </w:rPr>
              <w:t>How will adequate allocation of appropriate resources be made against each deliverable?</w:t>
            </w:r>
          </w:p>
          <w:p w14:paraId="7BA03117" w14:textId="77777777" w:rsidR="00A26D7C" w:rsidRPr="006C1807" w:rsidRDefault="00A26D7C" w:rsidP="00A26D7C">
            <w:pPr>
              <w:pStyle w:val="ListParagraph"/>
              <w:numPr>
                <w:ilvl w:val="0"/>
                <w:numId w:val="57"/>
              </w:numPr>
              <w:spacing w:after="120"/>
              <w:rPr>
                <w:rFonts w:asciiTheme="minorHAnsi" w:hAnsiTheme="minorHAnsi"/>
                <w:sz w:val="20"/>
                <w:szCs w:val="20"/>
              </w:rPr>
            </w:pPr>
            <w:r w:rsidRPr="006C1807">
              <w:rPr>
                <w:rFonts w:asciiTheme="minorHAnsi" w:hAnsiTheme="minorHAnsi"/>
                <w:sz w:val="20"/>
                <w:szCs w:val="20"/>
              </w:rPr>
              <w:t>How will the team ensure the quality and the content of the deliverables are fit for purpose?</w:t>
            </w:r>
          </w:p>
          <w:p w14:paraId="4B8838F7" w14:textId="77777777" w:rsidR="00A26D7C" w:rsidRPr="006C1807" w:rsidRDefault="00A26D7C" w:rsidP="00A26D7C">
            <w:pPr>
              <w:pStyle w:val="ListParagraph"/>
              <w:numPr>
                <w:ilvl w:val="0"/>
                <w:numId w:val="57"/>
              </w:numPr>
              <w:spacing w:after="120"/>
              <w:rPr>
                <w:rFonts w:asciiTheme="minorHAnsi" w:hAnsiTheme="minorHAnsi"/>
                <w:sz w:val="20"/>
                <w:szCs w:val="20"/>
              </w:rPr>
            </w:pPr>
            <w:r w:rsidRPr="006C1807">
              <w:rPr>
                <w:rFonts w:asciiTheme="minorHAnsi" w:hAnsiTheme="minorHAnsi"/>
                <w:sz w:val="20"/>
                <w:szCs w:val="20"/>
              </w:rPr>
              <w:t>What is the schedule that each task will be delivered against?</w:t>
            </w:r>
          </w:p>
          <w:p w14:paraId="43FE2E14" w14:textId="77777777" w:rsidR="00A26D7C" w:rsidRPr="006C1807" w:rsidRDefault="00A26D7C" w:rsidP="00A26D7C">
            <w:pPr>
              <w:pStyle w:val="ListParagraph"/>
              <w:numPr>
                <w:ilvl w:val="0"/>
                <w:numId w:val="57"/>
              </w:numPr>
              <w:spacing w:after="120"/>
              <w:rPr>
                <w:rFonts w:asciiTheme="minorHAnsi" w:hAnsiTheme="minorHAnsi"/>
                <w:sz w:val="20"/>
                <w:szCs w:val="20"/>
              </w:rPr>
            </w:pPr>
            <w:r w:rsidRPr="006C1807">
              <w:rPr>
                <w:rFonts w:asciiTheme="minorHAnsi" w:hAnsiTheme="minorHAnsi"/>
                <w:sz w:val="20"/>
                <w:szCs w:val="20"/>
              </w:rPr>
              <w:lastRenderedPageBreak/>
              <w:t xml:space="preserve">How will the tenderer manage and engage multiple stakeholders, including representatives from RSSB, Network Rail, </w:t>
            </w:r>
            <w:r>
              <w:rPr>
                <w:rFonts w:asciiTheme="minorHAnsi" w:hAnsiTheme="minorHAnsi"/>
                <w:sz w:val="20"/>
                <w:szCs w:val="20"/>
              </w:rPr>
              <w:t>RIDC staff</w:t>
            </w:r>
            <w:r w:rsidRPr="006C1807">
              <w:rPr>
                <w:rFonts w:asciiTheme="minorHAnsi" w:hAnsiTheme="minorHAnsi"/>
                <w:sz w:val="20"/>
                <w:szCs w:val="20"/>
              </w:rPr>
              <w:t xml:space="preserve">? </w:t>
            </w:r>
          </w:p>
        </w:tc>
        <w:tc>
          <w:tcPr>
            <w:tcW w:w="19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A80A6" w14:textId="77777777" w:rsidR="00A26D7C" w:rsidRPr="005973DE" w:rsidRDefault="00A26D7C" w:rsidP="00A26D7C">
            <w:pPr>
              <w:spacing w:after="120"/>
              <w:rPr>
                <w:rFonts w:asciiTheme="minorHAnsi" w:hAnsiTheme="minorHAnsi"/>
                <w:sz w:val="20"/>
                <w:szCs w:val="20"/>
                <w:lang w:eastAsia="en-GB"/>
              </w:rPr>
            </w:pPr>
            <w:r w:rsidRPr="005973DE">
              <w:rPr>
                <w:rFonts w:asciiTheme="minorHAnsi" w:hAnsiTheme="minorHAnsi"/>
                <w:sz w:val="20"/>
                <w:szCs w:val="20"/>
                <w:lang w:eastAsia="en-GB"/>
              </w:rPr>
              <w:lastRenderedPageBreak/>
              <w:t>The tenderer’s response:</w:t>
            </w:r>
          </w:p>
          <w:p w14:paraId="24660971" w14:textId="77777777" w:rsidR="00A26D7C" w:rsidRPr="005973DE" w:rsidRDefault="00A26D7C" w:rsidP="00A26D7C">
            <w:pPr>
              <w:numPr>
                <w:ilvl w:val="0"/>
                <w:numId w:val="60"/>
              </w:numPr>
              <w:spacing w:after="120" w:line="240" w:lineRule="auto"/>
              <w:contextualSpacing/>
              <w:rPr>
                <w:rFonts w:asciiTheme="minorHAnsi" w:hAnsiTheme="minorHAnsi" w:cs="Arial"/>
                <w:sz w:val="20"/>
                <w:szCs w:val="20"/>
                <w:lang w:eastAsia="en-GB"/>
              </w:rPr>
            </w:pPr>
            <w:r w:rsidRPr="005973DE">
              <w:rPr>
                <w:rFonts w:asciiTheme="minorHAnsi" w:hAnsiTheme="minorHAnsi" w:cs="Arial"/>
                <w:sz w:val="20"/>
                <w:szCs w:val="20"/>
                <w:lang w:eastAsia="en-GB"/>
              </w:rPr>
              <w:t>Identifies relevant individuals to deliver the work and demonstrates that the mix of skills covered are appropriate to deliver the project.</w:t>
            </w:r>
          </w:p>
          <w:p w14:paraId="7985032C" w14:textId="77777777" w:rsidR="00A26D7C" w:rsidRDefault="00A26D7C" w:rsidP="00A26D7C">
            <w:pPr>
              <w:numPr>
                <w:ilvl w:val="0"/>
                <w:numId w:val="60"/>
              </w:numPr>
              <w:spacing w:after="120" w:line="240" w:lineRule="auto"/>
              <w:contextualSpacing/>
              <w:rPr>
                <w:rFonts w:asciiTheme="minorHAnsi" w:hAnsiTheme="minorHAnsi" w:cs="Arial"/>
                <w:sz w:val="20"/>
                <w:szCs w:val="20"/>
              </w:rPr>
            </w:pPr>
            <w:r w:rsidRPr="005973DE">
              <w:rPr>
                <w:rFonts w:asciiTheme="minorHAnsi" w:hAnsiTheme="minorHAnsi" w:cs="Arial"/>
                <w:sz w:val="20"/>
                <w:szCs w:val="20"/>
                <w:lang w:eastAsia="en-GB"/>
              </w:rPr>
              <w:t>Provides a credible plan for delivering successful outcomes to time, quality and cost, including details of allocated effort to activities.</w:t>
            </w:r>
          </w:p>
          <w:p w14:paraId="7ED7A7FD" w14:textId="77777777" w:rsidR="00A26D7C" w:rsidRPr="005973DE" w:rsidRDefault="00A26D7C" w:rsidP="00A26D7C">
            <w:pPr>
              <w:numPr>
                <w:ilvl w:val="0"/>
                <w:numId w:val="60"/>
              </w:numPr>
              <w:spacing w:after="120" w:line="240" w:lineRule="auto"/>
              <w:contextualSpacing/>
              <w:rPr>
                <w:rFonts w:asciiTheme="minorHAnsi" w:hAnsiTheme="minorHAnsi" w:cs="Arial"/>
                <w:sz w:val="20"/>
                <w:szCs w:val="20"/>
              </w:rPr>
            </w:pPr>
            <w:r w:rsidRPr="005711CA">
              <w:rPr>
                <w:rFonts w:asciiTheme="minorHAnsi" w:hAnsiTheme="minorHAnsi" w:cs="Arial"/>
                <w:sz w:val="20"/>
                <w:szCs w:val="20"/>
              </w:rPr>
              <w:lastRenderedPageBreak/>
              <w:t>Provides a well thought out and appropriate communication plan for communication between the tenderer and key stakeholders, to ensure the quality and content of the work is fit for purpose</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54A29A" w14:textId="77777777" w:rsidR="00A26D7C" w:rsidRPr="005973DE" w:rsidRDefault="00A26D7C" w:rsidP="00A26D7C">
            <w:pPr>
              <w:spacing w:after="120"/>
              <w:rPr>
                <w:rFonts w:asciiTheme="minorHAnsi" w:hAnsiTheme="minorHAnsi" w:cs="Arial"/>
                <w:sz w:val="20"/>
                <w:szCs w:val="20"/>
              </w:rPr>
            </w:pPr>
            <w:r>
              <w:rPr>
                <w:rFonts w:asciiTheme="minorHAnsi" w:hAnsiTheme="minorHAnsi" w:cs="Arial"/>
                <w:sz w:val="20"/>
                <w:szCs w:val="20"/>
              </w:rPr>
              <w:lastRenderedPageBreak/>
              <w:t>20</w:t>
            </w:r>
            <w:r w:rsidRPr="005973DE">
              <w:rPr>
                <w:rFonts w:asciiTheme="minorHAnsi" w:hAnsiTheme="minorHAnsi" w:cs="Arial"/>
                <w:sz w:val="20"/>
                <w:szCs w:val="20"/>
              </w:rPr>
              <w:t>%</w:t>
            </w:r>
          </w:p>
        </w:tc>
      </w:tr>
      <w:tr w:rsidR="00A26D7C" w:rsidRPr="005973DE" w14:paraId="1050CB99" w14:textId="77777777" w:rsidTr="00A26D7C">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7C5DD6" w14:textId="77777777" w:rsidR="00A26D7C" w:rsidRPr="005973DE" w:rsidRDefault="00A26D7C" w:rsidP="00A26D7C">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A</w:t>
            </w:r>
            <w:r>
              <w:rPr>
                <w:rFonts w:asciiTheme="minorHAnsi" w:hAnsiTheme="minorHAnsi"/>
                <w:color w:val="000000"/>
                <w:sz w:val="20"/>
                <w:szCs w:val="20"/>
                <w:lang w:eastAsia="en-GB"/>
              </w:rPr>
              <w:t>4</w:t>
            </w:r>
            <w:r w:rsidRPr="005973DE">
              <w:rPr>
                <w:rFonts w:asciiTheme="minorHAnsi" w:hAnsiTheme="minorHAnsi"/>
                <w:color w:val="000000"/>
                <w:sz w:val="20"/>
                <w:szCs w:val="20"/>
                <w:lang w:eastAsia="en-GB"/>
              </w:rPr>
              <w:t xml:space="preserve"> Risks and opportunities</w:t>
            </w:r>
          </w:p>
          <w:p w14:paraId="69289BB4"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olor w:val="000000"/>
                <w:sz w:val="20"/>
                <w:szCs w:val="20"/>
                <w:lang w:eastAsia="en-GB"/>
              </w:rPr>
              <w:t xml:space="preserve">[Max 2 pages] </w:t>
            </w:r>
          </w:p>
        </w:tc>
        <w:tc>
          <w:tcPr>
            <w:tcW w:w="21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A34BC" w14:textId="77777777" w:rsidR="00A26D7C" w:rsidRPr="005973DE" w:rsidRDefault="00A26D7C" w:rsidP="00A26D7C">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T</w:t>
            </w:r>
            <w:r>
              <w:rPr>
                <w:rFonts w:asciiTheme="minorHAnsi" w:hAnsiTheme="minorHAnsi"/>
                <w:color w:val="000000"/>
                <w:sz w:val="20"/>
                <w:szCs w:val="20"/>
                <w:lang w:eastAsia="en-GB"/>
              </w:rPr>
              <w:t>he t</w:t>
            </w:r>
            <w:r w:rsidRPr="005973DE">
              <w:rPr>
                <w:rFonts w:asciiTheme="minorHAnsi" w:hAnsiTheme="minorHAnsi"/>
                <w:color w:val="000000"/>
                <w:sz w:val="20"/>
                <w:szCs w:val="20"/>
                <w:lang w:eastAsia="en-GB"/>
              </w:rPr>
              <w:t>enderer detail</w:t>
            </w:r>
            <w:r>
              <w:rPr>
                <w:rFonts w:asciiTheme="minorHAnsi" w:hAnsiTheme="minorHAnsi"/>
                <w:color w:val="000000"/>
                <w:sz w:val="20"/>
                <w:szCs w:val="20"/>
                <w:lang w:eastAsia="en-GB"/>
              </w:rPr>
              <w:t>s</w:t>
            </w:r>
            <w:r w:rsidRPr="005973DE">
              <w:rPr>
                <w:rFonts w:asciiTheme="minorHAnsi" w:hAnsiTheme="minorHAnsi"/>
                <w:color w:val="000000"/>
                <w:sz w:val="20"/>
                <w:szCs w:val="20"/>
                <w:lang w:eastAsia="en-GB"/>
              </w:rPr>
              <w:t xml:space="preserve"> what risks and opportunities are foreseen in the delivery of the project.  The tenderer should detail mitigating actions in relation to the</w:t>
            </w:r>
            <w:r>
              <w:rPr>
                <w:rFonts w:asciiTheme="minorHAnsi" w:hAnsiTheme="minorHAnsi"/>
                <w:color w:val="000000"/>
                <w:sz w:val="20"/>
                <w:szCs w:val="20"/>
                <w:lang w:eastAsia="en-GB"/>
              </w:rPr>
              <w:t xml:space="preserve"> </w:t>
            </w:r>
            <w:r w:rsidRPr="005973DE">
              <w:rPr>
                <w:rFonts w:asciiTheme="minorHAnsi" w:hAnsiTheme="minorHAnsi"/>
                <w:color w:val="000000"/>
                <w:sz w:val="20"/>
                <w:szCs w:val="20"/>
                <w:lang w:eastAsia="en-GB"/>
              </w:rPr>
              <w:t>risk</w:t>
            </w:r>
            <w:r>
              <w:rPr>
                <w:rFonts w:asciiTheme="minorHAnsi" w:hAnsiTheme="minorHAnsi"/>
                <w:color w:val="000000"/>
                <w:sz w:val="20"/>
                <w:szCs w:val="20"/>
                <w:lang w:eastAsia="en-GB"/>
              </w:rPr>
              <w:t>s identified</w:t>
            </w:r>
            <w:r w:rsidRPr="005973DE">
              <w:rPr>
                <w:rFonts w:asciiTheme="minorHAnsi" w:hAnsiTheme="minorHAnsi"/>
                <w:color w:val="000000"/>
                <w:sz w:val="20"/>
                <w:szCs w:val="20"/>
                <w:lang w:eastAsia="en-GB"/>
              </w:rPr>
              <w:t>, and how opportunities can be maximised.</w:t>
            </w:r>
          </w:p>
          <w:p w14:paraId="14F6032A" w14:textId="77777777" w:rsidR="00A26D7C" w:rsidRPr="006C1807" w:rsidRDefault="00A26D7C" w:rsidP="00A26D7C">
            <w:pPr>
              <w:pStyle w:val="ListParagraph"/>
              <w:numPr>
                <w:ilvl w:val="0"/>
                <w:numId w:val="62"/>
              </w:numPr>
              <w:spacing w:after="120"/>
              <w:rPr>
                <w:rFonts w:asciiTheme="minorHAnsi" w:hAnsiTheme="minorHAnsi"/>
                <w:color w:val="000000"/>
                <w:sz w:val="20"/>
                <w:szCs w:val="20"/>
              </w:rPr>
            </w:pPr>
            <w:r w:rsidRPr="006C1807">
              <w:rPr>
                <w:rFonts w:asciiTheme="minorHAnsi" w:hAnsiTheme="minorHAnsi"/>
                <w:color w:val="000000"/>
                <w:sz w:val="20"/>
                <w:szCs w:val="20"/>
              </w:rPr>
              <w:t>What are the potential risks to this project?  How will these risks be managed</w:t>
            </w:r>
            <w:r>
              <w:rPr>
                <w:rFonts w:asciiTheme="minorHAnsi" w:hAnsiTheme="minorHAnsi"/>
                <w:color w:val="000000"/>
                <w:sz w:val="20"/>
                <w:szCs w:val="20"/>
              </w:rPr>
              <w:t xml:space="preserve"> and mitigated</w:t>
            </w:r>
            <w:r w:rsidRPr="006C1807">
              <w:rPr>
                <w:rFonts w:asciiTheme="minorHAnsi" w:hAnsiTheme="minorHAnsi"/>
                <w:color w:val="000000"/>
                <w:sz w:val="20"/>
                <w:szCs w:val="20"/>
              </w:rPr>
              <w:t>?</w:t>
            </w:r>
          </w:p>
          <w:p w14:paraId="3CE42731" w14:textId="77777777" w:rsidR="00A26D7C" w:rsidRPr="006C1807" w:rsidRDefault="00A26D7C" w:rsidP="00A26D7C">
            <w:pPr>
              <w:pStyle w:val="ListParagraph"/>
              <w:numPr>
                <w:ilvl w:val="0"/>
                <w:numId w:val="62"/>
              </w:numPr>
              <w:spacing w:after="120"/>
              <w:rPr>
                <w:rFonts w:asciiTheme="minorHAnsi" w:hAnsiTheme="minorHAnsi"/>
                <w:sz w:val="20"/>
                <w:szCs w:val="20"/>
              </w:rPr>
            </w:pPr>
            <w:r w:rsidRPr="006C1807">
              <w:rPr>
                <w:rFonts w:asciiTheme="minorHAnsi" w:hAnsiTheme="minorHAnsi"/>
                <w:color w:val="000000"/>
                <w:sz w:val="20"/>
                <w:szCs w:val="20"/>
              </w:rPr>
              <w:t>What are the potential opportunities that could be maximised during the delivery of this work?</w:t>
            </w:r>
          </w:p>
        </w:tc>
        <w:tc>
          <w:tcPr>
            <w:tcW w:w="19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060D7" w14:textId="77777777" w:rsidR="00A26D7C" w:rsidRPr="005973DE" w:rsidRDefault="00A26D7C" w:rsidP="00A26D7C">
            <w:pPr>
              <w:spacing w:after="120"/>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The tenderer’s response:</w:t>
            </w:r>
          </w:p>
          <w:p w14:paraId="4A4FCA02" w14:textId="77777777" w:rsidR="00A26D7C" w:rsidRPr="005973DE" w:rsidRDefault="00A26D7C" w:rsidP="00A26D7C">
            <w:pPr>
              <w:numPr>
                <w:ilvl w:val="0"/>
                <w:numId w:val="58"/>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appropriate risks and opportunities </w:t>
            </w:r>
            <w:proofErr w:type="gramStart"/>
            <w:r w:rsidRPr="005973DE">
              <w:rPr>
                <w:rFonts w:asciiTheme="minorHAnsi" w:hAnsiTheme="minorHAnsi" w:cs="Arial"/>
                <w:color w:val="000000"/>
                <w:sz w:val="20"/>
                <w:szCs w:val="20"/>
                <w:lang w:eastAsia="en-GB"/>
              </w:rPr>
              <w:t>through the use of</w:t>
            </w:r>
            <w:proofErr w:type="gramEnd"/>
            <w:r w:rsidRPr="005973DE">
              <w:rPr>
                <w:rFonts w:asciiTheme="minorHAnsi" w:hAnsiTheme="minorHAnsi" w:cs="Arial"/>
                <w:color w:val="000000"/>
                <w:sz w:val="20"/>
                <w:szCs w:val="20"/>
                <w:lang w:eastAsia="en-GB"/>
              </w:rPr>
              <w:t xml:space="preserve"> a risk register.</w:t>
            </w:r>
          </w:p>
          <w:p w14:paraId="72058784" w14:textId="77777777" w:rsidR="00A26D7C" w:rsidRPr="005973DE" w:rsidRDefault="00A26D7C" w:rsidP="00A26D7C">
            <w:pPr>
              <w:numPr>
                <w:ilvl w:val="0"/>
                <w:numId w:val="58"/>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what mitigation actions will be taken with specific regard to each risk or challenge identified.</w:t>
            </w:r>
          </w:p>
          <w:p w14:paraId="592CB628" w14:textId="77777777" w:rsidR="00A26D7C" w:rsidRPr="005973DE" w:rsidRDefault="00A26D7C" w:rsidP="00A26D7C">
            <w:pPr>
              <w:numPr>
                <w:ilvl w:val="0"/>
                <w:numId w:val="58"/>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approaches to </w:t>
            </w:r>
            <w:r>
              <w:rPr>
                <w:rFonts w:asciiTheme="minorHAnsi" w:hAnsiTheme="minorHAnsi" w:cs="Arial"/>
                <w:color w:val="000000"/>
                <w:sz w:val="20"/>
                <w:szCs w:val="20"/>
                <w:lang w:eastAsia="en-GB"/>
              </w:rPr>
              <w:t xml:space="preserve">exploit the </w:t>
            </w:r>
            <w:r w:rsidRPr="005973DE">
              <w:rPr>
                <w:rFonts w:asciiTheme="minorHAnsi" w:hAnsiTheme="minorHAnsi" w:cs="Arial"/>
                <w:color w:val="000000"/>
                <w:sz w:val="20"/>
                <w:szCs w:val="20"/>
                <w:lang w:eastAsia="en-GB"/>
              </w:rPr>
              <w:t xml:space="preserve">opportunities </w:t>
            </w:r>
            <w:r>
              <w:rPr>
                <w:rFonts w:asciiTheme="minorHAnsi" w:hAnsiTheme="minorHAnsi" w:cs="Arial"/>
                <w:color w:val="000000"/>
                <w:sz w:val="20"/>
                <w:szCs w:val="20"/>
                <w:lang w:eastAsia="en-GB"/>
              </w:rPr>
              <w:t>identified.</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550941"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10%</w:t>
            </w:r>
          </w:p>
        </w:tc>
      </w:tr>
      <w:tr w:rsidR="00A26D7C" w:rsidRPr="005973DE" w14:paraId="79D31339" w14:textId="77777777" w:rsidTr="00A26D7C">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F5CEA"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A</w:t>
            </w:r>
            <w:r>
              <w:rPr>
                <w:rFonts w:asciiTheme="minorHAnsi" w:hAnsiTheme="minorHAnsi" w:cs="Arial"/>
                <w:sz w:val="20"/>
                <w:szCs w:val="20"/>
              </w:rPr>
              <w:t>5</w:t>
            </w:r>
            <w:r w:rsidRPr="005973DE">
              <w:rPr>
                <w:rFonts w:asciiTheme="minorHAnsi" w:hAnsiTheme="minorHAnsi" w:cs="Arial"/>
                <w:sz w:val="20"/>
                <w:szCs w:val="20"/>
              </w:rPr>
              <w:t xml:space="preserve"> Cost of project</w:t>
            </w:r>
          </w:p>
        </w:tc>
        <w:tc>
          <w:tcPr>
            <w:tcW w:w="21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C368E"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Provide a fixed cost for the project and the associated cost break down. Describe how and why this represents value for money.</w:t>
            </w:r>
          </w:p>
        </w:tc>
        <w:tc>
          <w:tcPr>
            <w:tcW w:w="19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5AC3F" w14:textId="77777777" w:rsidR="00A26D7C" w:rsidRPr="005973DE" w:rsidRDefault="00A26D7C" w:rsidP="00A26D7C">
            <w:pPr>
              <w:pStyle w:val="ListParagraph"/>
              <w:numPr>
                <w:ilvl w:val="0"/>
                <w:numId w:val="41"/>
              </w:numPr>
              <w:spacing w:after="120"/>
              <w:rPr>
                <w:rFonts w:asciiTheme="minorHAnsi" w:hAnsiTheme="minorHAnsi"/>
                <w:sz w:val="20"/>
                <w:szCs w:val="20"/>
              </w:rPr>
            </w:pPr>
            <w:r w:rsidRPr="005973DE">
              <w:rPr>
                <w:rFonts w:asciiTheme="minorHAnsi" w:hAnsiTheme="minorHAnsi"/>
                <w:sz w:val="20"/>
                <w:szCs w:val="20"/>
              </w:rPr>
              <w:t>The tender with the lowest total cost will receive 100% of the available weighted score (20%).</w:t>
            </w:r>
          </w:p>
          <w:p w14:paraId="502DAB60" w14:textId="77777777" w:rsidR="00A26D7C" w:rsidRPr="005973DE" w:rsidRDefault="00A26D7C" w:rsidP="00A26D7C">
            <w:pPr>
              <w:spacing w:after="120"/>
              <w:ind w:left="360"/>
              <w:rPr>
                <w:rFonts w:asciiTheme="minorHAnsi" w:hAnsiTheme="minorHAnsi" w:cs="Arial"/>
                <w:sz w:val="20"/>
                <w:szCs w:val="20"/>
              </w:rPr>
            </w:pPr>
            <w:r w:rsidRPr="005973DE">
              <w:rPr>
                <w:rFonts w:asciiTheme="minorHAnsi" w:hAnsiTheme="minorHAnsi" w:cs="Arial"/>
                <w:sz w:val="20"/>
                <w:szCs w:val="20"/>
              </w:rPr>
              <w:t>Other Tenderer’s tenders will receive a pro-rated relative to the lowest cost according to the following formula:</w:t>
            </w:r>
          </w:p>
          <w:p w14:paraId="03146E73" w14:textId="77777777" w:rsidR="00A26D7C" w:rsidRPr="005973DE" w:rsidRDefault="00A26D7C" w:rsidP="00A26D7C">
            <w:pPr>
              <w:spacing w:after="120"/>
              <w:ind w:left="360"/>
              <w:rPr>
                <w:rFonts w:asciiTheme="minorHAnsi" w:hAnsiTheme="minorHAnsi" w:cs="Arial"/>
                <w:sz w:val="20"/>
                <w:szCs w:val="20"/>
              </w:rPr>
            </w:pPr>
            <w:r w:rsidRPr="005973DE">
              <w:rPr>
                <w:rFonts w:asciiTheme="minorHAnsi" w:hAnsiTheme="minorHAnsi" w:cs="Arial"/>
                <w:sz w:val="20"/>
                <w:szCs w:val="20"/>
              </w:rPr>
              <w:t xml:space="preserve">Score of other </w:t>
            </w:r>
            <w:proofErr w:type="gramStart"/>
            <w:r w:rsidRPr="005973DE">
              <w:rPr>
                <w:rFonts w:asciiTheme="minorHAnsi" w:hAnsiTheme="minorHAnsi" w:cs="Arial"/>
                <w:sz w:val="20"/>
                <w:szCs w:val="20"/>
              </w:rPr>
              <w:t>tender</w:t>
            </w:r>
            <w:proofErr w:type="gramEnd"/>
            <w:r w:rsidRPr="005973DE">
              <w:rPr>
                <w:rFonts w:asciiTheme="minorHAnsi" w:hAnsiTheme="minorHAnsi" w:cs="Arial"/>
                <w:sz w:val="20"/>
                <w:szCs w:val="20"/>
              </w:rPr>
              <w:t xml:space="preserve"> = lowest tender total cost / other tender total cost x 100%.</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DDECD2" w14:textId="77777777" w:rsidR="00A26D7C" w:rsidRPr="005973DE" w:rsidRDefault="00A26D7C" w:rsidP="00A26D7C">
            <w:pPr>
              <w:spacing w:after="120"/>
              <w:rPr>
                <w:rFonts w:asciiTheme="minorHAnsi" w:hAnsiTheme="minorHAnsi" w:cs="Arial"/>
                <w:sz w:val="20"/>
                <w:szCs w:val="20"/>
              </w:rPr>
            </w:pPr>
            <w:r w:rsidRPr="005973DE">
              <w:rPr>
                <w:rFonts w:asciiTheme="minorHAnsi" w:hAnsiTheme="minorHAnsi" w:cs="Arial"/>
                <w:sz w:val="20"/>
                <w:szCs w:val="20"/>
              </w:rPr>
              <w:t>2</w:t>
            </w:r>
            <w:r>
              <w:rPr>
                <w:rFonts w:asciiTheme="minorHAnsi" w:hAnsiTheme="minorHAnsi" w:cs="Arial"/>
                <w:sz w:val="20"/>
                <w:szCs w:val="20"/>
              </w:rPr>
              <w:t>0</w:t>
            </w:r>
            <w:r w:rsidRPr="005973DE">
              <w:rPr>
                <w:rFonts w:asciiTheme="minorHAnsi" w:hAnsiTheme="minorHAnsi" w:cs="Arial"/>
                <w:sz w:val="20"/>
                <w:szCs w:val="20"/>
              </w:rPr>
              <w:t>%</w:t>
            </w:r>
          </w:p>
        </w:tc>
      </w:tr>
    </w:tbl>
    <w:p w14:paraId="7E75872B" w14:textId="77777777" w:rsidR="00A26D7C" w:rsidRPr="00A26D7C" w:rsidRDefault="00A26D7C" w:rsidP="00A26D7C">
      <w:pPr>
        <w:pStyle w:val="Body"/>
      </w:pPr>
    </w:p>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01A88BB0" w14:textId="6A427456" w:rsidR="008A1B60" w:rsidRPr="00A26D7C" w:rsidRDefault="00E52B87" w:rsidP="00A26D7C">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 xml:space="preserve">We support rail in the areas of safety standards, knowledge and innovation and a wide range of cross- industry schemes requiring our knowledge and independence. Our work </w:t>
      </w:r>
      <w:r w:rsidRPr="00E52B87">
        <w:rPr>
          <w:rFonts w:asciiTheme="minorHAnsi" w:hAnsiTheme="minorHAnsi" w:cs="Arial"/>
          <w:lang w:eastAsia="en-GB"/>
        </w:rPr>
        <w:lastRenderedPageBreak/>
        <w:t>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258F2636" w14:textId="77777777" w:rsidR="00A26D7C" w:rsidRDefault="00A26D7C" w:rsidP="00A121D7">
      <w:pPr>
        <w:pStyle w:val="CoverTitle"/>
        <w:rPr>
          <w:b/>
        </w:rPr>
      </w:pPr>
    </w:p>
    <w:p w14:paraId="109463FA" w14:textId="77777777" w:rsidR="00A26D7C" w:rsidRDefault="00A26D7C" w:rsidP="00A121D7">
      <w:pPr>
        <w:pStyle w:val="CoverTitle"/>
        <w:rPr>
          <w:b/>
        </w:rPr>
      </w:pPr>
    </w:p>
    <w:p w14:paraId="5E6823CC" w14:textId="77777777" w:rsidR="00A26D7C" w:rsidRDefault="00A26D7C" w:rsidP="00A121D7">
      <w:pPr>
        <w:pStyle w:val="CoverTitle"/>
        <w:rPr>
          <w:b/>
        </w:rPr>
      </w:pPr>
    </w:p>
    <w:p w14:paraId="0A3458CC" w14:textId="77777777" w:rsidR="00A26D7C" w:rsidRDefault="00A26D7C" w:rsidP="00A121D7">
      <w:pPr>
        <w:pStyle w:val="CoverTitle"/>
        <w:rPr>
          <w:b/>
        </w:rPr>
      </w:pPr>
    </w:p>
    <w:p w14:paraId="68A3C61E" w14:textId="153F4B13" w:rsidR="00A121D7" w:rsidRPr="0041419B" w:rsidRDefault="00A121D7" w:rsidP="00A121D7">
      <w:pPr>
        <w:pStyle w:val="CoverTitle"/>
        <w:rPr>
          <w:b/>
        </w:rPr>
      </w:pPr>
      <w:r w:rsidRPr="0041419B">
        <w:rPr>
          <w:b/>
        </w:rPr>
        <w:lastRenderedPageBreak/>
        <w:t>Specification for research project</w:t>
      </w:r>
    </w:p>
    <w:p w14:paraId="192B0033" w14:textId="77777777" w:rsidR="00A121D7" w:rsidRDefault="00A121D7" w:rsidP="00A121D7">
      <w:pPr>
        <w:pStyle w:val="Body"/>
      </w:pPr>
    </w:p>
    <w:p w14:paraId="21B36604" w14:textId="77777777" w:rsidR="00A26D7C" w:rsidRDefault="00A26D7C" w:rsidP="00A26D7C">
      <w:pPr>
        <w:pStyle w:val="CoverTitle"/>
        <w:rPr>
          <w:b/>
          <w:bCs/>
        </w:rPr>
      </w:pPr>
      <w:bookmarkStart w:id="11" w:name="_Hlk519861498"/>
      <w:r w:rsidRPr="00382479">
        <w:rPr>
          <w:b/>
        </w:rPr>
        <w:t>T1167</w:t>
      </w:r>
      <w:r>
        <w:rPr>
          <w:b/>
        </w:rPr>
        <w:t>.</w:t>
      </w:r>
      <w:bookmarkStart w:id="12" w:name="_Hlk494959174"/>
      <w:bookmarkEnd w:id="11"/>
      <w:r>
        <w:rPr>
          <w:b/>
          <w:bCs/>
        </w:rPr>
        <w:t xml:space="preserve">WP2 </w:t>
      </w:r>
    </w:p>
    <w:p w14:paraId="7A5D77D9" w14:textId="77777777" w:rsidR="00A26D7C" w:rsidRPr="005973DE" w:rsidRDefault="00A26D7C" w:rsidP="00A26D7C">
      <w:pPr>
        <w:pStyle w:val="CoverTitle"/>
      </w:pPr>
      <w:r w:rsidRPr="00C67A68">
        <w:rPr>
          <w:b/>
          <w:bCs/>
        </w:rPr>
        <w:t>Testing the effectiveness of detonator</w:t>
      </w:r>
      <w:r>
        <w:rPr>
          <w:b/>
          <w:bCs/>
        </w:rPr>
        <w:t>s</w:t>
      </w:r>
      <w:r w:rsidRPr="00C67A68">
        <w:rPr>
          <w:b/>
          <w:bCs/>
        </w:rPr>
        <w:t xml:space="preserve"> </w:t>
      </w:r>
    </w:p>
    <w:p w14:paraId="6ECBBC36" w14:textId="77777777" w:rsidR="00A26D7C" w:rsidRPr="005973DE" w:rsidRDefault="00A26D7C" w:rsidP="00A26D7C">
      <w:pPr>
        <w:pStyle w:val="Body"/>
        <w:ind w:left="360"/>
        <w:jc w:val="both"/>
      </w:pPr>
    </w:p>
    <w:p w14:paraId="1900518A" w14:textId="77777777" w:rsidR="00A26D7C" w:rsidRPr="005973DE" w:rsidRDefault="00A26D7C" w:rsidP="00A26D7C">
      <w:pPr>
        <w:pStyle w:val="Body"/>
        <w:ind w:left="360"/>
        <w:jc w:val="both"/>
      </w:pPr>
    </w:p>
    <w:p w14:paraId="3C44E098" w14:textId="77777777" w:rsidR="00A26D7C" w:rsidRPr="005973DE" w:rsidRDefault="00A26D7C" w:rsidP="00A26D7C">
      <w:pPr>
        <w:pStyle w:val="Body"/>
        <w:ind w:left="360"/>
        <w:jc w:val="both"/>
      </w:pPr>
    </w:p>
    <w:p w14:paraId="3968E94E" w14:textId="77777777" w:rsidR="00A26D7C" w:rsidRPr="005973DE" w:rsidRDefault="00A26D7C" w:rsidP="00A26D7C">
      <w:pPr>
        <w:pStyle w:val="Body"/>
        <w:ind w:left="360"/>
        <w:jc w:val="both"/>
      </w:pPr>
    </w:p>
    <w:p w14:paraId="08CB371F" w14:textId="77777777" w:rsidR="00A26D7C" w:rsidRPr="005973DE" w:rsidRDefault="00A26D7C" w:rsidP="00A26D7C">
      <w:pPr>
        <w:pStyle w:val="Body"/>
        <w:ind w:left="360"/>
        <w:jc w:val="both"/>
      </w:pPr>
    </w:p>
    <w:bookmarkEnd w:id="12"/>
    <w:p w14:paraId="770E554F" w14:textId="77777777" w:rsidR="00A26D7C" w:rsidRPr="005973DE" w:rsidRDefault="00A26D7C" w:rsidP="00A26D7C">
      <w:pPr>
        <w:pStyle w:val="Body"/>
        <w:ind w:left="360"/>
        <w:jc w:val="both"/>
      </w:pPr>
    </w:p>
    <w:p w14:paraId="7BEBA89D" w14:textId="77777777" w:rsidR="00A26D7C" w:rsidRPr="005973DE" w:rsidRDefault="00A26D7C" w:rsidP="00A26D7C">
      <w:pPr>
        <w:pStyle w:val="Body"/>
        <w:ind w:left="360"/>
        <w:jc w:val="both"/>
      </w:pPr>
    </w:p>
    <w:p w14:paraId="1AB0850D" w14:textId="77777777" w:rsidR="00A26D7C" w:rsidRPr="005973DE" w:rsidRDefault="00A26D7C" w:rsidP="00A26D7C">
      <w:pPr>
        <w:pStyle w:val="Body"/>
        <w:ind w:left="360"/>
        <w:jc w:val="both"/>
      </w:pPr>
    </w:p>
    <w:p w14:paraId="00ECFA80" w14:textId="77777777" w:rsidR="00A26D7C" w:rsidRPr="005973DE" w:rsidRDefault="00A26D7C" w:rsidP="00A26D7C">
      <w:pPr>
        <w:pStyle w:val="Body"/>
        <w:ind w:left="360"/>
        <w:jc w:val="both"/>
      </w:pPr>
    </w:p>
    <w:p w14:paraId="1E52AB83" w14:textId="77777777" w:rsidR="00A26D7C" w:rsidRPr="005973DE" w:rsidRDefault="00A26D7C" w:rsidP="00A26D7C">
      <w:pPr>
        <w:pStyle w:val="Body"/>
        <w:ind w:left="360"/>
        <w:jc w:val="both"/>
      </w:pPr>
    </w:p>
    <w:p w14:paraId="648A7E1B" w14:textId="77777777" w:rsidR="00A26D7C" w:rsidRPr="005973DE" w:rsidRDefault="00A26D7C" w:rsidP="00A26D7C">
      <w:pPr>
        <w:pStyle w:val="Body"/>
        <w:ind w:left="360"/>
        <w:jc w:val="both"/>
      </w:pPr>
    </w:p>
    <w:p w14:paraId="3014BC05" w14:textId="77777777" w:rsidR="00A26D7C" w:rsidRPr="005973DE" w:rsidRDefault="00A26D7C" w:rsidP="00A26D7C">
      <w:pPr>
        <w:pStyle w:val="Body"/>
        <w:ind w:left="360"/>
        <w:jc w:val="both"/>
      </w:pPr>
    </w:p>
    <w:p w14:paraId="7C98B9FA" w14:textId="3185B6AF" w:rsidR="00A26D7C" w:rsidRDefault="00A26D7C" w:rsidP="00A26D7C">
      <w:pPr>
        <w:pStyle w:val="Heading1"/>
        <w:numPr>
          <w:ilvl w:val="0"/>
          <w:numId w:val="0"/>
        </w:numPr>
      </w:pPr>
    </w:p>
    <w:p w14:paraId="71BE275F" w14:textId="77777777" w:rsidR="00A26D7C" w:rsidRPr="00A26D7C" w:rsidRDefault="00A26D7C" w:rsidP="00A26D7C">
      <w:pPr>
        <w:pStyle w:val="Body"/>
      </w:pPr>
      <w:bookmarkStart w:id="13" w:name="_GoBack"/>
      <w:bookmarkEnd w:id="13"/>
    </w:p>
    <w:p w14:paraId="0A23B791" w14:textId="77777777" w:rsidR="00A26D7C" w:rsidRPr="005973DE" w:rsidRDefault="00A26D7C" w:rsidP="00A26D7C">
      <w:pPr>
        <w:pStyle w:val="Body"/>
      </w:pPr>
    </w:p>
    <w:p w14:paraId="1745E003" w14:textId="77777777" w:rsidR="00A26D7C" w:rsidRPr="005973DE" w:rsidRDefault="00A26D7C" w:rsidP="00A26D7C">
      <w:pPr>
        <w:pStyle w:val="Body"/>
      </w:pPr>
    </w:p>
    <w:p w14:paraId="6EAF9E9D" w14:textId="77777777" w:rsidR="00A26D7C" w:rsidRPr="005973DE" w:rsidRDefault="00A26D7C" w:rsidP="00A26D7C">
      <w:pPr>
        <w:pStyle w:val="Body"/>
      </w:pPr>
    </w:p>
    <w:p w14:paraId="6264F0D5" w14:textId="77777777" w:rsidR="00A26D7C" w:rsidRPr="005973DE" w:rsidRDefault="00A26D7C" w:rsidP="00A26D7C">
      <w:pPr>
        <w:pStyle w:val="Body"/>
      </w:pPr>
    </w:p>
    <w:p w14:paraId="557808B3" w14:textId="77777777" w:rsidR="00A26D7C" w:rsidRPr="005973DE" w:rsidRDefault="00A26D7C" w:rsidP="00A26D7C">
      <w:pPr>
        <w:pStyle w:val="Body"/>
      </w:pPr>
    </w:p>
    <w:p w14:paraId="78F29563" w14:textId="77777777" w:rsidR="00A26D7C" w:rsidRDefault="00A26D7C" w:rsidP="00A26D7C">
      <w:pPr>
        <w:pStyle w:val="Body"/>
      </w:pPr>
    </w:p>
    <w:p w14:paraId="0D59F96B" w14:textId="77777777" w:rsidR="00A26D7C" w:rsidRPr="005973DE" w:rsidRDefault="00A26D7C" w:rsidP="00A26D7C">
      <w:pPr>
        <w:pStyle w:val="Heading1"/>
      </w:pPr>
      <w:r w:rsidRPr="005973DE">
        <w:lastRenderedPageBreak/>
        <w:t>Background</w:t>
      </w:r>
    </w:p>
    <w:p w14:paraId="4FC23A7D" w14:textId="77777777" w:rsidR="00A26D7C" w:rsidRDefault="00A26D7C" w:rsidP="00A26D7C">
      <w:pPr>
        <w:pStyle w:val="Body"/>
        <w:spacing w:before="120" w:line="276" w:lineRule="auto"/>
        <w:rPr>
          <w:bCs/>
        </w:rPr>
      </w:pPr>
      <w:r w:rsidRPr="00DD371C">
        <w:rPr>
          <w:bCs/>
        </w:rPr>
        <w:t xml:space="preserve">Detonators are small metal devices that contain a small quantity of explosives, that are placed on the railhead to cause a loud sound, activated by the wheel-rail interface of a passing train to alert the driver they are approaching a hazard on the line ahead (RSSB GE/GN8532, 2015).  </w:t>
      </w:r>
      <w:r>
        <w:rPr>
          <w:bCs/>
        </w:rPr>
        <w:t xml:space="preserve">During track possessions, detonators are intended to provide a safety protection method if for example a train has been incorrectly signalled into a worksite or to mitigate unauthorised engineering trains exiting the worksite.   </w:t>
      </w:r>
    </w:p>
    <w:p w14:paraId="694AA539" w14:textId="77777777" w:rsidR="00A26D7C" w:rsidRDefault="00A26D7C" w:rsidP="00A26D7C">
      <w:pPr>
        <w:pStyle w:val="Body"/>
        <w:spacing w:before="120" w:line="276" w:lineRule="auto"/>
        <w:rPr>
          <w:bCs/>
          <w:iCs/>
        </w:rPr>
      </w:pPr>
      <w:r>
        <w:rPr>
          <w:bCs/>
        </w:rPr>
        <w:t>F</w:t>
      </w:r>
      <w:r>
        <w:rPr>
          <w:bCs/>
          <w:iCs/>
        </w:rPr>
        <w:t xml:space="preserve">or detonators to be effective, they must be clearly </w:t>
      </w:r>
      <w:proofErr w:type="gramStart"/>
      <w:r>
        <w:rPr>
          <w:bCs/>
          <w:iCs/>
        </w:rPr>
        <w:t>audible</w:t>
      </w:r>
      <w:proofErr w:type="gramEnd"/>
      <w:r>
        <w:rPr>
          <w:bCs/>
          <w:iCs/>
        </w:rPr>
        <w:t xml:space="preserve"> so necessary precaution and mitigation action can be taken.  </w:t>
      </w:r>
      <w:r w:rsidRPr="00DD371C">
        <w:rPr>
          <w:bCs/>
          <w:iCs/>
        </w:rPr>
        <w:t xml:space="preserve">The Rail Group Standard GM/RT2160 (RSSB, 2010) mandates the requirements for the audibility of detonators in driving cabs, and states that: </w:t>
      </w:r>
    </w:p>
    <w:p w14:paraId="6FB17769" w14:textId="77777777" w:rsidR="00A26D7C" w:rsidRDefault="00A26D7C" w:rsidP="00A26D7C">
      <w:pPr>
        <w:pStyle w:val="Body"/>
        <w:spacing w:before="120" w:line="276" w:lineRule="auto"/>
        <w:rPr>
          <w:bCs/>
          <w:iCs/>
        </w:rPr>
      </w:pPr>
      <w:r w:rsidRPr="00DD371C">
        <w:rPr>
          <w:bCs/>
          <w:iCs/>
        </w:rPr>
        <w:t>“Driving cabs shall have acoustic characteristics that ensure that exploding detonators, as specified in BR 0640A, can be heard inside the cab at any vehicle speed and readily distinguished from background noise” (p. 5).</w:t>
      </w:r>
      <w:r w:rsidRPr="00DD371C">
        <w:rPr>
          <w:bCs/>
          <w:iCs/>
          <w:vertAlign w:val="superscript"/>
        </w:rPr>
        <w:footnoteReference w:id="1"/>
      </w:r>
      <w:r w:rsidRPr="00DD371C">
        <w:rPr>
          <w:bCs/>
          <w:iCs/>
        </w:rPr>
        <w:t xml:space="preserve">  </w:t>
      </w:r>
    </w:p>
    <w:p w14:paraId="063EF314" w14:textId="77777777" w:rsidR="00A26D7C" w:rsidRDefault="00A26D7C" w:rsidP="00A26D7C">
      <w:pPr>
        <w:pStyle w:val="Body"/>
        <w:spacing w:before="120" w:line="276" w:lineRule="auto"/>
        <w:rPr>
          <w:bCs/>
          <w:iCs/>
        </w:rPr>
      </w:pPr>
      <w:r>
        <w:rPr>
          <w:bCs/>
          <w:iCs/>
        </w:rPr>
        <w:t xml:space="preserve">In a live running railway, it is expected there are a variety of circumstances that will affect the audibility of detonators.  T315 </w:t>
      </w:r>
      <w:r w:rsidRPr="00382479">
        <w:rPr>
          <w:bCs/>
          <w:iCs/>
        </w:rPr>
        <w:t>workstream 1</w:t>
      </w:r>
      <w:r>
        <w:rPr>
          <w:bCs/>
          <w:iCs/>
        </w:rPr>
        <w:t>:</w:t>
      </w:r>
      <w:r w:rsidRPr="00382479">
        <w:rPr>
          <w:bCs/>
          <w:iCs/>
        </w:rPr>
        <w:t xml:space="preserve"> noise exposure of staff in driving cabs </w:t>
      </w:r>
      <w:r>
        <w:rPr>
          <w:bCs/>
          <w:iCs/>
        </w:rPr>
        <w:t>(RSSB, 2004)</w:t>
      </w:r>
      <w:r>
        <w:rPr>
          <w:rStyle w:val="FootnoteReference"/>
          <w:rFonts w:eastAsia="Arial"/>
          <w:bCs/>
          <w:iCs/>
        </w:rPr>
        <w:footnoteReference w:id="2"/>
      </w:r>
      <w:r>
        <w:rPr>
          <w:bCs/>
          <w:iCs/>
        </w:rPr>
        <w:t xml:space="preserve"> suggest sources of driving cab noise include rolling noise, traction and ancillary equipment noise, aerodynamic noise, warning horns, in-cab audible warnings, air-conditioning equipment and heater fans.   These, and other factors such as </w:t>
      </w:r>
      <w:r w:rsidRPr="00382479">
        <w:rPr>
          <w:bCs/>
          <w:iCs/>
        </w:rPr>
        <w:t>environment</w:t>
      </w:r>
      <w:r>
        <w:rPr>
          <w:bCs/>
          <w:iCs/>
        </w:rPr>
        <w:t>al conditions (e.g. weather), insulation of the cab,</w:t>
      </w:r>
      <w:r w:rsidRPr="00382479">
        <w:rPr>
          <w:bCs/>
          <w:iCs/>
        </w:rPr>
        <w:t xml:space="preserve"> </w:t>
      </w:r>
      <w:r>
        <w:rPr>
          <w:bCs/>
          <w:iCs/>
        </w:rPr>
        <w:t>and</w:t>
      </w:r>
      <w:r w:rsidRPr="00382479">
        <w:rPr>
          <w:bCs/>
          <w:iCs/>
        </w:rPr>
        <w:t xml:space="preserve"> subjective comfort</w:t>
      </w:r>
      <w:r>
        <w:rPr>
          <w:bCs/>
          <w:iCs/>
        </w:rPr>
        <w:t xml:space="preserve">, may influence the extent in which detonators are audible to the driver.  </w:t>
      </w:r>
    </w:p>
    <w:p w14:paraId="38000A87" w14:textId="77777777" w:rsidR="00A26D7C" w:rsidRDefault="00A26D7C" w:rsidP="00A26D7C">
      <w:pPr>
        <w:pStyle w:val="Body"/>
        <w:spacing w:before="120" w:line="276" w:lineRule="auto"/>
        <w:rPr>
          <w:bCs/>
          <w:iCs/>
        </w:rPr>
      </w:pPr>
      <w:r>
        <w:rPr>
          <w:bCs/>
          <w:iCs/>
        </w:rPr>
        <w:t xml:space="preserve">Detonators that are not clearly audible to the driver may exacerbate safety risks, if they are not alerted to a hazard or possession on the line ahead.  T326 </w:t>
      </w:r>
      <w:r w:rsidRPr="00382479">
        <w:rPr>
          <w:bCs/>
          <w:iCs/>
        </w:rPr>
        <w:t>Good Practice Guide</w:t>
      </w:r>
      <w:r>
        <w:rPr>
          <w:bCs/>
          <w:iCs/>
        </w:rPr>
        <w:t xml:space="preserve"> </w:t>
      </w:r>
      <w:r w:rsidRPr="00382479">
        <w:rPr>
          <w:bCs/>
          <w:iCs/>
        </w:rPr>
        <w:t>for the design of alarms and alerts</w:t>
      </w:r>
      <w:r>
        <w:rPr>
          <w:bCs/>
          <w:iCs/>
        </w:rPr>
        <w:t xml:space="preserve"> (RSSB, 2008) note that warning alarms must be </w:t>
      </w:r>
      <w:r w:rsidRPr="00382479">
        <w:rPr>
          <w:bCs/>
          <w:iCs/>
        </w:rPr>
        <w:t>heard against background noise but</w:t>
      </w:r>
      <w:r>
        <w:rPr>
          <w:bCs/>
          <w:iCs/>
        </w:rPr>
        <w:t xml:space="preserve"> </w:t>
      </w:r>
      <w:r w:rsidRPr="00382479">
        <w:rPr>
          <w:bCs/>
          <w:iCs/>
        </w:rPr>
        <w:t xml:space="preserve">should not exceed noise tolerance limits. </w:t>
      </w:r>
      <w:r>
        <w:rPr>
          <w:bCs/>
          <w:iCs/>
        </w:rPr>
        <w:t xml:space="preserve"> </w:t>
      </w:r>
      <w:r w:rsidRPr="00382479">
        <w:rPr>
          <w:bCs/>
          <w:iCs/>
        </w:rPr>
        <w:t>Ambient noise should be no greater than 85dB(A) for any length of time</w:t>
      </w:r>
      <w:r>
        <w:rPr>
          <w:bCs/>
          <w:iCs/>
        </w:rPr>
        <w:t xml:space="preserve">, and </w:t>
      </w:r>
      <w:r w:rsidRPr="00382479">
        <w:rPr>
          <w:bCs/>
          <w:iCs/>
        </w:rPr>
        <w:t>alarms should be between 15 and 25dB(A) above the ambient noise</w:t>
      </w:r>
      <w:r>
        <w:rPr>
          <w:bCs/>
          <w:iCs/>
        </w:rPr>
        <w:t xml:space="preserve">, which in total, </w:t>
      </w:r>
      <w:r w:rsidRPr="00382479">
        <w:rPr>
          <w:bCs/>
          <w:iCs/>
        </w:rPr>
        <w:t>should not generally</w:t>
      </w:r>
      <w:r>
        <w:rPr>
          <w:bCs/>
          <w:iCs/>
        </w:rPr>
        <w:t xml:space="preserve"> </w:t>
      </w:r>
      <w:r w:rsidRPr="00382479">
        <w:rPr>
          <w:bCs/>
          <w:iCs/>
        </w:rPr>
        <w:t>exceed about 110dB(A)</w:t>
      </w:r>
      <w:r>
        <w:rPr>
          <w:bCs/>
          <w:iCs/>
        </w:rPr>
        <w:t>.  As detonators provide a warning alert that is activated externally to the cab, given variable factors that may influence the audibility of detonators, it is unknown in what conditions detonators are clearly audible to the driver.</w:t>
      </w:r>
    </w:p>
    <w:p w14:paraId="74A0A2B9" w14:textId="77777777" w:rsidR="00A26D7C" w:rsidRDefault="00A26D7C" w:rsidP="00A26D7C">
      <w:pPr>
        <w:pStyle w:val="Body"/>
        <w:spacing w:before="120" w:line="276" w:lineRule="auto"/>
        <w:rPr>
          <w:bCs/>
          <w:iCs/>
        </w:rPr>
      </w:pPr>
      <w:r>
        <w:rPr>
          <w:bCs/>
          <w:iCs/>
        </w:rPr>
        <w:t>It is also possible that</w:t>
      </w:r>
      <w:r w:rsidRPr="00FD0486">
        <w:rPr>
          <w:bCs/>
          <w:iCs/>
        </w:rPr>
        <w:t xml:space="preserve"> audibility of detonator</w:t>
      </w:r>
      <w:r>
        <w:rPr>
          <w:bCs/>
          <w:iCs/>
        </w:rPr>
        <w:t xml:space="preserve"> activation may</w:t>
      </w:r>
      <w:r w:rsidRPr="00FD0486">
        <w:rPr>
          <w:bCs/>
          <w:iCs/>
        </w:rPr>
        <w:t xml:space="preserve"> alert </w:t>
      </w:r>
      <w:r>
        <w:rPr>
          <w:bCs/>
          <w:iCs/>
        </w:rPr>
        <w:t>track workers</w:t>
      </w:r>
      <w:r w:rsidRPr="00FD0486">
        <w:rPr>
          <w:bCs/>
          <w:iCs/>
        </w:rPr>
        <w:t xml:space="preserve"> of an approaching trai</w:t>
      </w:r>
      <w:r>
        <w:rPr>
          <w:bCs/>
          <w:iCs/>
        </w:rPr>
        <w:t xml:space="preserve">n.  The extent in which detonators may be audible to track workers is likely to vary depending on conditions such as distance of working from detonator placement, weather, personal protective equipment (ear protection) and machinery in </w:t>
      </w:r>
      <w:r>
        <w:rPr>
          <w:bCs/>
          <w:iCs/>
        </w:rPr>
        <w:lastRenderedPageBreak/>
        <w:t xml:space="preserve">use.  However, little evidence is currently available to determine whether detonators provide such secondary function, and what, if any, conditions may influence their effectiveness in being audible to track workers.  Therefore, this research sets out to evaluate the effectiveness of detonators, to determine the conditions in which they are audible to drivers within the cab and track workers. </w:t>
      </w:r>
    </w:p>
    <w:p w14:paraId="518F9090" w14:textId="77777777" w:rsidR="00A26D7C" w:rsidRDefault="00A26D7C" w:rsidP="00A26D7C">
      <w:pPr>
        <w:pStyle w:val="Body"/>
        <w:spacing w:before="120" w:line="276" w:lineRule="auto"/>
        <w:rPr>
          <w:bCs/>
        </w:rPr>
      </w:pPr>
      <w:r>
        <w:rPr>
          <w:bCs/>
        </w:rPr>
        <w:t>It is recognised that t</w:t>
      </w:r>
      <w:r w:rsidRPr="004D0C9D">
        <w:rPr>
          <w:bCs/>
        </w:rPr>
        <w:t>he placing and removing of detonators</w:t>
      </w:r>
      <w:r>
        <w:rPr>
          <w:bCs/>
        </w:rPr>
        <w:t xml:space="preserve"> </w:t>
      </w:r>
      <w:r w:rsidRPr="004D0C9D">
        <w:rPr>
          <w:bCs/>
        </w:rPr>
        <w:t xml:space="preserve">require staff to access the track, exposing them to risks of trackside working, including train movements, slips, trips and falls.  </w:t>
      </w:r>
      <w:r>
        <w:rPr>
          <w:bCs/>
        </w:rPr>
        <w:t xml:space="preserve">This research does not investigate the risks and benefits associated with detonator use, as this is being undertaken in </w:t>
      </w:r>
      <w:r w:rsidRPr="00D571F9">
        <w:rPr>
          <w:bCs/>
        </w:rPr>
        <w:t>RSSB research</w:t>
      </w:r>
      <w:r>
        <w:rPr>
          <w:bCs/>
        </w:rPr>
        <w:t xml:space="preserve"> project</w:t>
      </w:r>
      <w:r w:rsidRPr="00D571F9">
        <w:rPr>
          <w:bCs/>
        </w:rPr>
        <w:t xml:space="preserve"> T1155 </w:t>
      </w:r>
      <w:r>
        <w:rPr>
          <w:bCs/>
        </w:rPr>
        <w:t xml:space="preserve">– Reviewing the risks and benefits of detonator use.  T1155 is undertaking a </w:t>
      </w:r>
      <w:r w:rsidRPr="00C140CD">
        <w:rPr>
          <w:bCs/>
        </w:rPr>
        <w:t xml:space="preserve">case by case review of detonator use, benefits and risks, </w:t>
      </w:r>
      <w:r>
        <w:rPr>
          <w:bCs/>
        </w:rPr>
        <w:t xml:space="preserve">to </w:t>
      </w:r>
      <w:r w:rsidRPr="00C140CD">
        <w:rPr>
          <w:bCs/>
        </w:rPr>
        <w:t>identify cases where a safety benefit can be gained through alternative options to detonator use</w:t>
      </w:r>
      <w:r w:rsidRPr="00D571F9">
        <w:rPr>
          <w:bCs/>
          <w:vertAlign w:val="superscript"/>
        </w:rPr>
        <w:footnoteReference w:id="3"/>
      </w:r>
      <w:r>
        <w:rPr>
          <w:bCs/>
        </w:rPr>
        <w:t xml:space="preserve">.  T1155 also includes a review of alternative technologies and options to detonators.  Therefore, T1167 (this project) is expected to align to T1155, which will be supported by RSSB staff working across both projects.  </w:t>
      </w:r>
    </w:p>
    <w:p w14:paraId="0BA9B9CF" w14:textId="77777777" w:rsidR="00A26D7C" w:rsidRPr="005973DE" w:rsidRDefault="00A26D7C" w:rsidP="00A26D7C">
      <w:pPr>
        <w:pStyle w:val="Body"/>
        <w:rPr>
          <w:bCs/>
        </w:rPr>
      </w:pPr>
    </w:p>
    <w:p w14:paraId="0949F758" w14:textId="77777777" w:rsidR="00A26D7C" w:rsidRPr="005973DE" w:rsidRDefault="00A26D7C" w:rsidP="00A26D7C">
      <w:pPr>
        <w:pStyle w:val="Heading1"/>
      </w:pPr>
      <w:r w:rsidRPr="005973DE">
        <w:t>Work package objectives</w:t>
      </w:r>
    </w:p>
    <w:p w14:paraId="75A2A6D5" w14:textId="77777777" w:rsidR="00A26D7C" w:rsidRPr="00C140CD" w:rsidRDefault="00A26D7C" w:rsidP="00A26D7C">
      <w:pPr>
        <w:spacing w:before="120" w:after="120" w:line="276" w:lineRule="auto"/>
        <w:rPr>
          <w:rFonts w:asciiTheme="minorHAnsi" w:hAnsiTheme="minorHAnsi" w:cs="Arial"/>
          <w:bCs/>
          <w:lang w:eastAsia="en-GB"/>
        </w:rPr>
      </w:pPr>
      <w:r w:rsidRPr="00D04F1C">
        <w:rPr>
          <w:rFonts w:asciiTheme="minorHAnsi" w:hAnsiTheme="minorHAnsi"/>
          <w:bCs/>
        </w:rPr>
        <w:t xml:space="preserve">The purpose of this project is to </w:t>
      </w:r>
      <w:r>
        <w:rPr>
          <w:rFonts w:asciiTheme="minorHAnsi" w:hAnsiTheme="minorHAnsi" w:cs="Arial"/>
          <w:bCs/>
          <w:lang w:eastAsia="en-GB"/>
        </w:rPr>
        <w:t>provide evidence</w:t>
      </w:r>
      <w:r w:rsidRPr="00D04F1C">
        <w:rPr>
          <w:rFonts w:asciiTheme="minorHAnsi" w:hAnsiTheme="minorHAnsi" w:cs="Arial"/>
          <w:bCs/>
          <w:lang w:eastAsia="en-GB"/>
        </w:rPr>
        <w:t xml:space="preserve"> on the extent in which detonators are audible</w:t>
      </w:r>
      <w:r>
        <w:rPr>
          <w:rFonts w:asciiTheme="minorHAnsi" w:hAnsiTheme="minorHAnsi" w:cs="Arial"/>
          <w:bCs/>
          <w:lang w:eastAsia="en-GB"/>
        </w:rPr>
        <w:t xml:space="preserve"> to staff, including the driver and t</w:t>
      </w:r>
      <w:r w:rsidRPr="00C140CD">
        <w:rPr>
          <w:rFonts w:asciiTheme="minorHAnsi" w:hAnsiTheme="minorHAnsi" w:cs="Arial"/>
          <w:bCs/>
          <w:lang w:eastAsia="en-GB"/>
        </w:rPr>
        <w:t xml:space="preserve">rackworkers.  </w:t>
      </w:r>
      <w:r>
        <w:rPr>
          <w:rFonts w:asciiTheme="minorHAnsi" w:hAnsiTheme="minorHAnsi"/>
          <w:bCs/>
        </w:rPr>
        <w:t xml:space="preserve">More detailed </w:t>
      </w:r>
      <w:r w:rsidRPr="00C140CD">
        <w:rPr>
          <w:rFonts w:asciiTheme="minorHAnsi" w:hAnsiTheme="minorHAnsi"/>
          <w:bCs/>
        </w:rPr>
        <w:t>objectives include:</w:t>
      </w:r>
    </w:p>
    <w:p w14:paraId="7BE73E99" w14:textId="77777777" w:rsidR="00A26D7C" w:rsidRPr="0025454D" w:rsidRDefault="00A26D7C" w:rsidP="00A26D7C">
      <w:pPr>
        <w:pStyle w:val="Body"/>
        <w:numPr>
          <w:ilvl w:val="0"/>
          <w:numId w:val="65"/>
        </w:numPr>
        <w:spacing w:before="120" w:line="276" w:lineRule="auto"/>
        <w:rPr>
          <w:bCs/>
        </w:rPr>
      </w:pPr>
      <w:r w:rsidRPr="0025454D">
        <w:rPr>
          <w:bCs/>
        </w:rPr>
        <w:t xml:space="preserve">Identify the </w:t>
      </w:r>
      <w:r>
        <w:rPr>
          <w:bCs/>
        </w:rPr>
        <w:t xml:space="preserve">key </w:t>
      </w:r>
      <w:r w:rsidRPr="0025454D">
        <w:rPr>
          <w:bCs/>
        </w:rPr>
        <w:t>conditions that may influence the audibility of detonator activation to staff inside the train cab and those working on the track (e.g. train cab insulation, weather, train running speed, ambient sounds, track joints)</w:t>
      </w:r>
    </w:p>
    <w:p w14:paraId="71597248" w14:textId="77777777" w:rsidR="00A26D7C" w:rsidRDefault="00A26D7C" w:rsidP="00A26D7C">
      <w:pPr>
        <w:pStyle w:val="Body"/>
        <w:numPr>
          <w:ilvl w:val="0"/>
          <w:numId w:val="65"/>
        </w:numPr>
        <w:spacing w:before="120" w:line="276" w:lineRule="auto"/>
        <w:rPr>
          <w:bCs/>
        </w:rPr>
      </w:pPr>
      <w:r>
        <w:rPr>
          <w:bCs/>
        </w:rPr>
        <w:t xml:space="preserve">Create a model able to predict the audibility of detonators by drivers and track workers across the range of conditions </w:t>
      </w:r>
    </w:p>
    <w:p w14:paraId="0F823A5B" w14:textId="77777777" w:rsidR="00A26D7C" w:rsidRDefault="00A26D7C" w:rsidP="00A26D7C">
      <w:pPr>
        <w:pStyle w:val="Body"/>
        <w:numPr>
          <w:ilvl w:val="0"/>
          <w:numId w:val="65"/>
        </w:numPr>
        <w:spacing w:before="120" w:line="276" w:lineRule="auto"/>
        <w:rPr>
          <w:bCs/>
        </w:rPr>
      </w:pPr>
      <w:r>
        <w:rPr>
          <w:bCs/>
        </w:rPr>
        <w:t xml:space="preserve">Define the scenarios to activate and test the audibility of detonators in a field-based trial </w:t>
      </w:r>
    </w:p>
    <w:p w14:paraId="120574D3" w14:textId="77777777" w:rsidR="00A26D7C" w:rsidRPr="00AE3975" w:rsidRDefault="00A26D7C" w:rsidP="00A26D7C">
      <w:pPr>
        <w:pStyle w:val="Body"/>
        <w:numPr>
          <w:ilvl w:val="0"/>
          <w:numId w:val="65"/>
        </w:numPr>
        <w:spacing w:before="120" w:line="276" w:lineRule="auto"/>
        <w:rPr>
          <w:bCs/>
        </w:rPr>
      </w:pPr>
      <w:r>
        <w:rPr>
          <w:bCs/>
        </w:rPr>
        <w:t>Produce a test plan and method of work to support the safety case risk assessment for carrying out the field trial.  This will need to be approved by the test track site</w:t>
      </w:r>
    </w:p>
    <w:p w14:paraId="765F8C3B" w14:textId="77777777" w:rsidR="00A26D7C" w:rsidRPr="008D744D" w:rsidRDefault="00A26D7C" w:rsidP="00A26D7C">
      <w:pPr>
        <w:pStyle w:val="Body"/>
        <w:numPr>
          <w:ilvl w:val="0"/>
          <w:numId w:val="65"/>
        </w:numPr>
        <w:spacing w:before="120" w:line="276" w:lineRule="auto"/>
        <w:rPr>
          <w:bCs/>
        </w:rPr>
      </w:pPr>
      <w:r w:rsidRPr="003766A7">
        <w:rPr>
          <w:bCs/>
        </w:rPr>
        <w:t>Undertake the field-based tria</w:t>
      </w:r>
      <w:r>
        <w:rPr>
          <w:bCs/>
        </w:rPr>
        <w:t xml:space="preserve">l and gather data </w:t>
      </w:r>
    </w:p>
    <w:p w14:paraId="4A939B82" w14:textId="77777777" w:rsidR="00A26D7C" w:rsidRDefault="00A26D7C" w:rsidP="00A26D7C">
      <w:pPr>
        <w:pStyle w:val="Body"/>
        <w:numPr>
          <w:ilvl w:val="0"/>
          <w:numId w:val="65"/>
        </w:numPr>
        <w:spacing w:before="120" w:line="276" w:lineRule="auto"/>
        <w:rPr>
          <w:bCs/>
        </w:rPr>
      </w:pPr>
      <w:r>
        <w:rPr>
          <w:bCs/>
        </w:rPr>
        <w:t>V</w:t>
      </w:r>
      <w:r w:rsidRPr="003766A7">
        <w:rPr>
          <w:bCs/>
        </w:rPr>
        <w:t>alidate the model</w:t>
      </w:r>
      <w:r>
        <w:rPr>
          <w:bCs/>
        </w:rPr>
        <w:t xml:space="preserve"> and ensure it provides a good prediction of the audibility of detonators across the agree range of conditions </w:t>
      </w:r>
    </w:p>
    <w:p w14:paraId="1BC1AF9B" w14:textId="77777777" w:rsidR="00A26D7C" w:rsidRPr="00AC065D" w:rsidRDefault="00A26D7C" w:rsidP="00A26D7C">
      <w:pPr>
        <w:pStyle w:val="Body"/>
        <w:numPr>
          <w:ilvl w:val="0"/>
          <w:numId w:val="65"/>
        </w:numPr>
        <w:spacing w:before="120" w:line="276" w:lineRule="auto"/>
        <w:rPr>
          <w:bCs/>
        </w:rPr>
      </w:pPr>
      <w:r>
        <w:rPr>
          <w:bCs/>
        </w:rPr>
        <w:lastRenderedPageBreak/>
        <w:t>Clearly identify the conditions, situations and scenarios in which detonators are not clearly audible, and implications for current practice</w:t>
      </w:r>
    </w:p>
    <w:p w14:paraId="707A9DEE" w14:textId="77777777" w:rsidR="00A26D7C" w:rsidRDefault="00A26D7C" w:rsidP="00A26D7C">
      <w:pPr>
        <w:pStyle w:val="Body"/>
        <w:spacing w:before="120" w:line="276" w:lineRule="auto"/>
        <w:rPr>
          <w:bCs/>
        </w:rPr>
      </w:pPr>
      <w:r>
        <w:rPr>
          <w:bCs/>
        </w:rPr>
        <w:t xml:space="preserve">To undertake the field trial, RSSB are working with Network Rail to arrange access to test track sites, rolling stock, necessary support staff (e.g. drivers) and the provision of detonators for testing.  </w:t>
      </w:r>
      <w:r w:rsidRPr="005465D0">
        <w:rPr>
          <w:bCs/>
        </w:rPr>
        <w:t xml:space="preserve">Suppliers are not expected to fund </w:t>
      </w:r>
      <w:r>
        <w:rPr>
          <w:bCs/>
        </w:rPr>
        <w:t xml:space="preserve">these </w:t>
      </w:r>
      <w:r w:rsidRPr="005465D0">
        <w:rPr>
          <w:bCs/>
        </w:rPr>
        <w:t>costs</w:t>
      </w:r>
      <w:r>
        <w:rPr>
          <w:bCs/>
        </w:rPr>
        <w:t xml:space="preserve">.  Costs associated with accessing the test track, rolling stock and track/train support staff, will be covered </w:t>
      </w:r>
      <w:r w:rsidRPr="005465D0">
        <w:rPr>
          <w:bCs/>
        </w:rPr>
        <w:t xml:space="preserve">by Network Rail.  </w:t>
      </w:r>
    </w:p>
    <w:p w14:paraId="2B099E63" w14:textId="77777777" w:rsidR="00A26D7C" w:rsidRDefault="00A26D7C" w:rsidP="00A26D7C">
      <w:pPr>
        <w:pStyle w:val="Body"/>
        <w:spacing w:before="120" w:line="276" w:lineRule="auto"/>
        <w:rPr>
          <w:bCs/>
        </w:rPr>
      </w:pPr>
      <w:r w:rsidRPr="006C1807">
        <w:rPr>
          <w:bCs/>
        </w:rPr>
        <w:t xml:space="preserve">Network Rail will arrange staff to facilitate access to the test sites and provide supervision during testing.  </w:t>
      </w:r>
      <w:r>
        <w:rPr>
          <w:bCs/>
        </w:rPr>
        <w:t>R</w:t>
      </w:r>
      <w:r w:rsidRPr="006C1807">
        <w:rPr>
          <w:bCs/>
        </w:rPr>
        <w:t xml:space="preserve">isk assessments for </w:t>
      </w:r>
      <w:r>
        <w:rPr>
          <w:bCs/>
        </w:rPr>
        <w:t xml:space="preserve">accessing the </w:t>
      </w:r>
      <w:r w:rsidRPr="006C1807">
        <w:rPr>
          <w:bCs/>
        </w:rPr>
        <w:t>test track site will be undertaken by Network Rail.   Personal track safety qualifications are not required by the supplier, and track visitor permits will be supplied where necessary.</w:t>
      </w:r>
      <w:r>
        <w:rPr>
          <w:bCs/>
        </w:rPr>
        <w:t xml:space="preserve">  Suppliers should provide their own Personal Protective Equipment (e.g. appropriate footwear, clothing, helmets) for when working on the test track sites.  Advice on specific requirements can be provided to the supplier when in contract.  </w:t>
      </w:r>
    </w:p>
    <w:p w14:paraId="2B0DF73C" w14:textId="77777777" w:rsidR="00A26D7C" w:rsidRDefault="00A26D7C" w:rsidP="00A26D7C">
      <w:pPr>
        <w:pStyle w:val="Body"/>
        <w:spacing w:before="120" w:line="276" w:lineRule="auto"/>
        <w:rPr>
          <w:bCs/>
        </w:rPr>
      </w:pPr>
      <w:r>
        <w:rPr>
          <w:bCs/>
        </w:rPr>
        <w:t>Field testing dates and location are to be confirmed.  It expected that access to the test track, support staff and rolling stock will be at one or both RIDC test track site(s)</w:t>
      </w:r>
      <w:r>
        <w:rPr>
          <w:rStyle w:val="FootnoteReference"/>
          <w:rFonts w:eastAsia="Arial"/>
          <w:bCs/>
        </w:rPr>
        <w:footnoteReference w:id="4"/>
      </w:r>
      <w:r>
        <w:rPr>
          <w:bCs/>
        </w:rPr>
        <w:t xml:space="preserve">, for up to 10 days testing between March and April 2019.  </w:t>
      </w:r>
      <w:r w:rsidRPr="006C1807">
        <w:rPr>
          <w:b/>
          <w:bCs/>
          <w:u w:val="single"/>
        </w:rPr>
        <w:t xml:space="preserve">The testing dates and location is subject to change, and should new information emerge during the </w:t>
      </w:r>
      <w:r>
        <w:rPr>
          <w:b/>
          <w:bCs/>
          <w:u w:val="single"/>
        </w:rPr>
        <w:t>tender period</w:t>
      </w:r>
      <w:r w:rsidRPr="006C1807">
        <w:rPr>
          <w:b/>
          <w:bCs/>
          <w:u w:val="single"/>
        </w:rPr>
        <w:t xml:space="preserve"> regarding this, </w:t>
      </w:r>
      <w:r>
        <w:rPr>
          <w:b/>
          <w:bCs/>
          <w:u w:val="single"/>
        </w:rPr>
        <w:t xml:space="preserve">the </w:t>
      </w:r>
      <w:r w:rsidRPr="006C1807">
        <w:rPr>
          <w:b/>
          <w:bCs/>
          <w:u w:val="single"/>
        </w:rPr>
        <w:t xml:space="preserve">additional information will be </w:t>
      </w:r>
      <w:r>
        <w:rPr>
          <w:b/>
          <w:bCs/>
          <w:u w:val="single"/>
        </w:rPr>
        <w:t>provided to suppliers through the tender portal</w:t>
      </w:r>
      <w:r>
        <w:rPr>
          <w:bCs/>
        </w:rPr>
        <w:t xml:space="preserve">.  During the project delivery, RSSB and Network Rail will work with the supplier to finalise testing arranges.  </w:t>
      </w:r>
    </w:p>
    <w:p w14:paraId="51D28646" w14:textId="77777777" w:rsidR="00A26D7C" w:rsidRDefault="00A26D7C" w:rsidP="00A26D7C">
      <w:pPr>
        <w:pStyle w:val="Body"/>
        <w:spacing w:before="120" w:line="276" w:lineRule="auto"/>
        <w:rPr>
          <w:bCs/>
        </w:rPr>
      </w:pPr>
      <w:r>
        <w:rPr>
          <w:bCs/>
        </w:rPr>
        <w:t xml:space="preserve">Suppliers should consider in their bids a flexible approach to the field testing, for when access to the test track is available, but with the base plan for testing to take place in late March / early April.  </w:t>
      </w:r>
    </w:p>
    <w:p w14:paraId="1475FE3A" w14:textId="77777777" w:rsidR="00A26D7C" w:rsidRDefault="00A26D7C" w:rsidP="00A26D7C">
      <w:pPr>
        <w:pStyle w:val="Body"/>
        <w:spacing w:before="120" w:line="276" w:lineRule="auto"/>
        <w:rPr>
          <w:bCs/>
        </w:rPr>
      </w:pPr>
      <w:r>
        <w:rPr>
          <w:bCs/>
        </w:rPr>
        <w:t>The supplier will also be supported by the project steering group and project manager to ensure this work appropriately aligns with T1155 and the NR workstream on possession management review.</w:t>
      </w:r>
    </w:p>
    <w:p w14:paraId="0DA6C5E6" w14:textId="11C54D60" w:rsidR="00A26D7C" w:rsidRDefault="00A26D7C" w:rsidP="00A26D7C">
      <w:pPr>
        <w:pStyle w:val="Body"/>
        <w:rPr>
          <w:bCs/>
        </w:rPr>
      </w:pPr>
    </w:p>
    <w:p w14:paraId="5936247B" w14:textId="0D225CE7" w:rsidR="00A26D7C" w:rsidRDefault="00A26D7C" w:rsidP="00A26D7C">
      <w:pPr>
        <w:pStyle w:val="Body"/>
        <w:rPr>
          <w:bCs/>
        </w:rPr>
      </w:pPr>
    </w:p>
    <w:p w14:paraId="7A52B1B4" w14:textId="5178318A" w:rsidR="00A26D7C" w:rsidRDefault="00A26D7C" w:rsidP="00A26D7C">
      <w:pPr>
        <w:pStyle w:val="Body"/>
        <w:rPr>
          <w:bCs/>
        </w:rPr>
      </w:pPr>
    </w:p>
    <w:p w14:paraId="0B114B62" w14:textId="77777777" w:rsidR="00A26D7C" w:rsidRDefault="00A26D7C" w:rsidP="00A26D7C">
      <w:pPr>
        <w:pStyle w:val="Body"/>
        <w:rPr>
          <w:bCs/>
        </w:rPr>
      </w:pPr>
    </w:p>
    <w:p w14:paraId="5202BF54" w14:textId="77777777" w:rsidR="00A26D7C" w:rsidRPr="005973DE" w:rsidRDefault="00A26D7C" w:rsidP="00A26D7C">
      <w:pPr>
        <w:pStyle w:val="Heading1"/>
      </w:pPr>
      <w:r w:rsidRPr="005973DE">
        <w:t>Scope</w:t>
      </w:r>
    </w:p>
    <w:tbl>
      <w:tblPr>
        <w:tblStyle w:val="TableGrid"/>
        <w:tblW w:w="8790" w:type="dxa"/>
        <w:tblInd w:w="-431" w:type="dxa"/>
        <w:tblLook w:val="04A0" w:firstRow="1" w:lastRow="0" w:firstColumn="1" w:lastColumn="0" w:noHBand="0" w:noVBand="1"/>
      </w:tblPr>
      <w:tblGrid>
        <w:gridCol w:w="6380"/>
        <w:gridCol w:w="2410"/>
      </w:tblGrid>
      <w:tr w:rsidR="00A26D7C" w:rsidRPr="005973DE" w14:paraId="7ED6F0AD" w14:textId="77777777" w:rsidTr="00A26D7C">
        <w:tc>
          <w:tcPr>
            <w:tcW w:w="6380" w:type="dxa"/>
          </w:tcPr>
          <w:p w14:paraId="4E72CAE3" w14:textId="77777777" w:rsidR="00A26D7C" w:rsidRPr="005973DE" w:rsidRDefault="00A26D7C" w:rsidP="00A26D7C">
            <w:pPr>
              <w:pStyle w:val="Body"/>
              <w:spacing w:line="240" w:lineRule="auto"/>
              <w:rPr>
                <w:b/>
                <w:sz w:val="20"/>
              </w:rPr>
            </w:pPr>
            <w:r w:rsidRPr="005973DE">
              <w:rPr>
                <w:b/>
                <w:sz w:val="20"/>
              </w:rPr>
              <w:t>In Scope</w:t>
            </w:r>
          </w:p>
        </w:tc>
        <w:tc>
          <w:tcPr>
            <w:tcW w:w="2410" w:type="dxa"/>
          </w:tcPr>
          <w:p w14:paraId="24DE4A59" w14:textId="77777777" w:rsidR="00A26D7C" w:rsidRPr="005973DE" w:rsidRDefault="00A26D7C" w:rsidP="00A26D7C">
            <w:pPr>
              <w:pStyle w:val="Body"/>
              <w:spacing w:line="240" w:lineRule="auto"/>
              <w:rPr>
                <w:b/>
                <w:sz w:val="20"/>
              </w:rPr>
            </w:pPr>
            <w:r w:rsidRPr="005973DE">
              <w:rPr>
                <w:b/>
                <w:sz w:val="20"/>
              </w:rPr>
              <w:t>Out of Scope</w:t>
            </w:r>
          </w:p>
        </w:tc>
      </w:tr>
      <w:tr w:rsidR="00A26D7C" w:rsidRPr="005973DE" w14:paraId="6F1B9665" w14:textId="77777777" w:rsidTr="00A26D7C">
        <w:tc>
          <w:tcPr>
            <w:tcW w:w="6380" w:type="dxa"/>
          </w:tcPr>
          <w:p w14:paraId="16DC0D78" w14:textId="77777777" w:rsidR="00A26D7C" w:rsidRDefault="00A26D7C" w:rsidP="00A26D7C">
            <w:pPr>
              <w:pStyle w:val="Body"/>
              <w:numPr>
                <w:ilvl w:val="0"/>
                <w:numId w:val="63"/>
              </w:numPr>
              <w:spacing w:before="120" w:line="276" w:lineRule="auto"/>
              <w:ind w:hanging="357"/>
              <w:rPr>
                <w:sz w:val="20"/>
              </w:rPr>
            </w:pPr>
            <w:r>
              <w:rPr>
                <w:sz w:val="20"/>
              </w:rPr>
              <w:lastRenderedPageBreak/>
              <w:t xml:space="preserve">Identify the key conditions that may influence the audibility of detonator activation, and proposal for how to capture them into the noise modelling work. Considerations should include but not be limited to: </w:t>
            </w:r>
          </w:p>
          <w:p w14:paraId="12FD685F" w14:textId="77777777" w:rsidR="00A26D7C" w:rsidRDefault="00A26D7C" w:rsidP="00A26D7C">
            <w:pPr>
              <w:pStyle w:val="Body"/>
              <w:numPr>
                <w:ilvl w:val="1"/>
                <w:numId w:val="63"/>
              </w:numPr>
              <w:spacing w:before="120" w:line="276" w:lineRule="auto"/>
              <w:ind w:hanging="357"/>
              <w:rPr>
                <w:sz w:val="20"/>
              </w:rPr>
            </w:pPr>
            <w:r>
              <w:rPr>
                <w:sz w:val="20"/>
              </w:rPr>
              <w:t>Typical ambient background sounds</w:t>
            </w:r>
          </w:p>
          <w:p w14:paraId="1E99CBB2" w14:textId="77777777" w:rsidR="00A26D7C" w:rsidRDefault="00A26D7C" w:rsidP="00A26D7C">
            <w:pPr>
              <w:pStyle w:val="Body"/>
              <w:numPr>
                <w:ilvl w:val="1"/>
                <w:numId w:val="63"/>
              </w:numPr>
              <w:spacing w:before="120" w:line="276" w:lineRule="auto"/>
              <w:ind w:hanging="357"/>
              <w:rPr>
                <w:sz w:val="20"/>
              </w:rPr>
            </w:pPr>
            <w:r>
              <w:rPr>
                <w:sz w:val="20"/>
              </w:rPr>
              <w:t xml:space="preserve">Train operational tasks (e.g. when talking with the signaller, or alarm system activation)   </w:t>
            </w:r>
          </w:p>
          <w:p w14:paraId="0D283493" w14:textId="77777777" w:rsidR="00A26D7C" w:rsidRDefault="00A26D7C" w:rsidP="00A26D7C">
            <w:pPr>
              <w:pStyle w:val="Body"/>
              <w:numPr>
                <w:ilvl w:val="1"/>
                <w:numId w:val="63"/>
              </w:numPr>
              <w:spacing w:before="120" w:line="276" w:lineRule="auto"/>
              <w:ind w:hanging="357"/>
              <w:rPr>
                <w:sz w:val="20"/>
              </w:rPr>
            </w:pPr>
            <w:r>
              <w:rPr>
                <w:sz w:val="20"/>
              </w:rPr>
              <w:t xml:space="preserve">Weather conditions </w:t>
            </w:r>
          </w:p>
          <w:p w14:paraId="5A7594C3" w14:textId="77777777" w:rsidR="00A26D7C" w:rsidRDefault="00A26D7C" w:rsidP="00A26D7C">
            <w:pPr>
              <w:pStyle w:val="Body"/>
              <w:numPr>
                <w:ilvl w:val="1"/>
                <w:numId w:val="63"/>
              </w:numPr>
              <w:spacing w:before="120" w:line="276" w:lineRule="auto"/>
              <w:ind w:hanging="357"/>
              <w:rPr>
                <w:sz w:val="20"/>
              </w:rPr>
            </w:pPr>
            <w:r>
              <w:rPr>
                <w:sz w:val="20"/>
              </w:rPr>
              <w:t xml:space="preserve">Rolling stock type, including energy traction and age </w:t>
            </w:r>
          </w:p>
          <w:p w14:paraId="6BD8E0DE" w14:textId="77777777" w:rsidR="00A26D7C" w:rsidRDefault="00A26D7C" w:rsidP="00A26D7C">
            <w:pPr>
              <w:pStyle w:val="Body"/>
              <w:numPr>
                <w:ilvl w:val="1"/>
                <w:numId w:val="63"/>
              </w:numPr>
              <w:spacing w:before="120" w:line="276" w:lineRule="auto"/>
              <w:ind w:hanging="357"/>
              <w:rPr>
                <w:sz w:val="20"/>
              </w:rPr>
            </w:pPr>
            <w:r>
              <w:rPr>
                <w:sz w:val="20"/>
              </w:rPr>
              <w:t>Train running speeds</w:t>
            </w:r>
          </w:p>
          <w:p w14:paraId="7A37914B" w14:textId="77777777" w:rsidR="00A26D7C" w:rsidRDefault="00A26D7C" w:rsidP="00A26D7C">
            <w:pPr>
              <w:pStyle w:val="Body"/>
              <w:numPr>
                <w:ilvl w:val="1"/>
                <w:numId w:val="63"/>
              </w:numPr>
              <w:spacing w:before="120" w:line="276" w:lineRule="auto"/>
              <w:ind w:hanging="357"/>
              <w:rPr>
                <w:sz w:val="20"/>
              </w:rPr>
            </w:pPr>
            <w:r>
              <w:rPr>
                <w:sz w:val="20"/>
              </w:rPr>
              <w:t>Distances in which detonators expected to be heard (meeting minimum medical requirements for hearing)</w:t>
            </w:r>
          </w:p>
          <w:p w14:paraId="40CDD2C5" w14:textId="77777777" w:rsidR="00A26D7C" w:rsidRPr="00BC6FE3" w:rsidRDefault="00A26D7C" w:rsidP="00A26D7C">
            <w:pPr>
              <w:pStyle w:val="Body"/>
              <w:numPr>
                <w:ilvl w:val="1"/>
                <w:numId w:val="63"/>
              </w:numPr>
              <w:spacing w:before="120" w:line="276" w:lineRule="auto"/>
              <w:ind w:hanging="357"/>
              <w:rPr>
                <w:sz w:val="20"/>
              </w:rPr>
            </w:pPr>
            <w:r>
              <w:rPr>
                <w:sz w:val="20"/>
              </w:rPr>
              <w:t>So</w:t>
            </w:r>
            <w:r w:rsidRPr="00BC6FE3">
              <w:rPr>
                <w:sz w:val="20"/>
              </w:rPr>
              <w:t xml:space="preserve">unds that </w:t>
            </w:r>
            <w:r>
              <w:rPr>
                <w:sz w:val="20"/>
              </w:rPr>
              <w:t>could be mistaken for and misperceived as</w:t>
            </w:r>
            <w:r w:rsidRPr="00BC6FE3">
              <w:rPr>
                <w:sz w:val="20"/>
              </w:rPr>
              <w:t xml:space="preserve"> detonator activation</w:t>
            </w:r>
            <w:r>
              <w:rPr>
                <w:sz w:val="20"/>
              </w:rPr>
              <w:t xml:space="preserve"> </w:t>
            </w:r>
            <w:r w:rsidRPr="00BC6FE3">
              <w:rPr>
                <w:sz w:val="20"/>
              </w:rPr>
              <w:t>(e.g. track joints</w:t>
            </w:r>
            <w:r>
              <w:rPr>
                <w:sz w:val="20"/>
              </w:rPr>
              <w:t>)</w:t>
            </w:r>
          </w:p>
          <w:p w14:paraId="331BB864" w14:textId="77777777" w:rsidR="00A26D7C" w:rsidRPr="001E19FF" w:rsidRDefault="00A26D7C" w:rsidP="00A26D7C">
            <w:pPr>
              <w:pStyle w:val="ListParagraph"/>
              <w:numPr>
                <w:ilvl w:val="0"/>
                <w:numId w:val="63"/>
              </w:numPr>
              <w:spacing w:before="120" w:after="120" w:line="276" w:lineRule="auto"/>
              <w:ind w:hanging="357"/>
              <w:rPr>
                <w:rFonts w:ascii="Calibri" w:hAnsi="Calibri"/>
                <w:sz w:val="20"/>
                <w:szCs w:val="22"/>
              </w:rPr>
            </w:pPr>
            <w:r>
              <w:rPr>
                <w:rFonts w:ascii="Calibri" w:hAnsi="Calibri"/>
                <w:sz w:val="20"/>
                <w:szCs w:val="22"/>
              </w:rPr>
              <w:t>Define a m</w:t>
            </w:r>
            <w:r w:rsidRPr="001E19FF">
              <w:rPr>
                <w:rFonts w:ascii="Calibri" w:hAnsi="Calibri"/>
                <w:sz w:val="20"/>
                <w:szCs w:val="22"/>
              </w:rPr>
              <w:t>odel to test the audibility of detonators across the</w:t>
            </w:r>
            <w:r>
              <w:rPr>
                <w:rFonts w:ascii="Calibri" w:hAnsi="Calibri"/>
                <w:sz w:val="20"/>
                <w:szCs w:val="22"/>
              </w:rPr>
              <w:t xml:space="preserve"> agreed</w:t>
            </w:r>
            <w:r w:rsidRPr="001E19FF">
              <w:rPr>
                <w:rFonts w:ascii="Calibri" w:hAnsi="Calibri"/>
                <w:sz w:val="20"/>
                <w:szCs w:val="22"/>
              </w:rPr>
              <w:t xml:space="preserve"> range of </w:t>
            </w:r>
            <w:r>
              <w:rPr>
                <w:rFonts w:ascii="Calibri" w:hAnsi="Calibri"/>
                <w:sz w:val="20"/>
                <w:szCs w:val="22"/>
              </w:rPr>
              <w:t xml:space="preserve">trains, </w:t>
            </w:r>
            <w:r w:rsidRPr="001E19FF">
              <w:rPr>
                <w:rFonts w:ascii="Calibri" w:hAnsi="Calibri"/>
                <w:sz w:val="20"/>
                <w:szCs w:val="22"/>
              </w:rPr>
              <w:t>conditions</w:t>
            </w:r>
            <w:r>
              <w:rPr>
                <w:rFonts w:ascii="Calibri" w:hAnsi="Calibri"/>
                <w:sz w:val="20"/>
                <w:szCs w:val="22"/>
              </w:rPr>
              <w:t>, situations and scenarios detonators are expected to be effective in</w:t>
            </w:r>
            <w:r w:rsidRPr="001E19FF">
              <w:rPr>
                <w:rFonts w:ascii="Calibri" w:hAnsi="Calibri"/>
                <w:sz w:val="20"/>
                <w:szCs w:val="22"/>
              </w:rPr>
              <w:t xml:space="preserve">  </w:t>
            </w:r>
          </w:p>
          <w:p w14:paraId="497DB296" w14:textId="77777777" w:rsidR="00A26D7C" w:rsidRPr="0025454D" w:rsidRDefault="00A26D7C" w:rsidP="00A26D7C">
            <w:pPr>
              <w:pStyle w:val="ListParagraph"/>
              <w:numPr>
                <w:ilvl w:val="0"/>
                <w:numId w:val="63"/>
              </w:numPr>
              <w:spacing w:before="120" w:after="120" w:line="276" w:lineRule="auto"/>
              <w:ind w:hanging="357"/>
              <w:rPr>
                <w:rFonts w:asciiTheme="minorHAnsi" w:hAnsiTheme="minorHAnsi"/>
                <w:sz w:val="20"/>
                <w:szCs w:val="20"/>
              </w:rPr>
            </w:pPr>
            <w:r w:rsidRPr="0025454D">
              <w:rPr>
                <w:rFonts w:asciiTheme="minorHAnsi" w:hAnsiTheme="minorHAnsi"/>
                <w:sz w:val="20"/>
                <w:szCs w:val="20"/>
              </w:rPr>
              <w:t>Validate the model in a field-based trial testing the audibility of detonators</w:t>
            </w:r>
            <w:r>
              <w:rPr>
                <w:rFonts w:asciiTheme="minorHAnsi" w:hAnsiTheme="minorHAnsi"/>
                <w:sz w:val="20"/>
                <w:szCs w:val="20"/>
              </w:rPr>
              <w:t xml:space="preserve"> using supplier provided sensing equipment</w:t>
            </w:r>
          </w:p>
          <w:p w14:paraId="763911A9" w14:textId="77777777" w:rsidR="00A26D7C" w:rsidRPr="0025454D" w:rsidRDefault="00A26D7C" w:rsidP="00A26D7C">
            <w:pPr>
              <w:pStyle w:val="Body"/>
              <w:numPr>
                <w:ilvl w:val="0"/>
                <w:numId w:val="65"/>
              </w:numPr>
              <w:spacing w:before="120" w:line="276" w:lineRule="auto"/>
              <w:rPr>
                <w:rFonts w:asciiTheme="minorHAnsi" w:hAnsiTheme="minorHAnsi"/>
                <w:bCs/>
                <w:sz w:val="20"/>
                <w:szCs w:val="20"/>
              </w:rPr>
            </w:pPr>
            <w:r w:rsidRPr="0025454D">
              <w:rPr>
                <w:rFonts w:asciiTheme="minorHAnsi" w:hAnsiTheme="minorHAnsi"/>
                <w:sz w:val="20"/>
                <w:szCs w:val="20"/>
              </w:rPr>
              <w:t>Determine the overall effectiveness of detonators, and the conditions</w:t>
            </w:r>
            <w:r w:rsidRPr="0025454D">
              <w:rPr>
                <w:rFonts w:asciiTheme="minorHAnsi" w:hAnsiTheme="minorHAnsi"/>
                <w:bCs/>
                <w:sz w:val="20"/>
                <w:szCs w:val="20"/>
              </w:rPr>
              <w:t>, situations and scenarios in which detonators are not audible</w:t>
            </w:r>
          </w:p>
          <w:p w14:paraId="06677330" w14:textId="77777777" w:rsidR="00A26D7C" w:rsidRPr="0099070A" w:rsidRDefault="00A26D7C" w:rsidP="00A26D7C">
            <w:pPr>
              <w:pStyle w:val="Body"/>
              <w:numPr>
                <w:ilvl w:val="0"/>
                <w:numId w:val="63"/>
              </w:numPr>
              <w:spacing w:before="120" w:line="276" w:lineRule="auto"/>
              <w:ind w:hanging="357"/>
              <w:rPr>
                <w:sz w:val="20"/>
              </w:rPr>
            </w:pPr>
            <w:r w:rsidRPr="0025454D">
              <w:rPr>
                <w:rFonts w:asciiTheme="minorHAnsi" w:hAnsiTheme="minorHAnsi"/>
                <w:sz w:val="20"/>
                <w:szCs w:val="20"/>
              </w:rPr>
              <w:t>Compare the results to</w:t>
            </w:r>
            <w:r>
              <w:rPr>
                <w:rFonts w:asciiTheme="minorHAnsi" w:hAnsiTheme="minorHAnsi"/>
                <w:sz w:val="20"/>
                <w:szCs w:val="20"/>
              </w:rPr>
              <w:t xml:space="preserve"> relevant</w:t>
            </w:r>
            <w:r w:rsidRPr="0025454D">
              <w:rPr>
                <w:rFonts w:asciiTheme="minorHAnsi" w:hAnsiTheme="minorHAnsi"/>
                <w:sz w:val="20"/>
                <w:szCs w:val="20"/>
              </w:rPr>
              <w:t xml:space="preserve"> standards (e.g. GM/RT2160 Environment inside Railway Vehicles Audibility of detonators)</w:t>
            </w:r>
            <w:r>
              <w:rPr>
                <w:sz w:val="20"/>
              </w:rPr>
              <w:t xml:space="preserve"> and understand </w:t>
            </w:r>
            <w:r w:rsidRPr="0099070A">
              <w:rPr>
                <w:sz w:val="20"/>
              </w:rPr>
              <w:t xml:space="preserve">implications </w:t>
            </w:r>
            <w:r>
              <w:rPr>
                <w:sz w:val="20"/>
              </w:rPr>
              <w:t>for current practice.</w:t>
            </w:r>
          </w:p>
        </w:tc>
        <w:tc>
          <w:tcPr>
            <w:tcW w:w="2410" w:type="dxa"/>
          </w:tcPr>
          <w:p w14:paraId="49BAB667" w14:textId="77777777" w:rsidR="00A26D7C" w:rsidRDefault="00A26D7C" w:rsidP="00A26D7C">
            <w:pPr>
              <w:pStyle w:val="Body"/>
              <w:numPr>
                <w:ilvl w:val="0"/>
                <w:numId w:val="63"/>
              </w:numPr>
              <w:spacing w:before="120" w:line="276" w:lineRule="auto"/>
              <w:ind w:left="357" w:hanging="357"/>
              <w:rPr>
                <w:sz w:val="20"/>
              </w:rPr>
            </w:pPr>
            <w:r>
              <w:rPr>
                <w:sz w:val="20"/>
              </w:rPr>
              <w:t>Risk assessment on detonator use (covered in T1155)</w:t>
            </w:r>
          </w:p>
          <w:p w14:paraId="1AF46F94" w14:textId="77777777" w:rsidR="00A26D7C" w:rsidRDefault="00A26D7C" w:rsidP="00A26D7C">
            <w:pPr>
              <w:pStyle w:val="Body"/>
              <w:numPr>
                <w:ilvl w:val="0"/>
                <w:numId w:val="63"/>
              </w:numPr>
              <w:spacing w:before="120" w:line="276" w:lineRule="auto"/>
              <w:ind w:left="357" w:hanging="357"/>
              <w:rPr>
                <w:sz w:val="20"/>
              </w:rPr>
            </w:pPr>
            <w:r>
              <w:rPr>
                <w:sz w:val="20"/>
              </w:rPr>
              <w:t>Alternative technologies and methods to detonators (covered in T1155)</w:t>
            </w:r>
          </w:p>
          <w:p w14:paraId="2E69324B" w14:textId="77777777" w:rsidR="00A26D7C" w:rsidRPr="00AD5A21" w:rsidRDefault="00A26D7C" w:rsidP="00A26D7C">
            <w:pPr>
              <w:pStyle w:val="Body"/>
              <w:numPr>
                <w:ilvl w:val="0"/>
                <w:numId w:val="63"/>
              </w:numPr>
              <w:spacing w:before="120" w:line="276" w:lineRule="auto"/>
              <w:ind w:left="357" w:hanging="357"/>
              <w:rPr>
                <w:sz w:val="20"/>
              </w:rPr>
            </w:pPr>
            <w:r>
              <w:rPr>
                <w:sz w:val="20"/>
              </w:rPr>
              <w:t>Testing the a</w:t>
            </w:r>
            <w:r w:rsidRPr="00AD5A21">
              <w:rPr>
                <w:sz w:val="20"/>
              </w:rPr>
              <w:t xml:space="preserve">udibility </w:t>
            </w:r>
            <w:r>
              <w:rPr>
                <w:sz w:val="20"/>
              </w:rPr>
              <w:t xml:space="preserve">of detonators with participants </w:t>
            </w:r>
            <w:r w:rsidRPr="00AD5A21">
              <w:rPr>
                <w:sz w:val="20"/>
              </w:rPr>
              <w:t xml:space="preserve">who do not meet the </w:t>
            </w:r>
            <w:r>
              <w:rPr>
                <w:sz w:val="20"/>
              </w:rPr>
              <w:t xml:space="preserve">minimum </w:t>
            </w:r>
            <w:r w:rsidRPr="00AD5A21">
              <w:rPr>
                <w:sz w:val="20"/>
              </w:rPr>
              <w:t xml:space="preserve">medical fitness </w:t>
            </w:r>
            <w:r>
              <w:rPr>
                <w:sz w:val="20"/>
              </w:rPr>
              <w:t xml:space="preserve">requirements </w:t>
            </w:r>
            <w:r w:rsidRPr="00AD5A21">
              <w:rPr>
                <w:sz w:val="20"/>
              </w:rPr>
              <w:t>for hearing</w:t>
            </w:r>
          </w:p>
          <w:p w14:paraId="14BB4390" w14:textId="77777777" w:rsidR="00A26D7C" w:rsidRPr="005973DE" w:rsidRDefault="00A26D7C" w:rsidP="00A26D7C">
            <w:pPr>
              <w:pStyle w:val="Body"/>
              <w:spacing w:before="120" w:line="276" w:lineRule="auto"/>
              <w:rPr>
                <w:sz w:val="20"/>
              </w:rPr>
            </w:pPr>
          </w:p>
        </w:tc>
      </w:tr>
    </w:tbl>
    <w:p w14:paraId="10658B8B" w14:textId="77777777" w:rsidR="00A26D7C" w:rsidRPr="005973DE" w:rsidRDefault="00A26D7C" w:rsidP="00A26D7C">
      <w:pPr>
        <w:pStyle w:val="Body"/>
        <w:rPr>
          <w:bCs/>
        </w:rPr>
      </w:pPr>
    </w:p>
    <w:p w14:paraId="22A707E0" w14:textId="77777777" w:rsidR="00A26D7C" w:rsidRPr="005973DE" w:rsidRDefault="00A26D7C" w:rsidP="00A26D7C">
      <w:pPr>
        <w:pStyle w:val="Heading1"/>
      </w:pPr>
      <w:r w:rsidRPr="005973DE">
        <w:t xml:space="preserve">Methodology </w:t>
      </w:r>
    </w:p>
    <w:p w14:paraId="7CE5CE93" w14:textId="77777777" w:rsidR="00A26D7C" w:rsidRDefault="00A26D7C" w:rsidP="00A26D7C">
      <w:pPr>
        <w:pStyle w:val="Body"/>
      </w:pPr>
      <w:r w:rsidRPr="005973DE">
        <w:t xml:space="preserve">Suppliers will be expected to define the methodology that they are intending to use to successfully meet the project objectives and cover the scope.   </w:t>
      </w:r>
    </w:p>
    <w:p w14:paraId="1732D212" w14:textId="77777777" w:rsidR="00A26D7C" w:rsidRPr="005973DE" w:rsidRDefault="00A26D7C" w:rsidP="00A26D7C">
      <w:pPr>
        <w:pStyle w:val="Body"/>
        <w:tabs>
          <w:tab w:val="left" w:pos="1753"/>
        </w:tabs>
      </w:pPr>
      <w:r w:rsidRPr="005973DE">
        <w:tab/>
      </w:r>
    </w:p>
    <w:p w14:paraId="13B1A8F9" w14:textId="77777777" w:rsidR="00A26D7C" w:rsidRPr="005973DE" w:rsidRDefault="00A26D7C" w:rsidP="00A26D7C">
      <w:r w:rsidRPr="005973DE">
        <w:t>Deliverables</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A26D7C" w:rsidRPr="005973DE" w14:paraId="176F589F" w14:textId="77777777" w:rsidTr="00A26D7C">
        <w:tc>
          <w:tcPr>
            <w:tcW w:w="5589" w:type="dxa"/>
            <w:shd w:val="clear" w:color="auto" w:fill="99CC00"/>
          </w:tcPr>
          <w:p w14:paraId="21AC2749" w14:textId="77777777" w:rsidR="00A26D7C" w:rsidRPr="005973DE" w:rsidRDefault="00A26D7C" w:rsidP="00A26D7C">
            <w:pPr>
              <w:pStyle w:val="BodyIndent1"/>
              <w:spacing w:line="240" w:lineRule="auto"/>
              <w:rPr>
                <w:b/>
              </w:rPr>
            </w:pPr>
            <w:r w:rsidRPr="005973DE">
              <w:rPr>
                <w:b/>
              </w:rPr>
              <w:t>Deliverable Name</w:t>
            </w:r>
          </w:p>
        </w:tc>
        <w:tc>
          <w:tcPr>
            <w:tcW w:w="2412" w:type="dxa"/>
            <w:shd w:val="clear" w:color="auto" w:fill="99CC00"/>
          </w:tcPr>
          <w:p w14:paraId="646BD24A" w14:textId="77777777" w:rsidR="00A26D7C" w:rsidRPr="005973DE" w:rsidRDefault="00A26D7C" w:rsidP="00A26D7C">
            <w:pPr>
              <w:pStyle w:val="BodyIndent1"/>
              <w:spacing w:line="240" w:lineRule="auto"/>
              <w:rPr>
                <w:b/>
              </w:rPr>
            </w:pPr>
            <w:r w:rsidRPr="005973DE">
              <w:rPr>
                <w:b/>
              </w:rPr>
              <w:t>Type</w:t>
            </w:r>
          </w:p>
        </w:tc>
      </w:tr>
      <w:tr w:rsidR="00A26D7C" w:rsidRPr="005973DE" w14:paraId="67A5EA1D" w14:textId="77777777" w:rsidTr="00A26D7C">
        <w:tc>
          <w:tcPr>
            <w:tcW w:w="5589" w:type="dxa"/>
            <w:shd w:val="clear" w:color="auto" w:fill="FFFFFF"/>
          </w:tcPr>
          <w:p w14:paraId="25A78948" w14:textId="77777777" w:rsidR="00A26D7C" w:rsidRPr="005973DE" w:rsidRDefault="00A26D7C" w:rsidP="00A26D7C">
            <w:pPr>
              <w:pStyle w:val="BodyIndent1"/>
              <w:spacing w:line="240" w:lineRule="auto"/>
              <w:rPr>
                <w:b/>
                <w:bCs/>
              </w:rPr>
            </w:pPr>
            <w:r>
              <w:rPr>
                <w:b/>
                <w:bCs/>
              </w:rPr>
              <w:t xml:space="preserve">Model of the audibility of detonators </w:t>
            </w:r>
          </w:p>
        </w:tc>
        <w:tc>
          <w:tcPr>
            <w:tcW w:w="2412" w:type="dxa"/>
            <w:shd w:val="clear" w:color="auto" w:fill="FFFFFF"/>
          </w:tcPr>
          <w:p w14:paraId="274A4781" w14:textId="77777777" w:rsidR="00A26D7C" w:rsidRPr="00CF438C" w:rsidRDefault="00A26D7C" w:rsidP="00A26D7C">
            <w:pPr>
              <w:pStyle w:val="BodyIndent1"/>
              <w:spacing w:line="240" w:lineRule="auto"/>
              <w:rPr>
                <w:b/>
              </w:rPr>
            </w:pPr>
            <w:r>
              <w:rPr>
                <w:b/>
              </w:rPr>
              <w:t>Model</w:t>
            </w:r>
          </w:p>
        </w:tc>
      </w:tr>
      <w:tr w:rsidR="00A26D7C" w:rsidRPr="005973DE" w14:paraId="141D99E7" w14:textId="77777777" w:rsidTr="00A26D7C">
        <w:tc>
          <w:tcPr>
            <w:tcW w:w="8001" w:type="dxa"/>
            <w:gridSpan w:val="2"/>
            <w:shd w:val="clear" w:color="auto" w:fill="FFFFFF"/>
          </w:tcPr>
          <w:p w14:paraId="63135AF6" w14:textId="77777777" w:rsidR="00A26D7C" w:rsidRDefault="00A26D7C" w:rsidP="00A26D7C">
            <w:pPr>
              <w:pStyle w:val="BodyIndent1"/>
              <w:spacing w:line="240" w:lineRule="auto"/>
            </w:pPr>
            <w:r>
              <w:t xml:space="preserve">Suppliers may use and adapt existing models, or develop a new model, to meet the objectives of this work.  The provision of an existing model is not expected to be a deliverable of T1167.WP2.  However, detail on the model and what, if any, </w:t>
            </w:r>
            <w:r>
              <w:lastRenderedPageBreak/>
              <w:t xml:space="preserve">adaptations were required should be provided to allow repeatability of the applied methodology.  </w:t>
            </w:r>
          </w:p>
          <w:p w14:paraId="789575F1" w14:textId="77777777" w:rsidR="00A26D7C" w:rsidRPr="0025454D" w:rsidRDefault="00A26D7C" w:rsidP="00A26D7C">
            <w:pPr>
              <w:pStyle w:val="BodyIndent1"/>
              <w:spacing w:line="240" w:lineRule="auto"/>
            </w:pPr>
            <w:r>
              <w:t xml:space="preserve">If a model is developed, then this is a deliverable of the research along with suitable documentation and detail on the model development should also be provided.  </w:t>
            </w:r>
          </w:p>
          <w:p w14:paraId="18DA91F1" w14:textId="77777777" w:rsidR="00A26D7C" w:rsidRPr="005973DE" w:rsidRDefault="00A26D7C" w:rsidP="00A26D7C">
            <w:pPr>
              <w:pStyle w:val="BodyIndent1"/>
              <w:spacing w:line="240" w:lineRule="auto"/>
            </w:pPr>
            <w:r>
              <w:t>This</w:t>
            </w:r>
            <w:r w:rsidRPr="005973DE">
              <w:t xml:space="preserve"> deliverable should be accepted by the project steering group.  </w:t>
            </w:r>
          </w:p>
        </w:tc>
      </w:tr>
    </w:tbl>
    <w:p w14:paraId="4EA5F41B" w14:textId="77777777" w:rsidR="00A26D7C" w:rsidRDefault="00A26D7C" w:rsidP="00A26D7C">
      <w:pPr>
        <w:pStyle w:val="Body"/>
        <w:rPr>
          <w:b/>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A26D7C" w:rsidRPr="00700A1D" w14:paraId="7835F8AD" w14:textId="77777777" w:rsidTr="00A26D7C">
        <w:tc>
          <w:tcPr>
            <w:tcW w:w="5589" w:type="dxa"/>
            <w:shd w:val="clear" w:color="auto" w:fill="99CC00"/>
          </w:tcPr>
          <w:p w14:paraId="4F928AB2" w14:textId="77777777" w:rsidR="00A26D7C" w:rsidRPr="00700A1D" w:rsidRDefault="00A26D7C" w:rsidP="00A26D7C">
            <w:pPr>
              <w:pStyle w:val="Body"/>
              <w:rPr>
                <w:b/>
              </w:rPr>
            </w:pPr>
            <w:r w:rsidRPr="00700A1D">
              <w:rPr>
                <w:b/>
              </w:rPr>
              <w:t>Deliverable Name</w:t>
            </w:r>
          </w:p>
        </w:tc>
        <w:tc>
          <w:tcPr>
            <w:tcW w:w="2412" w:type="dxa"/>
            <w:shd w:val="clear" w:color="auto" w:fill="99CC00"/>
          </w:tcPr>
          <w:p w14:paraId="43DFB52B" w14:textId="77777777" w:rsidR="00A26D7C" w:rsidRPr="00700A1D" w:rsidRDefault="00A26D7C" w:rsidP="00A26D7C">
            <w:pPr>
              <w:pStyle w:val="Body"/>
              <w:rPr>
                <w:b/>
              </w:rPr>
            </w:pPr>
            <w:r w:rsidRPr="00700A1D">
              <w:rPr>
                <w:b/>
              </w:rPr>
              <w:t>Type</w:t>
            </w:r>
          </w:p>
        </w:tc>
      </w:tr>
      <w:tr w:rsidR="00A26D7C" w:rsidRPr="00700A1D" w14:paraId="4F8CB41D" w14:textId="77777777" w:rsidTr="00A26D7C">
        <w:tc>
          <w:tcPr>
            <w:tcW w:w="5589" w:type="dxa"/>
            <w:shd w:val="clear" w:color="auto" w:fill="FFFFFF"/>
          </w:tcPr>
          <w:p w14:paraId="4991FEAE" w14:textId="77777777" w:rsidR="00A26D7C" w:rsidRPr="00700A1D" w:rsidRDefault="00A26D7C" w:rsidP="00A26D7C">
            <w:pPr>
              <w:pStyle w:val="Body"/>
              <w:rPr>
                <w:b/>
                <w:bCs/>
              </w:rPr>
            </w:pPr>
            <w:r w:rsidRPr="00700A1D">
              <w:rPr>
                <w:b/>
                <w:bCs/>
              </w:rPr>
              <w:t>Testing the effectiveness of detonator</w:t>
            </w:r>
            <w:r>
              <w:rPr>
                <w:b/>
                <w:bCs/>
              </w:rPr>
              <w:t>s</w:t>
            </w:r>
          </w:p>
        </w:tc>
        <w:tc>
          <w:tcPr>
            <w:tcW w:w="2412" w:type="dxa"/>
            <w:shd w:val="clear" w:color="auto" w:fill="FFFFFF"/>
          </w:tcPr>
          <w:p w14:paraId="00E4408B" w14:textId="77777777" w:rsidR="00A26D7C" w:rsidRPr="00700A1D" w:rsidRDefault="00A26D7C" w:rsidP="00A26D7C">
            <w:pPr>
              <w:pStyle w:val="Body"/>
              <w:rPr>
                <w:b/>
              </w:rPr>
            </w:pPr>
            <w:r w:rsidRPr="00700A1D">
              <w:rPr>
                <w:b/>
              </w:rPr>
              <w:t>Report</w:t>
            </w:r>
          </w:p>
        </w:tc>
      </w:tr>
      <w:tr w:rsidR="00A26D7C" w:rsidRPr="00700A1D" w14:paraId="2FDCD1C9" w14:textId="77777777" w:rsidTr="00A26D7C">
        <w:tc>
          <w:tcPr>
            <w:tcW w:w="8001" w:type="dxa"/>
            <w:gridSpan w:val="2"/>
            <w:shd w:val="clear" w:color="auto" w:fill="FFFFFF"/>
          </w:tcPr>
          <w:p w14:paraId="63E6AF66" w14:textId="77777777" w:rsidR="00A26D7C" w:rsidRPr="0025454D" w:rsidRDefault="00A26D7C" w:rsidP="00A26D7C">
            <w:pPr>
              <w:pStyle w:val="Body"/>
            </w:pPr>
            <w:r w:rsidRPr="0025454D">
              <w:t xml:space="preserve">This report details all work undertaken in T1167.WP2.  It should include the: </w:t>
            </w:r>
          </w:p>
          <w:p w14:paraId="23E3D2D1" w14:textId="77777777" w:rsidR="00A26D7C" w:rsidRPr="0025454D" w:rsidRDefault="00A26D7C" w:rsidP="00A26D7C">
            <w:pPr>
              <w:pStyle w:val="Body"/>
              <w:numPr>
                <w:ilvl w:val="0"/>
                <w:numId w:val="66"/>
              </w:numPr>
            </w:pPr>
            <w:r>
              <w:t>C</w:t>
            </w:r>
            <w:r w:rsidRPr="0025454D">
              <w:t>onditions that influence the audibility of detonators</w:t>
            </w:r>
          </w:p>
          <w:p w14:paraId="761B71F1" w14:textId="77777777" w:rsidR="00A26D7C" w:rsidRPr="0025454D" w:rsidRDefault="00A26D7C" w:rsidP="00A26D7C">
            <w:pPr>
              <w:pStyle w:val="Body"/>
              <w:numPr>
                <w:ilvl w:val="0"/>
                <w:numId w:val="66"/>
              </w:numPr>
            </w:pPr>
            <w:r w:rsidRPr="0025454D">
              <w:t>Research methodology</w:t>
            </w:r>
          </w:p>
          <w:p w14:paraId="15EF1879" w14:textId="77777777" w:rsidR="00A26D7C" w:rsidRPr="0025454D" w:rsidRDefault="00A26D7C" w:rsidP="00A26D7C">
            <w:pPr>
              <w:pStyle w:val="Body"/>
              <w:numPr>
                <w:ilvl w:val="0"/>
                <w:numId w:val="66"/>
              </w:numPr>
            </w:pPr>
            <w:r w:rsidRPr="0025454D">
              <w:t xml:space="preserve">Findings </w:t>
            </w:r>
          </w:p>
          <w:p w14:paraId="108A9F6B" w14:textId="77777777" w:rsidR="00A26D7C" w:rsidRPr="0025454D" w:rsidRDefault="00A26D7C" w:rsidP="00A26D7C">
            <w:pPr>
              <w:pStyle w:val="Body"/>
              <w:numPr>
                <w:ilvl w:val="0"/>
                <w:numId w:val="66"/>
              </w:numPr>
            </w:pPr>
            <w:r w:rsidRPr="0025454D">
              <w:t>Implications and recommendations for current practice</w:t>
            </w:r>
          </w:p>
          <w:p w14:paraId="31128DF6" w14:textId="77777777" w:rsidR="00A26D7C" w:rsidRPr="00700A1D" w:rsidRDefault="00A26D7C" w:rsidP="00A26D7C">
            <w:pPr>
              <w:pStyle w:val="Body"/>
              <w:rPr>
                <w:b/>
              </w:rPr>
            </w:pPr>
            <w:r w:rsidRPr="0025454D">
              <w:t xml:space="preserve">This deliverable should be accepted by the project steering group.  The report will be produced in the RSSB template and will be made </w:t>
            </w:r>
            <w:r>
              <w:t xml:space="preserve">widely </w:t>
            </w:r>
            <w:r w:rsidRPr="0025454D">
              <w:t>available.</w:t>
            </w:r>
          </w:p>
        </w:tc>
      </w:tr>
    </w:tbl>
    <w:p w14:paraId="4568E76F" w14:textId="77777777" w:rsidR="00A26D7C" w:rsidRPr="005973DE" w:rsidRDefault="00A26D7C" w:rsidP="00A26D7C">
      <w:pPr>
        <w:pStyle w:val="Body"/>
        <w:rPr>
          <w:b/>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A26D7C" w:rsidRPr="005973DE" w14:paraId="2E642D28" w14:textId="77777777" w:rsidTr="00A26D7C">
        <w:tc>
          <w:tcPr>
            <w:tcW w:w="5589" w:type="dxa"/>
            <w:shd w:val="clear" w:color="auto" w:fill="99CC00"/>
          </w:tcPr>
          <w:p w14:paraId="648357E0" w14:textId="77777777" w:rsidR="00A26D7C" w:rsidRPr="005973DE" w:rsidRDefault="00A26D7C" w:rsidP="00A26D7C">
            <w:pPr>
              <w:pStyle w:val="BodyIndent1"/>
              <w:spacing w:line="240" w:lineRule="auto"/>
              <w:rPr>
                <w:b/>
              </w:rPr>
            </w:pPr>
            <w:r w:rsidRPr="005973DE">
              <w:rPr>
                <w:b/>
              </w:rPr>
              <w:t>Deliverable Name</w:t>
            </w:r>
          </w:p>
        </w:tc>
        <w:tc>
          <w:tcPr>
            <w:tcW w:w="2412" w:type="dxa"/>
            <w:shd w:val="clear" w:color="auto" w:fill="99CC00"/>
          </w:tcPr>
          <w:p w14:paraId="1DCF2251" w14:textId="77777777" w:rsidR="00A26D7C" w:rsidRPr="005973DE" w:rsidRDefault="00A26D7C" w:rsidP="00A26D7C">
            <w:pPr>
              <w:pStyle w:val="BodyIndent1"/>
              <w:spacing w:line="240" w:lineRule="auto"/>
              <w:rPr>
                <w:b/>
              </w:rPr>
            </w:pPr>
            <w:r w:rsidRPr="005973DE">
              <w:rPr>
                <w:b/>
              </w:rPr>
              <w:t>Type</w:t>
            </w:r>
          </w:p>
        </w:tc>
      </w:tr>
      <w:tr w:rsidR="00A26D7C" w:rsidRPr="005973DE" w14:paraId="01D3FDFA" w14:textId="77777777" w:rsidTr="00A26D7C">
        <w:trPr>
          <w:tblHeader/>
        </w:trPr>
        <w:tc>
          <w:tcPr>
            <w:tcW w:w="5589" w:type="dxa"/>
            <w:shd w:val="clear" w:color="auto" w:fill="FFFFFF"/>
          </w:tcPr>
          <w:p w14:paraId="5425260E" w14:textId="77777777" w:rsidR="00A26D7C" w:rsidRPr="005973DE" w:rsidRDefault="00A26D7C" w:rsidP="00A26D7C">
            <w:pPr>
              <w:pStyle w:val="BodyIndent1"/>
              <w:spacing w:line="240" w:lineRule="auto"/>
              <w:rPr>
                <w:b/>
              </w:rPr>
            </w:pPr>
            <w:r w:rsidRPr="005973DE">
              <w:rPr>
                <w:b/>
              </w:rPr>
              <w:t>Executive Summary Presentation of Key Findings</w:t>
            </w:r>
          </w:p>
        </w:tc>
        <w:tc>
          <w:tcPr>
            <w:tcW w:w="2412" w:type="dxa"/>
            <w:shd w:val="clear" w:color="auto" w:fill="FFFFFF"/>
          </w:tcPr>
          <w:p w14:paraId="3031CEB7" w14:textId="77777777" w:rsidR="00A26D7C" w:rsidRPr="005973DE" w:rsidRDefault="00A26D7C" w:rsidP="00A26D7C">
            <w:pPr>
              <w:pStyle w:val="BodyIndent1"/>
              <w:spacing w:line="240" w:lineRule="auto"/>
            </w:pPr>
            <w:r w:rsidRPr="005973DE">
              <w:t>Presentation</w:t>
            </w:r>
          </w:p>
        </w:tc>
      </w:tr>
      <w:tr w:rsidR="00A26D7C" w:rsidRPr="005973DE" w14:paraId="240FCD8B" w14:textId="77777777" w:rsidTr="00A26D7C">
        <w:trPr>
          <w:tblHeader/>
        </w:trPr>
        <w:tc>
          <w:tcPr>
            <w:tcW w:w="8001" w:type="dxa"/>
            <w:gridSpan w:val="2"/>
            <w:shd w:val="clear" w:color="auto" w:fill="FFFFFF"/>
          </w:tcPr>
          <w:p w14:paraId="3CC31BD7" w14:textId="77777777" w:rsidR="00A26D7C" w:rsidRPr="005973DE" w:rsidRDefault="00A26D7C" w:rsidP="00A26D7C">
            <w:pPr>
              <w:pStyle w:val="TableTextBold0"/>
              <w:keepNext/>
              <w:keepLines/>
              <w:widowControl w:val="0"/>
              <w:spacing w:line="240" w:lineRule="auto"/>
              <w:ind w:left="254"/>
              <w:rPr>
                <w:rFonts w:asciiTheme="minorHAnsi" w:hAnsiTheme="minorHAnsi"/>
                <w:b w:val="0"/>
                <w:sz w:val="22"/>
                <w:szCs w:val="22"/>
              </w:rPr>
            </w:pPr>
            <w:r w:rsidRPr="005973DE">
              <w:rPr>
                <w:rFonts w:asciiTheme="minorHAnsi" w:eastAsia="Times New Roman" w:hAnsiTheme="minorHAnsi"/>
                <w:b w:val="0"/>
                <w:sz w:val="22"/>
                <w:szCs w:val="22"/>
              </w:rPr>
              <w:t xml:space="preserve">The presentation will be provided by the supplier to the project steering group.  </w:t>
            </w:r>
            <w:r w:rsidRPr="005973DE">
              <w:rPr>
                <w:rFonts w:asciiTheme="minorHAnsi" w:hAnsiTheme="minorHAnsi"/>
                <w:b w:val="0"/>
                <w:sz w:val="22"/>
                <w:szCs w:val="22"/>
              </w:rPr>
              <w:t>The</w:t>
            </w:r>
            <w:r w:rsidRPr="005973DE">
              <w:t xml:space="preserve"> </w:t>
            </w:r>
            <w:r w:rsidRPr="005973DE">
              <w:rPr>
                <w:rFonts w:asciiTheme="minorHAnsi" w:hAnsiTheme="minorHAnsi"/>
                <w:b w:val="0"/>
                <w:sz w:val="22"/>
                <w:szCs w:val="22"/>
              </w:rPr>
              <w:t xml:space="preserve">executive summary presentation will be made </w:t>
            </w:r>
            <w:r>
              <w:rPr>
                <w:rFonts w:asciiTheme="minorHAnsi" w:hAnsiTheme="minorHAnsi"/>
                <w:b w:val="0"/>
                <w:sz w:val="22"/>
                <w:szCs w:val="22"/>
              </w:rPr>
              <w:t xml:space="preserve">widely </w:t>
            </w:r>
            <w:r w:rsidRPr="005973DE">
              <w:rPr>
                <w:rFonts w:asciiTheme="minorHAnsi" w:hAnsiTheme="minorHAnsi"/>
                <w:b w:val="0"/>
                <w:sz w:val="22"/>
                <w:szCs w:val="22"/>
              </w:rPr>
              <w:t xml:space="preserve">available.  </w:t>
            </w:r>
          </w:p>
        </w:tc>
      </w:tr>
    </w:tbl>
    <w:p w14:paraId="0D4D0E16" w14:textId="77777777" w:rsidR="00A26D7C" w:rsidRPr="005973DE" w:rsidRDefault="00A26D7C" w:rsidP="00A26D7C">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A26D7C" w:rsidRPr="005973DE" w14:paraId="7BD69BF2" w14:textId="77777777" w:rsidTr="00A26D7C">
        <w:tc>
          <w:tcPr>
            <w:tcW w:w="5589" w:type="dxa"/>
            <w:shd w:val="clear" w:color="auto" w:fill="99CC00"/>
          </w:tcPr>
          <w:p w14:paraId="60222B7F" w14:textId="77777777" w:rsidR="00A26D7C" w:rsidRPr="005973DE" w:rsidRDefault="00A26D7C" w:rsidP="00A26D7C">
            <w:pPr>
              <w:pStyle w:val="BodyIndent1"/>
              <w:spacing w:line="240" w:lineRule="auto"/>
              <w:rPr>
                <w:b/>
              </w:rPr>
            </w:pPr>
            <w:r w:rsidRPr="005973DE">
              <w:rPr>
                <w:b/>
              </w:rPr>
              <w:t>Deliverable Name</w:t>
            </w:r>
          </w:p>
        </w:tc>
        <w:tc>
          <w:tcPr>
            <w:tcW w:w="2412" w:type="dxa"/>
            <w:shd w:val="clear" w:color="auto" w:fill="99CC00"/>
          </w:tcPr>
          <w:p w14:paraId="19EB883F" w14:textId="77777777" w:rsidR="00A26D7C" w:rsidRPr="005973DE" w:rsidRDefault="00A26D7C" w:rsidP="00A26D7C">
            <w:pPr>
              <w:pStyle w:val="BodyIndent1"/>
              <w:spacing w:line="240" w:lineRule="auto"/>
              <w:rPr>
                <w:b/>
              </w:rPr>
            </w:pPr>
            <w:r w:rsidRPr="005973DE">
              <w:rPr>
                <w:b/>
              </w:rPr>
              <w:t>Type</w:t>
            </w:r>
          </w:p>
        </w:tc>
      </w:tr>
      <w:tr w:rsidR="00A26D7C" w:rsidRPr="005973DE" w14:paraId="19B48B69" w14:textId="77777777" w:rsidTr="00A26D7C">
        <w:trPr>
          <w:tblHeader/>
        </w:trPr>
        <w:tc>
          <w:tcPr>
            <w:tcW w:w="5589" w:type="dxa"/>
            <w:shd w:val="clear" w:color="auto" w:fill="FFFFFF"/>
          </w:tcPr>
          <w:p w14:paraId="7329828E" w14:textId="77777777" w:rsidR="00A26D7C" w:rsidRPr="005973DE" w:rsidRDefault="00A26D7C" w:rsidP="00A26D7C">
            <w:pPr>
              <w:pStyle w:val="BodyIndent1"/>
              <w:spacing w:line="240" w:lineRule="auto"/>
              <w:rPr>
                <w:b/>
              </w:rPr>
            </w:pPr>
            <w:r w:rsidRPr="005973DE">
              <w:rPr>
                <w:b/>
              </w:rPr>
              <w:t>Research in Brief</w:t>
            </w:r>
          </w:p>
        </w:tc>
        <w:tc>
          <w:tcPr>
            <w:tcW w:w="2412" w:type="dxa"/>
            <w:shd w:val="clear" w:color="auto" w:fill="FFFFFF"/>
          </w:tcPr>
          <w:p w14:paraId="1A82744E" w14:textId="77777777" w:rsidR="00A26D7C" w:rsidRPr="005973DE" w:rsidRDefault="00A26D7C" w:rsidP="00A26D7C">
            <w:pPr>
              <w:pStyle w:val="BodyIndent1"/>
              <w:spacing w:line="240" w:lineRule="auto"/>
            </w:pPr>
            <w:r w:rsidRPr="005973DE">
              <w:t>Report</w:t>
            </w:r>
          </w:p>
        </w:tc>
      </w:tr>
      <w:tr w:rsidR="00A26D7C" w:rsidRPr="005973DE" w14:paraId="2F8D6C66" w14:textId="77777777" w:rsidTr="00A26D7C">
        <w:trPr>
          <w:tblHeader/>
        </w:trPr>
        <w:tc>
          <w:tcPr>
            <w:tcW w:w="8001" w:type="dxa"/>
            <w:gridSpan w:val="2"/>
            <w:shd w:val="clear" w:color="auto" w:fill="FFFFFF"/>
          </w:tcPr>
          <w:p w14:paraId="3E550207" w14:textId="77777777" w:rsidR="00A26D7C" w:rsidRPr="005973DE" w:rsidRDefault="00A26D7C" w:rsidP="00A26D7C">
            <w:pPr>
              <w:pStyle w:val="BodyIndent1"/>
              <w:spacing w:line="240" w:lineRule="auto"/>
            </w:pPr>
            <w:r w:rsidRPr="005973DE">
              <w:t xml:space="preserve">The research in brief should be created by the supplier, in partnership with RSSB, to summarise the findings of this work, in no more than 4 pages.  The research in brief will also identify </w:t>
            </w:r>
            <w:r>
              <w:t>impacts</w:t>
            </w:r>
            <w:r w:rsidRPr="005973DE">
              <w:t xml:space="preserve"> and next steps for industry.</w:t>
            </w:r>
          </w:p>
          <w:p w14:paraId="5E3B99F0" w14:textId="77777777" w:rsidR="00A26D7C" w:rsidRPr="005973DE" w:rsidRDefault="00A26D7C" w:rsidP="00A26D7C">
            <w:pPr>
              <w:pStyle w:val="BodyIndent1"/>
              <w:spacing w:line="240" w:lineRule="auto"/>
            </w:pPr>
            <w:r w:rsidRPr="005973DE">
              <w:t xml:space="preserve">The draft research in brief will be produced in a RSSB template, and an example can be provided.  The research in brief will be made </w:t>
            </w:r>
            <w:r>
              <w:t xml:space="preserve">widely </w:t>
            </w:r>
            <w:r w:rsidRPr="005973DE">
              <w:t xml:space="preserve">available. </w:t>
            </w:r>
          </w:p>
        </w:tc>
      </w:tr>
    </w:tbl>
    <w:p w14:paraId="5F844138" w14:textId="77777777" w:rsidR="00A26D7C" w:rsidRPr="005973DE" w:rsidRDefault="00A26D7C" w:rsidP="00A26D7C">
      <w:pPr>
        <w:rPr>
          <w:rFonts w:ascii="Calibri" w:hAnsi="Calibri" w:cs="Arial"/>
          <w:color w:val="00968E"/>
          <w:sz w:val="36"/>
          <w:lang w:eastAsia="en-GB"/>
        </w:rPr>
      </w:pPr>
    </w:p>
    <w:p w14:paraId="6FC6FC13" w14:textId="77777777" w:rsidR="00A26D7C" w:rsidRPr="005973DE" w:rsidRDefault="00A26D7C" w:rsidP="00A26D7C">
      <w:pPr>
        <w:pStyle w:val="Heading1"/>
      </w:pPr>
      <w:r w:rsidRPr="005973DE">
        <w:t>Stakeholders roles and responsibilities</w:t>
      </w:r>
    </w:p>
    <w:tbl>
      <w:tblPr>
        <w:tblStyle w:val="TableGrid"/>
        <w:tblW w:w="8359" w:type="dxa"/>
        <w:tblLook w:val="04A0" w:firstRow="1" w:lastRow="0" w:firstColumn="1" w:lastColumn="0" w:noHBand="0" w:noVBand="1"/>
      </w:tblPr>
      <w:tblGrid>
        <w:gridCol w:w="1271"/>
        <w:gridCol w:w="4961"/>
        <w:gridCol w:w="2127"/>
      </w:tblGrid>
      <w:tr w:rsidR="00A26D7C" w:rsidRPr="005973DE" w14:paraId="1554E5F4" w14:textId="77777777" w:rsidTr="00A26D7C">
        <w:tc>
          <w:tcPr>
            <w:tcW w:w="1271" w:type="dxa"/>
            <w:vAlign w:val="center"/>
          </w:tcPr>
          <w:p w14:paraId="3FC152F9" w14:textId="77777777" w:rsidR="00A26D7C" w:rsidRPr="005973DE" w:rsidRDefault="00A26D7C" w:rsidP="00A26D7C">
            <w:pPr>
              <w:pStyle w:val="Body"/>
              <w:rPr>
                <w:rFonts w:asciiTheme="minorHAnsi" w:hAnsiTheme="minorHAnsi"/>
                <w:b/>
                <w:sz w:val="20"/>
              </w:rPr>
            </w:pPr>
          </w:p>
        </w:tc>
        <w:tc>
          <w:tcPr>
            <w:tcW w:w="4961" w:type="dxa"/>
            <w:vAlign w:val="center"/>
          </w:tcPr>
          <w:p w14:paraId="7698EDD9" w14:textId="77777777" w:rsidR="00A26D7C" w:rsidRPr="005973DE" w:rsidRDefault="00A26D7C" w:rsidP="00A26D7C">
            <w:pPr>
              <w:rPr>
                <w:rFonts w:asciiTheme="minorHAnsi" w:hAnsiTheme="minorHAnsi" w:cs="Arial"/>
                <w:sz w:val="20"/>
                <w:lang w:eastAsia="en-GB"/>
              </w:rPr>
            </w:pPr>
            <w:r w:rsidRPr="005973DE">
              <w:rPr>
                <w:rFonts w:asciiTheme="minorHAnsi" w:hAnsiTheme="minorHAnsi" w:cs="Arial"/>
                <w:b/>
                <w:bCs/>
                <w:kern w:val="28"/>
                <w:sz w:val="20"/>
              </w:rPr>
              <w:t>General role in project</w:t>
            </w:r>
          </w:p>
        </w:tc>
        <w:tc>
          <w:tcPr>
            <w:tcW w:w="2127" w:type="dxa"/>
            <w:vAlign w:val="center"/>
          </w:tcPr>
          <w:p w14:paraId="63E9A467" w14:textId="77777777" w:rsidR="00A26D7C" w:rsidRPr="005973DE" w:rsidRDefault="00A26D7C" w:rsidP="00A26D7C">
            <w:pPr>
              <w:rPr>
                <w:rFonts w:asciiTheme="minorHAnsi" w:hAnsiTheme="minorHAnsi" w:cs="Arial"/>
                <w:sz w:val="20"/>
                <w:lang w:eastAsia="en-GB"/>
              </w:rPr>
            </w:pPr>
            <w:r w:rsidRPr="005973DE">
              <w:rPr>
                <w:rFonts w:asciiTheme="minorHAnsi" w:hAnsiTheme="minorHAnsi" w:cs="Arial"/>
                <w:b/>
                <w:bCs/>
                <w:kern w:val="28"/>
                <w:sz w:val="20"/>
              </w:rPr>
              <w:t>Specific role in acceptance of deliverables</w:t>
            </w:r>
          </w:p>
        </w:tc>
      </w:tr>
      <w:tr w:rsidR="00A26D7C" w:rsidRPr="005973DE" w14:paraId="50E1FE25" w14:textId="77777777" w:rsidTr="00A26D7C">
        <w:tc>
          <w:tcPr>
            <w:tcW w:w="1271" w:type="dxa"/>
            <w:vAlign w:val="center"/>
          </w:tcPr>
          <w:p w14:paraId="75066FA5" w14:textId="77777777" w:rsidR="00A26D7C" w:rsidRPr="005973DE" w:rsidRDefault="00A26D7C" w:rsidP="00A26D7C">
            <w:pPr>
              <w:rPr>
                <w:rFonts w:asciiTheme="minorHAnsi" w:hAnsiTheme="minorHAnsi" w:cs="Arial"/>
                <w:b/>
                <w:color w:val="000000" w:themeColor="dark1"/>
                <w:kern w:val="28"/>
                <w:sz w:val="20"/>
              </w:rPr>
            </w:pPr>
            <w:r w:rsidRPr="005973DE">
              <w:rPr>
                <w:rFonts w:asciiTheme="minorHAnsi" w:hAnsiTheme="minorHAnsi" w:cs="Arial"/>
                <w:b/>
                <w:color w:val="000000" w:themeColor="dark1"/>
                <w:kern w:val="28"/>
                <w:sz w:val="20"/>
              </w:rPr>
              <w:t>Project Manager</w:t>
            </w:r>
          </w:p>
        </w:tc>
        <w:tc>
          <w:tcPr>
            <w:tcW w:w="4961" w:type="dxa"/>
            <w:vAlign w:val="center"/>
          </w:tcPr>
          <w:p w14:paraId="12F5FB04" w14:textId="77777777" w:rsidR="00A26D7C" w:rsidRPr="005973DE" w:rsidRDefault="00A26D7C" w:rsidP="00A26D7C">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The Project Manager is responsible for the detailed project management including project schedules, cost reporting and other relevant project management tasks.  </w:t>
            </w:r>
          </w:p>
          <w:p w14:paraId="01AB757D" w14:textId="77777777" w:rsidR="00A26D7C" w:rsidRPr="005973DE" w:rsidRDefault="00A26D7C" w:rsidP="00A26D7C">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5973DE">
              <w:rPr>
                <w:rFonts w:asciiTheme="minorHAnsi" w:hAnsiTheme="minorHAnsi" w:cs="Arial"/>
                <w:color w:val="000000" w:themeColor="dark1"/>
                <w:kern w:val="28"/>
                <w:sz w:val="20"/>
                <w:szCs w:val="22"/>
              </w:rPr>
              <w:t>The Project Manager leads the project in organising meetings, etc. and ensures timely and effective delivery towards project objectives.</w:t>
            </w:r>
          </w:p>
        </w:tc>
        <w:tc>
          <w:tcPr>
            <w:tcW w:w="2127" w:type="dxa"/>
          </w:tcPr>
          <w:p w14:paraId="29C6F642" w14:textId="77777777" w:rsidR="00A26D7C" w:rsidRPr="005973DE" w:rsidRDefault="00A26D7C" w:rsidP="00A26D7C">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Facilitates technical review and acceptance processes, identifies, and monitors corrective actions where needed, including facilitating decision making</w:t>
            </w:r>
          </w:p>
        </w:tc>
      </w:tr>
      <w:tr w:rsidR="00A26D7C" w:rsidRPr="005973DE" w14:paraId="38DDF8FA" w14:textId="77777777" w:rsidTr="00A26D7C">
        <w:tc>
          <w:tcPr>
            <w:tcW w:w="1271" w:type="dxa"/>
            <w:vAlign w:val="center"/>
          </w:tcPr>
          <w:p w14:paraId="08DFBCD1" w14:textId="77777777" w:rsidR="00A26D7C" w:rsidRPr="005973DE" w:rsidRDefault="00A26D7C" w:rsidP="00A26D7C">
            <w:pPr>
              <w:rPr>
                <w:rFonts w:asciiTheme="minorHAnsi" w:hAnsiTheme="minorHAnsi" w:cs="Arial"/>
                <w:b/>
                <w:color w:val="000000" w:themeColor="dark1"/>
                <w:kern w:val="28"/>
                <w:sz w:val="20"/>
              </w:rPr>
            </w:pPr>
            <w:r w:rsidRPr="005973DE">
              <w:rPr>
                <w:rFonts w:asciiTheme="minorHAnsi" w:hAnsiTheme="minorHAnsi" w:cs="Arial"/>
                <w:b/>
                <w:color w:val="000000" w:themeColor="dark1"/>
                <w:kern w:val="28"/>
                <w:sz w:val="20"/>
              </w:rPr>
              <w:t>Technical expert</w:t>
            </w:r>
          </w:p>
        </w:tc>
        <w:tc>
          <w:tcPr>
            <w:tcW w:w="4961" w:type="dxa"/>
            <w:vAlign w:val="center"/>
          </w:tcPr>
          <w:p w14:paraId="0A5B5C92" w14:textId="77777777" w:rsidR="00A26D7C" w:rsidRPr="005973DE" w:rsidRDefault="00A26D7C" w:rsidP="00A26D7C">
            <w:pPr>
              <w:pStyle w:val="NormalWeb"/>
              <w:spacing w:before="40" w:beforeAutospacing="0" w:after="40" w:afterAutospacing="0" w:line="260" w:lineRule="exact"/>
              <w:rPr>
                <w:rFonts w:asciiTheme="minorHAnsi" w:hAnsiTheme="minorHAnsi" w:cs="Arial"/>
                <w:sz w:val="20"/>
                <w:szCs w:val="22"/>
              </w:rPr>
            </w:pPr>
            <w:r w:rsidRPr="005973DE">
              <w:rPr>
                <w:rFonts w:asciiTheme="minorHAnsi" w:hAnsiTheme="minorHAnsi" w:cs="Arial"/>
                <w:color w:val="000000" w:themeColor="dark1"/>
                <w:kern w:val="28"/>
                <w:sz w:val="20"/>
                <w:szCs w:val="22"/>
              </w:rPr>
              <w:t xml:space="preserve">Throughout the project, the technical expert ensures that the research accurately reflects technical aspects. </w:t>
            </w:r>
          </w:p>
          <w:p w14:paraId="6DFAFAD1" w14:textId="77777777" w:rsidR="00A26D7C" w:rsidRPr="005973DE" w:rsidRDefault="00A26D7C" w:rsidP="00A26D7C">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5973DE">
              <w:rPr>
                <w:rFonts w:asciiTheme="minorHAnsi" w:hAnsiTheme="minorHAnsi" w:cs="Arial"/>
                <w:color w:val="000000" w:themeColor="dark1"/>
                <w:kern w:val="28"/>
                <w:sz w:val="20"/>
                <w:szCs w:val="22"/>
              </w:rPr>
              <w:t xml:space="preserve">Technical aspects can refer to specific issues around Rail Operations, Performance, Recovery Planning, Stock and Crew Management, or any other specialist field. </w:t>
            </w:r>
          </w:p>
        </w:tc>
        <w:tc>
          <w:tcPr>
            <w:tcW w:w="2127" w:type="dxa"/>
          </w:tcPr>
          <w:p w14:paraId="50752374" w14:textId="77777777" w:rsidR="00A26D7C" w:rsidRPr="005973DE" w:rsidRDefault="00A26D7C" w:rsidP="00A26D7C">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Reviews emerging outputs from technical perspective</w:t>
            </w:r>
          </w:p>
        </w:tc>
      </w:tr>
      <w:tr w:rsidR="00A26D7C" w:rsidRPr="005973DE" w14:paraId="02D523E5" w14:textId="77777777" w:rsidTr="00A26D7C">
        <w:tc>
          <w:tcPr>
            <w:tcW w:w="1271" w:type="dxa"/>
            <w:vAlign w:val="center"/>
          </w:tcPr>
          <w:p w14:paraId="36A54E83" w14:textId="77777777" w:rsidR="00A26D7C" w:rsidRPr="005973DE" w:rsidRDefault="00A26D7C" w:rsidP="00A26D7C">
            <w:pPr>
              <w:rPr>
                <w:rFonts w:asciiTheme="minorHAnsi" w:hAnsiTheme="minorHAnsi" w:cs="Arial"/>
                <w:b/>
                <w:sz w:val="20"/>
                <w:lang w:eastAsia="en-GB"/>
              </w:rPr>
            </w:pPr>
            <w:r w:rsidRPr="005973DE">
              <w:rPr>
                <w:rFonts w:asciiTheme="minorHAnsi" w:hAnsiTheme="minorHAnsi" w:cs="Arial"/>
                <w:b/>
                <w:color w:val="000000" w:themeColor="dark1"/>
                <w:kern w:val="28"/>
                <w:sz w:val="20"/>
              </w:rPr>
              <w:t>Industry and RSSB sponsor</w:t>
            </w:r>
          </w:p>
        </w:tc>
        <w:tc>
          <w:tcPr>
            <w:tcW w:w="4961" w:type="dxa"/>
            <w:vAlign w:val="center"/>
          </w:tcPr>
          <w:p w14:paraId="7EC1BA33" w14:textId="77777777" w:rsidR="00A26D7C" w:rsidRPr="005973DE" w:rsidRDefault="00A26D7C" w:rsidP="00A26D7C">
            <w:pPr>
              <w:pStyle w:val="NormalWeb"/>
              <w:spacing w:before="40" w:beforeAutospacing="0" w:after="40" w:afterAutospacing="0" w:line="260" w:lineRule="exact"/>
              <w:rPr>
                <w:rFonts w:asciiTheme="minorHAnsi" w:hAnsiTheme="minorHAnsi" w:cs="Arial"/>
                <w:sz w:val="20"/>
                <w:szCs w:val="22"/>
              </w:rPr>
            </w:pPr>
            <w:r w:rsidRPr="005973DE">
              <w:rPr>
                <w:rFonts w:asciiTheme="minorHAnsi" w:hAnsiTheme="minorHAnsi" w:cs="Arial"/>
                <w:color w:val="000000" w:themeColor="dark1"/>
                <w:kern w:val="28"/>
                <w:sz w:val="20"/>
                <w:szCs w:val="22"/>
              </w:rPr>
              <w:t xml:space="preserve">The Industry and RSSB sponsors act as a figurehead for the research, championing its importance and its outputs. </w:t>
            </w:r>
          </w:p>
          <w:p w14:paraId="691122B9" w14:textId="77777777" w:rsidR="00A26D7C" w:rsidRPr="005973DE" w:rsidRDefault="00A26D7C" w:rsidP="00A26D7C">
            <w:pPr>
              <w:rPr>
                <w:rFonts w:asciiTheme="minorHAnsi" w:hAnsiTheme="minorHAnsi" w:cs="Arial"/>
                <w:sz w:val="20"/>
                <w:lang w:eastAsia="en-GB"/>
              </w:rPr>
            </w:pPr>
            <w:r w:rsidRPr="005973DE">
              <w:rPr>
                <w:rFonts w:asciiTheme="minorHAnsi" w:hAnsiTheme="minorHAnsi" w:cs="Arial"/>
                <w:color w:val="000000" w:themeColor="dark1"/>
                <w:kern w:val="28"/>
                <w:sz w:val="20"/>
              </w:rPr>
              <w:t>Their key role is to provide steer to the research as it progresses and exert pressure on the industry to make use of its findings.</w:t>
            </w:r>
          </w:p>
        </w:tc>
        <w:tc>
          <w:tcPr>
            <w:tcW w:w="2127" w:type="dxa"/>
          </w:tcPr>
          <w:p w14:paraId="516DF822" w14:textId="77777777" w:rsidR="00A26D7C" w:rsidRPr="005973DE" w:rsidRDefault="00A26D7C" w:rsidP="00A26D7C">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Formally accepts deliverables </w:t>
            </w:r>
          </w:p>
        </w:tc>
      </w:tr>
      <w:tr w:rsidR="00A26D7C" w:rsidRPr="005973DE" w14:paraId="02EE5F91" w14:textId="77777777" w:rsidTr="00A26D7C">
        <w:tc>
          <w:tcPr>
            <w:tcW w:w="1271" w:type="dxa"/>
            <w:vAlign w:val="center"/>
          </w:tcPr>
          <w:p w14:paraId="45CEBF1D" w14:textId="77777777" w:rsidR="00A26D7C" w:rsidRPr="005973DE" w:rsidRDefault="00A26D7C" w:rsidP="00A26D7C">
            <w:pPr>
              <w:rPr>
                <w:rFonts w:asciiTheme="minorHAnsi" w:hAnsiTheme="minorHAnsi" w:cs="Arial"/>
                <w:b/>
                <w:sz w:val="20"/>
                <w:lang w:eastAsia="en-GB"/>
              </w:rPr>
            </w:pPr>
            <w:r w:rsidRPr="005973DE">
              <w:rPr>
                <w:rFonts w:asciiTheme="minorHAnsi" w:hAnsiTheme="minorHAnsi" w:cs="Arial"/>
                <w:b/>
                <w:color w:val="000000" w:themeColor="dark1"/>
                <w:kern w:val="28"/>
                <w:sz w:val="20"/>
              </w:rPr>
              <w:t>Project supporters</w:t>
            </w:r>
          </w:p>
        </w:tc>
        <w:tc>
          <w:tcPr>
            <w:tcW w:w="4961" w:type="dxa"/>
            <w:vAlign w:val="center"/>
          </w:tcPr>
          <w:p w14:paraId="27869AD9" w14:textId="77777777" w:rsidR="00A26D7C" w:rsidRPr="005973DE" w:rsidRDefault="00A26D7C" w:rsidP="00A26D7C">
            <w:pPr>
              <w:rPr>
                <w:rFonts w:asciiTheme="minorHAnsi" w:hAnsiTheme="minorHAnsi" w:cs="Arial"/>
                <w:sz w:val="20"/>
                <w:lang w:eastAsia="en-GB"/>
              </w:rPr>
            </w:pPr>
            <w:r w:rsidRPr="005973DE">
              <w:rPr>
                <w:rFonts w:asciiTheme="minorHAnsi" w:hAnsiTheme="minorHAnsi" w:cs="Arial"/>
                <w:color w:val="000000" w:themeColor="dark1"/>
                <w:kern w:val="28"/>
                <w:sz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127" w:type="dxa"/>
          </w:tcPr>
          <w:p w14:paraId="71EF431B" w14:textId="77777777" w:rsidR="00A26D7C" w:rsidRPr="005973DE" w:rsidRDefault="00A26D7C" w:rsidP="00A26D7C">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Formally accepts deliverables </w:t>
            </w:r>
          </w:p>
        </w:tc>
      </w:tr>
      <w:tr w:rsidR="00A26D7C" w:rsidRPr="005973DE" w14:paraId="767FA0E3" w14:textId="77777777" w:rsidTr="00A26D7C">
        <w:tc>
          <w:tcPr>
            <w:tcW w:w="1271" w:type="dxa"/>
            <w:vAlign w:val="center"/>
          </w:tcPr>
          <w:p w14:paraId="0DD501CA" w14:textId="77777777" w:rsidR="00A26D7C" w:rsidRPr="005973DE" w:rsidRDefault="00A26D7C" w:rsidP="00A26D7C">
            <w:pPr>
              <w:rPr>
                <w:rFonts w:asciiTheme="minorHAnsi" w:hAnsiTheme="minorHAnsi" w:cs="Arial"/>
                <w:b/>
                <w:sz w:val="20"/>
                <w:lang w:eastAsia="en-GB"/>
              </w:rPr>
            </w:pPr>
            <w:r w:rsidRPr="005973DE">
              <w:rPr>
                <w:rFonts w:asciiTheme="minorHAnsi" w:hAnsiTheme="minorHAnsi" w:cs="Arial"/>
                <w:b/>
                <w:color w:val="000000" w:themeColor="dark1"/>
                <w:kern w:val="28"/>
                <w:sz w:val="20"/>
              </w:rPr>
              <w:t>Project steering group</w:t>
            </w:r>
          </w:p>
        </w:tc>
        <w:tc>
          <w:tcPr>
            <w:tcW w:w="4961" w:type="dxa"/>
            <w:vAlign w:val="center"/>
          </w:tcPr>
          <w:p w14:paraId="3FB25A22" w14:textId="77777777" w:rsidR="00A26D7C" w:rsidRPr="005973DE" w:rsidRDefault="00A26D7C" w:rsidP="00A26D7C">
            <w:pPr>
              <w:pStyle w:val="NormalWeb"/>
              <w:spacing w:before="40" w:beforeAutospacing="0" w:after="40" w:afterAutospacing="0" w:line="260" w:lineRule="exact"/>
              <w:rPr>
                <w:rFonts w:asciiTheme="minorHAnsi" w:hAnsiTheme="minorHAnsi" w:cs="Arial"/>
                <w:sz w:val="20"/>
                <w:szCs w:val="22"/>
              </w:rPr>
            </w:pPr>
            <w:r w:rsidRPr="005973DE">
              <w:rPr>
                <w:rFonts w:asciiTheme="minorHAnsi" w:hAnsiTheme="minorHAnsi" w:cs="Arial"/>
                <w:color w:val="000000" w:themeColor="dark1"/>
                <w:kern w:val="28"/>
                <w:sz w:val="20"/>
                <w:szCs w:val="22"/>
              </w:rPr>
              <w:t xml:space="preserve">The project steering group ensures the project delivers to industry needs. </w:t>
            </w:r>
          </w:p>
          <w:p w14:paraId="38389A3A" w14:textId="77777777" w:rsidR="00A26D7C" w:rsidRPr="005973DE" w:rsidRDefault="00A26D7C" w:rsidP="00A26D7C">
            <w:pPr>
              <w:rPr>
                <w:rFonts w:asciiTheme="minorHAnsi" w:hAnsiTheme="minorHAnsi" w:cs="Arial"/>
                <w:sz w:val="20"/>
                <w:lang w:eastAsia="en-GB"/>
              </w:rPr>
            </w:pPr>
            <w:r w:rsidRPr="005973DE">
              <w:rPr>
                <w:rFonts w:asciiTheme="minorHAnsi" w:hAnsiTheme="minorHAnsi" w:cs="Arial"/>
                <w:color w:val="000000" w:themeColor="dark1"/>
                <w:kern w:val="28"/>
                <w:sz w:val="20"/>
              </w:rPr>
              <w:t>As such, it helps formulate specifications, assesses tenders, reviews draft and final outputs and other relevant tasks.</w:t>
            </w:r>
          </w:p>
        </w:tc>
        <w:tc>
          <w:tcPr>
            <w:tcW w:w="2127" w:type="dxa"/>
          </w:tcPr>
          <w:p w14:paraId="6E816EAC" w14:textId="77777777" w:rsidR="00A26D7C" w:rsidRPr="005973DE" w:rsidRDefault="00A26D7C" w:rsidP="00A26D7C">
            <w:pPr>
              <w:rPr>
                <w:rFonts w:asciiTheme="minorHAnsi" w:hAnsiTheme="minorHAnsi" w:cs="Arial"/>
                <w:sz w:val="20"/>
                <w:lang w:eastAsia="en-GB"/>
              </w:rPr>
            </w:pPr>
            <w:r w:rsidRPr="005973DE">
              <w:rPr>
                <w:rFonts w:asciiTheme="minorHAnsi" w:hAnsiTheme="minorHAnsi" w:cs="Arial"/>
                <w:color w:val="000000" w:themeColor="dark1"/>
                <w:kern w:val="28"/>
                <w:sz w:val="20"/>
              </w:rPr>
              <w:t xml:space="preserve">Formally accepts deliverables </w:t>
            </w:r>
          </w:p>
        </w:tc>
      </w:tr>
    </w:tbl>
    <w:p w14:paraId="194C0D98" w14:textId="77777777" w:rsidR="00A26D7C" w:rsidRDefault="00A26D7C" w:rsidP="00A26D7C">
      <w:pPr>
        <w:pStyle w:val="Heading1"/>
        <w:numPr>
          <w:ilvl w:val="0"/>
          <w:numId w:val="0"/>
        </w:numPr>
      </w:pPr>
    </w:p>
    <w:p w14:paraId="15B22DB4" w14:textId="77777777" w:rsidR="00A26D7C" w:rsidRPr="005973DE" w:rsidRDefault="00A26D7C" w:rsidP="00A26D7C">
      <w:pPr>
        <w:pStyle w:val="Heading1"/>
      </w:pPr>
      <w:r w:rsidRPr="005973DE">
        <w:t>Budget, timescales and dependencies</w:t>
      </w:r>
    </w:p>
    <w:p w14:paraId="6F900FAE" w14:textId="77777777" w:rsidR="00A26D7C" w:rsidRDefault="00A26D7C" w:rsidP="00A26D7C">
      <w:pPr>
        <w:spacing w:after="120"/>
        <w:rPr>
          <w:rFonts w:ascii="Calibri" w:hAnsi="Calibri" w:cs="Arial"/>
          <w:lang w:eastAsia="en-GB"/>
        </w:rPr>
      </w:pPr>
      <w:r w:rsidRPr="005973DE">
        <w:rPr>
          <w:rFonts w:ascii="Calibri" w:hAnsi="Calibri" w:cs="Arial"/>
          <w:lang w:eastAsia="en-GB"/>
        </w:rPr>
        <w:t xml:space="preserve">This project is expected to commence </w:t>
      </w:r>
      <w:r>
        <w:rPr>
          <w:rFonts w:ascii="Calibri" w:hAnsi="Calibri" w:cs="Arial"/>
          <w:lang w:eastAsia="en-GB"/>
        </w:rPr>
        <w:t xml:space="preserve">January </w:t>
      </w:r>
      <w:r w:rsidRPr="005973DE">
        <w:rPr>
          <w:rFonts w:ascii="Calibri" w:hAnsi="Calibri" w:cs="Arial"/>
          <w:lang w:eastAsia="en-GB"/>
        </w:rPr>
        <w:t>201</w:t>
      </w:r>
      <w:r>
        <w:rPr>
          <w:rFonts w:ascii="Calibri" w:hAnsi="Calibri" w:cs="Arial"/>
          <w:lang w:eastAsia="en-GB"/>
        </w:rPr>
        <w:t xml:space="preserve">9.  Due to the availability of test track access, field testing is expected to </w:t>
      </w:r>
      <w:r w:rsidRPr="005973DE">
        <w:rPr>
          <w:rFonts w:ascii="Calibri" w:hAnsi="Calibri" w:cs="Arial"/>
          <w:lang w:eastAsia="en-GB"/>
        </w:rPr>
        <w:t xml:space="preserve">be completed by </w:t>
      </w:r>
      <w:r>
        <w:rPr>
          <w:rFonts w:ascii="Calibri" w:hAnsi="Calibri" w:cs="Arial"/>
          <w:lang w:eastAsia="en-GB"/>
        </w:rPr>
        <w:t xml:space="preserve">31 April </w:t>
      </w:r>
      <w:r w:rsidRPr="005973DE">
        <w:rPr>
          <w:rFonts w:ascii="Calibri" w:hAnsi="Calibri" w:cs="Arial"/>
          <w:lang w:eastAsia="en-GB"/>
        </w:rPr>
        <w:t xml:space="preserve">2019.  </w:t>
      </w:r>
      <w:r>
        <w:rPr>
          <w:rFonts w:ascii="Calibri" w:hAnsi="Calibri" w:cs="Arial"/>
          <w:lang w:eastAsia="en-GB"/>
        </w:rPr>
        <w:t xml:space="preserve">The project is expected to be completed by May 2019.  Outputs from this work are expected to feed into </w:t>
      </w:r>
      <w:r w:rsidRPr="00817F63">
        <w:rPr>
          <w:rFonts w:ascii="Calibri" w:hAnsi="Calibri" w:cs="Arial"/>
          <w:lang w:eastAsia="en-GB"/>
        </w:rPr>
        <w:t>T1155</w:t>
      </w:r>
      <w:r>
        <w:rPr>
          <w:rFonts w:ascii="Calibri" w:hAnsi="Calibri" w:cs="Arial"/>
          <w:lang w:eastAsia="en-GB"/>
        </w:rPr>
        <w:t xml:space="preserve"> (delivered in parallel to this work).</w:t>
      </w:r>
    </w:p>
    <w:p w14:paraId="04B67662" w14:textId="77777777" w:rsidR="00A26D7C" w:rsidRDefault="00A26D7C" w:rsidP="00A26D7C">
      <w:pPr>
        <w:spacing w:after="120"/>
        <w:rPr>
          <w:rFonts w:ascii="Calibri" w:hAnsi="Calibri" w:cs="Arial"/>
          <w:lang w:eastAsia="en-GB"/>
        </w:rPr>
      </w:pPr>
      <w:r w:rsidRPr="005973DE">
        <w:rPr>
          <w:rFonts w:ascii="Calibri" w:hAnsi="Calibri" w:cs="Arial"/>
          <w:lang w:eastAsia="en-GB"/>
        </w:rPr>
        <w:t>The budget for this work is up to £</w:t>
      </w:r>
      <w:r>
        <w:rPr>
          <w:rFonts w:ascii="Calibri" w:hAnsi="Calibri" w:cs="Arial"/>
          <w:lang w:eastAsia="en-GB"/>
        </w:rPr>
        <w:t>80</w:t>
      </w:r>
      <w:r w:rsidRPr="003A0D6B">
        <w:rPr>
          <w:rFonts w:ascii="Calibri" w:hAnsi="Calibri" w:cs="Arial"/>
          <w:lang w:eastAsia="en-GB"/>
        </w:rPr>
        <w:t>,000</w:t>
      </w:r>
      <w:r w:rsidRPr="003A0D6B">
        <w:rPr>
          <w:rFonts w:ascii="Calibri" w:hAnsi="Calibri" w:cs="Arial"/>
          <w:i/>
          <w:lang w:eastAsia="en-GB"/>
        </w:rPr>
        <w:t>.</w:t>
      </w:r>
      <w:r w:rsidRPr="005973DE">
        <w:rPr>
          <w:rFonts w:ascii="Calibri" w:hAnsi="Calibri" w:cs="Arial"/>
          <w:i/>
          <w:lang w:eastAsia="en-GB"/>
        </w:rPr>
        <w:t xml:space="preserve"> </w:t>
      </w:r>
    </w:p>
    <w:p w14:paraId="66E83DEE" w14:textId="77777777" w:rsidR="00A26D7C" w:rsidRDefault="00A26D7C" w:rsidP="00A26D7C">
      <w:pPr>
        <w:spacing w:after="120"/>
        <w:rPr>
          <w:rFonts w:ascii="Calibri" w:hAnsi="Calibri" w:cs="Arial"/>
          <w:lang w:eastAsia="en-GB"/>
        </w:rPr>
      </w:pPr>
      <w:r w:rsidRPr="005973DE">
        <w:rPr>
          <w:rFonts w:ascii="Calibri" w:hAnsi="Calibri" w:cs="Arial"/>
          <w:lang w:eastAsia="en-GB"/>
        </w:rPr>
        <w:lastRenderedPageBreak/>
        <w:t xml:space="preserve">Any bid above this value will need to provide detailed explanation on why the supplier doesn’t feel that the budget is adequate and in such </w:t>
      </w:r>
      <w:proofErr w:type="gramStart"/>
      <w:r w:rsidRPr="005973DE">
        <w:rPr>
          <w:rFonts w:ascii="Calibri" w:hAnsi="Calibri" w:cs="Arial"/>
          <w:lang w:eastAsia="en-GB"/>
        </w:rPr>
        <w:t>case</w:t>
      </w:r>
      <w:proofErr w:type="gramEnd"/>
      <w:r w:rsidRPr="005973DE">
        <w:rPr>
          <w:rFonts w:ascii="Calibri" w:hAnsi="Calibri" w:cs="Arial"/>
          <w:lang w:eastAsia="en-GB"/>
        </w:rPr>
        <w:t xml:space="preserve"> we strongly encourage suppliers to provide costed options for RSSB to consider. </w:t>
      </w:r>
    </w:p>
    <w:p w14:paraId="769CB35E" w14:textId="77777777" w:rsidR="00A26D7C" w:rsidRPr="005973DE" w:rsidRDefault="00A26D7C" w:rsidP="00A26D7C">
      <w:pPr>
        <w:spacing w:after="120"/>
        <w:rPr>
          <w:rFonts w:ascii="Calibri" w:hAnsi="Calibri" w:cs="Arial"/>
          <w:lang w:eastAsia="en-GB"/>
        </w:rPr>
      </w:pPr>
    </w:p>
    <w:p w14:paraId="749A0A2B" w14:textId="77777777" w:rsidR="00A26D7C" w:rsidRPr="005973DE" w:rsidRDefault="00A26D7C" w:rsidP="00A26D7C">
      <w:pPr>
        <w:pStyle w:val="Heading1"/>
      </w:pPr>
      <w:r w:rsidRPr="005973DE">
        <w:rPr>
          <w:sz w:val="22"/>
        </w:rPr>
        <w:t xml:space="preserve"> </w:t>
      </w:r>
      <w:r w:rsidRPr="005973DE">
        <w:t>Critical success factors and risk management</w:t>
      </w:r>
    </w:p>
    <w:p w14:paraId="5484F88C" w14:textId="77777777" w:rsidR="00A26D7C" w:rsidRPr="005A3F2D" w:rsidRDefault="00A26D7C" w:rsidP="00A26D7C">
      <w:pPr>
        <w:pStyle w:val="ListParagraph"/>
        <w:numPr>
          <w:ilvl w:val="0"/>
          <w:numId w:val="64"/>
        </w:numPr>
        <w:rPr>
          <w:rFonts w:asciiTheme="minorHAnsi" w:hAnsiTheme="minorHAnsi"/>
          <w:sz w:val="22"/>
          <w:szCs w:val="22"/>
        </w:rPr>
      </w:pPr>
      <w:r>
        <w:rPr>
          <w:rFonts w:asciiTheme="minorHAnsi" w:hAnsiTheme="minorHAnsi"/>
          <w:sz w:val="22"/>
          <w:szCs w:val="22"/>
        </w:rPr>
        <w:t xml:space="preserve">Access to test track and trains. </w:t>
      </w:r>
      <w:r w:rsidRPr="005A3F2D">
        <w:rPr>
          <w:rFonts w:asciiTheme="minorHAnsi" w:hAnsiTheme="minorHAnsi"/>
          <w:sz w:val="22"/>
          <w:szCs w:val="22"/>
        </w:rPr>
        <w:t>Suppliers will be supported by Network Rail</w:t>
      </w:r>
      <w:r>
        <w:rPr>
          <w:rFonts w:asciiTheme="minorHAnsi" w:hAnsiTheme="minorHAnsi"/>
          <w:sz w:val="22"/>
          <w:szCs w:val="22"/>
        </w:rPr>
        <w:t xml:space="preserve"> and</w:t>
      </w:r>
      <w:r w:rsidRPr="005A3F2D">
        <w:rPr>
          <w:rFonts w:asciiTheme="minorHAnsi" w:hAnsiTheme="minorHAnsi"/>
          <w:sz w:val="22"/>
          <w:szCs w:val="22"/>
        </w:rPr>
        <w:t xml:space="preserve"> RSSB to access </w:t>
      </w:r>
      <w:r>
        <w:rPr>
          <w:rFonts w:asciiTheme="minorHAnsi" w:hAnsiTheme="minorHAnsi"/>
          <w:sz w:val="22"/>
          <w:szCs w:val="22"/>
        </w:rPr>
        <w:t xml:space="preserve">the </w:t>
      </w:r>
      <w:r w:rsidRPr="005A3F2D">
        <w:rPr>
          <w:rFonts w:asciiTheme="minorHAnsi" w:hAnsiTheme="minorHAnsi"/>
          <w:sz w:val="22"/>
          <w:szCs w:val="22"/>
        </w:rPr>
        <w:t>test</w:t>
      </w:r>
      <w:r>
        <w:rPr>
          <w:rFonts w:asciiTheme="minorHAnsi" w:hAnsiTheme="minorHAnsi"/>
          <w:sz w:val="22"/>
          <w:szCs w:val="22"/>
        </w:rPr>
        <w:t xml:space="preserve"> sites</w:t>
      </w:r>
      <w:r w:rsidRPr="005A3F2D">
        <w:rPr>
          <w:rFonts w:asciiTheme="minorHAnsi" w:hAnsiTheme="minorHAnsi"/>
          <w:sz w:val="22"/>
          <w:szCs w:val="22"/>
        </w:rPr>
        <w:t xml:space="preserve">, rolling stock, </w:t>
      </w:r>
      <w:r>
        <w:rPr>
          <w:rFonts w:asciiTheme="minorHAnsi" w:hAnsiTheme="minorHAnsi"/>
          <w:sz w:val="22"/>
          <w:szCs w:val="22"/>
        </w:rPr>
        <w:t xml:space="preserve">necessary support staff (e.g. drivers) and </w:t>
      </w:r>
      <w:r w:rsidRPr="005A3F2D">
        <w:rPr>
          <w:rFonts w:asciiTheme="minorHAnsi" w:hAnsiTheme="minorHAnsi"/>
          <w:sz w:val="22"/>
          <w:szCs w:val="22"/>
        </w:rPr>
        <w:t xml:space="preserve">detonators.  </w:t>
      </w:r>
    </w:p>
    <w:p w14:paraId="0C40067A" w14:textId="77777777" w:rsidR="00A26D7C" w:rsidRPr="006C1807" w:rsidRDefault="00A26D7C" w:rsidP="00A26D7C">
      <w:pPr>
        <w:pStyle w:val="ListParagraph"/>
        <w:numPr>
          <w:ilvl w:val="0"/>
          <w:numId w:val="64"/>
        </w:numPr>
        <w:rPr>
          <w:rFonts w:asciiTheme="minorHAnsi" w:hAnsiTheme="minorHAnsi"/>
          <w:sz w:val="22"/>
          <w:szCs w:val="22"/>
        </w:rPr>
      </w:pPr>
      <w:r>
        <w:rPr>
          <w:rFonts w:asciiTheme="minorHAnsi" w:hAnsiTheme="minorHAnsi"/>
          <w:sz w:val="22"/>
          <w:szCs w:val="22"/>
        </w:rPr>
        <w:t xml:space="preserve">Access to suitable sound recording equipment.  </w:t>
      </w:r>
      <w:r w:rsidRPr="005A3F2D">
        <w:rPr>
          <w:rFonts w:asciiTheme="minorHAnsi" w:hAnsiTheme="minorHAnsi"/>
          <w:sz w:val="22"/>
          <w:szCs w:val="22"/>
        </w:rPr>
        <w:t>Suppliers are expected to use their own equipment for the audibility testing.</w:t>
      </w:r>
      <w:r w:rsidRPr="005A3F2D">
        <w:rPr>
          <w:rFonts w:ascii="Calibri" w:hAnsi="Calibri"/>
          <w:sz w:val="22"/>
          <w:szCs w:val="22"/>
        </w:rPr>
        <w:t xml:space="preserve"> </w:t>
      </w:r>
    </w:p>
    <w:p w14:paraId="0F453437" w14:textId="77777777" w:rsidR="00A26D7C" w:rsidRDefault="00A26D7C" w:rsidP="00A26D7C">
      <w:pPr>
        <w:pStyle w:val="ListParagraph"/>
        <w:numPr>
          <w:ilvl w:val="0"/>
          <w:numId w:val="64"/>
        </w:numPr>
        <w:rPr>
          <w:rFonts w:asciiTheme="minorHAnsi" w:hAnsiTheme="minorHAnsi"/>
          <w:sz w:val="22"/>
          <w:szCs w:val="22"/>
        </w:rPr>
      </w:pPr>
      <w:r>
        <w:rPr>
          <w:rFonts w:asciiTheme="minorHAnsi" w:hAnsiTheme="minorHAnsi"/>
          <w:sz w:val="22"/>
          <w:szCs w:val="22"/>
        </w:rPr>
        <w:t>Completion of testing on the days identified for track access.</w:t>
      </w:r>
    </w:p>
    <w:p w14:paraId="6CF0D6CD" w14:textId="77777777" w:rsidR="00A26D7C" w:rsidRPr="005A3F2D" w:rsidRDefault="00A26D7C" w:rsidP="00A26D7C">
      <w:pPr>
        <w:pStyle w:val="ListParagraph"/>
        <w:numPr>
          <w:ilvl w:val="0"/>
          <w:numId w:val="64"/>
        </w:numPr>
        <w:rPr>
          <w:rFonts w:asciiTheme="minorHAnsi" w:hAnsiTheme="minorHAnsi"/>
          <w:sz w:val="22"/>
          <w:szCs w:val="22"/>
        </w:rPr>
      </w:pPr>
      <w:r>
        <w:rPr>
          <w:rFonts w:asciiTheme="minorHAnsi" w:hAnsiTheme="minorHAnsi"/>
          <w:sz w:val="22"/>
          <w:szCs w:val="22"/>
        </w:rPr>
        <w:t>Providing findings in a timely fashion to feed into T1155.</w:t>
      </w:r>
    </w:p>
    <w:p w14:paraId="6E6D78D8" w14:textId="31D9F629" w:rsidR="00A26D7C" w:rsidRPr="00D87BB5" w:rsidRDefault="00A26D7C" w:rsidP="00A26D7C">
      <w:pPr>
        <w:pStyle w:val="ListParagraph"/>
        <w:numPr>
          <w:ilvl w:val="0"/>
          <w:numId w:val="64"/>
        </w:numPr>
        <w:rPr>
          <w:rFonts w:asciiTheme="minorHAnsi" w:hAnsiTheme="minorHAnsi"/>
          <w:sz w:val="22"/>
          <w:szCs w:val="22"/>
        </w:rPr>
        <w:sectPr w:rsidR="00A26D7C" w:rsidRPr="00D87BB5" w:rsidSect="00A26D7C">
          <w:headerReference w:type="even" r:id="rId19"/>
          <w:headerReference w:type="default" r:id="rId20"/>
          <w:footerReference w:type="even" r:id="rId21"/>
          <w:footerReference w:type="default" r:id="rId22"/>
          <w:headerReference w:type="first" r:id="rId23"/>
          <w:footerReference w:type="first" r:id="rId24"/>
          <w:pgSz w:w="11906" w:h="16838"/>
          <w:pgMar w:top="1985" w:right="1985" w:bottom="1985" w:left="1985" w:header="941" w:footer="567" w:gutter="0"/>
          <w:cols w:space="708"/>
          <w:docGrid w:linePitch="360"/>
        </w:sectPr>
      </w:pPr>
      <w:r w:rsidRPr="00D87BB5">
        <w:rPr>
          <w:rFonts w:asciiTheme="minorHAnsi" w:hAnsiTheme="minorHAnsi"/>
          <w:sz w:val="22"/>
        </w:rPr>
        <w:t xml:space="preserve">Gaining support from industry including unions for </w:t>
      </w:r>
      <w:r>
        <w:rPr>
          <w:rFonts w:asciiTheme="minorHAnsi" w:hAnsiTheme="minorHAnsi"/>
          <w:sz w:val="22"/>
        </w:rPr>
        <w:t xml:space="preserve">the </w:t>
      </w:r>
      <w:r w:rsidRPr="00D87BB5">
        <w:rPr>
          <w:rFonts w:asciiTheme="minorHAnsi" w:hAnsiTheme="minorHAnsi"/>
          <w:sz w:val="22"/>
        </w:rPr>
        <w:t xml:space="preserve">work and the methodology to conduct.  To support this a stakeholder engagement plan </w:t>
      </w:r>
      <w:r w:rsidRPr="00921930">
        <w:rPr>
          <w:rFonts w:asciiTheme="minorHAnsi" w:hAnsiTheme="minorHAnsi"/>
          <w:sz w:val="22"/>
        </w:rPr>
        <w:t>for T1155 has been drafted, which can be used t</w:t>
      </w:r>
      <w:r w:rsidRPr="00D87BB5">
        <w:rPr>
          <w:rFonts w:asciiTheme="minorHAnsi" w:hAnsiTheme="minorHAnsi"/>
          <w:sz w:val="22"/>
        </w:rPr>
        <w:t xml:space="preserve">o also support this research.   </w:t>
      </w: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4"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A26D7C">
        <w:rPr>
          <w:rFonts w:asciiTheme="minorHAnsi" w:hAnsiTheme="minorHAnsi" w:cs="Arial"/>
          <w:b/>
          <w:bCs/>
          <w:sz w:val="22"/>
          <w:szCs w:val="22"/>
        </w:rPr>
      </w:r>
      <w:r w:rsidR="00A26D7C">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A26D7C"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4"/>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5"/>
      <w:footerReference w:type="even" r:id="rId26"/>
      <w:footerReference w:type="default" r:id="rId27"/>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EBCEF" w14:textId="77777777" w:rsidR="009A27E8" w:rsidRDefault="009A27E8" w:rsidP="0003785D">
      <w:r>
        <w:separator/>
      </w:r>
    </w:p>
  </w:endnote>
  <w:endnote w:type="continuationSeparator" w:id="0">
    <w:p w14:paraId="6821A76A" w14:textId="77777777" w:rsidR="009A27E8" w:rsidRDefault="009A27E8"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A26D7C" w:rsidRDefault="00A2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A26D7C" w:rsidRDefault="00A26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A26D7C" w:rsidRPr="00F735CB" w:rsidRDefault="00A26D7C"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A26D7C" w:rsidRDefault="00A26D7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A26D7C" w:rsidRDefault="00A26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9604" w14:textId="77777777" w:rsidR="00A26D7C" w:rsidRDefault="00A26D7C"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t>WP.2 T1167</w:t>
    </w:r>
    <w:r>
      <w:rPr>
        <w:noProof/>
      </w:rPr>
      <w:tab/>
    </w:r>
    <w:r>
      <w:rPr>
        <w:noProof/>
      </w:rPr>
      <w:fldChar w:fldCharType="begin"/>
    </w:r>
    <w:r>
      <w:rPr>
        <w:noProof/>
      </w:rPr>
      <w:instrText xml:space="preserve"> DATE \@ "d-MMM-yy" </w:instrText>
    </w:r>
    <w:r>
      <w:rPr>
        <w:noProof/>
      </w:rPr>
      <w:fldChar w:fldCharType="separate"/>
    </w:r>
    <w:r>
      <w:rPr>
        <w:noProof/>
      </w:rPr>
      <w:t>20-Nov-18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09B2" w14:textId="77777777" w:rsidR="00A26D7C" w:rsidRDefault="00A26D7C"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5074" w14:textId="77777777" w:rsidR="00A26D7C" w:rsidRDefault="00A26D7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A26D7C" w:rsidRDefault="00A26D7C"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A26D7C" w:rsidRDefault="00A26D7C"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6FC87" w14:textId="77777777" w:rsidR="009A27E8" w:rsidRDefault="009A27E8" w:rsidP="0003785D">
      <w:r>
        <w:separator/>
      </w:r>
    </w:p>
  </w:footnote>
  <w:footnote w:type="continuationSeparator" w:id="0">
    <w:p w14:paraId="2AA18626" w14:textId="77777777" w:rsidR="009A27E8" w:rsidRDefault="009A27E8" w:rsidP="0003785D">
      <w:r>
        <w:continuationSeparator/>
      </w:r>
    </w:p>
  </w:footnote>
  <w:footnote w:id="1">
    <w:p w14:paraId="78C1F8C4" w14:textId="77777777" w:rsidR="00A26D7C" w:rsidRPr="00382479" w:rsidRDefault="00A26D7C" w:rsidP="00A26D7C">
      <w:pPr>
        <w:pStyle w:val="FootnoteText"/>
        <w:rPr>
          <w:rFonts w:asciiTheme="minorHAnsi" w:hAnsiTheme="minorHAnsi"/>
          <w:sz w:val="16"/>
          <w:szCs w:val="16"/>
        </w:rPr>
      </w:pPr>
      <w:r w:rsidRPr="00382479">
        <w:rPr>
          <w:rStyle w:val="FootnoteReference"/>
          <w:rFonts w:asciiTheme="minorHAnsi" w:eastAsia="Arial" w:hAnsiTheme="minorHAnsi"/>
          <w:sz w:val="16"/>
          <w:szCs w:val="16"/>
        </w:rPr>
        <w:footnoteRef/>
      </w:r>
      <w:r w:rsidRPr="00382479">
        <w:rPr>
          <w:rFonts w:asciiTheme="minorHAnsi" w:hAnsiTheme="minorHAnsi"/>
          <w:sz w:val="16"/>
          <w:szCs w:val="16"/>
        </w:rPr>
        <w:t xml:space="preserve"> </w:t>
      </w:r>
      <w:hyperlink r:id="rId1" w:history="1">
        <w:r w:rsidRPr="00382479">
          <w:rPr>
            <w:rStyle w:val="Hyperlink"/>
            <w:rFonts w:asciiTheme="minorHAnsi" w:hAnsiTheme="minorHAnsi"/>
            <w:sz w:val="16"/>
            <w:szCs w:val="16"/>
          </w:rPr>
          <w:t>https://www.rssb.co.uk/rgs/standards/GMRT2160%20Iss%204.pdf</w:t>
        </w:r>
      </w:hyperlink>
      <w:r w:rsidRPr="00382479">
        <w:rPr>
          <w:rFonts w:asciiTheme="minorHAnsi" w:hAnsiTheme="minorHAnsi"/>
          <w:sz w:val="16"/>
          <w:szCs w:val="16"/>
        </w:rPr>
        <w:t xml:space="preserve"> </w:t>
      </w:r>
    </w:p>
  </w:footnote>
  <w:footnote w:id="2">
    <w:p w14:paraId="4471729C" w14:textId="77777777" w:rsidR="00A26D7C" w:rsidRPr="00382479" w:rsidRDefault="00A26D7C" w:rsidP="00A26D7C">
      <w:pPr>
        <w:pStyle w:val="FootnoteText"/>
        <w:rPr>
          <w:rFonts w:asciiTheme="minorHAnsi" w:hAnsiTheme="minorHAnsi"/>
          <w:sz w:val="16"/>
          <w:szCs w:val="16"/>
        </w:rPr>
      </w:pPr>
      <w:r w:rsidRPr="00382479">
        <w:rPr>
          <w:rStyle w:val="FootnoteReference"/>
          <w:rFonts w:asciiTheme="minorHAnsi" w:eastAsia="Arial" w:hAnsiTheme="minorHAnsi"/>
          <w:sz w:val="16"/>
          <w:szCs w:val="16"/>
        </w:rPr>
        <w:footnoteRef/>
      </w:r>
      <w:r w:rsidRPr="00382479">
        <w:rPr>
          <w:rFonts w:asciiTheme="minorHAnsi" w:hAnsiTheme="minorHAnsi"/>
          <w:sz w:val="16"/>
          <w:szCs w:val="16"/>
        </w:rPr>
        <w:t xml:space="preserve"> </w:t>
      </w:r>
      <w:hyperlink r:id="rId2" w:history="1">
        <w:r w:rsidRPr="009D2A5A">
          <w:rPr>
            <w:rStyle w:val="Hyperlink"/>
            <w:rFonts w:asciiTheme="minorHAnsi" w:hAnsiTheme="minorHAnsi"/>
            <w:sz w:val="16"/>
            <w:szCs w:val="16"/>
          </w:rPr>
          <w:t>https://www.sparkrail.org/Lists/Records/DispForm.aspx?ID=9995</w:t>
        </w:r>
      </w:hyperlink>
      <w:r>
        <w:rPr>
          <w:rFonts w:asciiTheme="minorHAnsi" w:hAnsiTheme="minorHAnsi"/>
          <w:sz w:val="16"/>
          <w:szCs w:val="16"/>
        </w:rPr>
        <w:t xml:space="preserve"> </w:t>
      </w:r>
    </w:p>
  </w:footnote>
  <w:footnote w:id="3">
    <w:p w14:paraId="4F46AACE" w14:textId="77777777" w:rsidR="00A26D7C" w:rsidRDefault="00A26D7C" w:rsidP="00A26D7C">
      <w:pPr>
        <w:pStyle w:val="FootnoteText"/>
      </w:pPr>
      <w:r w:rsidRPr="00382479">
        <w:rPr>
          <w:rStyle w:val="FootnoteReference"/>
          <w:rFonts w:asciiTheme="minorHAnsi" w:eastAsia="Arial" w:hAnsiTheme="minorHAnsi"/>
          <w:sz w:val="16"/>
          <w:szCs w:val="16"/>
        </w:rPr>
        <w:footnoteRef/>
      </w:r>
      <w:r w:rsidRPr="00382479">
        <w:rPr>
          <w:rFonts w:asciiTheme="minorHAnsi" w:hAnsiTheme="minorHAnsi"/>
          <w:sz w:val="16"/>
          <w:szCs w:val="16"/>
        </w:rPr>
        <w:t xml:space="preserve"> The case scenarios to be examined are: a) Assistance to failed train, b) Emergency protection, c) T3 protection, d) Line blockage protection, e) Single Line Working, f) Working of single and bi-directional lines by </w:t>
      </w:r>
      <w:proofErr w:type="spellStart"/>
      <w:r w:rsidRPr="00382479">
        <w:rPr>
          <w:rFonts w:asciiTheme="minorHAnsi" w:hAnsiTheme="minorHAnsi"/>
          <w:sz w:val="16"/>
          <w:szCs w:val="16"/>
        </w:rPr>
        <w:t>pilotman</w:t>
      </w:r>
      <w:proofErr w:type="spellEnd"/>
      <w:r w:rsidRPr="00382479">
        <w:rPr>
          <w:rFonts w:asciiTheme="minorHAnsi" w:hAnsiTheme="minorHAnsi"/>
          <w:sz w:val="16"/>
          <w:szCs w:val="16"/>
        </w:rPr>
        <w:t xml:space="preserve">: Working to the point of obstruction, g) Temporary Block Working, h) Movements towards an isolated section, and </w:t>
      </w:r>
      <w:proofErr w:type="spellStart"/>
      <w:r w:rsidRPr="00382479">
        <w:rPr>
          <w:rFonts w:asciiTheme="minorHAnsi" w:hAnsiTheme="minorHAnsi"/>
          <w:sz w:val="16"/>
          <w:szCs w:val="16"/>
        </w:rPr>
        <w:t>i</w:t>
      </w:r>
      <w:proofErr w:type="spellEnd"/>
      <w:r w:rsidRPr="00382479">
        <w:rPr>
          <w:rFonts w:asciiTheme="minorHAnsi" w:hAnsiTheme="minorHAnsi"/>
          <w:sz w:val="16"/>
          <w:szCs w:val="16"/>
        </w:rPr>
        <w:t>) Divided train.</w:t>
      </w:r>
    </w:p>
  </w:footnote>
  <w:footnote w:id="4">
    <w:p w14:paraId="65137C65" w14:textId="77777777" w:rsidR="00A26D7C" w:rsidRPr="006C1807" w:rsidRDefault="00A26D7C" w:rsidP="00A26D7C">
      <w:pPr>
        <w:pStyle w:val="FootnoteText"/>
        <w:rPr>
          <w:rFonts w:asciiTheme="minorHAnsi" w:hAnsiTheme="minorHAnsi"/>
        </w:rPr>
      </w:pPr>
      <w:r w:rsidRPr="006C1807">
        <w:rPr>
          <w:rStyle w:val="FootnoteReference"/>
          <w:rFonts w:asciiTheme="minorHAnsi" w:eastAsia="Arial" w:hAnsiTheme="minorHAnsi"/>
          <w:sz w:val="16"/>
        </w:rPr>
        <w:footnoteRef/>
      </w:r>
      <w:r w:rsidRPr="006C1807">
        <w:rPr>
          <w:rFonts w:asciiTheme="minorHAnsi" w:hAnsiTheme="minorHAnsi"/>
          <w:sz w:val="16"/>
        </w:rPr>
        <w:t xml:space="preserve"> https://www.networkrail.co.uk/industry-commercial-partners/research-development-technology/ridc/</w:t>
      </w:r>
    </w:p>
  </w:footnote>
  <w:footnote w:id="5">
    <w:p w14:paraId="383B7734" w14:textId="77777777" w:rsidR="00A26D7C" w:rsidRPr="00B13B50" w:rsidRDefault="00A26D7C"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A26D7C" w:rsidRDefault="00A26D7C">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A26D7C" w:rsidRDefault="00A26D7C"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A26D7C" w:rsidRDefault="00A26D7C"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2D8C" w14:textId="77777777" w:rsidR="00A26D7C" w:rsidRDefault="00A26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FDA5" w14:textId="77777777" w:rsidR="00A26D7C" w:rsidRPr="0003785D" w:rsidRDefault="00A26D7C" w:rsidP="0003785D">
    <w:pPr>
      <w:pStyle w:val="Image"/>
    </w:pPr>
    <w:r>
      <w:rPr>
        <w:noProof/>
        <w:lang w:eastAsia="en-GB"/>
      </w:rPr>
      <w:drawing>
        <wp:inline distT="0" distB="0" distL="0" distR="0" wp14:anchorId="0FE1D627" wp14:editId="65E14B11">
          <wp:extent cx="1256030" cy="699770"/>
          <wp:effectExtent l="0" t="0" r="1270" b="5080"/>
          <wp:docPr id="5" name="Picture 5"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A25D" w14:textId="77777777" w:rsidR="00A26D7C" w:rsidRDefault="00A26D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A26D7C" w:rsidRPr="0003785D" w:rsidRDefault="00A26D7C"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DE122F2"/>
    <w:multiLevelType w:val="hybridMultilevel"/>
    <w:tmpl w:val="36E68C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0A2123"/>
    <w:multiLevelType w:val="hybridMultilevel"/>
    <w:tmpl w:val="C68205D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141A4EC6"/>
    <w:multiLevelType w:val="hybridMultilevel"/>
    <w:tmpl w:val="A8043A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146B7610"/>
    <w:multiLevelType w:val="hybridMultilevel"/>
    <w:tmpl w:val="1DA4A73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D1566F0"/>
    <w:multiLevelType w:val="hybridMultilevel"/>
    <w:tmpl w:val="9FE467F0"/>
    <w:lvl w:ilvl="0" w:tplc="792026E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4E81B0E"/>
    <w:multiLevelType w:val="hybridMultilevel"/>
    <w:tmpl w:val="26260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7D735A"/>
    <w:multiLevelType w:val="hybridMultilevel"/>
    <w:tmpl w:val="0376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481DC8"/>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F716B2"/>
    <w:multiLevelType w:val="hybridMultilevel"/>
    <w:tmpl w:val="B020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FA64C6"/>
    <w:multiLevelType w:val="hybridMultilevel"/>
    <w:tmpl w:val="9C888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195ED4"/>
    <w:multiLevelType w:val="hybridMultilevel"/>
    <w:tmpl w:val="A0E0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7"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539F6"/>
    <w:multiLevelType w:val="hybridMultilevel"/>
    <w:tmpl w:val="399A46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BA057C"/>
    <w:multiLevelType w:val="hybridMultilevel"/>
    <w:tmpl w:val="3236B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3"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A622E73"/>
    <w:multiLevelType w:val="hybridMultilevel"/>
    <w:tmpl w:val="36E68C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F24405"/>
    <w:multiLevelType w:val="hybridMultilevel"/>
    <w:tmpl w:val="8D903544"/>
    <w:lvl w:ilvl="0" w:tplc="7012F188">
      <w:start w:val="1"/>
      <w:numFmt w:val="bullet"/>
      <w:lvlText w:val=""/>
      <w:lvlJc w:val="left"/>
      <w:pPr>
        <w:tabs>
          <w:tab w:val="num" w:pos="360"/>
        </w:tabs>
        <w:ind w:left="360" w:hanging="360"/>
      </w:pPr>
      <w:rPr>
        <w:rFonts w:ascii="Symbol" w:hAnsi="Symbol" w:hint="default"/>
      </w:rPr>
    </w:lvl>
    <w:lvl w:ilvl="1" w:tplc="7C5AF940">
      <w:start w:val="1"/>
      <w:numFmt w:val="bullet"/>
      <w:lvlText w:val=""/>
      <w:lvlJc w:val="left"/>
      <w:pPr>
        <w:tabs>
          <w:tab w:val="num" w:pos="1080"/>
        </w:tabs>
        <w:ind w:left="1080" w:hanging="360"/>
      </w:pPr>
      <w:rPr>
        <w:rFonts w:ascii="Symbol" w:hAnsi="Symbol" w:hint="default"/>
      </w:rPr>
    </w:lvl>
    <w:lvl w:ilvl="2" w:tplc="A88A58F2" w:tentative="1">
      <w:start w:val="1"/>
      <w:numFmt w:val="bullet"/>
      <w:lvlText w:val=""/>
      <w:lvlJc w:val="left"/>
      <w:pPr>
        <w:tabs>
          <w:tab w:val="num" w:pos="1800"/>
        </w:tabs>
        <w:ind w:left="1800" w:hanging="360"/>
      </w:pPr>
      <w:rPr>
        <w:rFonts w:ascii="Symbol" w:hAnsi="Symbol" w:hint="default"/>
      </w:rPr>
    </w:lvl>
    <w:lvl w:ilvl="3" w:tplc="AD66CF38" w:tentative="1">
      <w:start w:val="1"/>
      <w:numFmt w:val="bullet"/>
      <w:lvlText w:val=""/>
      <w:lvlJc w:val="left"/>
      <w:pPr>
        <w:tabs>
          <w:tab w:val="num" w:pos="2520"/>
        </w:tabs>
        <w:ind w:left="2520" w:hanging="360"/>
      </w:pPr>
      <w:rPr>
        <w:rFonts w:ascii="Symbol" w:hAnsi="Symbol" w:hint="default"/>
      </w:rPr>
    </w:lvl>
    <w:lvl w:ilvl="4" w:tplc="552846D4" w:tentative="1">
      <w:start w:val="1"/>
      <w:numFmt w:val="bullet"/>
      <w:lvlText w:val=""/>
      <w:lvlJc w:val="left"/>
      <w:pPr>
        <w:tabs>
          <w:tab w:val="num" w:pos="3240"/>
        </w:tabs>
        <w:ind w:left="3240" w:hanging="360"/>
      </w:pPr>
      <w:rPr>
        <w:rFonts w:ascii="Symbol" w:hAnsi="Symbol" w:hint="default"/>
      </w:rPr>
    </w:lvl>
    <w:lvl w:ilvl="5" w:tplc="BEC4EF32" w:tentative="1">
      <w:start w:val="1"/>
      <w:numFmt w:val="bullet"/>
      <w:lvlText w:val=""/>
      <w:lvlJc w:val="left"/>
      <w:pPr>
        <w:tabs>
          <w:tab w:val="num" w:pos="3960"/>
        </w:tabs>
        <w:ind w:left="3960" w:hanging="360"/>
      </w:pPr>
      <w:rPr>
        <w:rFonts w:ascii="Symbol" w:hAnsi="Symbol" w:hint="default"/>
      </w:rPr>
    </w:lvl>
    <w:lvl w:ilvl="6" w:tplc="E83A9DF0" w:tentative="1">
      <w:start w:val="1"/>
      <w:numFmt w:val="bullet"/>
      <w:lvlText w:val=""/>
      <w:lvlJc w:val="left"/>
      <w:pPr>
        <w:tabs>
          <w:tab w:val="num" w:pos="4680"/>
        </w:tabs>
        <w:ind w:left="4680" w:hanging="360"/>
      </w:pPr>
      <w:rPr>
        <w:rFonts w:ascii="Symbol" w:hAnsi="Symbol" w:hint="default"/>
      </w:rPr>
    </w:lvl>
    <w:lvl w:ilvl="7" w:tplc="8FE83526" w:tentative="1">
      <w:start w:val="1"/>
      <w:numFmt w:val="bullet"/>
      <w:lvlText w:val=""/>
      <w:lvlJc w:val="left"/>
      <w:pPr>
        <w:tabs>
          <w:tab w:val="num" w:pos="5400"/>
        </w:tabs>
        <w:ind w:left="5400" w:hanging="360"/>
      </w:pPr>
      <w:rPr>
        <w:rFonts w:ascii="Symbol" w:hAnsi="Symbol" w:hint="default"/>
      </w:rPr>
    </w:lvl>
    <w:lvl w:ilvl="8" w:tplc="7DC21812" w:tentative="1">
      <w:start w:val="1"/>
      <w:numFmt w:val="bullet"/>
      <w:lvlText w:val=""/>
      <w:lvlJc w:val="left"/>
      <w:pPr>
        <w:tabs>
          <w:tab w:val="num" w:pos="6120"/>
        </w:tabs>
        <w:ind w:left="6120" w:hanging="360"/>
      </w:pPr>
      <w:rPr>
        <w:rFonts w:ascii="Symbol" w:hAnsi="Symbol" w:hint="default"/>
      </w:rPr>
    </w:lvl>
  </w:abstractNum>
  <w:abstractNum w:abstractNumId="4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4" w15:restartNumberingAfterBreak="0">
    <w:nsid w:val="6E2C4F74"/>
    <w:multiLevelType w:val="hybridMultilevel"/>
    <w:tmpl w:val="C8CE11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30"/>
  </w:num>
  <w:num w:numId="3">
    <w:abstractNumId w:val="20"/>
  </w:num>
  <w:num w:numId="4">
    <w:abstractNumId w:val="35"/>
  </w:num>
  <w:num w:numId="5">
    <w:abstractNumId w:val="55"/>
  </w:num>
  <w:num w:numId="6">
    <w:abstractNumId w:val="0"/>
  </w:num>
  <w:num w:numId="7">
    <w:abstractNumId w:val="60"/>
  </w:num>
  <w:num w:numId="8">
    <w:abstractNumId w:val="53"/>
  </w:num>
  <w:num w:numId="9">
    <w:abstractNumId w:val="1"/>
  </w:num>
  <w:num w:numId="10">
    <w:abstractNumId w:val="36"/>
  </w:num>
  <w:num w:numId="11">
    <w:abstractNumId w:val="62"/>
  </w:num>
  <w:num w:numId="12">
    <w:abstractNumId w:val="3"/>
  </w:num>
  <w:num w:numId="13">
    <w:abstractNumId w:val="61"/>
  </w:num>
  <w:num w:numId="14">
    <w:abstractNumId w:val="44"/>
  </w:num>
  <w:num w:numId="15">
    <w:abstractNumId w:val="41"/>
  </w:num>
  <w:num w:numId="16">
    <w:abstractNumId w:val="6"/>
  </w:num>
  <w:num w:numId="17">
    <w:abstractNumId w:val="9"/>
  </w:num>
  <w:num w:numId="18">
    <w:abstractNumId w:val="51"/>
  </w:num>
  <w:num w:numId="19">
    <w:abstractNumId w:val="12"/>
  </w:num>
  <w:num w:numId="20">
    <w:abstractNumId w:val="32"/>
  </w:num>
  <w:num w:numId="21">
    <w:abstractNumId w:val="34"/>
  </w:num>
  <w:num w:numId="22">
    <w:abstractNumId w:val="42"/>
  </w:num>
  <w:num w:numId="23">
    <w:abstractNumId w:val="4"/>
  </w:num>
  <w:num w:numId="24">
    <w:abstractNumId w:val="63"/>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1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59"/>
  </w:num>
  <w:num w:numId="34">
    <w:abstractNumId w:val="5"/>
  </w:num>
  <w:num w:numId="35">
    <w:abstractNumId w:val="49"/>
  </w:num>
  <w:num w:numId="36">
    <w:abstractNumId w:val="23"/>
  </w:num>
  <w:num w:numId="37">
    <w:abstractNumId w:val="10"/>
  </w:num>
  <w:num w:numId="38">
    <w:abstractNumId w:val="57"/>
  </w:num>
  <w:num w:numId="39">
    <w:abstractNumId w:val="22"/>
  </w:num>
  <w:num w:numId="40">
    <w:abstractNumId w:val="56"/>
  </w:num>
  <w:num w:numId="41">
    <w:abstractNumId w:val="8"/>
  </w:num>
  <w:num w:numId="42">
    <w:abstractNumId w:val="31"/>
  </w:num>
  <w:num w:numId="43">
    <w:abstractNumId w:val="29"/>
  </w:num>
  <w:num w:numId="44">
    <w:abstractNumId w:val="37"/>
  </w:num>
  <w:num w:numId="45">
    <w:abstractNumId w:val="43"/>
  </w:num>
  <w:num w:numId="46">
    <w:abstractNumId w:val="17"/>
  </w:num>
  <w:num w:numId="47">
    <w:abstractNumId w:val="58"/>
  </w:num>
  <w:num w:numId="48">
    <w:abstractNumId w:val="13"/>
  </w:num>
  <w:num w:numId="49">
    <w:abstractNumId w:val="15"/>
  </w:num>
  <w:num w:numId="50">
    <w:abstractNumId w:val="25"/>
  </w:num>
  <w:num w:numId="51">
    <w:abstractNumId w:val="28"/>
  </w:num>
  <w:num w:numId="52">
    <w:abstractNumId w:val="7"/>
  </w:num>
  <w:num w:numId="53">
    <w:abstractNumId w:val="38"/>
  </w:num>
  <w:num w:numId="54">
    <w:abstractNumId w:val="45"/>
  </w:num>
  <w:num w:numId="55">
    <w:abstractNumId w:val="11"/>
  </w:num>
  <w:num w:numId="56">
    <w:abstractNumId w:val="26"/>
  </w:num>
  <w:num w:numId="57">
    <w:abstractNumId w:val="33"/>
  </w:num>
  <w:num w:numId="58">
    <w:abstractNumId w:val="52"/>
  </w:num>
  <w:num w:numId="59">
    <w:abstractNumId w:val="19"/>
  </w:num>
  <w:num w:numId="60">
    <w:abstractNumId w:val="27"/>
  </w:num>
  <w:num w:numId="61">
    <w:abstractNumId w:val="16"/>
  </w:num>
  <w:num w:numId="62">
    <w:abstractNumId w:val="39"/>
  </w:num>
  <w:num w:numId="63">
    <w:abstractNumId w:val="46"/>
  </w:num>
  <w:num w:numId="64">
    <w:abstractNumId w:val="24"/>
  </w:num>
  <w:num w:numId="65">
    <w:abstractNumId w:val="54"/>
  </w:num>
  <w:num w:numId="6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27E8"/>
    <w:rsid w:val="009A43CE"/>
    <w:rsid w:val="009E1F97"/>
    <w:rsid w:val="009E24D2"/>
    <w:rsid w:val="009E3560"/>
    <w:rsid w:val="00A12089"/>
    <w:rsid w:val="00A121D7"/>
    <w:rsid w:val="00A13EC8"/>
    <w:rsid w:val="00A24D23"/>
    <w:rsid w:val="00A26D7C"/>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A5C8A"/>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TableTextBold0">
    <w:name w:val="TableTextBold"/>
    <w:uiPriority w:val="99"/>
    <w:rsid w:val="00A26D7C"/>
    <w:pPr>
      <w:spacing w:before="40" w:after="40" w:line="260" w:lineRule="exact"/>
    </w:pPr>
    <w:rPr>
      <w:rFonts w:ascii="Arial" w:eastAsia="Arial" w:hAnsi="Arial" w:cs="Arial"/>
      <w:b/>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www.sparkrail.org/Lists/Records/DispForm.aspx?ID=9995" TargetMode="External"/><Relationship Id="rId1" Type="http://schemas.openxmlformats.org/officeDocument/2006/relationships/hyperlink" Target="https://www.rssb.co.uk/rgs/standards/GMRT2160%20Iss%2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8C2B78-C35B-4305-8A8E-BC5B665B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30</Pages>
  <Words>7083</Words>
  <Characters>40378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2018-11-20T09:45:00Z</dcterms:created>
  <dcterms:modified xsi:type="dcterms:W3CDTF">2018-11-20T09:45:00Z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