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54" w:rsidRDefault="00F56754" w:rsidP="005E071D">
      <w:pPr>
        <w:pStyle w:val="DocumentTitle"/>
      </w:pPr>
    </w:p>
    <w:p w:rsidR="00F56754" w:rsidRDefault="00F56754" w:rsidP="005E071D">
      <w:pPr>
        <w:pStyle w:val="DocumentTitle"/>
      </w:pPr>
    </w:p>
    <w:p w:rsidR="005E071D" w:rsidRPr="0062558E" w:rsidRDefault="00E2735D" w:rsidP="005E071D">
      <w:pPr>
        <w:pStyle w:val="DocumentTitle"/>
        <w:rPr>
          <w:b w:val="0"/>
          <w:i/>
          <w:iCs/>
          <w:sz w:val="64"/>
          <w:szCs w:val="64"/>
        </w:rPr>
      </w:pPr>
      <w:r>
        <w:br/>
      </w:r>
      <w:r w:rsidR="0013420B">
        <w:rPr>
          <w:sz w:val="64"/>
          <w:szCs w:val="64"/>
        </w:rPr>
        <w:t>Draft Procurement and Mobilisation timetable</w:t>
      </w:r>
      <w:r w:rsidR="00097799" w:rsidRPr="00097799">
        <w:rPr>
          <w:sz w:val="64"/>
          <w:szCs w:val="64"/>
        </w:rPr>
        <w:t xml:space="preserve"> </w:t>
      </w:r>
    </w:p>
    <w:p w:rsidR="005E071D" w:rsidRPr="001F55B2" w:rsidRDefault="009F0C48" w:rsidP="005E071D">
      <w:pPr>
        <w:pStyle w:val="SubtitlePink"/>
        <w:rPr>
          <w:sz w:val="48"/>
        </w:rPr>
      </w:pPr>
      <w:r>
        <w:rPr>
          <w:sz w:val="44"/>
        </w:rPr>
        <w:t xml:space="preserve">NHS </w:t>
      </w:r>
      <w:r w:rsidR="003D0368">
        <w:rPr>
          <w:sz w:val="44"/>
        </w:rPr>
        <w:t>Medway</w:t>
      </w:r>
      <w:r w:rsidR="003336AD" w:rsidRPr="001F55B2">
        <w:rPr>
          <w:sz w:val="44"/>
        </w:rPr>
        <w:t xml:space="preserve"> </w:t>
      </w:r>
      <w:r w:rsidR="0062558E" w:rsidRPr="001F55B2">
        <w:rPr>
          <w:sz w:val="44"/>
        </w:rPr>
        <w:t>Clinical Commissioning Group</w:t>
      </w:r>
      <w:r w:rsidR="005E071D" w:rsidRPr="001F55B2">
        <w:rPr>
          <w:sz w:val="48"/>
        </w:rPr>
        <w:br/>
      </w:r>
      <w:r w:rsidR="003D0368" w:rsidRPr="003D0368">
        <w:rPr>
          <w:sz w:val="44"/>
        </w:rPr>
        <w:t>APMS Primary Care</w:t>
      </w:r>
      <w:r w:rsidR="005E071D" w:rsidRPr="001F55B2">
        <w:rPr>
          <w:sz w:val="44"/>
        </w:rPr>
        <w:br/>
      </w:r>
      <w:r w:rsidR="003D0368">
        <w:rPr>
          <w:sz w:val="44"/>
        </w:rPr>
        <w:t>2</w:t>
      </w:r>
      <w:r w:rsidR="003D0368" w:rsidRPr="003D0368">
        <w:rPr>
          <w:sz w:val="44"/>
          <w:vertAlign w:val="superscript"/>
        </w:rPr>
        <w:t>nd</w:t>
      </w:r>
      <w:r w:rsidR="003D0368">
        <w:rPr>
          <w:sz w:val="44"/>
        </w:rPr>
        <w:t xml:space="preserve"> July 2018</w:t>
      </w:r>
    </w:p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D87CFD" w:rsidRDefault="00D87CFD" w:rsidP="00D87CF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097799" w:rsidRDefault="00097799">
      <w:pPr>
        <w:rPr>
          <w:rFonts w:asciiTheme="minorHAnsi" w:hAnsiTheme="minorHAnsi" w:cs="Arial"/>
          <w:b/>
          <w:color w:val="auto"/>
          <w:sz w:val="28"/>
          <w:szCs w:val="24"/>
        </w:rPr>
      </w:pPr>
      <w:bookmarkStart w:id="0" w:name="_Toc394922311"/>
      <w:r>
        <w:rPr>
          <w:rFonts w:asciiTheme="minorHAnsi" w:hAnsiTheme="minorHAnsi" w:cs="Arial"/>
          <w:b/>
          <w:color w:val="auto"/>
          <w:sz w:val="28"/>
          <w:szCs w:val="24"/>
        </w:rPr>
        <w:br w:type="page"/>
      </w:r>
    </w:p>
    <w:p w:rsidR="00ED7606" w:rsidRPr="00935DF3" w:rsidRDefault="0013420B" w:rsidP="00ED7606">
      <w:pPr>
        <w:spacing w:before="120" w:after="120"/>
        <w:contextualSpacing/>
        <w:jc w:val="center"/>
        <w:rPr>
          <w:rFonts w:asciiTheme="minorHAnsi" w:hAnsiTheme="minorHAnsi" w:cs="Arial"/>
          <w:b/>
          <w:color w:val="auto"/>
          <w:sz w:val="28"/>
          <w:szCs w:val="24"/>
        </w:rPr>
      </w:pPr>
      <w:r>
        <w:rPr>
          <w:rFonts w:asciiTheme="minorHAnsi" w:hAnsiTheme="minorHAnsi" w:cs="Arial"/>
          <w:b/>
          <w:color w:val="auto"/>
          <w:sz w:val="28"/>
          <w:szCs w:val="24"/>
        </w:rPr>
        <w:lastRenderedPageBreak/>
        <w:t>Draft timetable</w:t>
      </w:r>
    </w:p>
    <w:p w:rsidR="00097799" w:rsidRDefault="00097799" w:rsidP="00097799">
      <w:pPr>
        <w:pStyle w:val="NoSpacing"/>
        <w:spacing w:before="120" w:after="120"/>
        <w:jc w:val="both"/>
        <w:rPr>
          <w:rFonts w:asciiTheme="minorHAnsi" w:hAnsiTheme="minorHAnsi" w:cs="Arial"/>
          <w:color w:val="auto"/>
          <w:sz w:val="24"/>
          <w:szCs w:val="24"/>
          <w:lang w:val="en"/>
        </w:rPr>
      </w:pPr>
    </w:p>
    <w:p w:rsidR="00097799" w:rsidRDefault="000479DD" w:rsidP="00097799">
      <w:pPr>
        <w:pStyle w:val="NoSpacing"/>
        <w:spacing w:before="120" w:after="120"/>
        <w:jc w:val="both"/>
        <w:rPr>
          <w:rFonts w:asciiTheme="minorHAnsi" w:hAnsiTheme="minorHAnsi" w:cs="Arial"/>
          <w:color w:val="auto"/>
          <w:sz w:val="24"/>
          <w:szCs w:val="24"/>
          <w:lang w:val="en"/>
        </w:rPr>
      </w:pPr>
      <w:r>
        <w:rPr>
          <w:rFonts w:asciiTheme="minorHAnsi" w:hAnsiTheme="minorHAnsi" w:cs="Arial"/>
          <w:color w:val="auto"/>
          <w:sz w:val="24"/>
          <w:szCs w:val="24"/>
          <w:lang w:val="en"/>
        </w:rPr>
        <w:t>The</w:t>
      </w:r>
      <w:r w:rsidR="0013420B">
        <w:rPr>
          <w:rFonts w:asciiTheme="minorHAnsi" w:hAnsiTheme="minorHAnsi" w:cs="Arial"/>
          <w:color w:val="auto"/>
          <w:sz w:val="24"/>
          <w:szCs w:val="24"/>
          <w:lang w:val="en"/>
        </w:rPr>
        <w:t xml:space="preserve"> below indicative timetable</w:t>
      </w:r>
      <w:r>
        <w:rPr>
          <w:rFonts w:asciiTheme="minorHAnsi" w:hAnsiTheme="minorHAnsi" w:cs="Arial"/>
          <w:color w:val="auto"/>
          <w:sz w:val="24"/>
          <w:szCs w:val="24"/>
          <w:lang w:val="en"/>
        </w:rPr>
        <w:t xml:space="preserve"> is</w:t>
      </w:r>
      <w:r w:rsidR="0013420B">
        <w:rPr>
          <w:rFonts w:asciiTheme="minorHAnsi" w:hAnsiTheme="minorHAnsi" w:cs="Arial"/>
          <w:color w:val="auto"/>
          <w:sz w:val="24"/>
          <w:szCs w:val="24"/>
          <w:lang w:val="en"/>
        </w:rPr>
        <w:t xml:space="preserve"> to inform respondents to the Market Sounding Questionnaire. The timetable is draft and does not commit the Commissioner to</w:t>
      </w:r>
      <w:r>
        <w:rPr>
          <w:rFonts w:asciiTheme="minorHAnsi" w:hAnsiTheme="minorHAnsi" w:cs="Arial"/>
          <w:color w:val="auto"/>
          <w:sz w:val="24"/>
          <w:szCs w:val="24"/>
          <w:lang w:val="en"/>
        </w:rPr>
        <w:t xml:space="preserve"> any future procurement process and is subject to change.</w:t>
      </w:r>
    </w:p>
    <w:tbl>
      <w:tblPr>
        <w:tblpPr w:leftFromText="180" w:rightFromText="180" w:vertAnchor="text" w:horzAnchor="margin" w:tblpXSpec="center" w:tblpY="153"/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643"/>
        <w:gridCol w:w="1417"/>
      </w:tblGrid>
      <w:tr w:rsidR="0013420B" w:rsidRPr="0013420B" w:rsidTr="0013420B">
        <w:trPr>
          <w:tblHeader/>
        </w:trPr>
        <w:tc>
          <w:tcPr>
            <w:tcW w:w="70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3420B">
              <w:rPr>
                <w:rFonts w:ascii="Arial" w:hAnsi="Arial" w:cs="Arial"/>
                <w:b/>
                <w:bCs/>
                <w:color w:val="auto"/>
                <w:sz w:val="22"/>
              </w:rPr>
              <w:t>No.</w:t>
            </w:r>
          </w:p>
        </w:tc>
        <w:tc>
          <w:tcPr>
            <w:tcW w:w="564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3420B">
              <w:rPr>
                <w:rFonts w:ascii="Arial" w:hAnsi="Arial" w:cs="Arial"/>
                <w:b/>
                <w:bCs/>
                <w:color w:val="auto"/>
                <w:sz w:val="22"/>
              </w:rPr>
              <w:t>Stage</w:t>
            </w:r>
          </w:p>
        </w:tc>
        <w:tc>
          <w:tcPr>
            <w:tcW w:w="1417" w:type="dxa"/>
            <w:shd w:val="clear" w:color="auto" w:fill="C0C0C0"/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3420B">
              <w:rPr>
                <w:rFonts w:ascii="Arial" w:hAnsi="Arial" w:cs="Arial"/>
                <w:b/>
                <w:bCs/>
                <w:color w:val="auto"/>
                <w:sz w:val="22"/>
              </w:rPr>
              <w:t>Dates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1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First Tender Stage released to Bidders</w:t>
            </w:r>
          </w:p>
        </w:tc>
        <w:tc>
          <w:tcPr>
            <w:tcW w:w="1417" w:type="dxa"/>
          </w:tcPr>
          <w:p w:rsidR="0013420B" w:rsidRPr="00F75BFB" w:rsidRDefault="0013420B" w:rsidP="0013420B">
            <w:pPr>
              <w:spacing w:after="120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03/09/2018</w:t>
            </w:r>
          </w:p>
        </w:tc>
      </w:tr>
      <w:tr w:rsidR="0013420B" w:rsidRPr="0013420B" w:rsidTr="0013420B">
        <w:trPr>
          <w:trHeight w:val="77"/>
        </w:trPr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2</w:t>
            </w:r>
          </w:p>
        </w:tc>
        <w:tc>
          <w:tcPr>
            <w:tcW w:w="5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First Tender Stage Clarification Deadline</w:t>
            </w:r>
          </w:p>
        </w:tc>
        <w:tc>
          <w:tcPr>
            <w:tcW w:w="1417" w:type="dxa"/>
            <w:shd w:val="clear" w:color="auto" w:fill="auto"/>
          </w:tcPr>
          <w:p w:rsidR="0013420B" w:rsidRPr="00F75BFB" w:rsidRDefault="008357B4" w:rsidP="008357B4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14</w:t>
            </w:r>
            <w:r w:rsidR="0013420B" w:rsidRPr="00F75BFB">
              <w:rPr>
                <w:rFonts w:ascii="Arial" w:hAnsi="Arial" w:cs="Arial"/>
                <w:b/>
                <w:color w:val="auto"/>
                <w:sz w:val="22"/>
              </w:rPr>
              <w:t>/0</w:t>
            </w:r>
            <w:r w:rsidRPr="00F75BFB">
              <w:rPr>
                <w:rFonts w:ascii="Arial" w:hAnsi="Arial" w:cs="Arial"/>
                <w:b/>
                <w:color w:val="auto"/>
                <w:sz w:val="22"/>
              </w:rPr>
              <w:t>9</w:t>
            </w:r>
            <w:r w:rsidR="0013420B" w:rsidRPr="00F75BFB">
              <w:rPr>
                <w:rFonts w:ascii="Arial" w:hAnsi="Arial" w:cs="Arial"/>
                <w:b/>
                <w:color w:val="auto"/>
                <w:sz w:val="22"/>
              </w:rPr>
              <w:t>/2018</w:t>
            </w:r>
          </w:p>
        </w:tc>
      </w:tr>
      <w:tr w:rsidR="0013420B" w:rsidRPr="0013420B" w:rsidTr="0013420B">
        <w:trPr>
          <w:trHeight w:val="77"/>
        </w:trPr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3</w:t>
            </w:r>
          </w:p>
        </w:tc>
        <w:tc>
          <w:tcPr>
            <w:tcW w:w="5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First Tender Stage submission closing date</w:t>
            </w:r>
          </w:p>
        </w:tc>
        <w:tc>
          <w:tcPr>
            <w:tcW w:w="1417" w:type="dxa"/>
            <w:shd w:val="clear" w:color="auto" w:fill="auto"/>
          </w:tcPr>
          <w:p w:rsidR="0013420B" w:rsidRPr="00F75BFB" w:rsidRDefault="008357B4" w:rsidP="008357B4">
            <w:pPr>
              <w:jc w:val="both"/>
              <w:rPr>
                <w:b/>
                <w:color w:val="auto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21</w:t>
            </w:r>
            <w:r w:rsidR="0013420B" w:rsidRPr="00F75BFB">
              <w:rPr>
                <w:rFonts w:ascii="Arial" w:hAnsi="Arial" w:cs="Arial"/>
                <w:b/>
                <w:color w:val="auto"/>
                <w:sz w:val="22"/>
              </w:rPr>
              <w:t>/0</w:t>
            </w:r>
            <w:r w:rsidRPr="00F75BFB">
              <w:rPr>
                <w:rFonts w:ascii="Arial" w:hAnsi="Arial" w:cs="Arial"/>
                <w:b/>
                <w:color w:val="auto"/>
                <w:sz w:val="22"/>
              </w:rPr>
              <w:t>9</w:t>
            </w:r>
            <w:r w:rsidR="0013420B" w:rsidRPr="00F75BFB">
              <w:rPr>
                <w:rFonts w:ascii="Arial" w:hAnsi="Arial" w:cs="Arial"/>
                <w:b/>
                <w:color w:val="auto"/>
                <w:sz w:val="22"/>
              </w:rPr>
              <w:t>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3420B">
              <w:rPr>
                <w:rFonts w:ascii="Arial" w:hAnsi="Arial" w:cs="Arial"/>
                <w:color w:val="auto"/>
                <w:sz w:val="22"/>
              </w:rPr>
              <w:t>4</w:t>
            </w:r>
          </w:p>
        </w:tc>
        <w:tc>
          <w:tcPr>
            <w:tcW w:w="5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8357B4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First</w:t>
            </w:r>
            <w:r w:rsidRPr="0013420B">
              <w:rPr>
                <w:rFonts w:ascii="Arial" w:hAnsi="Arial" w:cs="Arial"/>
                <w:color w:val="auto"/>
                <w:sz w:val="22"/>
              </w:rPr>
              <w:t xml:space="preserve"> Tender Stage Evaluation </w:t>
            </w:r>
            <w:r w:rsidR="008357B4">
              <w:rPr>
                <w:rFonts w:ascii="Arial" w:hAnsi="Arial" w:cs="Arial"/>
                <w:color w:val="auto"/>
                <w:sz w:val="22"/>
              </w:rPr>
              <w:t>commencement</w:t>
            </w:r>
          </w:p>
        </w:tc>
        <w:tc>
          <w:tcPr>
            <w:tcW w:w="1417" w:type="dxa"/>
            <w:shd w:val="clear" w:color="auto" w:fill="auto"/>
          </w:tcPr>
          <w:p w:rsidR="0013420B" w:rsidRPr="0013420B" w:rsidRDefault="008357B4" w:rsidP="008357B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24/09/2018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5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First Tender Stage Evaluation shortlisting</w:t>
            </w:r>
          </w:p>
        </w:tc>
        <w:tc>
          <w:tcPr>
            <w:tcW w:w="1417" w:type="dxa"/>
          </w:tcPr>
          <w:p w:rsidR="0013420B" w:rsidRPr="00F75BFB" w:rsidRDefault="008357B4" w:rsidP="0013420B">
            <w:pPr>
              <w:jc w:val="both"/>
              <w:rPr>
                <w:b/>
                <w:color w:val="auto"/>
              </w:rPr>
            </w:pPr>
            <w:r w:rsidRPr="00F75BFB">
              <w:rPr>
                <w:b/>
                <w:color w:val="auto"/>
              </w:rPr>
              <w:t>05/10/2018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6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8357B4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Second</w:t>
            </w:r>
            <w:r w:rsidR="0013420B" w:rsidRPr="00F75BFB">
              <w:rPr>
                <w:rFonts w:ascii="Arial" w:hAnsi="Arial" w:cs="Arial"/>
                <w:b/>
                <w:color w:val="auto"/>
                <w:sz w:val="22"/>
              </w:rPr>
              <w:t xml:space="preserve"> Tender Stage released to shortlisted Bidders</w:t>
            </w:r>
          </w:p>
        </w:tc>
        <w:tc>
          <w:tcPr>
            <w:tcW w:w="1417" w:type="dxa"/>
          </w:tcPr>
          <w:p w:rsidR="0013420B" w:rsidRPr="00F75BFB" w:rsidRDefault="008357B4" w:rsidP="0013420B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15/10/2018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7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8357B4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 xml:space="preserve">Second Tender Stage </w:t>
            </w:r>
            <w:r w:rsidR="0013420B" w:rsidRPr="00F75BFB">
              <w:rPr>
                <w:rFonts w:ascii="Arial" w:hAnsi="Arial" w:cs="Arial"/>
                <w:b/>
                <w:color w:val="auto"/>
                <w:sz w:val="22"/>
              </w:rPr>
              <w:t>Clarification Deadline</w:t>
            </w:r>
          </w:p>
        </w:tc>
        <w:tc>
          <w:tcPr>
            <w:tcW w:w="1417" w:type="dxa"/>
          </w:tcPr>
          <w:p w:rsidR="0013420B" w:rsidRPr="00F75BFB" w:rsidRDefault="000479DD" w:rsidP="0013420B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26/10/2018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8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8357B4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 xml:space="preserve">Second Tender Stage </w:t>
            </w:r>
            <w:r w:rsidR="0013420B" w:rsidRPr="00F75BFB">
              <w:rPr>
                <w:rFonts w:ascii="Arial" w:hAnsi="Arial" w:cs="Arial"/>
                <w:b/>
                <w:color w:val="auto"/>
                <w:sz w:val="22"/>
              </w:rPr>
              <w:t>submission closing date</w:t>
            </w:r>
          </w:p>
        </w:tc>
        <w:tc>
          <w:tcPr>
            <w:tcW w:w="1417" w:type="dxa"/>
          </w:tcPr>
          <w:p w:rsidR="0013420B" w:rsidRPr="00F75BFB" w:rsidRDefault="000479DD" w:rsidP="0013420B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02/11/2018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3420B">
              <w:rPr>
                <w:rFonts w:ascii="Arial" w:hAnsi="Arial" w:cs="Arial"/>
                <w:color w:val="auto"/>
                <w:sz w:val="22"/>
              </w:rPr>
              <w:t>9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8357B4" w:rsidP="008357B4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Second</w:t>
            </w:r>
            <w:r w:rsidRPr="0013420B">
              <w:rPr>
                <w:rFonts w:ascii="Arial" w:hAnsi="Arial" w:cs="Arial"/>
                <w:color w:val="auto"/>
                <w:sz w:val="22"/>
              </w:rPr>
              <w:t xml:space="preserve"> Tender Stage </w:t>
            </w:r>
            <w:r w:rsidR="0013420B" w:rsidRPr="0013420B">
              <w:rPr>
                <w:rFonts w:ascii="Arial" w:hAnsi="Arial" w:cs="Arial"/>
                <w:color w:val="auto"/>
                <w:sz w:val="22"/>
              </w:rPr>
              <w:t xml:space="preserve">Evaluation </w:t>
            </w:r>
            <w:r>
              <w:rPr>
                <w:rFonts w:ascii="Arial" w:hAnsi="Arial" w:cs="Arial"/>
                <w:color w:val="auto"/>
                <w:sz w:val="22"/>
              </w:rPr>
              <w:t>commencement</w:t>
            </w:r>
          </w:p>
        </w:tc>
        <w:tc>
          <w:tcPr>
            <w:tcW w:w="1417" w:type="dxa"/>
          </w:tcPr>
          <w:p w:rsidR="0013420B" w:rsidRPr="0013420B" w:rsidRDefault="000479DD" w:rsidP="0013420B">
            <w:pPr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05/11/2018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3420B">
              <w:rPr>
                <w:rFonts w:ascii="Arial" w:hAnsi="Arial" w:cs="Arial"/>
                <w:color w:val="auto"/>
                <w:sz w:val="22"/>
              </w:rPr>
              <w:t>10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3420B">
              <w:rPr>
                <w:rFonts w:ascii="Arial" w:hAnsi="Arial" w:cs="Arial"/>
                <w:color w:val="auto"/>
                <w:sz w:val="22"/>
              </w:rPr>
              <w:t>Commissioner Primary Care Committee ratification</w:t>
            </w:r>
          </w:p>
        </w:tc>
        <w:tc>
          <w:tcPr>
            <w:tcW w:w="1417" w:type="dxa"/>
          </w:tcPr>
          <w:p w:rsidR="0013420B" w:rsidRPr="0013420B" w:rsidRDefault="000479DD" w:rsidP="0013420B">
            <w:pPr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28/11/2018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3420B">
              <w:rPr>
                <w:rFonts w:ascii="Arial" w:hAnsi="Arial" w:cs="Arial"/>
                <w:color w:val="auto"/>
                <w:sz w:val="22"/>
              </w:rPr>
              <w:t>11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3420B">
              <w:rPr>
                <w:rFonts w:ascii="Arial" w:hAnsi="Arial" w:cs="Arial"/>
                <w:color w:val="auto"/>
                <w:sz w:val="22"/>
              </w:rPr>
              <w:t>Formal award decision made and award decision notices issued to unsuccessful Bidders</w:t>
            </w:r>
          </w:p>
        </w:tc>
        <w:tc>
          <w:tcPr>
            <w:tcW w:w="1417" w:type="dxa"/>
          </w:tcPr>
          <w:p w:rsidR="0013420B" w:rsidRPr="0013420B" w:rsidRDefault="000479DD" w:rsidP="0013420B">
            <w:pPr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29/11/2018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3420B">
              <w:rPr>
                <w:rFonts w:ascii="Arial" w:hAnsi="Arial" w:cs="Arial"/>
                <w:color w:val="auto"/>
                <w:sz w:val="22"/>
              </w:rPr>
              <w:t>12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13420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13420B">
              <w:rPr>
                <w:rFonts w:ascii="Arial" w:hAnsi="Arial" w:cs="Arial"/>
                <w:color w:val="auto"/>
                <w:sz w:val="22"/>
              </w:rPr>
              <w:t>10 day standstill period</w:t>
            </w:r>
          </w:p>
        </w:tc>
        <w:tc>
          <w:tcPr>
            <w:tcW w:w="1417" w:type="dxa"/>
          </w:tcPr>
          <w:p w:rsidR="0013420B" w:rsidRPr="0013420B" w:rsidRDefault="000479DD" w:rsidP="0013420B">
            <w:pPr>
              <w:spacing w:after="120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29/11/2018 – 10/12/2018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13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0479DD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Mobilisation Period</w:t>
            </w:r>
          </w:p>
        </w:tc>
        <w:tc>
          <w:tcPr>
            <w:tcW w:w="1417" w:type="dxa"/>
          </w:tcPr>
          <w:p w:rsidR="0013420B" w:rsidRPr="00F75BFB" w:rsidRDefault="000479DD" w:rsidP="0013420B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11/12/2018 – 31/3/2019</w:t>
            </w:r>
          </w:p>
        </w:tc>
      </w:tr>
      <w:tr w:rsidR="0013420B" w:rsidRPr="0013420B" w:rsidTr="0013420B"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14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20B" w:rsidRPr="00F75BFB" w:rsidRDefault="0013420B" w:rsidP="0013420B">
            <w:pPr>
              <w:spacing w:after="120"/>
              <w:ind w:right="116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Services commencement date</w:t>
            </w:r>
          </w:p>
        </w:tc>
        <w:tc>
          <w:tcPr>
            <w:tcW w:w="1417" w:type="dxa"/>
          </w:tcPr>
          <w:p w:rsidR="0013420B" w:rsidRPr="00F75BFB" w:rsidRDefault="000479DD" w:rsidP="0013420B">
            <w:pPr>
              <w:spacing w:after="120"/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F75BFB">
              <w:rPr>
                <w:rFonts w:ascii="Arial" w:hAnsi="Arial" w:cs="Arial"/>
                <w:b/>
                <w:color w:val="auto"/>
                <w:sz w:val="22"/>
              </w:rPr>
              <w:t>01/04/2019</w:t>
            </w:r>
          </w:p>
        </w:tc>
      </w:tr>
    </w:tbl>
    <w:p w:rsidR="0013420B" w:rsidRPr="00851E23" w:rsidRDefault="0013420B" w:rsidP="0013420B">
      <w:pPr>
        <w:spacing w:after="120"/>
        <w:jc w:val="both"/>
        <w:rPr>
          <w:rFonts w:ascii="Arial" w:hAnsi="Arial" w:cs="Arial"/>
          <w:sz w:val="22"/>
        </w:rPr>
      </w:pPr>
    </w:p>
    <w:p w:rsidR="0013420B" w:rsidRPr="00851E23" w:rsidRDefault="0013420B" w:rsidP="0013420B">
      <w:pPr>
        <w:spacing w:after="120"/>
        <w:ind w:left="720"/>
        <w:jc w:val="both"/>
        <w:rPr>
          <w:rFonts w:ascii="Arial" w:hAnsi="Arial" w:cs="Arial"/>
          <w:sz w:val="22"/>
        </w:rPr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3420B" w:rsidRPr="00851E23" w:rsidRDefault="0013420B" w:rsidP="0013420B">
      <w:pPr>
        <w:jc w:val="both"/>
      </w:pPr>
    </w:p>
    <w:p w:rsidR="001065FC" w:rsidRPr="001065FC" w:rsidRDefault="001065FC" w:rsidP="001065FC">
      <w:pPr>
        <w:pStyle w:val="NormalBody"/>
        <w:spacing w:before="120" w:after="120"/>
      </w:pPr>
    </w:p>
    <w:p w:rsidR="00F75BFB" w:rsidRDefault="00F75BFB">
      <w:pPr>
        <w:rPr>
          <w:rFonts w:cs="Calibri"/>
          <w:color w:val="auto"/>
          <w:szCs w:val="24"/>
        </w:rPr>
      </w:pPr>
      <w:bookmarkStart w:id="1" w:name="_Toc449599969"/>
    </w:p>
    <w:p w:rsidR="000479DD" w:rsidRDefault="008357B4">
      <w:pPr>
        <w:rPr>
          <w:rFonts w:cs="Calibri"/>
          <w:color w:val="auto"/>
          <w:szCs w:val="24"/>
        </w:rPr>
      </w:pPr>
      <w:r w:rsidRPr="008357B4">
        <w:rPr>
          <w:rFonts w:cs="Calibri"/>
          <w:color w:val="auto"/>
          <w:szCs w:val="24"/>
        </w:rPr>
        <w:t xml:space="preserve">The </w:t>
      </w:r>
      <w:r>
        <w:rPr>
          <w:rFonts w:cs="Calibri"/>
          <w:color w:val="auto"/>
          <w:szCs w:val="24"/>
        </w:rPr>
        <w:t>P</w:t>
      </w:r>
      <w:r w:rsidRPr="008357B4">
        <w:rPr>
          <w:rFonts w:cs="Calibri"/>
          <w:color w:val="auto"/>
          <w:szCs w:val="24"/>
        </w:rPr>
        <w:t xml:space="preserve">rocurement process will split from a traditional </w:t>
      </w:r>
      <w:r>
        <w:rPr>
          <w:rFonts w:cs="Calibri"/>
          <w:color w:val="auto"/>
          <w:szCs w:val="24"/>
        </w:rPr>
        <w:t>“</w:t>
      </w:r>
      <w:r w:rsidRPr="008357B4">
        <w:rPr>
          <w:rFonts w:cs="Calibri"/>
          <w:color w:val="auto"/>
          <w:szCs w:val="24"/>
        </w:rPr>
        <w:t>single stage</w:t>
      </w:r>
      <w:r>
        <w:rPr>
          <w:rFonts w:cs="Calibri"/>
          <w:color w:val="auto"/>
          <w:szCs w:val="24"/>
        </w:rPr>
        <w:t>”</w:t>
      </w:r>
      <w:r w:rsidRPr="008357B4">
        <w:rPr>
          <w:rFonts w:cs="Calibri"/>
          <w:color w:val="auto"/>
          <w:szCs w:val="24"/>
        </w:rPr>
        <w:t xml:space="preserve"> and </w:t>
      </w:r>
      <w:r>
        <w:rPr>
          <w:rFonts w:cs="Calibri"/>
          <w:color w:val="auto"/>
          <w:szCs w:val="24"/>
        </w:rPr>
        <w:t xml:space="preserve">be split into two </w:t>
      </w:r>
      <w:r w:rsidR="000479DD">
        <w:rPr>
          <w:rFonts w:cs="Calibri"/>
          <w:color w:val="auto"/>
          <w:szCs w:val="24"/>
        </w:rPr>
        <w:t>stages, each with a tendering period of 3 weeks for bidder response</w:t>
      </w:r>
      <w:r>
        <w:rPr>
          <w:rFonts w:cs="Calibri"/>
          <w:color w:val="auto"/>
          <w:szCs w:val="24"/>
        </w:rPr>
        <w:t xml:space="preserve">. </w:t>
      </w:r>
    </w:p>
    <w:p w:rsidR="000479DD" w:rsidRDefault="000479DD">
      <w:pPr>
        <w:rPr>
          <w:rFonts w:cs="Calibri"/>
          <w:color w:val="auto"/>
          <w:szCs w:val="24"/>
        </w:rPr>
      </w:pPr>
      <w:bookmarkStart w:id="2" w:name="_GoBack"/>
      <w:bookmarkEnd w:id="2"/>
    </w:p>
    <w:p w:rsidR="00125197" w:rsidRPr="008357B4" w:rsidRDefault="008357B4">
      <w:pPr>
        <w:rPr>
          <w:rFonts w:cs="Calibri"/>
          <w:b/>
          <w:color w:val="auto"/>
          <w:szCs w:val="24"/>
        </w:rPr>
      </w:pPr>
      <w:r>
        <w:rPr>
          <w:rFonts w:cs="Calibri"/>
          <w:color w:val="auto"/>
          <w:szCs w:val="24"/>
        </w:rPr>
        <w:t>Draft questions for the second stage will be provided at advert (3</w:t>
      </w:r>
      <w:r w:rsidRPr="008357B4">
        <w:rPr>
          <w:rFonts w:cs="Calibri"/>
          <w:color w:val="auto"/>
          <w:szCs w:val="24"/>
          <w:vertAlign w:val="superscript"/>
        </w:rPr>
        <w:t>rd</w:t>
      </w:r>
      <w:r>
        <w:rPr>
          <w:rFonts w:cs="Calibri"/>
          <w:color w:val="auto"/>
          <w:szCs w:val="24"/>
        </w:rPr>
        <w:t xml:space="preserve"> Sept) to help bidders prepare for the second stage. Any changes at release of the second stage will be clearly indicated.</w:t>
      </w:r>
    </w:p>
    <w:bookmarkEnd w:id="0"/>
    <w:bookmarkEnd w:id="1"/>
    <w:sectPr w:rsidR="00125197" w:rsidRPr="008357B4" w:rsidSect="00E2735D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397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CB" w:rsidRDefault="004866CB" w:rsidP="008A2FCE">
      <w:r>
        <w:separator/>
      </w:r>
    </w:p>
    <w:p w:rsidR="004866CB" w:rsidRDefault="004866CB" w:rsidP="008A2FCE"/>
  </w:endnote>
  <w:endnote w:type="continuationSeparator" w:id="0">
    <w:p w:rsidR="004866CB" w:rsidRDefault="004866CB" w:rsidP="008A2FCE">
      <w:r>
        <w:continuationSeparator/>
      </w:r>
    </w:p>
    <w:p w:rsidR="004866CB" w:rsidRDefault="004866CB" w:rsidP="008A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E03B4D" w:rsidRDefault="00170991" w:rsidP="008A2FCE">
    <w:pPr>
      <w:pStyle w:val="Footer"/>
    </w:pPr>
    <w:r>
      <w:t>South, Central and West</w:t>
    </w:r>
    <w:r w:rsidRPr="00180FAE">
      <w:tab/>
    </w:r>
    <w:r w:rsidR="00F56754">
      <w:tab/>
    </w:r>
    <w:r w:rsidRPr="00180FAE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F75BF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0B28B6" w:rsidRDefault="00170991" w:rsidP="008A2FCE">
    <w:pPr>
      <w:pStyle w:val="Footer"/>
    </w:pPr>
    <w:r>
      <w:t>South, Central and West</w:t>
    </w:r>
    <w:r w:rsidR="00F56754">
      <w:tab/>
    </w:r>
    <w:r w:rsidR="00F5675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CB" w:rsidRDefault="004866CB" w:rsidP="008A2FCE">
      <w:r>
        <w:separator/>
      </w:r>
    </w:p>
    <w:p w:rsidR="004866CB" w:rsidRDefault="004866CB" w:rsidP="008A2FCE"/>
  </w:footnote>
  <w:footnote w:type="continuationSeparator" w:id="0">
    <w:p w:rsidR="004866CB" w:rsidRDefault="004866CB" w:rsidP="008A2FCE">
      <w:r>
        <w:continuationSeparator/>
      </w:r>
    </w:p>
    <w:p w:rsidR="004866CB" w:rsidRDefault="004866CB" w:rsidP="008A2F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Default="00665231" w:rsidP="008A2FCE">
    <w:pPr>
      <w:pStyle w:val="Header"/>
    </w:pPr>
    <w:bookmarkStart w:id="3" w:name="_WNSectionTitle"/>
    <w:bookmarkStart w:id="4" w:name="_WNTabType_0"/>
    <w:bookmarkStart w:id="5" w:name="_WNSectionTitle_1"/>
    <w:bookmarkStart w:id="6" w:name="_WNTabType_1"/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5C01139" wp14:editId="74618CD3">
          <wp:simplePos x="0" y="0"/>
          <wp:positionH relativeFrom="column">
            <wp:posOffset>-914400</wp:posOffset>
          </wp:positionH>
          <wp:positionV relativeFrom="paragraph">
            <wp:posOffset>31750</wp:posOffset>
          </wp:positionV>
          <wp:extent cx="7557135" cy="10626725"/>
          <wp:effectExtent l="0" t="0" r="5715" b="3175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2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991">
      <w:rPr>
        <w:noProof/>
        <w:lang w:val="en-US"/>
      </w:rPr>
      <w:softHyphen/>
      <w:t xml:space="preserve">    </w:t>
    </w:r>
    <w:bookmarkEnd w:id="3"/>
    <w:bookmarkEnd w:id="4"/>
  </w:p>
  <w:p w:rsidR="00170991" w:rsidRDefault="00170991" w:rsidP="008A2FCE">
    <w:pPr>
      <w:pStyle w:val="Header"/>
    </w:pPr>
  </w:p>
  <w:p w:rsidR="00E2735D" w:rsidRDefault="00170991" w:rsidP="00E2735D">
    <w:pPr>
      <w:pStyle w:val="Header"/>
      <w:tabs>
        <w:tab w:val="clear" w:pos="4513"/>
        <w:tab w:val="clear" w:pos="9026"/>
        <w:tab w:val="left" w:pos="2048"/>
      </w:tabs>
    </w:pPr>
    <w:r>
      <w:tab/>
    </w:r>
  </w:p>
  <w:p w:rsidR="00170991" w:rsidRDefault="00170991" w:rsidP="00E2735D">
    <w:pPr>
      <w:pStyle w:val="Header"/>
      <w:tabs>
        <w:tab w:val="clear" w:pos="4513"/>
        <w:tab w:val="clear" w:pos="9026"/>
        <w:tab w:val="left" w:pos="980"/>
      </w:tabs>
    </w:pPr>
  </w:p>
  <w:p w:rsidR="00170991" w:rsidRDefault="00170991" w:rsidP="005E071D">
    <w:pPr>
      <w:pStyle w:val="Header"/>
      <w:tabs>
        <w:tab w:val="clear" w:pos="4513"/>
        <w:tab w:val="clear" w:pos="9026"/>
        <w:tab w:val="left" w:pos="2048"/>
      </w:tabs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bookmarkEnd w:id="5"/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CC35E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B46713"/>
    <w:multiLevelType w:val="hybridMultilevel"/>
    <w:tmpl w:val="400673AA"/>
    <w:lvl w:ilvl="0" w:tplc="041ADC20">
      <w:numFmt w:val="bullet"/>
      <w:lvlText w:val="•"/>
      <w:lvlJc w:val="left"/>
      <w:pPr>
        <w:ind w:left="975" w:hanging="615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2621F"/>
    <w:multiLevelType w:val="multilevel"/>
    <w:tmpl w:val="CA14F222"/>
    <w:lvl w:ilvl="0">
      <w:start w:val="1"/>
      <w:numFmt w:val="decimal"/>
      <w:pStyle w:val="Header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0651BC2"/>
    <w:multiLevelType w:val="hybridMultilevel"/>
    <w:tmpl w:val="3820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C0171B"/>
    <w:multiLevelType w:val="hybridMultilevel"/>
    <w:tmpl w:val="1BCA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873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C488D"/>
    <w:multiLevelType w:val="hybridMultilevel"/>
    <w:tmpl w:val="4E8A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A3838"/>
    <w:multiLevelType w:val="hybridMultilevel"/>
    <w:tmpl w:val="BF444874"/>
    <w:lvl w:ilvl="0" w:tplc="30629C5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C5281"/>
    <w:multiLevelType w:val="hybridMultilevel"/>
    <w:tmpl w:val="62C47DDA"/>
    <w:lvl w:ilvl="0" w:tplc="041ADC20">
      <w:numFmt w:val="bullet"/>
      <w:lvlText w:val="•"/>
      <w:lvlJc w:val="left"/>
      <w:pPr>
        <w:ind w:left="975" w:hanging="615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73240"/>
    <w:multiLevelType w:val="hybridMultilevel"/>
    <w:tmpl w:val="F70E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71E22"/>
    <w:multiLevelType w:val="hybridMultilevel"/>
    <w:tmpl w:val="A078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43BFE"/>
    <w:multiLevelType w:val="hybridMultilevel"/>
    <w:tmpl w:val="E2D2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F70DA"/>
    <w:multiLevelType w:val="hybridMultilevel"/>
    <w:tmpl w:val="3AF6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A6230"/>
    <w:multiLevelType w:val="hybridMultilevel"/>
    <w:tmpl w:val="2B6E7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D3E98"/>
    <w:multiLevelType w:val="hybridMultilevel"/>
    <w:tmpl w:val="1980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21"/>
  </w:num>
  <w:num w:numId="14">
    <w:abstractNumId w:val="14"/>
  </w:num>
  <w:num w:numId="15">
    <w:abstractNumId w:val="22"/>
  </w:num>
  <w:num w:numId="16">
    <w:abstractNumId w:val="19"/>
  </w:num>
  <w:num w:numId="17">
    <w:abstractNumId w:val="23"/>
  </w:num>
  <w:num w:numId="18">
    <w:abstractNumId w:val="20"/>
  </w:num>
  <w:num w:numId="19">
    <w:abstractNumId w:val="17"/>
  </w:num>
  <w:num w:numId="20">
    <w:abstractNumId w:val="11"/>
  </w:num>
  <w:num w:numId="21">
    <w:abstractNumId w:val="13"/>
  </w:num>
  <w:num w:numId="22">
    <w:abstractNumId w:val="16"/>
  </w:num>
  <w:num w:numId="23">
    <w:abstractNumId w:val="15"/>
  </w:num>
  <w:num w:numId="24">
    <w:abstractNumId w:val="1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th Taylor">
    <w15:presenceInfo w15:providerId="None" w15:userId="Ruth Tayl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0"/>
    <w:docVar w:name="EnableWordNotes" w:val="0"/>
  </w:docVars>
  <w:rsids>
    <w:rsidRoot w:val="0058352E"/>
    <w:rsid w:val="00002788"/>
    <w:rsid w:val="0000338E"/>
    <w:rsid w:val="0001100F"/>
    <w:rsid w:val="000450D3"/>
    <w:rsid w:val="000479DD"/>
    <w:rsid w:val="00056E06"/>
    <w:rsid w:val="0006720B"/>
    <w:rsid w:val="00097799"/>
    <w:rsid w:val="000B28B6"/>
    <w:rsid w:val="000B6408"/>
    <w:rsid w:val="000C4E74"/>
    <w:rsid w:val="000D14EF"/>
    <w:rsid w:val="000F12B7"/>
    <w:rsid w:val="000F35C2"/>
    <w:rsid w:val="001065FC"/>
    <w:rsid w:val="00114424"/>
    <w:rsid w:val="00123B67"/>
    <w:rsid w:val="00125197"/>
    <w:rsid w:val="00130D3C"/>
    <w:rsid w:val="0013420B"/>
    <w:rsid w:val="00136D87"/>
    <w:rsid w:val="00170991"/>
    <w:rsid w:val="0017519B"/>
    <w:rsid w:val="0018087A"/>
    <w:rsid w:val="00180B57"/>
    <w:rsid w:val="00180FAE"/>
    <w:rsid w:val="00185FA2"/>
    <w:rsid w:val="0019702D"/>
    <w:rsid w:val="001A2E44"/>
    <w:rsid w:val="001A5D77"/>
    <w:rsid w:val="001B14F6"/>
    <w:rsid w:val="001D0C78"/>
    <w:rsid w:val="001F3D8D"/>
    <w:rsid w:val="001F55B2"/>
    <w:rsid w:val="001F5E03"/>
    <w:rsid w:val="00201109"/>
    <w:rsid w:val="00201BA1"/>
    <w:rsid w:val="00225C51"/>
    <w:rsid w:val="00227686"/>
    <w:rsid w:val="00231549"/>
    <w:rsid w:val="002374EF"/>
    <w:rsid w:val="00243593"/>
    <w:rsid w:val="00244459"/>
    <w:rsid w:val="00252134"/>
    <w:rsid w:val="00261980"/>
    <w:rsid w:val="00261A0E"/>
    <w:rsid w:val="002622FE"/>
    <w:rsid w:val="00264AB0"/>
    <w:rsid w:val="00271A8A"/>
    <w:rsid w:val="00274590"/>
    <w:rsid w:val="002754AF"/>
    <w:rsid w:val="00281BA6"/>
    <w:rsid w:val="00283193"/>
    <w:rsid w:val="00292DF2"/>
    <w:rsid w:val="002A065B"/>
    <w:rsid w:val="002B4DEE"/>
    <w:rsid w:val="002C3111"/>
    <w:rsid w:val="002D0851"/>
    <w:rsid w:val="002E2657"/>
    <w:rsid w:val="002F1712"/>
    <w:rsid w:val="002F5BE0"/>
    <w:rsid w:val="003033BB"/>
    <w:rsid w:val="00304350"/>
    <w:rsid w:val="00315413"/>
    <w:rsid w:val="003164D4"/>
    <w:rsid w:val="00316B9E"/>
    <w:rsid w:val="00323E59"/>
    <w:rsid w:val="00324DC2"/>
    <w:rsid w:val="0032707E"/>
    <w:rsid w:val="00327735"/>
    <w:rsid w:val="003336AD"/>
    <w:rsid w:val="00336DEE"/>
    <w:rsid w:val="00343333"/>
    <w:rsid w:val="0034481F"/>
    <w:rsid w:val="00346594"/>
    <w:rsid w:val="00352A2D"/>
    <w:rsid w:val="003533AA"/>
    <w:rsid w:val="00354F9C"/>
    <w:rsid w:val="00362E9C"/>
    <w:rsid w:val="0038048A"/>
    <w:rsid w:val="00386C0D"/>
    <w:rsid w:val="00387032"/>
    <w:rsid w:val="003A22EA"/>
    <w:rsid w:val="003A2AB7"/>
    <w:rsid w:val="003A7F68"/>
    <w:rsid w:val="003B7756"/>
    <w:rsid w:val="003C799B"/>
    <w:rsid w:val="003D0368"/>
    <w:rsid w:val="004169CC"/>
    <w:rsid w:val="00444011"/>
    <w:rsid w:val="00466CCD"/>
    <w:rsid w:val="00473CF5"/>
    <w:rsid w:val="0048232E"/>
    <w:rsid w:val="004866CB"/>
    <w:rsid w:val="004A2808"/>
    <w:rsid w:val="004A696F"/>
    <w:rsid w:val="004B7335"/>
    <w:rsid w:val="004C26F9"/>
    <w:rsid w:val="004C5911"/>
    <w:rsid w:val="004C7743"/>
    <w:rsid w:val="004D49DE"/>
    <w:rsid w:val="004D76DF"/>
    <w:rsid w:val="004E0724"/>
    <w:rsid w:val="005119AF"/>
    <w:rsid w:val="00515A15"/>
    <w:rsid w:val="0054279C"/>
    <w:rsid w:val="0054487B"/>
    <w:rsid w:val="00550322"/>
    <w:rsid w:val="005521D1"/>
    <w:rsid w:val="0058352E"/>
    <w:rsid w:val="005B3BC4"/>
    <w:rsid w:val="005B502D"/>
    <w:rsid w:val="005B60FC"/>
    <w:rsid w:val="005C2D4B"/>
    <w:rsid w:val="005E071D"/>
    <w:rsid w:val="005E29B3"/>
    <w:rsid w:val="005E7B50"/>
    <w:rsid w:val="005F1A9F"/>
    <w:rsid w:val="005F35E0"/>
    <w:rsid w:val="00600662"/>
    <w:rsid w:val="0062086F"/>
    <w:rsid w:val="0062558E"/>
    <w:rsid w:val="006342A4"/>
    <w:rsid w:val="00641BBD"/>
    <w:rsid w:val="00654675"/>
    <w:rsid w:val="006555F8"/>
    <w:rsid w:val="00665231"/>
    <w:rsid w:val="00667C00"/>
    <w:rsid w:val="00690511"/>
    <w:rsid w:val="00693DAF"/>
    <w:rsid w:val="006A1586"/>
    <w:rsid w:val="006C1474"/>
    <w:rsid w:val="006C7036"/>
    <w:rsid w:val="006D4275"/>
    <w:rsid w:val="006E3BF8"/>
    <w:rsid w:val="006F0C4E"/>
    <w:rsid w:val="00703B33"/>
    <w:rsid w:val="00706EC4"/>
    <w:rsid w:val="00716D70"/>
    <w:rsid w:val="007348D0"/>
    <w:rsid w:val="00746690"/>
    <w:rsid w:val="00747F31"/>
    <w:rsid w:val="007A42C2"/>
    <w:rsid w:val="007B307F"/>
    <w:rsid w:val="007E1212"/>
    <w:rsid w:val="007E224D"/>
    <w:rsid w:val="007F1C7E"/>
    <w:rsid w:val="007F1C8B"/>
    <w:rsid w:val="007F2605"/>
    <w:rsid w:val="00816A0C"/>
    <w:rsid w:val="00824B2F"/>
    <w:rsid w:val="008357B4"/>
    <w:rsid w:val="00835F97"/>
    <w:rsid w:val="00841596"/>
    <w:rsid w:val="008450C3"/>
    <w:rsid w:val="008510E2"/>
    <w:rsid w:val="008525A5"/>
    <w:rsid w:val="00890FC0"/>
    <w:rsid w:val="008A0AB1"/>
    <w:rsid w:val="008A0BDF"/>
    <w:rsid w:val="008A272D"/>
    <w:rsid w:val="008A2FCE"/>
    <w:rsid w:val="008A36E6"/>
    <w:rsid w:val="008B36D3"/>
    <w:rsid w:val="008C0863"/>
    <w:rsid w:val="008C50C3"/>
    <w:rsid w:val="008D0258"/>
    <w:rsid w:val="008D025F"/>
    <w:rsid w:val="008D5AB2"/>
    <w:rsid w:val="008E2644"/>
    <w:rsid w:val="008E265D"/>
    <w:rsid w:val="008E512F"/>
    <w:rsid w:val="008E7C95"/>
    <w:rsid w:val="008F4181"/>
    <w:rsid w:val="00901BE5"/>
    <w:rsid w:val="00907A4F"/>
    <w:rsid w:val="0092181C"/>
    <w:rsid w:val="00926A25"/>
    <w:rsid w:val="00932A83"/>
    <w:rsid w:val="00935DF3"/>
    <w:rsid w:val="00943DDE"/>
    <w:rsid w:val="00947179"/>
    <w:rsid w:val="00953AB7"/>
    <w:rsid w:val="009740FA"/>
    <w:rsid w:val="009854EE"/>
    <w:rsid w:val="009A0AE2"/>
    <w:rsid w:val="009A5450"/>
    <w:rsid w:val="009A66DD"/>
    <w:rsid w:val="009B0D40"/>
    <w:rsid w:val="009D76B7"/>
    <w:rsid w:val="009F0C48"/>
    <w:rsid w:val="009F2E52"/>
    <w:rsid w:val="00A008BA"/>
    <w:rsid w:val="00A1222D"/>
    <w:rsid w:val="00A2041E"/>
    <w:rsid w:val="00A20FF8"/>
    <w:rsid w:val="00A32995"/>
    <w:rsid w:val="00A32DCC"/>
    <w:rsid w:val="00A5665A"/>
    <w:rsid w:val="00A85EC6"/>
    <w:rsid w:val="00AA4F6B"/>
    <w:rsid w:val="00AB1668"/>
    <w:rsid w:val="00AB2543"/>
    <w:rsid w:val="00AD632C"/>
    <w:rsid w:val="00AD64D4"/>
    <w:rsid w:val="00AE4ED1"/>
    <w:rsid w:val="00B151ED"/>
    <w:rsid w:val="00B360FB"/>
    <w:rsid w:val="00B43A62"/>
    <w:rsid w:val="00B8750C"/>
    <w:rsid w:val="00B90D4C"/>
    <w:rsid w:val="00BB087C"/>
    <w:rsid w:val="00BB696B"/>
    <w:rsid w:val="00BD2088"/>
    <w:rsid w:val="00BF1A0A"/>
    <w:rsid w:val="00C21BD4"/>
    <w:rsid w:val="00C35605"/>
    <w:rsid w:val="00C42EAB"/>
    <w:rsid w:val="00C506D2"/>
    <w:rsid w:val="00C63ABE"/>
    <w:rsid w:val="00C7011F"/>
    <w:rsid w:val="00C838E3"/>
    <w:rsid w:val="00C851E8"/>
    <w:rsid w:val="00C96A33"/>
    <w:rsid w:val="00CA13CB"/>
    <w:rsid w:val="00CA1CCF"/>
    <w:rsid w:val="00CC1201"/>
    <w:rsid w:val="00CD4836"/>
    <w:rsid w:val="00CD6E23"/>
    <w:rsid w:val="00CE13EA"/>
    <w:rsid w:val="00CE4319"/>
    <w:rsid w:val="00D043E6"/>
    <w:rsid w:val="00D06096"/>
    <w:rsid w:val="00D14AF5"/>
    <w:rsid w:val="00D23800"/>
    <w:rsid w:val="00D33639"/>
    <w:rsid w:val="00D4511E"/>
    <w:rsid w:val="00D52ADB"/>
    <w:rsid w:val="00D647EE"/>
    <w:rsid w:val="00D65210"/>
    <w:rsid w:val="00D775FA"/>
    <w:rsid w:val="00D815E5"/>
    <w:rsid w:val="00D87CFD"/>
    <w:rsid w:val="00D92FBA"/>
    <w:rsid w:val="00D960DC"/>
    <w:rsid w:val="00DA4123"/>
    <w:rsid w:val="00DA60AC"/>
    <w:rsid w:val="00DA6D76"/>
    <w:rsid w:val="00DB6146"/>
    <w:rsid w:val="00DC25FA"/>
    <w:rsid w:val="00DC7C1D"/>
    <w:rsid w:val="00DD341C"/>
    <w:rsid w:val="00DD479E"/>
    <w:rsid w:val="00E0038A"/>
    <w:rsid w:val="00E03B4D"/>
    <w:rsid w:val="00E2735D"/>
    <w:rsid w:val="00E32E93"/>
    <w:rsid w:val="00E4284B"/>
    <w:rsid w:val="00E510A8"/>
    <w:rsid w:val="00E530F6"/>
    <w:rsid w:val="00E6152C"/>
    <w:rsid w:val="00E64C6D"/>
    <w:rsid w:val="00E658BC"/>
    <w:rsid w:val="00E72727"/>
    <w:rsid w:val="00E82F52"/>
    <w:rsid w:val="00E8728B"/>
    <w:rsid w:val="00E9177A"/>
    <w:rsid w:val="00E91F75"/>
    <w:rsid w:val="00E9596F"/>
    <w:rsid w:val="00EA00BB"/>
    <w:rsid w:val="00EC24EB"/>
    <w:rsid w:val="00EC47F5"/>
    <w:rsid w:val="00ED7606"/>
    <w:rsid w:val="00EF61F7"/>
    <w:rsid w:val="00F004FB"/>
    <w:rsid w:val="00F24934"/>
    <w:rsid w:val="00F27DA4"/>
    <w:rsid w:val="00F3712F"/>
    <w:rsid w:val="00F52521"/>
    <w:rsid w:val="00F56754"/>
    <w:rsid w:val="00F71F03"/>
    <w:rsid w:val="00F75BFB"/>
    <w:rsid w:val="00F82354"/>
    <w:rsid w:val="00F92A0F"/>
    <w:rsid w:val="00F961C0"/>
    <w:rsid w:val="00FA4B1D"/>
    <w:rsid w:val="00FD1A95"/>
    <w:rsid w:val="00FD6B8E"/>
    <w:rsid w:val="00FE0F9C"/>
    <w:rsid w:val="00FF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1">
    <w:name w:val="Note Level 1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3A7F68"/>
    <w:pPr>
      <w:ind w:left="720"/>
      <w:contextualSpacing/>
    </w:pPr>
  </w:style>
  <w:style w:type="character" w:styleId="CommentReference">
    <w:name w:val="annotation reference"/>
    <w:basedOn w:val="DefaultParagraphFont"/>
    <w:rsid w:val="0024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593"/>
    <w:rPr>
      <w:color w:val="60636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93"/>
    <w:rPr>
      <w:b/>
      <w:bCs/>
      <w:color w:val="606362"/>
      <w:lang w:eastAsia="en-US"/>
    </w:rPr>
  </w:style>
  <w:style w:type="paragraph" w:customStyle="1" w:styleId="Header3">
    <w:name w:val="Header 3"/>
    <w:basedOn w:val="Normal"/>
    <w:rsid w:val="0013420B"/>
    <w:pPr>
      <w:numPr>
        <w:numId w:val="24"/>
      </w:numPr>
      <w:tabs>
        <w:tab w:val="clear" w:pos="360"/>
        <w:tab w:val="num" w:pos="709"/>
      </w:tabs>
      <w:spacing w:after="120"/>
      <w:ind w:left="709" w:hanging="709"/>
      <w:outlineLvl w:val="1"/>
    </w:pPr>
    <w:rPr>
      <w:rFonts w:ascii="Arial" w:eastAsia="Times New Roman" w:hAnsi="Arial" w:cs="Arial"/>
      <w:b/>
      <w:color w:val="auto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1">
    <w:name w:val="Note Level 1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3A7F68"/>
    <w:pPr>
      <w:ind w:left="720"/>
      <w:contextualSpacing/>
    </w:pPr>
  </w:style>
  <w:style w:type="character" w:styleId="CommentReference">
    <w:name w:val="annotation reference"/>
    <w:basedOn w:val="DefaultParagraphFont"/>
    <w:rsid w:val="0024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593"/>
    <w:rPr>
      <w:color w:val="60636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93"/>
    <w:rPr>
      <w:b/>
      <w:bCs/>
      <w:color w:val="606362"/>
      <w:lang w:eastAsia="en-US"/>
    </w:rPr>
  </w:style>
  <w:style w:type="paragraph" w:customStyle="1" w:styleId="Header3">
    <w:name w:val="Header 3"/>
    <w:basedOn w:val="Normal"/>
    <w:rsid w:val="0013420B"/>
    <w:pPr>
      <w:numPr>
        <w:numId w:val="24"/>
      </w:numPr>
      <w:tabs>
        <w:tab w:val="clear" w:pos="360"/>
        <w:tab w:val="num" w:pos="709"/>
      </w:tabs>
      <w:spacing w:after="120"/>
      <w:ind w:left="709" w:hanging="709"/>
      <w:outlineLvl w:val="1"/>
    </w:pPr>
    <w:rPr>
      <w:rFonts w:ascii="Arial" w:eastAsia="Times New Roman" w:hAnsi="Arial" w:cs="Arial"/>
      <w:b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F055-045B-43F2-AC24-880726D5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 Laura</dc:creator>
  <cp:lastModifiedBy>Gibbs John (SCW)</cp:lastModifiedBy>
  <cp:revision>3</cp:revision>
  <cp:lastPrinted>2017-02-15T16:55:00Z</cp:lastPrinted>
  <dcterms:created xsi:type="dcterms:W3CDTF">2018-07-02T10:57:00Z</dcterms:created>
  <dcterms:modified xsi:type="dcterms:W3CDTF">2018-07-02T14:33:00Z</dcterms:modified>
</cp:coreProperties>
</file>