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5E00" w:rsidRDefault="000E5E00">
      <w:pPr>
        <w:widowControl w:val="0"/>
        <w:pBdr>
          <w:top w:val="nil"/>
          <w:left w:val="nil"/>
          <w:bottom w:val="nil"/>
          <w:right w:val="nil"/>
          <w:between w:val="nil"/>
        </w:pBdr>
        <w:spacing w:after="0"/>
        <w:rPr>
          <w:color w:val="000000"/>
          <w:sz w:val="22"/>
          <w:szCs w:val="22"/>
        </w:rPr>
      </w:pPr>
      <w:bookmarkStart w:id="0" w:name="_heading=h.30j0zll" w:colFirst="0" w:colLast="0"/>
      <w:bookmarkEnd w:id="0"/>
    </w:p>
    <w:tbl>
      <w:tblPr>
        <w:tblStyle w:val="af1"/>
        <w:tblW w:w="10421" w:type="dxa"/>
        <w:tblBorders>
          <w:top w:val="nil"/>
          <w:left w:val="nil"/>
          <w:bottom w:val="nil"/>
          <w:right w:val="nil"/>
          <w:insideH w:val="nil"/>
          <w:insideV w:val="nil"/>
        </w:tblBorders>
        <w:tblLayout w:type="fixed"/>
        <w:tblLook w:val="04A0" w:firstRow="1" w:lastRow="0" w:firstColumn="1" w:lastColumn="0" w:noHBand="0" w:noVBand="1"/>
      </w:tblPr>
      <w:tblGrid>
        <w:gridCol w:w="2694"/>
        <w:gridCol w:w="7727"/>
      </w:tblGrid>
      <w:tr w:rsidR="000E5E00" w14:paraId="753415D6" w14:textId="77777777" w:rsidTr="000E5E00">
        <w:trPr>
          <w:cnfStyle w:val="100000000000" w:firstRow="1" w:lastRow="0" w:firstColumn="0" w:lastColumn="0" w:oddVBand="0" w:evenVBand="0" w:oddHBand="0" w:evenHBand="0" w:firstRowFirstColumn="0" w:firstRowLastColumn="0" w:lastRowFirstColumn="0" w:lastRowLastColumn="0"/>
          <w:trHeight w:val="1985"/>
          <w:tblHeader/>
        </w:trPr>
        <w:tc>
          <w:tcPr>
            <w:cnfStyle w:val="001000000100" w:firstRow="0" w:lastRow="0" w:firstColumn="1" w:lastColumn="0" w:oddVBand="0" w:evenVBand="0" w:oddHBand="0" w:evenHBand="0" w:firstRowFirstColumn="1" w:firstRowLastColumn="0" w:lastRowFirstColumn="0" w:lastRowLastColumn="0"/>
            <w:tcW w:w="2694" w:type="dxa"/>
            <w:shd w:val="clear" w:color="auto" w:fill="auto"/>
          </w:tcPr>
          <w:p w14:paraId="00000002" w14:textId="77777777" w:rsidR="000E5E00" w:rsidRDefault="000E5E00">
            <w:pPr>
              <w:pBdr>
                <w:top w:val="nil"/>
                <w:left w:val="nil"/>
                <w:bottom w:val="nil"/>
                <w:right w:val="nil"/>
                <w:between w:val="nil"/>
              </w:pBdr>
              <w:rPr>
                <w:color w:val="000000"/>
              </w:rPr>
            </w:pPr>
          </w:p>
        </w:tc>
        <w:tc>
          <w:tcPr>
            <w:tcW w:w="7727" w:type="dxa"/>
            <w:shd w:val="clear" w:color="auto" w:fill="auto"/>
          </w:tcPr>
          <w:p w14:paraId="00000003" w14:textId="77777777" w:rsidR="000E5E00" w:rsidRDefault="000E5E00">
            <w:pPr>
              <w:pStyle w:val="Title"/>
              <w:jc w:val="left"/>
              <w:cnfStyle w:val="100000000000" w:firstRow="1" w:lastRow="0" w:firstColumn="0" w:lastColumn="0" w:oddVBand="0" w:evenVBand="0" w:oddHBand="0" w:evenHBand="0" w:firstRowFirstColumn="0" w:firstRowLastColumn="0" w:lastRowFirstColumn="0" w:lastRowLastColumn="0"/>
              <w:rPr>
                <w:color w:val="000000"/>
              </w:rPr>
            </w:pPr>
          </w:p>
        </w:tc>
      </w:tr>
      <w:tr w:rsidR="000E5E00" w14:paraId="6A36B3C4" w14:textId="77777777" w:rsidTr="00E11A7C">
        <w:trPr>
          <w:trHeight w:val="212"/>
        </w:trPr>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EB652E"/>
            </w:tcBorders>
            <w:shd w:val="clear" w:color="auto" w:fill="auto"/>
          </w:tcPr>
          <w:p w14:paraId="00000004" w14:textId="77777777" w:rsidR="000E5E00" w:rsidRDefault="000E5E00">
            <w:pPr>
              <w:pBdr>
                <w:top w:val="nil"/>
                <w:left w:val="nil"/>
                <w:bottom w:val="nil"/>
                <w:right w:val="nil"/>
                <w:between w:val="nil"/>
              </w:pBdr>
              <w:jc w:val="right"/>
              <w:rPr>
                <w:color w:val="000000"/>
              </w:rPr>
            </w:pPr>
          </w:p>
        </w:tc>
        <w:tc>
          <w:tcPr>
            <w:tcW w:w="7727" w:type="dxa"/>
            <w:tcBorders>
              <w:bottom w:val="single" w:sz="12" w:space="0" w:color="EB652E"/>
            </w:tcBorders>
            <w:shd w:val="clear" w:color="auto" w:fill="auto"/>
          </w:tcPr>
          <w:p w14:paraId="00000005" w14:textId="6021EFAF" w:rsidR="000E5E00" w:rsidRDefault="000E5E00" w:rsidP="005A347C">
            <w:pPr>
              <w:pStyle w:val="Subtitle"/>
              <w:jc w:val="left"/>
              <w:cnfStyle w:val="000000000000" w:firstRow="0" w:lastRow="0" w:firstColumn="0" w:lastColumn="0" w:oddVBand="0" w:evenVBand="0" w:oddHBand="0" w:evenHBand="0" w:firstRowFirstColumn="0" w:firstRowLastColumn="0" w:lastRowFirstColumn="0" w:lastRowLastColumn="0"/>
              <w:rPr>
                <w:b w:val="0"/>
              </w:rPr>
            </w:pPr>
          </w:p>
        </w:tc>
      </w:tr>
    </w:tbl>
    <w:p w14:paraId="00000006" w14:textId="13C76CC4" w:rsidR="000E5E00" w:rsidRDefault="000E5E00">
      <w:pPr>
        <w:pBdr>
          <w:top w:val="nil"/>
          <w:left w:val="nil"/>
          <w:bottom w:val="nil"/>
          <w:right w:val="nil"/>
          <w:between w:val="nil"/>
        </w:pBdr>
        <w:rPr>
          <w:color w:val="000000"/>
        </w:rPr>
      </w:pPr>
    </w:p>
    <w:p w14:paraId="3D571D00" w14:textId="26E99A55" w:rsidR="004F5865" w:rsidRDefault="003B7FB0" w:rsidP="004F5865">
      <w:pPr>
        <w:pStyle w:val="Heading1"/>
      </w:pPr>
      <w:r w:rsidRPr="003B7FB0">
        <w:t>Clarification Questions-SMC-2223-36 ITT State of the Nation 2023</w:t>
      </w:r>
    </w:p>
    <w:p w14:paraId="52005C78" w14:textId="77777777" w:rsidR="004F5865" w:rsidRDefault="004F5865" w:rsidP="004F5865"/>
    <w:p w14:paraId="060565C6" w14:textId="449AB7DF" w:rsidR="004F5865" w:rsidRDefault="004F5865" w:rsidP="004F5865">
      <w:r w:rsidRPr="008B38F7">
        <w:rPr>
          <w:b/>
        </w:rPr>
        <w:t>Date:</w:t>
      </w:r>
      <w:r>
        <w:t xml:space="preserve"> </w:t>
      </w:r>
      <w:r w:rsidR="003B7FB0">
        <w:t>2</w:t>
      </w:r>
      <w:r w:rsidR="0060318B">
        <w:t>7</w:t>
      </w:r>
      <w:r>
        <w:t xml:space="preserve"> April 2022</w:t>
      </w:r>
    </w:p>
    <w:tbl>
      <w:tblPr>
        <w:tblStyle w:val="TableGrid"/>
        <w:tblW w:w="0" w:type="auto"/>
        <w:tblInd w:w="5" w:type="dxa"/>
        <w:tblLook w:val="04A0" w:firstRow="1" w:lastRow="0" w:firstColumn="1" w:lastColumn="0" w:noHBand="0" w:noVBand="1"/>
      </w:tblPr>
      <w:tblGrid>
        <w:gridCol w:w="1129"/>
        <w:gridCol w:w="4395"/>
        <w:gridCol w:w="4898"/>
      </w:tblGrid>
      <w:tr w:rsidR="003B7FB0" w14:paraId="5F33FACB" w14:textId="77777777" w:rsidTr="00EE1D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p w14:paraId="205DEB2A" w14:textId="6C5F0EF9" w:rsidR="003B7FB0" w:rsidRDefault="003B7FB0" w:rsidP="003B7FB0">
            <w:pPr>
              <w:pStyle w:val="ListBullet"/>
              <w:numPr>
                <w:ilvl w:val="0"/>
                <w:numId w:val="0"/>
              </w:numPr>
              <w:rPr>
                <w:b w:val="0"/>
                <w:color w:val="000000"/>
              </w:rPr>
            </w:pPr>
            <w:r>
              <w:rPr>
                <w:b w:val="0"/>
                <w:color w:val="000000"/>
              </w:rPr>
              <w:t>Question Number</w:t>
            </w:r>
          </w:p>
        </w:tc>
        <w:tc>
          <w:tcPr>
            <w:tcW w:w="4395" w:type="dxa"/>
          </w:tcPr>
          <w:p w14:paraId="4E135CD5" w14:textId="33337528"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Clarification Question</w:t>
            </w:r>
          </w:p>
        </w:tc>
        <w:tc>
          <w:tcPr>
            <w:tcW w:w="4898" w:type="dxa"/>
          </w:tcPr>
          <w:p w14:paraId="57DD4885" w14:textId="57FD1D64" w:rsidR="003B7FB0" w:rsidRDefault="003B7FB0" w:rsidP="003B7F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color w:val="000000"/>
              </w:rPr>
            </w:pPr>
            <w:r>
              <w:rPr>
                <w:b w:val="0"/>
                <w:color w:val="000000"/>
              </w:rPr>
              <w:t>SMC Response</w:t>
            </w:r>
          </w:p>
        </w:tc>
      </w:tr>
      <w:tr w:rsidR="003B7FB0" w14:paraId="4592ED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68292DD6" w14:textId="15CE5F2B" w:rsidR="003B7FB0" w:rsidRPr="006329F5" w:rsidRDefault="003B7FB0" w:rsidP="003B7FB0">
            <w:pPr>
              <w:pStyle w:val="ListBullet"/>
              <w:numPr>
                <w:ilvl w:val="0"/>
                <w:numId w:val="0"/>
              </w:numPr>
              <w:rPr>
                <w:b w:val="0"/>
                <w:color w:val="000000"/>
                <w:sz w:val="20"/>
                <w:szCs w:val="20"/>
              </w:rPr>
            </w:pPr>
            <w:r w:rsidRPr="006329F5">
              <w:rPr>
                <w:b w:val="0"/>
                <w:color w:val="000000"/>
                <w:sz w:val="20"/>
                <w:szCs w:val="20"/>
              </w:rPr>
              <w:t>1</w:t>
            </w:r>
          </w:p>
        </w:tc>
        <w:tc>
          <w:tcPr>
            <w:tcW w:w="4395" w:type="dxa"/>
          </w:tcPr>
          <w:p w14:paraId="0ED060C2" w14:textId="08BC7A4E" w:rsidR="003B7FB0" w:rsidRPr="006329F5" w:rsidRDefault="00A77EA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6B1CA92C" w14:textId="6F54515E"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3B7FB0" w14:paraId="7D125512"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0B7C6D4" w14:textId="1A223C06" w:rsidR="003B7FB0" w:rsidRPr="006329F5" w:rsidRDefault="00EE1D88" w:rsidP="003B7FB0">
            <w:pPr>
              <w:pStyle w:val="ListBullet"/>
              <w:numPr>
                <w:ilvl w:val="0"/>
                <w:numId w:val="0"/>
              </w:numPr>
              <w:rPr>
                <w:b w:val="0"/>
                <w:color w:val="000000"/>
                <w:sz w:val="20"/>
                <w:szCs w:val="20"/>
              </w:rPr>
            </w:pPr>
            <w:r>
              <w:rPr>
                <w:b w:val="0"/>
                <w:color w:val="000000"/>
                <w:sz w:val="20"/>
                <w:szCs w:val="20"/>
              </w:rPr>
              <w:t>2</w:t>
            </w:r>
          </w:p>
        </w:tc>
        <w:tc>
          <w:tcPr>
            <w:tcW w:w="4395" w:type="dxa"/>
          </w:tcPr>
          <w:p w14:paraId="155371F5" w14:textId="4839303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Have any provisions been made to help grant access to secure data sets to the successful bidder?</w:t>
            </w:r>
          </w:p>
        </w:tc>
        <w:tc>
          <w:tcPr>
            <w:tcW w:w="4898" w:type="dxa"/>
          </w:tcPr>
          <w:p w14:paraId="3D478DA9" w14:textId="4AD8BF18" w:rsidR="003B7FB0" w:rsidRPr="006329F5" w:rsidRDefault="006329F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Yes, we can secure access to the "government" datasets held by ONS provided that the contractor signs the appropriate data handling agreement.</w:t>
            </w:r>
          </w:p>
        </w:tc>
      </w:tr>
      <w:tr w:rsidR="003B7FB0" w14:paraId="2961AC1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3569B16" w14:textId="2E6583DA" w:rsidR="003B7FB0" w:rsidRPr="006329F5" w:rsidRDefault="00EE1D88" w:rsidP="003B7FB0">
            <w:pPr>
              <w:pStyle w:val="ListBullet"/>
              <w:numPr>
                <w:ilvl w:val="0"/>
                <w:numId w:val="0"/>
              </w:numPr>
              <w:rPr>
                <w:b w:val="0"/>
                <w:color w:val="000000"/>
                <w:sz w:val="20"/>
                <w:szCs w:val="20"/>
              </w:rPr>
            </w:pPr>
            <w:r>
              <w:rPr>
                <w:b w:val="0"/>
                <w:color w:val="000000"/>
                <w:sz w:val="20"/>
                <w:szCs w:val="20"/>
              </w:rPr>
              <w:t>3</w:t>
            </w:r>
          </w:p>
        </w:tc>
        <w:tc>
          <w:tcPr>
            <w:tcW w:w="4395" w:type="dxa"/>
          </w:tcPr>
          <w:p w14:paraId="6C886518" w14:textId="4483A514" w:rsidR="003B7FB0" w:rsidRPr="006329F5"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2F4346">
              <w:rPr>
                <w:color w:val="000000"/>
                <w:sz w:val="20"/>
                <w:szCs w:val="20"/>
              </w:rPr>
              <w:t>Is it acceptable to carry out alternate analysis if the datasets specified are not available to be accessed within the set timeframe?</w:t>
            </w:r>
          </w:p>
        </w:tc>
        <w:tc>
          <w:tcPr>
            <w:tcW w:w="4898" w:type="dxa"/>
          </w:tcPr>
          <w:p w14:paraId="479B3C36" w14:textId="5D45F934"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Yes, but we would want to check and approve any proposals for alternate analysis.</w:t>
            </w:r>
          </w:p>
        </w:tc>
      </w:tr>
      <w:tr w:rsidR="003B7FB0" w14:paraId="1BB6E09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313212E" w14:textId="07801B97" w:rsidR="003B7FB0" w:rsidRPr="006329F5" w:rsidRDefault="00EE1D88" w:rsidP="003B7FB0">
            <w:pPr>
              <w:pStyle w:val="ListBullet"/>
              <w:numPr>
                <w:ilvl w:val="0"/>
                <w:numId w:val="0"/>
              </w:numPr>
              <w:rPr>
                <w:b w:val="0"/>
                <w:color w:val="000000"/>
                <w:sz w:val="20"/>
                <w:szCs w:val="20"/>
              </w:rPr>
            </w:pPr>
            <w:r>
              <w:rPr>
                <w:b w:val="0"/>
                <w:color w:val="000000"/>
                <w:sz w:val="20"/>
                <w:szCs w:val="20"/>
              </w:rPr>
              <w:t>4</w:t>
            </w:r>
          </w:p>
        </w:tc>
        <w:tc>
          <w:tcPr>
            <w:tcW w:w="4395" w:type="dxa"/>
          </w:tcPr>
          <w:p w14:paraId="2FECB81B" w14:textId="11F5EDCC"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Are the analytical techniques specified in table 5 MO4 prescriptive or are we able to provide other analytic approaches if we deem these more suitable?</w:t>
            </w:r>
          </w:p>
        </w:tc>
        <w:tc>
          <w:tcPr>
            <w:tcW w:w="4898" w:type="dxa"/>
          </w:tcPr>
          <w:p w14:paraId="275FA7D8" w14:textId="6A57433F" w:rsidR="003B7FB0" w:rsidRPr="002F4346" w:rsidRDefault="002F434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F4346">
              <w:rPr>
                <w:color w:val="000000"/>
                <w:sz w:val="20"/>
                <w:szCs w:val="20"/>
              </w:rPr>
              <w:t>Part of our goal in producing this work is to use techniques that are in line with the latest academic work on social mobility, so in general we would want the prescribed techniques to be used. However, we are open to discussing alternative approaches if it can be shown that such approaches answer the research question and are academically credible.</w:t>
            </w:r>
          </w:p>
        </w:tc>
      </w:tr>
      <w:tr w:rsidR="003B7FB0" w14:paraId="60DA61E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1D3A407" w14:textId="58AF17B7" w:rsidR="003B7FB0" w:rsidRPr="006329F5" w:rsidRDefault="00EE1D88" w:rsidP="003B7FB0">
            <w:pPr>
              <w:pStyle w:val="ListBullet"/>
              <w:numPr>
                <w:ilvl w:val="0"/>
                <w:numId w:val="0"/>
              </w:numPr>
              <w:rPr>
                <w:b w:val="0"/>
                <w:color w:val="000000"/>
                <w:sz w:val="20"/>
                <w:szCs w:val="20"/>
              </w:rPr>
            </w:pPr>
            <w:r>
              <w:rPr>
                <w:b w:val="0"/>
                <w:color w:val="000000"/>
                <w:sz w:val="20"/>
                <w:szCs w:val="20"/>
              </w:rPr>
              <w:t>5</w:t>
            </w:r>
          </w:p>
        </w:tc>
        <w:tc>
          <w:tcPr>
            <w:tcW w:w="4395" w:type="dxa"/>
          </w:tcPr>
          <w:p w14:paraId="3F4874D6" w14:textId="6C6B8AD1"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If there is existing published analysis that covers any of the items, can this be used or would new analysis be required for each point?</w:t>
            </w:r>
          </w:p>
        </w:tc>
        <w:tc>
          <w:tcPr>
            <w:tcW w:w="4898" w:type="dxa"/>
          </w:tcPr>
          <w:p w14:paraId="59B71CD8" w14:textId="12C1692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acceptable to use existing published analysis if this is up to date, but in general we would still want the technical specification (deliverable 5) to set out how to do this as new analysis, in case the already-published analysis is discontinued in future.</w:t>
            </w:r>
          </w:p>
        </w:tc>
      </w:tr>
      <w:tr w:rsidR="003B7FB0" w14:paraId="56411063"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4EB0083" w14:textId="584D9433" w:rsidR="003B7FB0" w:rsidRPr="006329F5" w:rsidRDefault="00EE1D88" w:rsidP="003B7FB0">
            <w:pPr>
              <w:pStyle w:val="ListBullet"/>
              <w:numPr>
                <w:ilvl w:val="0"/>
                <w:numId w:val="0"/>
              </w:numPr>
              <w:rPr>
                <w:b w:val="0"/>
                <w:color w:val="000000"/>
                <w:sz w:val="20"/>
                <w:szCs w:val="20"/>
              </w:rPr>
            </w:pPr>
            <w:r>
              <w:rPr>
                <w:b w:val="0"/>
                <w:color w:val="000000"/>
                <w:sz w:val="20"/>
                <w:szCs w:val="20"/>
              </w:rPr>
              <w:t>6</w:t>
            </w:r>
          </w:p>
        </w:tc>
        <w:tc>
          <w:tcPr>
            <w:tcW w:w="4395" w:type="dxa"/>
          </w:tcPr>
          <w:p w14:paraId="367F6567" w14:textId="1F6B4969" w:rsidR="003B7FB0" w:rsidRPr="006329F5"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EE1D88">
              <w:rPr>
                <w:color w:val="000000"/>
                <w:sz w:val="20"/>
                <w:szCs w:val="20"/>
              </w:rPr>
              <w:t>When multiple datasets are listed in the tables in the appendix (without additional information in footnotes, etc) are you expecting analysis to be conducted on all datasets, or for us to determine the most appropriate datasets to use?</w:t>
            </w:r>
          </w:p>
        </w:tc>
        <w:tc>
          <w:tcPr>
            <w:tcW w:w="4898" w:type="dxa"/>
          </w:tcPr>
          <w:p w14:paraId="5061E2A7" w14:textId="509B44FF" w:rsidR="003B7FB0" w:rsidRPr="00EE1D88" w:rsidRDefault="00EE1D88"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1D88">
              <w:rPr>
                <w:color w:val="000000"/>
                <w:sz w:val="20"/>
                <w:szCs w:val="20"/>
              </w:rPr>
              <w:t>It is only necessary to use multiple datasets for an indicator if this would address significant weaknesses in using one dataset alone. We would want to work with the supplier to determine the most appropriate dataset, and would be open to alternatives not listed, if these are superior.</w:t>
            </w:r>
          </w:p>
        </w:tc>
      </w:tr>
      <w:tr w:rsidR="0060318B" w14:paraId="2125333B" w14:textId="77777777" w:rsidTr="0060318B">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4EA0B717" w14:textId="77777777" w:rsidR="00EE1D88" w:rsidRPr="0060318B" w:rsidRDefault="00EE1D88" w:rsidP="0060318B">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69CCB3F"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482DD3DA" w14:textId="77777777" w:rsidR="00EE1D88" w:rsidRPr="0060318B" w:rsidRDefault="00EE1D88" w:rsidP="0060318B">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3B7FB0" w14:paraId="00E0C895"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91E7923" w14:textId="77FA29D6" w:rsidR="003B7FB0" w:rsidRPr="006329F5" w:rsidRDefault="0020206D" w:rsidP="003B7FB0">
            <w:pPr>
              <w:pStyle w:val="ListBullet"/>
              <w:numPr>
                <w:ilvl w:val="0"/>
                <w:numId w:val="0"/>
              </w:numPr>
              <w:rPr>
                <w:b w:val="0"/>
                <w:color w:val="000000"/>
                <w:sz w:val="20"/>
                <w:szCs w:val="20"/>
              </w:rPr>
            </w:pPr>
            <w:r>
              <w:rPr>
                <w:b w:val="0"/>
                <w:color w:val="000000"/>
                <w:sz w:val="20"/>
                <w:szCs w:val="20"/>
              </w:rPr>
              <w:t>Re</w:t>
            </w:r>
            <w:r w:rsidR="0065774C">
              <w:rPr>
                <w:b w:val="0"/>
                <w:color w:val="000000"/>
                <w:sz w:val="20"/>
                <w:szCs w:val="20"/>
              </w:rPr>
              <w:t>:</w:t>
            </w:r>
            <w:r>
              <w:rPr>
                <w:b w:val="0"/>
                <w:color w:val="000000"/>
                <w:sz w:val="20"/>
                <w:szCs w:val="20"/>
              </w:rPr>
              <w:t xml:space="preserve"> </w:t>
            </w:r>
            <w:r w:rsidRPr="003C6027">
              <w:rPr>
                <w:b w:val="0"/>
                <w:color w:val="000000"/>
                <w:sz w:val="20"/>
                <w:szCs w:val="20"/>
              </w:rPr>
              <w:t xml:space="preserve">Question Number </w:t>
            </w:r>
            <w:r w:rsidR="00C12BA5">
              <w:rPr>
                <w:b w:val="0"/>
                <w:color w:val="000000"/>
                <w:sz w:val="20"/>
                <w:szCs w:val="20"/>
              </w:rPr>
              <w:t xml:space="preserve">1 </w:t>
            </w:r>
            <w:r w:rsidR="00C12BA5" w:rsidRPr="00C12BA5">
              <w:rPr>
                <w:color w:val="000000"/>
                <w:sz w:val="20"/>
                <w:szCs w:val="20"/>
              </w:rPr>
              <w:t>(Update)</w:t>
            </w:r>
          </w:p>
        </w:tc>
        <w:tc>
          <w:tcPr>
            <w:tcW w:w="4395" w:type="dxa"/>
          </w:tcPr>
          <w:p w14:paraId="4119FF05" w14:textId="16DDB2FD" w:rsidR="003B7FB0" w:rsidRPr="006329F5"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[Concerning the deadline date for the submission of bids in response to the ITT] Can we confirm that Monday May 2nd is the deadline for this as this is a bank holiday, or is there any potential for a short extension to the next working day (Tuesday May 3rd)?</w:t>
            </w:r>
          </w:p>
        </w:tc>
        <w:tc>
          <w:tcPr>
            <w:tcW w:w="4898" w:type="dxa"/>
          </w:tcPr>
          <w:p w14:paraId="1D592B59" w14:textId="4AC67DD0" w:rsidR="003B7FB0" w:rsidRPr="00B51E39" w:rsidRDefault="00C12BA5"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B51E39">
              <w:rPr>
                <w:b/>
                <w:color w:val="000000"/>
                <w:sz w:val="20"/>
                <w:szCs w:val="20"/>
              </w:rPr>
              <w:t xml:space="preserve">The deadline date for the submission of bids in response to the ITT has been extended to </w:t>
            </w:r>
            <w:r w:rsidR="00B51E39">
              <w:rPr>
                <w:b/>
                <w:color w:val="000000"/>
                <w:sz w:val="20"/>
                <w:szCs w:val="20"/>
              </w:rPr>
              <w:t xml:space="preserve">12:00pm on </w:t>
            </w:r>
            <w:r w:rsidRPr="00B51E39">
              <w:rPr>
                <w:b/>
                <w:color w:val="000000"/>
                <w:sz w:val="20"/>
                <w:szCs w:val="20"/>
              </w:rPr>
              <w:t>Monday 16</w:t>
            </w:r>
            <w:r w:rsidRPr="00B51E39">
              <w:rPr>
                <w:b/>
                <w:color w:val="000000"/>
                <w:sz w:val="20"/>
                <w:szCs w:val="20"/>
                <w:vertAlign w:val="superscript"/>
              </w:rPr>
              <w:t>th</w:t>
            </w:r>
            <w:r w:rsidRPr="00B51E39">
              <w:rPr>
                <w:b/>
                <w:color w:val="000000"/>
                <w:sz w:val="20"/>
                <w:szCs w:val="20"/>
              </w:rPr>
              <w:t xml:space="preserve"> of May 2022.</w:t>
            </w:r>
          </w:p>
        </w:tc>
      </w:tr>
      <w:tr w:rsidR="00EE1D88" w14:paraId="209D2E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12283934" w14:textId="16EC22D6" w:rsidR="00EE1D88" w:rsidRDefault="00B51E39" w:rsidP="003B7FB0">
            <w:pPr>
              <w:pStyle w:val="ListBullet"/>
              <w:numPr>
                <w:ilvl w:val="0"/>
                <w:numId w:val="0"/>
              </w:numPr>
              <w:rPr>
                <w:b w:val="0"/>
                <w:color w:val="000000"/>
                <w:sz w:val="20"/>
                <w:szCs w:val="20"/>
              </w:rPr>
            </w:pPr>
            <w:r>
              <w:rPr>
                <w:b w:val="0"/>
                <w:color w:val="000000"/>
                <w:sz w:val="20"/>
                <w:szCs w:val="20"/>
              </w:rPr>
              <w:t>7</w:t>
            </w:r>
          </w:p>
        </w:tc>
        <w:tc>
          <w:tcPr>
            <w:tcW w:w="4395" w:type="dxa"/>
          </w:tcPr>
          <w:p w14:paraId="2C2731B8" w14:textId="5648A268"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b/>
                <w:color w:val="000000"/>
                <w:sz w:val="20"/>
                <w:szCs w:val="20"/>
              </w:rPr>
              <w:t>[</w:t>
            </w:r>
            <w:r w:rsidR="0065774C">
              <w:rPr>
                <w:b/>
                <w:color w:val="000000"/>
                <w:sz w:val="20"/>
                <w:szCs w:val="20"/>
              </w:rPr>
              <w:t xml:space="preserve">Re: </w:t>
            </w:r>
            <w:r w:rsidRPr="003C6027">
              <w:rPr>
                <w:b/>
                <w:color w:val="000000"/>
                <w:sz w:val="20"/>
                <w:szCs w:val="20"/>
              </w:rPr>
              <w:t>Question Number 2]</w:t>
            </w:r>
            <w:r w:rsidRPr="003C6027">
              <w:rPr>
                <w:color w:val="000000"/>
                <w:sz w:val="20"/>
                <w:szCs w:val="20"/>
              </w:rPr>
              <w:t xml:space="preserve"> When we refer to “secure data sets”, we were referring to data sets that are held with additional access requirements in the ONS’s secure research environment due to the type of data they contain (such as the National Pupil Database or the Labour Force Survey with local authority identifiers for respondents). I realise now that the way I phrased this question did not make this clear, so we were wondering if it was possible to double check if the answer below still stands?</w:t>
            </w:r>
          </w:p>
        </w:tc>
        <w:tc>
          <w:tcPr>
            <w:tcW w:w="4898" w:type="dxa"/>
          </w:tcPr>
          <w:p w14:paraId="76AB31AA" w14:textId="24B9AE5F" w:rsidR="00EE1D88" w:rsidRPr="003C6027" w:rsidRDefault="003C60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C6027">
              <w:rPr>
                <w:color w:val="000000"/>
                <w:sz w:val="20"/>
                <w:szCs w:val="20"/>
              </w:rPr>
              <w:t>We will work with the contractor to secure access to as much data as possible. In the case where access is not possible, we will need to look at alternative data, or in the last resort, drop that indicator.</w:t>
            </w:r>
          </w:p>
        </w:tc>
      </w:tr>
      <w:tr w:rsidR="00EE1D88" w14:paraId="2B0C014B"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3EB33CD" w14:textId="4DB621B3" w:rsidR="00EE1D88" w:rsidRDefault="00851B4F" w:rsidP="003B7FB0">
            <w:pPr>
              <w:pStyle w:val="ListBullet"/>
              <w:numPr>
                <w:ilvl w:val="0"/>
                <w:numId w:val="0"/>
              </w:numPr>
              <w:rPr>
                <w:b w:val="0"/>
                <w:color w:val="000000"/>
                <w:sz w:val="20"/>
                <w:szCs w:val="20"/>
              </w:rPr>
            </w:pPr>
            <w:r>
              <w:rPr>
                <w:b w:val="0"/>
                <w:color w:val="000000"/>
                <w:sz w:val="20"/>
                <w:szCs w:val="20"/>
              </w:rPr>
              <w:t>8</w:t>
            </w:r>
          </w:p>
        </w:tc>
        <w:tc>
          <w:tcPr>
            <w:tcW w:w="4395" w:type="dxa"/>
          </w:tcPr>
          <w:p w14:paraId="012F295A" w14:textId="23869F07" w:rsidR="00EE1D88" w:rsidRPr="00913227"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13227">
              <w:rPr>
                <w:color w:val="000000"/>
                <w:sz w:val="20"/>
                <w:szCs w:val="20"/>
              </w:rPr>
              <w:t xml:space="preserve">I am not in fact sure whether I will be able to submit a bid, given the very tight deadlines both for submitting a tender and for actually doing the work itself. </w:t>
            </w:r>
          </w:p>
        </w:tc>
        <w:tc>
          <w:tcPr>
            <w:tcW w:w="4898" w:type="dxa"/>
          </w:tcPr>
          <w:p w14:paraId="09520810" w14:textId="04AA5634" w:rsidR="00EE1D88" w:rsidRPr="006329F5" w:rsidRDefault="0091322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EE1D88" w14:paraId="03F729C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E6843EA" w14:textId="5F37A884" w:rsidR="00EE1D88" w:rsidRDefault="00851B4F" w:rsidP="003B7FB0">
            <w:pPr>
              <w:pStyle w:val="ListBullet"/>
              <w:numPr>
                <w:ilvl w:val="0"/>
                <w:numId w:val="0"/>
              </w:numPr>
              <w:rPr>
                <w:b w:val="0"/>
                <w:color w:val="000000"/>
                <w:sz w:val="20"/>
                <w:szCs w:val="20"/>
              </w:rPr>
            </w:pPr>
            <w:r>
              <w:rPr>
                <w:b w:val="0"/>
                <w:color w:val="000000"/>
                <w:sz w:val="20"/>
                <w:szCs w:val="20"/>
              </w:rPr>
              <w:t>9</w:t>
            </w:r>
          </w:p>
        </w:tc>
        <w:tc>
          <w:tcPr>
            <w:tcW w:w="4395" w:type="dxa"/>
          </w:tcPr>
          <w:p w14:paraId="510219C2" w14:textId="3682C785" w:rsidR="00EE1D88" w:rsidRPr="00F5389B" w:rsidRDefault="00557484"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F5389B">
              <w:rPr>
                <w:color w:val="000000"/>
                <w:sz w:val="20"/>
                <w:szCs w:val="20"/>
              </w:rPr>
              <w:t>If I do submit a bid, I will probably suggest a revision to the timetable for completing the various deliverables, in order to make the timetable more achievable.  If you are able to let me know whether or not the existing timetable is set in stone, that would be helpful.</w:t>
            </w:r>
          </w:p>
        </w:tc>
        <w:tc>
          <w:tcPr>
            <w:tcW w:w="4898" w:type="dxa"/>
          </w:tcPr>
          <w:p w14:paraId="58A318B1" w14:textId="4BB2D4C5" w:rsidR="00EE1D88" w:rsidRPr="00F5389B" w:rsidRDefault="00F5389B"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0702CA">
              <w:rPr>
                <w:color w:val="000000"/>
                <w:sz w:val="20"/>
                <w:szCs w:val="20"/>
              </w:rPr>
              <w:t>We have recently revised the timeframe for this tender and extended it by 2 months. We require all bids to adhere to this timeframe as we have a statutory obligation to publish the report in June 2023.  The end date of the contract can therefore not be changed.  However, if you would like to suggest an amendment to dates for deliverables within the contract end date (for example, if deliverable 1 on analytical outputs will take longer than expected to produce to quality) we are open to negotiation.</w:t>
            </w:r>
          </w:p>
        </w:tc>
      </w:tr>
      <w:tr w:rsidR="00EE1D88" w14:paraId="7E322116"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C112CDD" w14:textId="02A06027" w:rsidR="00EE1D88" w:rsidRDefault="00851B4F" w:rsidP="003B7FB0">
            <w:pPr>
              <w:pStyle w:val="ListBullet"/>
              <w:numPr>
                <w:ilvl w:val="0"/>
                <w:numId w:val="0"/>
              </w:numPr>
              <w:rPr>
                <w:b w:val="0"/>
                <w:color w:val="000000"/>
                <w:sz w:val="20"/>
                <w:szCs w:val="20"/>
              </w:rPr>
            </w:pPr>
            <w:r>
              <w:rPr>
                <w:b w:val="0"/>
                <w:color w:val="000000"/>
                <w:sz w:val="20"/>
                <w:szCs w:val="20"/>
              </w:rPr>
              <w:t>10</w:t>
            </w:r>
          </w:p>
        </w:tc>
        <w:tc>
          <w:tcPr>
            <w:tcW w:w="4395" w:type="dxa"/>
          </w:tcPr>
          <w:p w14:paraId="29F2D27C" w14:textId="2DCE8E11" w:rsidR="00EE1D88" w:rsidRPr="00DE793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DE793F">
              <w:rPr>
                <w:color w:val="000000"/>
                <w:sz w:val="20"/>
                <w:szCs w:val="20"/>
              </w:rPr>
              <w:t>As a group policy and insurance matter, we cannot tender without a general limit of liability. Please can you confirm that this can be included? Our suggested wording is: “Notwithstanding any other term in this agreement, to the fullest extent permitted by law, the total liability of each party arising under or in connection with this agreement, whether arising in contract, tort (including, but not limited to, negligence), restitution or otherwise (and including any and all liability under any indemnities), shall be limited to £1 million (one million pounds sterling). For the avoidance of doubt, the agreement includes all tender documents related to the agreement.”</w:t>
            </w:r>
          </w:p>
        </w:tc>
        <w:tc>
          <w:tcPr>
            <w:tcW w:w="4898" w:type="dxa"/>
          </w:tcPr>
          <w:p w14:paraId="63819B5D" w14:textId="64C0D053" w:rsidR="00EE1D88" w:rsidRPr="006B5394"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 xml:space="preserve">The SMC </w:t>
            </w:r>
            <w:r w:rsidR="00E44668" w:rsidRPr="006B5394">
              <w:rPr>
                <w:b/>
                <w:color w:val="000000"/>
                <w:sz w:val="20"/>
                <w:szCs w:val="20"/>
              </w:rPr>
              <w:t>would be happy with this proposed amendment</w:t>
            </w:r>
            <w:r w:rsidRPr="006B5394">
              <w:rPr>
                <w:b/>
                <w:color w:val="000000"/>
                <w:sz w:val="20"/>
                <w:szCs w:val="20"/>
              </w:rPr>
              <w:t>.</w:t>
            </w:r>
          </w:p>
        </w:tc>
      </w:tr>
      <w:tr w:rsidR="00EE1D88" w14:paraId="637BF94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84C308" w14:textId="59C1E552"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0B</w:t>
            </w:r>
          </w:p>
        </w:tc>
        <w:tc>
          <w:tcPr>
            <w:tcW w:w="4395" w:type="dxa"/>
          </w:tcPr>
          <w:p w14:paraId="613ADF53" w14:textId="3F392054" w:rsidR="00EE1D88" w:rsidRPr="00113B5F" w:rsidRDefault="00DE793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113B5F">
              <w:rPr>
                <w:color w:val="000000"/>
                <w:sz w:val="20"/>
                <w:szCs w:val="20"/>
              </w:rPr>
              <w:t>Our responsibility is to our client(s), and not to third parties who may read our work. Our deliverables will have a disclaimer that will make this clear. Please confirm that you will make any other party to whom you disclose our work aware of this. (In practice this will mean not distributing our work without that disclaimer included.)</w:t>
            </w:r>
          </w:p>
        </w:tc>
        <w:tc>
          <w:tcPr>
            <w:tcW w:w="4898" w:type="dxa"/>
          </w:tcPr>
          <w:p w14:paraId="2A964FB1" w14:textId="572F4BC2" w:rsidR="00EE1D88"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p>
        </w:tc>
      </w:tr>
      <w:tr w:rsidR="00113B5F" w14:paraId="25C43ABE"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1061FB56" w14:textId="77777777" w:rsidR="00113B5F" w:rsidRPr="0060318B" w:rsidRDefault="00113B5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19F3D1C9"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39C3C0B2" w14:textId="77777777" w:rsidR="00113B5F" w:rsidRPr="0060318B" w:rsidRDefault="00113B5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113B5F" w14:paraId="27A68609"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015E2CD" w14:textId="630D3453" w:rsidR="00113B5F" w:rsidRDefault="00113B5F" w:rsidP="003B7FB0">
            <w:pPr>
              <w:pStyle w:val="ListBullet"/>
              <w:numPr>
                <w:ilvl w:val="0"/>
                <w:numId w:val="0"/>
              </w:numPr>
              <w:rPr>
                <w:b w:val="0"/>
                <w:color w:val="000000"/>
                <w:sz w:val="20"/>
                <w:szCs w:val="20"/>
              </w:rPr>
            </w:pPr>
            <w:r>
              <w:rPr>
                <w:b w:val="0"/>
                <w:color w:val="000000"/>
                <w:sz w:val="20"/>
                <w:szCs w:val="20"/>
              </w:rPr>
              <w:t>12</w:t>
            </w:r>
          </w:p>
        </w:tc>
        <w:tc>
          <w:tcPr>
            <w:tcW w:w="4395" w:type="dxa"/>
          </w:tcPr>
          <w:p w14:paraId="72AABDFE" w14:textId="2DC1E0E3" w:rsidR="00113B5F" w:rsidRPr="00356E4A" w:rsidRDefault="00FB684E"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356E4A">
              <w:rPr>
                <w:color w:val="000000"/>
                <w:sz w:val="20"/>
                <w:szCs w:val="20"/>
              </w:rPr>
              <w:t>We assume that it is not intended for all our internal working papers, emails etc. to form part of the intellectual property being provided to you (which would be impractical as well as unreasonable), but rather that you expect to receive rights in the products of the Services (i.e. the deliverables). Could you please confirm?</w:t>
            </w:r>
          </w:p>
        </w:tc>
        <w:tc>
          <w:tcPr>
            <w:tcW w:w="4898" w:type="dxa"/>
          </w:tcPr>
          <w:p w14:paraId="1B47AC37" w14:textId="53BD1127" w:rsidR="00113B5F" w:rsidRPr="00275EE7"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275EE7">
              <w:rPr>
                <w:b/>
                <w:color w:val="000000"/>
                <w:sz w:val="20"/>
                <w:szCs w:val="20"/>
              </w:rPr>
              <w:t>The SMC would expect to own the intellectual property rights for the deliverables.</w:t>
            </w:r>
          </w:p>
        </w:tc>
      </w:tr>
      <w:tr w:rsidR="00EE1D88" w14:paraId="1C53FA4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587C354" w14:textId="05EBB016"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3</w:t>
            </w:r>
          </w:p>
        </w:tc>
        <w:tc>
          <w:tcPr>
            <w:tcW w:w="4395" w:type="dxa"/>
          </w:tcPr>
          <w:p w14:paraId="3F9053D3" w14:textId="0737695F" w:rsid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As a professional services firm, we operate in a regulated sector and need to comply with our legal and professional obligations. Please could you let us know if any of this is unacceptable for this tender:</w:t>
            </w:r>
          </w:p>
          <w:p w14:paraId="73D202DA"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EECA82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(A) It is an ICAEW requirement that we keep records of our work. This means that we must retain information about the project after the contract terminates. We will hold that information confidential in accordance with the contract and our professional duties.</w:t>
            </w:r>
          </w:p>
          <w:p w14:paraId="77FCE771"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47C81F"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(B) If the client assigns the contract, we will first need to perform KYC/AML/conflict checks on incoming client parties.</w:t>
            </w:r>
          </w:p>
          <w:p w14:paraId="28D520A9"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352AD3E"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(C) We may come under a legal obligation to provide confidential information to regulators or other authorities.</w:t>
            </w:r>
          </w:p>
          <w:p w14:paraId="65CCDFB0" w14:textId="77777777" w:rsidR="00A0041F"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445D317A" w14:textId="7FAE5DAB" w:rsidR="00EE1D88" w:rsidRPr="00A0041F" w:rsidRDefault="00A0041F" w:rsidP="00A0041F">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(D) We act as a matter of law (not by choice) as an independent data controller in providing these services. This is because we will exercise our professional expertise and thereby determine the purpose for and means by which the personal data provided to us is processed. Our direct obligations under data protection law as a controller must take precedence over any provisions which assume we are a processor. We are happy to discuss further.</w:t>
            </w:r>
          </w:p>
        </w:tc>
        <w:tc>
          <w:tcPr>
            <w:tcW w:w="4898" w:type="dxa"/>
          </w:tcPr>
          <w:p w14:paraId="463FE57E" w14:textId="3A78B6FB" w:rsidR="00EE1D88" w:rsidRPr="006329F5"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329F5">
              <w:rPr>
                <w:color w:val="000000"/>
                <w:sz w:val="20"/>
                <w:szCs w:val="20"/>
              </w:rPr>
              <w:t>The SMC is in the process of making a decision on this question and will respond to all in due course.</w:t>
            </w:r>
          </w:p>
        </w:tc>
      </w:tr>
      <w:tr w:rsidR="00EE1D88" w14:paraId="5F6C90B0"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0431CD2D" w14:textId="4691E298" w:rsidR="00EE1D88" w:rsidRDefault="00851B4F" w:rsidP="003B7FB0">
            <w:pPr>
              <w:pStyle w:val="ListBullet"/>
              <w:numPr>
                <w:ilvl w:val="0"/>
                <w:numId w:val="0"/>
              </w:numPr>
              <w:rPr>
                <w:b w:val="0"/>
                <w:color w:val="000000"/>
                <w:sz w:val="20"/>
                <w:szCs w:val="20"/>
              </w:rPr>
            </w:pPr>
            <w:r>
              <w:rPr>
                <w:b w:val="0"/>
                <w:color w:val="000000"/>
                <w:sz w:val="20"/>
                <w:szCs w:val="20"/>
              </w:rPr>
              <w:t>1</w:t>
            </w:r>
            <w:r w:rsidR="00113B5F">
              <w:rPr>
                <w:b w:val="0"/>
                <w:color w:val="000000"/>
                <w:sz w:val="20"/>
                <w:szCs w:val="20"/>
              </w:rPr>
              <w:t>4</w:t>
            </w:r>
          </w:p>
        </w:tc>
        <w:tc>
          <w:tcPr>
            <w:tcW w:w="4395" w:type="dxa"/>
          </w:tcPr>
          <w:p w14:paraId="0598D998" w14:textId="7FB70773" w:rsidR="00EE1D88" w:rsidRPr="00A0041F" w:rsidRDefault="00A0041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041F">
              <w:rPr>
                <w:color w:val="000000"/>
                <w:sz w:val="20"/>
                <w:szCs w:val="20"/>
              </w:rPr>
              <w:t xml:space="preserve">In some </w:t>
            </w:r>
            <w:proofErr w:type="gramStart"/>
            <w:r w:rsidRPr="00A0041F">
              <w:rPr>
                <w:color w:val="000000"/>
                <w:sz w:val="20"/>
                <w:szCs w:val="20"/>
              </w:rPr>
              <w:t>cases</w:t>
            </w:r>
            <w:proofErr w:type="gramEnd"/>
            <w:r w:rsidRPr="00A0041F">
              <w:rPr>
                <w:color w:val="000000"/>
                <w:sz w:val="20"/>
                <w:szCs w:val="20"/>
              </w:rPr>
              <w:t xml:space="preserve"> conflicts of interest can be managed in accordance with our professional duties, and this is normal practice in our sector. We have appropriate procedures to identify situations where a specific legal or ethical conflict of interest may arise. Where one is identified, and we believe that implementing appropriate procedures can safeguard your interests, we will promptly notify you (subject to any obligations we may owe to third parties), explain the safeguards to be implemented and obtain your consent to their implementation. Please let us know if you have any concerns with this position.</w:t>
            </w:r>
          </w:p>
        </w:tc>
        <w:tc>
          <w:tcPr>
            <w:tcW w:w="4898" w:type="dxa"/>
          </w:tcPr>
          <w:p w14:paraId="53E05011" w14:textId="74D8538A" w:rsidR="00EE1D88" w:rsidRPr="006329F5" w:rsidRDefault="007B58E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p>
        </w:tc>
      </w:tr>
      <w:tr w:rsidR="00A0041F" w14:paraId="3BF78AA8" w14:textId="77777777" w:rsidTr="00805232">
        <w:tc>
          <w:tcPr>
            <w:cnfStyle w:val="001000000000" w:firstRow="0" w:lastRow="0" w:firstColumn="1" w:lastColumn="0" w:oddVBand="0" w:evenVBand="0" w:oddHBand="0" w:evenHBand="0" w:firstRowFirstColumn="0" w:firstRowLastColumn="0" w:lastRowFirstColumn="0" w:lastRowLastColumn="0"/>
            <w:tcW w:w="1129" w:type="dxa"/>
            <w:shd w:val="clear" w:color="auto" w:fill="EE7127"/>
          </w:tcPr>
          <w:p w14:paraId="03662AE4" w14:textId="77777777" w:rsidR="00A0041F" w:rsidRPr="0060318B" w:rsidRDefault="00A0041F" w:rsidP="00805232">
            <w:pPr>
              <w:pStyle w:val="ListBullet"/>
              <w:keepNext/>
              <w:keepLines/>
              <w:numPr>
                <w:ilvl w:val="0"/>
                <w:numId w:val="0"/>
              </w:numPr>
              <w:rPr>
                <w:b w:val="0"/>
                <w:color w:val="000000"/>
              </w:rPr>
            </w:pPr>
            <w:r w:rsidRPr="0060318B">
              <w:rPr>
                <w:b w:val="0"/>
                <w:color w:val="000000"/>
              </w:rPr>
              <w:lastRenderedPageBreak/>
              <w:t>Question Number</w:t>
            </w:r>
          </w:p>
        </w:tc>
        <w:tc>
          <w:tcPr>
            <w:tcW w:w="4395" w:type="dxa"/>
            <w:shd w:val="clear" w:color="auto" w:fill="EE7127"/>
          </w:tcPr>
          <w:p w14:paraId="01880CC0"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Clarification Question</w:t>
            </w:r>
          </w:p>
        </w:tc>
        <w:tc>
          <w:tcPr>
            <w:tcW w:w="4898" w:type="dxa"/>
            <w:shd w:val="clear" w:color="auto" w:fill="EE7127"/>
          </w:tcPr>
          <w:p w14:paraId="5B5DE3C3" w14:textId="77777777" w:rsidR="00A0041F" w:rsidRPr="0060318B" w:rsidRDefault="00A0041F" w:rsidP="00805232">
            <w:pPr>
              <w:pStyle w:val="ListBullet"/>
              <w:keepNext/>
              <w:keepLines/>
              <w:numPr>
                <w:ilvl w:val="0"/>
                <w:numId w:val="0"/>
              </w:numPr>
              <w:cnfStyle w:val="000000000000" w:firstRow="0" w:lastRow="0" w:firstColumn="0" w:lastColumn="0" w:oddVBand="0" w:evenVBand="0" w:oddHBand="0" w:evenHBand="0" w:firstRowFirstColumn="0" w:firstRowLastColumn="0" w:lastRowFirstColumn="0" w:lastRowLastColumn="0"/>
              <w:rPr>
                <w:color w:val="000000"/>
              </w:rPr>
            </w:pPr>
            <w:r w:rsidRPr="0060318B">
              <w:rPr>
                <w:color w:val="000000"/>
              </w:rPr>
              <w:t>SMC Response</w:t>
            </w:r>
          </w:p>
        </w:tc>
      </w:tr>
      <w:tr w:rsidR="00A0041F" w14:paraId="6E81FB51"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5C3D4A8" w14:textId="59579692" w:rsidR="00A0041F" w:rsidRDefault="00A0041F" w:rsidP="003B7FB0">
            <w:pPr>
              <w:pStyle w:val="ListBullet"/>
              <w:numPr>
                <w:ilvl w:val="0"/>
                <w:numId w:val="0"/>
              </w:numPr>
              <w:rPr>
                <w:b w:val="0"/>
                <w:color w:val="000000"/>
                <w:sz w:val="20"/>
                <w:szCs w:val="20"/>
              </w:rPr>
            </w:pPr>
            <w:r>
              <w:rPr>
                <w:b w:val="0"/>
                <w:color w:val="000000"/>
                <w:sz w:val="20"/>
                <w:szCs w:val="20"/>
              </w:rPr>
              <w:t>15</w:t>
            </w:r>
          </w:p>
        </w:tc>
        <w:tc>
          <w:tcPr>
            <w:tcW w:w="4395" w:type="dxa"/>
          </w:tcPr>
          <w:p w14:paraId="54C20267" w14:textId="1857414E" w:rsidR="00A0041F" w:rsidRPr="00A0041F"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The usual position is that clients will keep their own copies of any data sent to us. Please could you let us know if you do not intend to do this?</w:t>
            </w:r>
          </w:p>
        </w:tc>
        <w:tc>
          <w:tcPr>
            <w:tcW w:w="4898" w:type="dxa"/>
          </w:tcPr>
          <w:p w14:paraId="31E30D4C" w14:textId="1A8362DB" w:rsidR="00A0041F" w:rsidRPr="006329F5"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6329F5">
              <w:rPr>
                <w:color w:val="000000"/>
                <w:sz w:val="20"/>
                <w:szCs w:val="20"/>
              </w:rPr>
              <w:t>The SMC is in the process of making a decision on this question and will respond to all in due course.</w:t>
            </w:r>
          </w:p>
        </w:tc>
      </w:tr>
      <w:tr w:rsidR="00EE1D88" w14:paraId="143DB38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E55A477" w14:textId="65F24948" w:rsidR="00EE1D88" w:rsidRDefault="00DE793F" w:rsidP="003B7FB0">
            <w:pPr>
              <w:pStyle w:val="ListBullet"/>
              <w:numPr>
                <w:ilvl w:val="0"/>
                <w:numId w:val="0"/>
              </w:numPr>
              <w:rPr>
                <w:b w:val="0"/>
                <w:color w:val="000000"/>
                <w:sz w:val="20"/>
                <w:szCs w:val="20"/>
              </w:rPr>
            </w:pPr>
            <w:r>
              <w:rPr>
                <w:b w:val="0"/>
                <w:color w:val="000000"/>
                <w:sz w:val="20"/>
                <w:szCs w:val="20"/>
              </w:rPr>
              <w:t>1</w:t>
            </w:r>
            <w:r w:rsidR="00A0041F">
              <w:rPr>
                <w:b w:val="0"/>
                <w:color w:val="000000"/>
                <w:sz w:val="20"/>
                <w:szCs w:val="20"/>
              </w:rPr>
              <w:t>6</w:t>
            </w:r>
          </w:p>
        </w:tc>
        <w:tc>
          <w:tcPr>
            <w:tcW w:w="4395" w:type="dxa"/>
          </w:tcPr>
          <w:p w14:paraId="36936C6E" w14:textId="3D210EC3" w:rsidR="00EE1D88" w:rsidRPr="009A2D56" w:rsidRDefault="009A2D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A2D56">
              <w:rPr>
                <w:color w:val="000000"/>
                <w:sz w:val="20"/>
                <w:szCs w:val="20"/>
              </w:rPr>
              <w:t>Please note, including for the purposes of the confidentiality clauses, that some of our staff working on this matter are employed not by the engaging entity, but by a services company in our corporate group (with a common ultimate parent). Please let us know if this is fine or you have any concerns.</w:t>
            </w:r>
          </w:p>
        </w:tc>
        <w:tc>
          <w:tcPr>
            <w:tcW w:w="4898" w:type="dxa"/>
          </w:tcPr>
          <w:p w14:paraId="50B393E6" w14:textId="1F74202C" w:rsidR="00EE1D88" w:rsidRPr="006329F5" w:rsidRDefault="003B3FE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6B5394">
              <w:rPr>
                <w:b/>
                <w:color w:val="000000"/>
                <w:sz w:val="20"/>
                <w:szCs w:val="20"/>
              </w:rPr>
              <w:t>The SMC would be happy with this proposed amendment</w:t>
            </w:r>
            <w:r>
              <w:rPr>
                <w:b/>
                <w:color w:val="000000"/>
                <w:sz w:val="20"/>
                <w:szCs w:val="20"/>
              </w:rPr>
              <w:t xml:space="preserve">, </w:t>
            </w:r>
            <w:r w:rsidRPr="003B3FE6">
              <w:rPr>
                <w:b/>
                <w:color w:val="000000"/>
                <w:sz w:val="20"/>
                <w:szCs w:val="20"/>
              </w:rPr>
              <w:t>as the overa</w:t>
            </w:r>
            <w:r>
              <w:rPr>
                <w:b/>
                <w:color w:val="000000"/>
                <w:sz w:val="20"/>
                <w:szCs w:val="20"/>
              </w:rPr>
              <w:t>r</w:t>
            </w:r>
            <w:r w:rsidRPr="003B3FE6">
              <w:rPr>
                <w:b/>
                <w:color w:val="000000"/>
                <w:sz w:val="20"/>
                <w:szCs w:val="20"/>
              </w:rPr>
              <w:t>ching conflicts of interest approach is followed</w:t>
            </w:r>
            <w:r>
              <w:rPr>
                <w:b/>
                <w:color w:val="000000"/>
                <w:sz w:val="20"/>
                <w:szCs w:val="20"/>
              </w:rPr>
              <w:t>.</w:t>
            </w:r>
          </w:p>
        </w:tc>
      </w:tr>
      <w:tr w:rsidR="009A2D56" w14:paraId="2D62CC0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4CFA434" w14:textId="63AC4CCD" w:rsidR="009A2D56" w:rsidRDefault="0080754D" w:rsidP="003B7FB0">
            <w:pPr>
              <w:pStyle w:val="ListBullet"/>
              <w:numPr>
                <w:ilvl w:val="0"/>
                <w:numId w:val="0"/>
              </w:numPr>
              <w:rPr>
                <w:b w:val="0"/>
                <w:color w:val="000000"/>
                <w:sz w:val="20"/>
                <w:szCs w:val="20"/>
              </w:rPr>
            </w:pPr>
            <w:r>
              <w:rPr>
                <w:b w:val="0"/>
                <w:color w:val="000000"/>
                <w:sz w:val="20"/>
                <w:szCs w:val="20"/>
              </w:rPr>
              <w:t>17</w:t>
            </w:r>
          </w:p>
        </w:tc>
        <w:tc>
          <w:tcPr>
            <w:tcW w:w="4395" w:type="dxa"/>
          </w:tcPr>
          <w:p w14:paraId="4CDB1C68" w14:textId="13981CCE"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Is there scope to extend the tender submission deadline for a week (Monday 9th May), accounting for the Bank Holiday on 2nd May and the need for us to for any bid to be based on responses to the attached?</w:t>
            </w:r>
          </w:p>
        </w:tc>
        <w:tc>
          <w:tcPr>
            <w:tcW w:w="4898" w:type="dxa"/>
          </w:tcPr>
          <w:p w14:paraId="0CDDA07E" w14:textId="74EAE061" w:rsidR="009A2D56" w:rsidRPr="006329F5" w:rsidRDefault="00CB6F9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b/>
                <w:color w:val="000000"/>
                <w:sz w:val="20"/>
                <w:szCs w:val="20"/>
              </w:rPr>
              <w:t>T</w:t>
            </w:r>
            <w:r w:rsidRPr="00F5389B">
              <w:rPr>
                <w:b/>
                <w:color w:val="000000"/>
                <w:sz w:val="20"/>
                <w:szCs w:val="20"/>
              </w:rPr>
              <w:t>his has already been resolved in part</w:t>
            </w:r>
            <w:r>
              <w:rPr>
                <w:b/>
                <w:color w:val="000000"/>
                <w:sz w:val="20"/>
                <w:szCs w:val="20"/>
              </w:rPr>
              <w:t xml:space="preserve"> </w:t>
            </w:r>
            <w:r w:rsidRPr="003C6027">
              <w:rPr>
                <w:b/>
                <w:color w:val="000000"/>
                <w:sz w:val="20"/>
                <w:szCs w:val="20"/>
              </w:rPr>
              <w:t>[</w:t>
            </w:r>
            <w:r>
              <w:rPr>
                <w:b/>
                <w:color w:val="000000"/>
                <w:sz w:val="20"/>
                <w:szCs w:val="20"/>
              </w:rPr>
              <w:t xml:space="preserve">Re: </w:t>
            </w:r>
            <w:r w:rsidRPr="003C6027">
              <w:rPr>
                <w:b/>
                <w:color w:val="000000"/>
                <w:sz w:val="20"/>
                <w:szCs w:val="20"/>
              </w:rPr>
              <w:t xml:space="preserve">Question Number </w:t>
            </w:r>
            <w:r>
              <w:rPr>
                <w:b/>
                <w:color w:val="000000"/>
                <w:sz w:val="20"/>
                <w:szCs w:val="20"/>
              </w:rPr>
              <w:t>1 (Update)</w:t>
            </w:r>
            <w:r w:rsidRPr="003C6027">
              <w:rPr>
                <w:b/>
                <w:color w:val="000000"/>
                <w:sz w:val="20"/>
                <w:szCs w:val="20"/>
              </w:rPr>
              <w:t>]</w:t>
            </w:r>
            <w:r w:rsidRPr="00F5389B">
              <w:rPr>
                <w:b/>
                <w:color w:val="000000"/>
                <w:sz w:val="20"/>
                <w:szCs w:val="20"/>
              </w:rPr>
              <w:t xml:space="preserve"> with the extension of the deadline to the 16th of May 2022.</w:t>
            </w:r>
          </w:p>
        </w:tc>
      </w:tr>
      <w:tr w:rsidR="009A2D56" w14:paraId="25387D6D"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56EC4ABC" w14:textId="1459C82E" w:rsidR="009A2D56" w:rsidRDefault="00765C57" w:rsidP="003B7FB0">
            <w:pPr>
              <w:pStyle w:val="ListBullet"/>
              <w:numPr>
                <w:ilvl w:val="0"/>
                <w:numId w:val="0"/>
              </w:numPr>
              <w:rPr>
                <w:b w:val="0"/>
                <w:color w:val="000000"/>
                <w:sz w:val="20"/>
                <w:szCs w:val="20"/>
              </w:rPr>
            </w:pPr>
            <w:r>
              <w:rPr>
                <w:b w:val="0"/>
                <w:color w:val="000000"/>
                <w:sz w:val="20"/>
                <w:szCs w:val="20"/>
              </w:rPr>
              <w:t>18</w:t>
            </w:r>
          </w:p>
        </w:tc>
        <w:tc>
          <w:tcPr>
            <w:tcW w:w="4395" w:type="dxa"/>
          </w:tcPr>
          <w:p w14:paraId="41FBF46D" w14:textId="4D212E20" w:rsidR="009A2D56" w:rsidRPr="009A2D56" w:rsidRDefault="0080754D"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80754D">
              <w:rPr>
                <w:color w:val="000000"/>
                <w:sz w:val="20"/>
                <w:szCs w:val="20"/>
              </w:rPr>
              <w:t>Has the SMC considered the impact of 2021 Census data being published in 2022 and if this has any effect on index indicators or the availability of granular data?</w:t>
            </w:r>
          </w:p>
        </w:tc>
        <w:tc>
          <w:tcPr>
            <w:tcW w:w="4898" w:type="dxa"/>
          </w:tcPr>
          <w:p w14:paraId="79DCC32D" w14:textId="49F0BEF2" w:rsidR="009A2D56" w:rsidRPr="006329F5" w:rsidRDefault="00765C5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765C57">
              <w:rPr>
                <w:color w:val="000000"/>
                <w:sz w:val="20"/>
                <w:szCs w:val="20"/>
              </w:rPr>
              <w:t>We haven't planned to use the Census because we don't know of an easy way to link parents and children, which we would need for mobility outcome calculations. However</w:t>
            </w:r>
            <w:r w:rsidR="005F30FC">
              <w:rPr>
                <w:color w:val="000000"/>
                <w:sz w:val="20"/>
                <w:szCs w:val="20"/>
              </w:rPr>
              <w:t>,</w:t>
            </w:r>
            <w:r w:rsidRPr="00765C57">
              <w:rPr>
                <w:color w:val="000000"/>
                <w:sz w:val="20"/>
                <w:szCs w:val="20"/>
              </w:rPr>
              <w:t xml:space="preserve"> we are very open to ideas on this.</w:t>
            </w:r>
          </w:p>
        </w:tc>
      </w:tr>
      <w:tr w:rsidR="009A2D56" w14:paraId="59BE4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7D7E8AA7" w14:textId="538487BA" w:rsidR="009A2D56" w:rsidRDefault="001F649F" w:rsidP="003B7FB0">
            <w:pPr>
              <w:pStyle w:val="ListBullet"/>
              <w:numPr>
                <w:ilvl w:val="0"/>
                <w:numId w:val="0"/>
              </w:numPr>
              <w:rPr>
                <w:b w:val="0"/>
                <w:color w:val="000000"/>
                <w:sz w:val="20"/>
                <w:szCs w:val="20"/>
              </w:rPr>
            </w:pPr>
            <w:r>
              <w:rPr>
                <w:b w:val="0"/>
                <w:color w:val="000000"/>
                <w:sz w:val="20"/>
                <w:szCs w:val="20"/>
              </w:rPr>
              <w:t>19</w:t>
            </w:r>
          </w:p>
        </w:tc>
        <w:tc>
          <w:tcPr>
            <w:tcW w:w="4395" w:type="dxa"/>
          </w:tcPr>
          <w:p w14:paraId="7A9A35C1" w14:textId="55260DA5" w:rsidR="009A2D56" w:rsidRPr="009A2D56"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w:t>
            </w:r>
            <w:r w:rsidRPr="001F649F">
              <w:rPr>
                <w:color w:val="000000"/>
                <w:sz w:val="20"/>
                <w:szCs w:val="20"/>
              </w:rPr>
              <w:t>ould it be possible to issue the Terms and Conditions as a separate document via email? We are unable to open the version which is embedded in the ITT.</w:t>
            </w:r>
          </w:p>
        </w:tc>
        <w:tc>
          <w:tcPr>
            <w:tcW w:w="4898" w:type="dxa"/>
          </w:tcPr>
          <w:p w14:paraId="090D2E85" w14:textId="15AE3DBC" w:rsidR="009A2D56" w:rsidRPr="00983CA8" w:rsidRDefault="001F649F"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983CA8">
              <w:rPr>
                <w:color w:val="000000"/>
                <w:sz w:val="20"/>
                <w:szCs w:val="20"/>
              </w:rPr>
              <w:t>Please see our T</w:t>
            </w:r>
            <w:r w:rsidR="00422342" w:rsidRPr="00983CA8">
              <w:rPr>
                <w:color w:val="000000"/>
                <w:sz w:val="20"/>
                <w:szCs w:val="20"/>
              </w:rPr>
              <w:t xml:space="preserve">erms and </w:t>
            </w:r>
            <w:r w:rsidRPr="00983CA8">
              <w:rPr>
                <w:color w:val="000000"/>
                <w:sz w:val="20"/>
                <w:szCs w:val="20"/>
              </w:rPr>
              <w:t>C</w:t>
            </w:r>
            <w:r w:rsidR="00422342" w:rsidRPr="00983CA8">
              <w:rPr>
                <w:color w:val="000000"/>
                <w:sz w:val="20"/>
                <w:szCs w:val="20"/>
              </w:rPr>
              <w:t>ondition</w:t>
            </w:r>
            <w:r w:rsidRPr="00983CA8">
              <w:rPr>
                <w:color w:val="000000"/>
                <w:sz w:val="20"/>
                <w:szCs w:val="20"/>
              </w:rPr>
              <w:t xml:space="preserve">s, which can be downloaded from </w:t>
            </w:r>
            <w:hyperlink r:id="rId9" w:history="1">
              <w:r w:rsidRPr="00983CA8">
                <w:rPr>
                  <w:rStyle w:val="Hyperlink"/>
                  <w:rFonts w:ascii="Arial" w:hAnsi="Arial"/>
                  <w:sz w:val="20"/>
                  <w:szCs w:val="20"/>
                </w:rPr>
                <w:t>Contracts Finder</w:t>
              </w:r>
            </w:hyperlink>
            <w:r w:rsidR="007D7D0A" w:rsidRPr="00983CA8">
              <w:rPr>
                <w:color w:val="000000"/>
                <w:sz w:val="20"/>
                <w:szCs w:val="20"/>
              </w:rPr>
              <w:t>.</w:t>
            </w:r>
          </w:p>
        </w:tc>
      </w:tr>
      <w:tr w:rsidR="009A2D56" w14:paraId="41C50B94"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920D31B" w14:textId="26773E9C" w:rsidR="009A2D56" w:rsidRDefault="005F4A56" w:rsidP="003B7FB0">
            <w:pPr>
              <w:pStyle w:val="ListBullet"/>
              <w:numPr>
                <w:ilvl w:val="0"/>
                <w:numId w:val="0"/>
              </w:numPr>
              <w:rPr>
                <w:b w:val="0"/>
                <w:color w:val="000000"/>
                <w:sz w:val="20"/>
                <w:szCs w:val="20"/>
              </w:rPr>
            </w:pPr>
            <w:r>
              <w:rPr>
                <w:b w:val="0"/>
                <w:color w:val="000000"/>
                <w:sz w:val="20"/>
                <w:szCs w:val="20"/>
              </w:rPr>
              <w:t>20</w:t>
            </w:r>
          </w:p>
        </w:tc>
        <w:tc>
          <w:tcPr>
            <w:tcW w:w="4395" w:type="dxa"/>
          </w:tcPr>
          <w:p w14:paraId="0B4F8010" w14:textId="3F6051FE" w:rsidR="009A2D56" w:rsidRPr="009A2D56" w:rsidRDefault="005F4A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5F4A56">
              <w:rPr>
                <w:color w:val="000000"/>
                <w:sz w:val="20"/>
                <w:szCs w:val="20"/>
              </w:rPr>
              <w:t xml:space="preserve">In respect of this tender, please could we have the document 5 – “Declaration and information to be provided” in a </w:t>
            </w:r>
            <w:proofErr w:type="spellStart"/>
            <w:r w:rsidRPr="005F4A56">
              <w:rPr>
                <w:color w:val="000000"/>
                <w:sz w:val="20"/>
                <w:szCs w:val="20"/>
              </w:rPr>
              <w:t>stand alone</w:t>
            </w:r>
            <w:proofErr w:type="spellEnd"/>
            <w:r w:rsidRPr="005F4A56">
              <w:rPr>
                <w:color w:val="000000"/>
                <w:sz w:val="20"/>
                <w:szCs w:val="20"/>
              </w:rPr>
              <w:t>, editable format such as a word document?</w:t>
            </w:r>
          </w:p>
        </w:tc>
        <w:tc>
          <w:tcPr>
            <w:tcW w:w="4898" w:type="dxa"/>
          </w:tcPr>
          <w:p w14:paraId="03F0A3B5" w14:textId="622D0E28" w:rsidR="009A2D56" w:rsidRPr="006329F5" w:rsidRDefault="005F4A56"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22342">
              <w:rPr>
                <w:color w:val="000000"/>
                <w:sz w:val="20"/>
                <w:szCs w:val="20"/>
              </w:rPr>
              <w:t xml:space="preserve">Please see </w:t>
            </w:r>
            <w:r w:rsidR="00A15A72">
              <w:rPr>
                <w:color w:val="000000"/>
                <w:sz w:val="20"/>
                <w:szCs w:val="20"/>
              </w:rPr>
              <w:t>“</w:t>
            </w:r>
            <w:r w:rsidR="00A15A72" w:rsidRPr="00A15A72">
              <w:rPr>
                <w:color w:val="000000"/>
                <w:sz w:val="20"/>
                <w:szCs w:val="20"/>
              </w:rPr>
              <w:t>Editable version of Social Mobility Commission (SMC) State of the Nation (SON) 2023 Invitation to Tender (ITT) (REF SMC 2223-36), including Document 5.</w:t>
            </w:r>
            <w:r w:rsidR="00A15A72">
              <w:rPr>
                <w:color w:val="000000"/>
                <w:sz w:val="20"/>
                <w:szCs w:val="20"/>
              </w:rPr>
              <w:t>”</w:t>
            </w:r>
            <w:bookmarkStart w:id="1" w:name="_GoBack"/>
            <w:bookmarkEnd w:id="1"/>
            <w:r w:rsidRPr="00422342">
              <w:rPr>
                <w:color w:val="000000"/>
                <w:sz w:val="20"/>
                <w:szCs w:val="20"/>
              </w:rPr>
              <w:t xml:space="preserve"> </w:t>
            </w:r>
            <w:r w:rsidR="00A15A72">
              <w:rPr>
                <w:color w:val="000000"/>
                <w:sz w:val="20"/>
                <w:szCs w:val="20"/>
              </w:rPr>
              <w:t>W</w:t>
            </w:r>
            <w:r w:rsidRPr="00422342">
              <w:rPr>
                <w:color w:val="000000"/>
                <w:sz w:val="20"/>
                <w:szCs w:val="20"/>
              </w:rPr>
              <w:t xml:space="preserve">hich can be downloaded from </w:t>
            </w:r>
            <w:hyperlink r:id="rId10" w:history="1">
              <w:r w:rsidRPr="00EE0C7B">
                <w:rPr>
                  <w:rStyle w:val="Hyperlink"/>
                  <w:rFonts w:ascii="Arial" w:hAnsi="Arial"/>
                  <w:sz w:val="20"/>
                  <w:szCs w:val="20"/>
                </w:rPr>
                <w:t>Contracts Finder</w:t>
              </w:r>
            </w:hyperlink>
            <w:r w:rsidRPr="00422342">
              <w:rPr>
                <w:color w:val="000000"/>
                <w:sz w:val="20"/>
                <w:szCs w:val="20"/>
              </w:rPr>
              <w:t>.</w:t>
            </w:r>
          </w:p>
        </w:tc>
      </w:tr>
      <w:tr w:rsidR="009A2D56" w14:paraId="2ECADC1A"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D9FE4F7" w14:textId="313E9FB7" w:rsidR="009A2D56" w:rsidRDefault="00275EE7" w:rsidP="003B7FB0">
            <w:pPr>
              <w:pStyle w:val="ListBullet"/>
              <w:numPr>
                <w:ilvl w:val="0"/>
                <w:numId w:val="0"/>
              </w:numPr>
              <w:rPr>
                <w:b w:val="0"/>
                <w:color w:val="000000"/>
                <w:sz w:val="20"/>
                <w:szCs w:val="20"/>
              </w:rPr>
            </w:pPr>
            <w:r>
              <w:rPr>
                <w:b w:val="0"/>
                <w:color w:val="000000"/>
                <w:sz w:val="20"/>
                <w:szCs w:val="20"/>
              </w:rPr>
              <w:t>21</w:t>
            </w:r>
          </w:p>
        </w:tc>
        <w:tc>
          <w:tcPr>
            <w:tcW w:w="4395" w:type="dxa"/>
          </w:tcPr>
          <w:p w14:paraId="3A1FB338" w14:textId="465E26D0"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If we can bid for a smaller pot of money to work with a few datasets rather than quote for the entire package</w:t>
            </w:r>
            <w:r>
              <w:rPr>
                <w:color w:val="000000"/>
                <w:sz w:val="20"/>
                <w:szCs w:val="20"/>
              </w:rPr>
              <w:t>?</w:t>
            </w:r>
          </w:p>
        </w:tc>
        <w:tc>
          <w:tcPr>
            <w:tcW w:w="4898" w:type="dxa"/>
          </w:tcPr>
          <w:p w14:paraId="6D2B3CDD" w14:textId="6E64A2BE"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48B81E5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2241B6F2" w14:textId="3EA711F1" w:rsidR="009A2D56" w:rsidRDefault="00275EE7" w:rsidP="003B7FB0">
            <w:pPr>
              <w:pStyle w:val="ListBullet"/>
              <w:numPr>
                <w:ilvl w:val="0"/>
                <w:numId w:val="0"/>
              </w:numPr>
              <w:rPr>
                <w:b w:val="0"/>
                <w:color w:val="000000"/>
                <w:sz w:val="20"/>
                <w:szCs w:val="20"/>
              </w:rPr>
            </w:pPr>
            <w:r>
              <w:rPr>
                <w:b w:val="0"/>
                <w:color w:val="000000"/>
                <w:sz w:val="20"/>
                <w:szCs w:val="20"/>
              </w:rPr>
              <w:t>22</w:t>
            </w:r>
          </w:p>
        </w:tc>
        <w:tc>
          <w:tcPr>
            <w:tcW w:w="4395" w:type="dxa"/>
          </w:tcPr>
          <w:p w14:paraId="4E142F77" w14:textId="5D7D340C"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Rather than being the provider for the analysis being asked for in this document could we submit a quotation to work on a part of this mega project – with some datasets such as NPD, HESA, LEO, Understanding society</w:t>
            </w:r>
            <w:r>
              <w:rPr>
                <w:color w:val="000000"/>
                <w:sz w:val="20"/>
                <w:szCs w:val="20"/>
              </w:rPr>
              <w:t>?</w:t>
            </w:r>
          </w:p>
        </w:tc>
        <w:tc>
          <w:tcPr>
            <w:tcW w:w="4898" w:type="dxa"/>
          </w:tcPr>
          <w:p w14:paraId="776DC1FE" w14:textId="5A10CBED"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3F7EC86C"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328743B8" w14:textId="7831E308" w:rsidR="009A2D56" w:rsidRDefault="00275EE7" w:rsidP="003B7FB0">
            <w:pPr>
              <w:pStyle w:val="ListBullet"/>
              <w:numPr>
                <w:ilvl w:val="0"/>
                <w:numId w:val="0"/>
              </w:numPr>
              <w:rPr>
                <w:b w:val="0"/>
                <w:color w:val="000000"/>
                <w:sz w:val="20"/>
                <w:szCs w:val="20"/>
              </w:rPr>
            </w:pPr>
            <w:r>
              <w:rPr>
                <w:b w:val="0"/>
                <w:color w:val="000000"/>
                <w:sz w:val="20"/>
                <w:szCs w:val="20"/>
              </w:rPr>
              <w:t>23</w:t>
            </w:r>
          </w:p>
        </w:tc>
        <w:tc>
          <w:tcPr>
            <w:tcW w:w="4395" w:type="dxa"/>
          </w:tcPr>
          <w:p w14:paraId="0A3DADA8" w14:textId="15284F84"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The other questions would be whether we can focus on fewer variables such as socioeconomic status, gender, ethnicity etc.</w:t>
            </w:r>
            <w:r>
              <w:rPr>
                <w:color w:val="000000"/>
                <w:sz w:val="20"/>
                <w:szCs w:val="20"/>
              </w:rPr>
              <w:t>?</w:t>
            </w:r>
          </w:p>
        </w:tc>
        <w:tc>
          <w:tcPr>
            <w:tcW w:w="4898" w:type="dxa"/>
          </w:tcPr>
          <w:p w14:paraId="7B3BC844" w14:textId="18CBBC22"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r w:rsidR="009A2D56" w14:paraId="6DE7D6D7" w14:textId="77777777" w:rsidTr="00EE1D88">
        <w:tc>
          <w:tcPr>
            <w:cnfStyle w:val="001000000000" w:firstRow="0" w:lastRow="0" w:firstColumn="1" w:lastColumn="0" w:oddVBand="0" w:evenVBand="0" w:oddHBand="0" w:evenHBand="0" w:firstRowFirstColumn="0" w:firstRowLastColumn="0" w:lastRowFirstColumn="0" w:lastRowLastColumn="0"/>
            <w:tcW w:w="1129" w:type="dxa"/>
          </w:tcPr>
          <w:p w14:paraId="42349AFD" w14:textId="1AAD9002" w:rsidR="009A2D56" w:rsidRDefault="00275EE7" w:rsidP="003B7FB0">
            <w:pPr>
              <w:pStyle w:val="ListBullet"/>
              <w:numPr>
                <w:ilvl w:val="0"/>
                <w:numId w:val="0"/>
              </w:numPr>
              <w:rPr>
                <w:b w:val="0"/>
                <w:color w:val="000000"/>
                <w:sz w:val="20"/>
                <w:szCs w:val="20"/>
              </w:rPr>
            </w:pPr>
            <w:r>
              <w:rPr>
                <w:b w:val="0"/>
                <w:color w:val="000000"/>
                <w:sz w:val="20"/>
                <w:szCs w:val="20"/>
              </w:rPr>
              <w:t>24</w:t>
            </w:r>
          </w:p>
        </w:tc>
        <w:tc>
          <w:tcPr>
            <w:tcW w:w="4395" w:type="dxa"/>
          </w:tcPr>
          <w:p w14:paraId="772AC209" w14:textId="5AB79705" w:rsidR="009A2D56" w:rsidRPr="009A2D56"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We many [mainly?] are not able to cover the analysis for housing etc as we do not have access to that information</w:t>
            </w:r>
            <w:r>
              <w:rPr>
                <w:color w:val="000000"/>
                <w:sz w:val="20"/>
                <w:szCs w:val="20"/>
              </w:rPr>
              <w:t>?</w:t>
            </w:r>
          </w:p>
        </w:tc>
        <w:tc>
          <w:tcPr>
            <w:tcW w:w="4898" w:type="dxa"/>
          </w:tcPr>
          <w:p w14:paraId="3E62C336" w14:textId="61A3C03F" w:rsidR="009A2D56" w:rsidRPr="006329F5" w:rsidRDefault="00275EE7" w:rsidP="003B7FB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275EE7">
              <w:rPr>
                <w:color w:val="000000"/>
                <w:sz w:val="20"/>
                <w:szCs w:val="20"/>
              </w:rPr>
              <w:t xml:space="preserve">The SMC will award one contract for this work.  We welcome bids from consortia, as stated on pages 1 and 14 of the ITT.  </w:t>
            </w:r>
            <w:r>
              <w:rPr>
                <w:color w:val="000000"/>
                <w:sz w:val="20"/>
                <w:szCs w:val="20"/>
              </w:rPr>
              <w:t>You</w:t>
            </w:r>
            <w:r w:rsidRPr="00275EE7">
              <w:rPr>
                <w:color w:val="000000"/>
                <w:sz w:val="20"/>
                <w:szCs w:val="20"/>
              </w:rPr>
              <w:t xml:space="preserve"> may therefore consider partnering with other suppliers to meet the full requirements of this tender.</w:t>
            </w:r>
          </w:p>
        </w:tc>
      </w:tr>
    </w:tbl>
    <w:p w14:paraId="1E1EF528" w14:textId="3466C1F1" w:rsidR="008721FC" w:rsidRPr="004F5865" w:rsidRDefault="008721FC" w:rsidP="003B7FB0">
      <w:pPr>
        <w:pStyle w:val="ListBullet"/>
        <w:numPr>
          <w:ilvl w:val="0"/>
          <w:numId w:val="0"/>
        </w:numPr>
        <w:rPr>
          <w:b/>
          <w:color w:val="000000"/>
        </w:rPr>
      </w:pPr>
    </w:p>
    <w:sectPr w:rsidR="008721FC" w:rsidRPr="004F5865">
      <w:footerReference w:type="even" r:id="rId11"/>
      <w:footerReference w:type="default" r:id="rId12"/>
      <w:headerReference w:type="first" r:id="rId13"/>
      <w:footerReference w:type="first" r:id="rId14"/>
      <w:pgSz w:w="11906" w:h="16838"/>
      <w:pgMar w:top="567" w:right="737" w:bottom="1134" w:left="737" w:header="34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E276B" w14:textId="77777777" w:rsidR="00CC0B18" w:rsidRDefault="00CC0B18">
      <w:pPr>
        <w:spacing w:after="0" w:line="240" w:lineRule="auto"/>
      </w:pPr>
      <w:r>
        <w:separator/>
      </w:r>
    </w:p>
  </w:endnote>
  <w:endnote w:type="continuationSeparator" w:id="0">
    <w:p w14:paraId="4E737FDD" w14:textId="77777777" w:rsidR="00CC0B18" w:rsidRDefault="00CC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8" w14:textId="77777777" w:rsidR="000E5E00" w:rsidRDefault="00E232A5">
    <w:pPr>
      <w:pBdr>
        <w:top w:val="nil"/>
        <w:left w:val="nil"/>
        <w:bottom w:val="nil"/>
        <w:right w:val="nil"/>
        <w:between w:val="nil"/>
      </w:pBdr>
      <w:spacing w:after="0" w:line="240" w:lineRule="auto"/>
      <w:jc w:val="center"/>
      <w:rPr>
        <w:b/>
        <w:color w:val="000000"/>
      </w:rPr>
    </w:pPr>
    <w:r>
      <w:rPr>
        <w:b/>
        <w:color w:val="000000"/>
      </w:rPr>
      <w:fldChar w:fldCharType="begin"/>
    </w:r>
    <w:r>
      <w:rPr>
        <w:b/>
        <w:color w:val="000000"/>
      </w:rPr>
      <w:instrText>PAGE</w:instrText>
    </w:r>
    <w:r>
      <w:rPr>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911662"/>
      <w:docPartObj>
        <w:docPartGallery w:val="Page Numbers (Bottom of Page)"/>
        <w:docPartUnique/>
      </w:docPartObj>
    </w:sdtPr>
    <w:sdtEndPr>
      <w:rPr>
        <w:noProof/>
      </w:rPr>
    </w:sdtEndPr>
    <w:sdtContent>
      <w:p w14:paraId="34FE1889" w14:textId="045F38CF" w:rsidR="004F5865" w:rsidRDefault="004F5865">
        <w:pPr>
          <w:pStyle w:val="Footer"/>
        </w:pPr>
        <w:r>
          <w:fldChar w:fldCharType="begin"/>
        </w:r>
        <w:r>
          <w:instrText xml:space="preserve"> PAGE   \* MERGEFORMAT </w:instrText>
        </w:r>
        <w:r>
          <w:fldChar w:fldCharType="separate"/>
        </w:r>
        <w:r>
          <w:rPr>
            <w:noProof/>
          </w:rPr>
          <w:t>2</w:t>
        </w:r>
        <w:r>
          <w:rPr>
            <w:noProof/>
          </w:rPr>
          <w:fldChar w:fldCharType="end"/>
        </w:r>
      </w:p>
    </w:sdtContent>
  </w:sdt>
  <w:p w14:paraId="000000CA" w14:textId="55303214" w:rsidR="000E5E00" w:rsidRDefault="000E5E00">
    <w:pPr>
      <w:pBdr>
        <w:top w:val="nil"/>
        <w:left w:val="nil"/>
        <w:bottom w:val="nil"/>
        <w:right w:val="nil"/>
        <w:between w:val="nil"/>
      </w:pBdr>
      <w:tabs>
        <w:tab w:val="right" w:pos="1049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FDE75F4" w:rsidR="000E5E00" w:rsidRDefault="00CC0B18">
    <w:pPr>
      <w:pBdr>
        <w:top w:val="nil"/>
        <w:left w:val="nil"/>
        <w:bottom w:val="nil"/>
        <w:right w:val="nil"/>
        <w:between w:val="nil"/>
      </w:pBdr>
      <w:tabs>
        <w:tab w:val="right" w:pos="10490"/>
      </w:tabs>
      <w:spacing w:after="0"/>
      <w:rPr>
        <w:color w:val="000000"/>
        <w:sz w:val="18"/>
        <w:szCs w:val="18"/>
      </w:rPr>
    </w:pPr>
    <w:hyperlink r:id="rId1">
      <w:r w:rsidR="00E232A5">
        <w:rPr>
          <w:color w:val="000000"/>
          <w:sz w:val="18"/>
          <w:szCs w:val="18"/>
        </w:rPr>
        <w:t>contact@socialmobilitycommission.gov.uk</w:t>
      </w:r>
    </w:hyperlink>
    <w:r w:rsidR="00E232A5">
      <w:rPr>
        <w:b/>
        <w:color w:val="000000"/>
        <w:sz w:val="18"/>
        <w:szCs w:val="18"/>
      </w:rPr>
      <w:tab/>
    </w:r>
    <w:r w:rsidR="00E232A5">
      <w:rPr>
        <w:color w:val="404040"/>
        <w:sz w:val="18"/>
        <w:szCs w:val="18"/>
      </w:rPr>
      <w:fldChar w:fldCharType="begin"/>
    </w:r>
    <w:r w:rsidR="00E232A5">
      <w:rPr>
        <w:color w:val="404040"/>
        <w:sz w:val="18"/>
        <w:szCs w:val="18"/>
      </w:rPr>
      <w:instrText>PAGE</w:instrText>
    </w:r>
    <w:r w:rsidR="00E232A5">
      <w:rPr>
        <w:color w:val="404040"/>
        <w:sz w:val="18"/>
        <w:szCs w:val="18"/>
      </w:rPr>
      <w:fldChar w:fldCharType="separate"/>
    </w:r>
    <w:r w:rsidR="00832BE8">
      <w:rPr>
        <w:noProof/>
        <w:color w:val="404040"/>
        <w:sz w:val="18"/>
        <w:szCs w:val="18"/>
      </w:rPr>
      <w:t>1</w:t>
    </w:r>
    <w:r w:rsidR="00E232A5">
      <w:rPr>
        <w:color w:val="4040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0A55" w14:textId="77777777" w:rsidR="00CC0B18" w:rsidRDefault="00CC0B18">
      <w:pPr>
        <w:spacing w:after="0" w:line="240" w:lineRule="auto"/>
      </w:pPr>
      <w:r>
        <w:separator/>
      </w:r>
    </w:p>
  </w:footnote>
  <w:footnote w:type="continuationSeparator" w:id="0">
    <w:p w14:paraId="57F9B22B" w14:textId="77777777" w:rsidR="00CC0B18" w:rsidRDefault="00CC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7" w14:textId="77777777" w:rsidR="000E5E00" w:rsidRDefault="00E232A5">
    <w:pPr>
      <w:pBdr>
        <w:top w:val="nil"/>
        <w:left w:val="nil"/>
        <w:bottom w:val="nil"/>
        <w:right w:val="nil"/>
        <w:between w:val="nil"/>
      </w:pBdr>
      <w:spacing w:after="0"/>
      <w:jc w:val="center"/>
      <w:rPr>
        <w:color w:val="000000"/>
        <w:sz w:val="18"/>
        <w:szCs w:val="18"/>
      </w:rPr>
    </w:pPr>
    <w:r>
      <w:rPr>
        <w:noProof/>
        <w:color w:val="000000"/>
        <w:sz w:val="18"/>
        <w:szCs w:val="18"/>
      </w:rPr>
      <w:drawing>
        <wp:anchor distT="0" distB="0" distL="0" distR="0" simplePos="0" relativeHeight="251658240" behindDoc="1" locked="0" layoutInCell="1" hidden="0" allowOverlap="1" wp14:anchorId="2D3B9E81" wp14:editId="633C875D">
          <wp:simplePos x="0" y="0"/>
          <wp:positionH relativeFrom="page">
            <wp:align>left</wp:align>
          </wp:positionH>
          <wp:positionV relativeFrom="page">
            <wp:align>top</wp:align>
          </wp:positionV>
          <wp:extent cx="7560360" cy="10695240"/>
          <wp:effectExtent l="0" t="0" r="0" b="0"/>
          <wp:wrapNone/>
          <wp:docPr id="1" name="image1.png" descr="Social Mobility Commission"/>
          <wp:cNvGraphicFramePr/>
          <a:graphic xmlns:a="http://schemas.openxmlformats.org/drawingml/2006/main">
            <a:graphicData uri="http://schemas.openxmlformats.org/drawingml/2006/picture">
              <pic:pic xmlns:pic="http://schemas.openxmlformats.org/drawingml/2006/picture">
                <pic:nvPicPr>
                  <pic:cNvPr id="0" name="image1.png" descr="Social Mobility Commission"/>
                  <pic:cNvPicPr preferRelativeResize="0"/>
                </pic:nvPicPr>
                <pic:blipFill>
                  <a:blip r:embed="rId1"/>
                  <a:srcRect/>
                  <a:stretch>
                    <a:fillRect/>
                  </a:stretch>
                </pic:blipFill>
                <pic:spPr>
                  <a:xfrm>
                    <a:off x="0" y="0"/>
                    <a:ext cx="7560360" cy="106952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D8D5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F78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DB04BD"/>
    <w:multiLevelType w:val="hybridMultilevel"/>
    <w:tmpl w:val="0274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96837"/>
    <w:multiLevelType w:val="multilevel"/>
    <w:tmpl w:val="673CC2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2477125"/>
    <w:multiLevelType w:val="hybridMultilevel"/>
    <w:tmpl w:val="E0827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2BC1"/>
    <w:multiLevelType w:val="multilevel"/>
    <w:tmpl w:val="CFDA8D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2F27D44"/>
    <w:multiLevelType w:val="multilevel"/>
    <w:tmpl w:val="C1E61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6B1823"/>
    <w:multiLevelType w:val="hybridMultilevel"/>
    <w:tmpl w:val="4E1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16F5"/>
    <w:multiLevelType w:val="hybridMultilevel"/>
    <w:tmpl w:val="D3F4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04247"/>
    <w:multiLevelType w:val="multilevel"/>
    <w:tmpl w:val="D9180A36"/>
    <w:lvl w:ilvl="0">
      <w:start w:val="1"/>
      <w:numFmt w:val="bullet"/>
      <w:pStyle w:val="ListBullet"/>
      <w:lvlText w:val="●"/>
      <w:lvlJc w:val="left"/>
      <w:pPr>
        <w:ind w:left="717" w:hanging="360"/>
      </w:pPr>
      <w:rPr>
        <w:rFonts w:ascii="Noto Sans Symbols" w:eastAsia="Noto Sans Symbols" w:hAnsi="Noto Sans Symbols" w:cs="Noto Sans Symbols"/>
        <w:color w:val="EB652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BF50FC"/>
    <w:multiLevelType w:val="hybridMultilevel"/>
    <w:tmpl w:val="555A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01F68"/>
    <w:multiLevelType w:val="multilevel"/>
    <w:tmpl w:val="235842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F678A7"/>
    <w:multiLevelType w:val="multilevel"/>
    <w:tmpl w:val="7F2893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681800"/>
    <w:multiLevelType w:val="hybridMultilevel"/>
    <w:tmpl w:val="D412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4A8A"/>
    <w:multiLevelType w:val="hybridMultilevel"/>
    <w:tmpl w:val="9030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26633"/>
    <w:multiLevelType w:val="multilevel"/>
    <w:tmpl w:val="EAF6A256"/>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6" w15:restartNumberingAfterBreak="0">
    <w:nsid w:val="4CA636D9"/>
    <w:multiLevelType w:val="multilevel"/>
    <w:tmpl w:val="BC0A8396"/>
    <w:lvl w:ilvl="0">
      <w:start w:val="1"/>
      <w:numFmt w:val="bullet"/>
      <w:pStyle w:val="ListNumber"/>
      <w:lvlText w:val="●"/>
      <w:lvlJc w:val="left"/>
      <w:pPr>
        <w:ind w:left="720" w:hanging="360"/>
      </w:pPr>
      <w:rPr>
        <w:rFonts w:ascii="Arial" w:eastAsia="Arial" w:hAnsi="Arial" w:cs="Arial"/>
      </w:rPr>
    </w:lvl>
    <w:lvl w:ilvl="1">
      <w:start w:val="15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EA13C1A"/>
    <w:multiLevelType w:val="multilevel"/>
    <w:tmpl w:val="60A4C9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79E20CE"/>
    <w:multiLevelType w:val="multilevel"/>
    <w:tmpl w:val="969C6C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8C0178B"/>
    <w:multiLevelType w:val="hybridMultilevel"/>
    <w:tmpl w:val="B738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F4D63"/>
    <w:multiLevelType w:val="multilevel"/>
    <w:tmpl w:val="A16884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EA3D0B"/>
    <w:multiLevelType w:val="multilevel"/>
    <w:tmpl w:val="62F862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EA40BB0"/>
    <w:multiLevelType w:val="multilevel"/>
    <w:tmpl w:val="676AE1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1694294"/>
    <w:multiLevelType w:val="hybridMultilevel"/>
    <w:tmpl w:val="DB24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B76FA"/>
    <w:multiLevelType w:val="hybridMultilevel"/>
    <w:tmpl w:val="12C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30DC0"/>
    <w:multiLevelType w:val="multilevel"/>
    <w:tmpl w:val="BE4629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0703876"/>
    <w:multiLevelType w:val="multilevel"/>
    <w:tmpl w:val="1E923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2A3D73"/>
    <w:multiLevelType w:val="multilevel"/>
    <w:tmpl w:val="105CD4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C33BF0"/>
    <w:multiLevelType w:val="hybridMultilevel"/>
    <w:tmpl w:val="320C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A40A4"/>
    <w:multiLevelType w:val="multilevel"/>
    <w:tmpl w:val="D33678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031507"/>
    <w:multiLevelType w:val="multilevel"/>
    <w:tmpl w:val="DDF6E2E8"/>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1"/>
  </w:num>
  <w:num w:numId="3">
    <w:abstractNumId w:val="16"/>
  </w:num>
  <w:num w:numId="4">
    <w:abstractNumId w:val="15"/>
  </w:num>
  <w:num w:numId="5">
    <w:abstractNumId w:val="30"/>
  </w:num>
  <w:num w:numId="6">
    <w:abstractNumId w:val="8"/>
  </w:num>
  <w:num w:numId="7">
    <w:abstractNumId w:val="7"/>
  </w:num>
  <w:num w:numId="8">
    <w:abstractNumId w:val="13"/>
  </w:num>
  <w:num w:numId="9">
    <w:abstractNumId w:val="14"/>
  </w:num>
  <w:num w:numId="10">
    <w:abstractNumId w:val="28"/>
  </w:num>
  <w:num w:numId="11">
    <w:abstractNumId w:val="4"/>
  </w:num>
  <w:num w:numId="12">
    <w:abstractNumId w:val="10"/>
  </w:num>
  <w:num w:numId="13">
    <w:abstractNumId w:val="19"/>
  </w:num>
  <w:num w:numId="14">
    <w:abstractNumId w:val="29"/>
  </w:num>
  <w:num w:numId="15">
    <w:abstractNumId w:val="3"/>
  </w:num>
  <w:num w:numId="16">
    <w:abstractNumId w:val="6"/>
  </w:num>
  <w:num w:numId="17">
    <w:abstractNumId w:val="18"/>
  </w:num>
  <w:num w:numId="18">
    <w:abstractNumId w:val="22"/>
  </w:num>
  <w:num w:numId="19">
    <w:abstractNumId w:val="11"/>
  </w:num>
  <w:num w:numId="20">
    <w:abstractNumId w:val="12"/>
  </w:num>
  <w:num w:numId="21">
    <w:abstractNumId w:val="25"/>
  </w:num>
  <w:num w:numId="22">
    <w:abstractNumId w:val="20"/>
  </w:num>
  <w:num w:numId="23">
    <w:abstractNumId w:val="27"/>
  </w:num>
  <w:num w:numId="24">
    <w:abstractNumId w:val="21"/>
  </w:num>
  <w:num w:numId="25">
    <w:abstractNumId w:val="26"/>
  </w:num>
  <w:num w:numId="26">
    <w:abstractNumId w:val="5"/>
  </w:num>
  <w:num w:numId="27">
    <w:abstractNumId w:val="17"/>
  </w:num>
  <w:num w:numId="28">
    <w:abstractNumId w:val="2"/>
  </w:num>
  <w:num w:numId="29">
    <w:abstractNumId w:val="24"/>
  </w:num>
  <w:num w:numId="30">
    <w:abstractNumId w:val="23"/>
  </w:num>
  <w:num w:numId="31">
    <w:abstractNumId w:val="1"/>
  </w:num>
  <w:num w:numId="32">
    <w:abstractNumId w:val="9"/>
  </w:num>
  <w:num w:numId="33">
    <w:abstractNumId w:val="9"/>
  </w:num>
  <w:num w:numId="34">
    <w:abstractNumId w:val="9"/>
  </w:num>
  <w:num w:numId="35">
    <w:abstractNumId w:val="9"/>
  </w:num>
  <w:num w:numId="36">
    <w:abstractNumId w:val="9"/>
  </w:num>
  <w:num w:numId="37">
    <w:abstractNumId w:val="0"/>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00"/>
    <w:rsid w:val="000702CA"/>
    <w:rsid w:val="000814BA"/>
    <w:rsid w:val="000A212A"/>
    <w:rsid w:val="000C12EE"/>
    <w:rsid w:val="000C3EAD"/>
    <w:rsid w:val="000E5E00"/>
    <w:rsid w:val="000E7272"/>
    <w:rsid w:val="000F0313"/>
    <w:rsid w:val="00113B5F"/>
    <w:rsid w:val="001502D8"/>
    <w:rsid w:val="00166188"/>
    <w:rsid w:val="00172391"/>
    <w:rsid w:val="001D3A28"/>
    <w:rsid w:val="001D5685"/>
    <w:rsid w:val="001F649F"/>
    <w:rsid w:val="0020206D"/>
    <w:rsid w:val="00207E84"/>
    <w:rsid w:val="00275EE7"/>
    <w:rsid w:val="0028451F"/>
    <w:rsid w:val="0028486D"/>
    <w:rsid w:val="00291FE9"/>
    <w:rsid w:val="002D359C"/>
    <w:rsid w:val="002F4346"/>
    <w:rsid w:val="002F43FE"/>
    <w:rsid w:val="00301282"/>
    <w:rsid w:val="003410A6"/>
    <w:rsid w:val="00351F90"/>
    <w:rsid w:val="00356E4A"/>
    <w:rsid w:val="00364E38"/>
    <w:rsid w:val="003749D5"/>
    <w:rsid w:val="003825D1"/>
    <w:rsid w:val="0038541F"/>
    <w:rsid w:val="003B3FE6"/>
    <w:rsid w:val="003B7FB0"/>
    <w:rsid w:val="003C6027"/>
    <w:rsid w:val="003D244B"/>
    <w:rsid w:val="00422342"/>
    <w:rsid w:val="00441F5B"/>
    <w:rsid w:val="004F5865"/>
    <w:rsid w:val="00553A4D"/>
    <w:rsid w:val="00557484"/>
    <w:rsid w:val="00596262"/>
    <w:rsid w:val="005A347C"/>
    <w:rsid w:val="005E67B7"/>
    <w:rsid w:val="005F30FC"/>
    <w:rsid w:val="005F4A56"/>
    <w:rsid w:val="0060318B"/>
    <w:rsid w:val="006329F5"/>
    <w:rsid w:val="0065774C"/>
    <w:rsid w:val="006A5520"/>
    <w:rsid w:val="006B5394"/>
    <w:rsid w:val="006F0C12"/>
    <w:rsid w:val="00706478"/>
    <w:rsid w:val="00750228"/>
    <w:rsid w:val="0075384E"/>
    <w:rsid w:val="00765C57"/>
    <w:rsid w:val="0078546C"/>
    <w:rsid w:val="007B58ED"/>
    <w:rsid w:val="007C2271"/>
    <w:rsid w:val="007D7D0A"/>
    <w:rsid w:val="0080754D"/>
    <w:rsid w:val="00816BC0"/>
    <w:rsid w:val="00832BE8"/>
    <w:rsid w:val="0085084C"/>
    <w:rsid w:val="00851B4F"/>
    <w:rsid w:val="00854E10"/>
    <w:rsid w:val="00867F76"/>
    <w:rsid w:val="008721FC"/>
    <w:rsid w:val="008837C6"/>
    <w:rsid w:val="008B38F7"/>
    <w:rsid w:val="008F645D"/>
    <w:rsid w:val="00913227"/>
    <w:rsid w:val="00924D09"/>
    <w:rsid w:val="0093009F"/>
    <w:rsid w:val="00942A7D"/>
    <w:rsid w:val="00966AA2"/>
    <w:rsid w:val="0098043B"/>
    <w:rsid w:val="00983CA8"/>
    <w:rsid w:val="009910C6"/>
    <w:rsid w:val="00991244"/>
    <w:rsid w:val="009A2D56"/>
    <w:rsid w:val="009A3BDE"/>
    <w:rsid w:val="009C0E56"/>
    <w:rsid w:val="009C10BE"/>
    <w:rsid w:val="00A0041F"/>
    <w:rsid w:val="00A15A72"/>
    <w:rsid w:val="00A52858"/>
    <w:rsid w:val="00A5624C"/>
    <w:rsid w:val="00A71D4D"/>
    <w:rsid w:val="00A77EA4"/>
    <w:rsid w:val="00AB6111"/>
    <w:rsid w:val="00B15D08"/>
    <w:rsid w:val="00B22078"/>
    <w:rsid w:val="00B25A9B"/>
    <w:rsid w:val="00B51C71"/>
    <w:rsid w:val="00B51E39"/>
    <w:rsid w:val="00B545C7"/>
    <w:rsid w:val="00B85C6F"/>
    <w:rsid w:val="00BB20C8"/>
    <w:rsid w:val="00BB3FFD"/>
    <w:rsid w:val="00BC5B2C"/>
    <w:rsid w:val="00BF08DC"/>
    <w:rsid w:val="00C03E94"/>
    <w:rsid w:val="00C12BA5"/>
    <w:rsid w:val="00C1494C"/>
    <w:rsid w:val="00C40F99"/>
    <w:rsid w:val="00C45586"/>
    <w:rsid w:val="00CA2C57"/>
    <w:rsid w:val="00CB6F9D"/>
    <w:rsid w:val="00CC0B18"/>
    <w:rsid w:val="00CC21C1"/>
    <w:rsid w:val="00CC2B3E"/>
    <w:rsid w:val="00CC3BBA"/>
    <w:rsid w:val="00CD53B4"/>
    <w:rsid w:val="00D0140C"/>
    <w:rsid w:val="00D30B7E"/>
    <w:rsid w:val="00D32E35"/>
    <w:rsid w:val="00D80B08"/>
    <w:rsid w:val="00D85A88"/>
    <w:rsid w:val="00DA203E"/>
    <w:rsid w:val="00DE326B"/>
    <w:rsid w:val="00DE793F"/>
    <w:rsid w:val="00E11A7C"/>
    <w:rsid w:val="00E232A5"/>
    <w:rsid w:val="00E441F3"/>
    <w:rsid w:val="00E44668"/>
    <w:rsid w:val="00E44B7F"/>
    <w:rsid w:val="00E54F41"/>
    <w:rsid w:val="00E66E17"/>
    <w:rsid w:val="00EE0C7B"/>
    <w:rsid w:val="00EE1D88"/>
    <w:rsid w:val="00EF2E06"/>
    <w:rsid w:val="00EF42AF"/>
    <w:rsid w:val="00F5389B"/>
    <w:rsid w:val="00FB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65CD"/>
  <w15:docId w15:val="{4458EEDB-8519-499A-8CE5-BBE9A051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FA4"/>
  </w:style>
  <w:style w:type="paragraph" w:styleId="Heading1">
    <w:name w:val="heading 1"/>
    <w:basedOn w:val="BodyText"/>
    <w:next w:val="BodyText"/>
    <w:link w:val="Heading1Char"/>
    <w:uiPriority w:val="9"/>
    <w:qFormat/>
    <w:rsid w:val="0011393D"/>
    <w:pPr>
      <w:numPr>
        <w:numId w:val="31"/>
      </w:numPr>
      <w:outlineLvl w:val="0"/>
    </w:pPr>
    <w:rPr>
      <w:b/>
      <w:bCs/>
      <w:sz w:val="32"/>
      <w:szCs w:val="32"/>
    </w:rPr>
  </w:style>
  <w:style w:type="paragraph" w:styleId="Heading2">
    <w:name w:val="heading 2"/>
    <w:next w:val="BodyText"/>
    <w:link w:val="Heading2Char"/>
    <w:uiPriority w:val="9"/>
    <w:unhideWhenUsed/>
    <w:qFormat/>
    <w:rsid w:val="00922B7A"/>
    <w:pPr>
      <w:keepNext/>
      <w:keepLines/>
      <w:numPr>
        <w:ilvl w:val="1"/>
        <w:numId w:val="31"/>
      </w:numPr>
      <w:spacing w:before="120" w:after="120"/>
      <w:outlineLvl w:val="1"/>
    </w:pPr>
    <w:rPr>
      <w:rFonts w:asciiTheme="majorHAnsi" w:eastAsiaTheme="majorEastAsia" w:hAnsiTheme="majorHAnsi" w:cstheme="majorBidi"/>
      <w:b/>
      <w:szCs w:val="26"/>
    </w:rPr>
  </w:style>
  <w:style w:type="paragraph" w:styleId="Heading3">
    <w:name w:val="heading 3"/>
    <w:basedOn w:val="Heading4"/>
    <w:next w:val="BodyText"/>
    <w:link w:val="Heading3Char"/>
    <w:uiPriority w:val="9"/>
    <w:unhideWhenUsed/>
    <w:qFormat/>
    <w:rsid w:val="0011393D"/>
    <w:pPr>
      <w:numPr>
        <w:ilvl w:val="2"/>
      </w:numPr>
      <w:outlineLvl w:val="2"/>
    </w:pPr>
  </w:style>
  <w:style w:type="paragraph" w:styleId="Heading4">
    <w:name w:val="heading 4"/>
    <w:next w:val="BodyText"/>
    <w:link w:val="Heading4Char"/>
    <w:uiPriority w:val="9"/>
    <w:semiHidden/>
    <w:unhideWhenUsed/>
    <w:qFormat/>
    <w:rsid w:val="002F075A"/>
    <w:pPr>
      <w:keepNext/>
      <w:keepLines/>
      <w:numPr>
        <w:ilvl w:val="3"/>
        <w:numId w:val="31"/>
      </w:numPr>
      <w:spacing w:after="0"/>
      <w:contextualSpacing/>
      <w:outlineLvl w:val="3"/>
    </w:pPr>
    <w:rPr>
      <w:rFonts w:asciiTheme="majorHAnsi" w:eastAsiaTheme="majorEastAsia" w:hAnsiTheme="majorHAnsi" w:cstheme="majorBidi"/>
      <w:i/>
      <w:iCs/>
    </w:rPr>
  </w:style>
  <w:style w:type="paragraph" w:styleId="Heading5">
    <w:name w:val="heading 5"/>
    <w:basedOn w:val="Normal"/>
    <w:next w:val="Normal"/>
    <w:uiPriority w:val="9"/>
    <w:semiHidden/>
    <w:unhideWhenUsed/>
    <w:qFormat/>
    <w:pPr>
      <w:keepNext/>
      <w:keepLines/>
      <w:numPr>
        <w:ilvl w:val="4"/>
        <w:numId w:val="3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5865"/>
    <w:pPr>
      <w:keepNext/>
      <w:keepLines/>
      <w:numPr>
        <w:ilvl w:val="6"/>
        <w:numId w:val="31"/>
      </w:numPr>
      <w:spacing w:before="40" w:after="0"/>
      <w:outlineLvl w:val="6"/>
    </w:pPr>
    <w:rPr>
      <w:rFonts w:asciiTheme="majorHAnsi" w:eastAsiaTheme="majorEastAsia" w:hAnsiTheme="majorHAnsi" w:cstheme="majorBidi"/>
      <w:i/>
      <w:iCs/>
      <w:color w:val="7F2D0C" w:themeColor="accent1" w:themeShade="7F"/>
    </w:rPr>
  </w:style>
  <w:style w:type="paragraph" w:styleId="Heading8">
    <w:name w:val="heading 8"/>
    <w:basedOn w:val="Normal"/>
    <w:next w:val="Normal"/>
    <w:link w:val="Heading8Char"/>
    <w:uiPriority w:val="9"/>
    <w:semiHidden/>
    <w:unhideWhenUsed/>
    <w:qFormat/>
    <w:rsid w:val="004F5865"/>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5865"/>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olicy Briefing"/>
    <w:next w:val="Subtitle"/>
    <w:link w:val="TitleChar"/>
    <w:uiPriority w:val="10"/>
    <w:qFormat/>
    <w:rsid w:val="0012268F"/>
    <w:pPr>
      <w:keepNext/>
      <w:keepLines/>
      <w:spacing w:after="120" w:line="240" w:lineRule="auto"/>
      <w:contextualSpacing/>
      <w:jc w:val="right"/>
    </w:pPr>
    <w:rPr>
      <w:rFonts w:asciiTheme="majorHAnsi" w:eastAsiaTheme="majorEastAsia" w:hAnsiTheme="majorHAnsi" w:cstheme="majorBidi"/>
      <w:b/>
      <w:color w:val="FFFFFF" w:themeColor="background1"/>
      <w:sz w:val="48"/>
      <w:szCs w:val="78"/>
    </w:rPr>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character" w:customStyle="1" w:styleId="TitleChar">
    <w:name w:val="Title Char"/>
    <w:aliases w:val="Policy Briefing Char"/>
    <w:basedOn w:val="DefaultParagraphFont"/>
    <w:link w:val="Title"/>
    <w:uiPriority w:val="8"/>
    <w:semiHidden/>
    <w:rsid w:val="0012268F"/>
    <w:rPr>
      <w:rFonts w:asciiTheme="majorHAnsi" w:eastAsiaTheme="majorEastAsia" w:hAnsiTheme="majorHAnsi" w:cstheme="majorBidi"/>
      <w:b/>
      <w:color w:val="FFFFFF" w:themeColor="background1"/>
      <w:sz w:val="48"/>
      <w:szCs w:val="78"/>
    </w:rPr>
  </w:style>
  <w:style w:type="paragraph" w:styleId="Subtitle">
    <w:name w:val="Subtitle"/>
    <w:basedOn w:val="Normal"/>
    <w:next w:val="BodyText"/>
    <w:link w:val="SubtitleChar"/>
    <w:uiPriority w:val="11"/>
    <w:qFormat/>
    <w:pPr>
      <w:pBdr>
        <w:top w:val="nil"/>
        <w:left w:val="nil"/>
        <w:bottom w:val="nil"/>
        <w:right w:val="nil"/>
        <w:between w:val="nil"/>
      </w:pBdr>
      <w:spacing w:after="0" w:line="240" w:lineRule="auto"/>
      <w:jc w:val="right"/>
    </w:pPr>
    <w:rPr>
      <w:b/>
      <w:color w:val="404040"/>
      <w:sz w:val="36"/>
      <w:szCs w:val="36"/>
    </w:rPr>
  </w:style>
  <w:style w:type="character" w:customStyle="1" w:styleId="SubtitleChar">
    <w:name w:val="Subtitle Char"/>
    <w:basedOn w:val="DefaultParagraphFont"/>
    <w:link w:val="Subtitle"/>
    <w:uiPriority w:val="99"/>
    <w:semiHidden/>
    <w:rsid w:val="00B93FD3"/>
    <w:rPr>
      <w:rFonts w:asciiTheme="majorHAnsi" w:eastAsiaTheme="minorEastAsia" w:hAnsiTheme="majorHAnsi"/>
      <w:b/>
      <w:color w:val="404040"/>
      <w:sz w:val="36"/>
    </w:rPr>
  </w:style>
  <w:style w:type="character" w:styleId="FollowedHyperlink">
    <w:name w:val="FollowedHyperlink"/>
    <w:uiPriority w:val="8"/>
    <w:unhideWhenUsed/>
    <w:rsid w:val="00D50660"/>
    <w:rPr>
      <w:color w:val="EB652E" w:themeColor="followedHyperlink"/>
      <w:u w:val="single"/>
    </w:rPr>
  </w:style>
  <w:style w:type="character" w:customStyle="1" w:styleId="Heading1Char">
    <w:name w:val="Heading 1 Char"/>
    <w:basedOn w:val="DefaultParagraphFont"/>
    <w:link w:val="Heading1"/>
    <w:rsid w:val="0011393D"/>
    <w:rPr>
      <w:b/>
      <w:bCs/>
      <w:sz w:val="32"/>
      <w:szCs w:val="32"/>
    </w:rPr>
  </w:style>
  <w:style w:type="paragraph" w:styleId="TOCHeading">
    <w:name w:val="TOC Heading"/>
    <w:next w:val="BodyText"/>
    <w:uiPriority w:val="8"/>
    <w:semiHidden/>
    <w:rsid w:val="002D5382"/>
    <w:pPr>
      <w:spacing w:after="600"/>
      <w:ind w:left="1134"/>
    </w:pPr>
    <w:rPr>
      <w:rFonts w:asciiTheme="majorHAnsi" w:eastAsiaTheme="majorEastAsia" w:hAnsiTheme="majorHAnsi" w:cstheme="majorBidi"/>
      <w:color w:val="EB652E"/>
      <w:sz w:val="56"/>
      <w:szCs w:val="56"/>
    </w:rPr>
  </w:style>
  <w:style w:type="character" w:customStyle="1" w:styleId="Heading2Char">
    <w:name w:val="Heading 2 Char"/>
    <w:basedOn w:val="DefaultParagraphFont"/>
    <w:link w:val="Heading2"/>
    <w:rsid w:val="004D689C"/>
    <w:rPr>
      <w:rFonts w:asciiTheme="majorHAnsi" w:eastAsiaTheme="majorEastAsia" w:hAnsiTheme="majorHAnsi" w:cstheme="majorBidi"/>
      <w:b/>
      <w:sz w:val="24"/>
      <w:szCs w:val="26"/>
    </w:rPr>
  </w:style>
  <w:style w:type="character" w:customStyle="1" w:styleId="Heading3Char">
    <w:name w:val="Heading 3 Char"/>
    <w:basedOn w:val="DefaultParagraphFont"/>
    <w:link w:val="Heading3"/>
    <w:rsid w:val="0011393D"/>
    <w:rPr>
      <w:rFonts w:asciiTheme="majorHAnsi" w:eastAsiaTheme="majorEastAsia" w:hAnsiTheme="majorHAnsi" w:cstheme="majorBidi"/>
      <w:i/>
      <w:iCs/>
      <w:sz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F83F56"/>
  </w:style>
  <w:style w:type="character" w:customStyle="1" w:styleId="BodyTextChar">
    <w:name w:val="Body Text Char"/>
    <w:basedOn w:val="DefaultParagraphFont"/>
    <w:link w:val="BodyText"/>
    <w:uiPriority w:val="1"/>
    <w:rsid w:val="00F83F56"/>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A86D5D"/>
    <w:pPr>
      <w:numPr>
        <w:numId w:val="1"/>
      </w:numPr>
      <w:spacing w:after="120"/>
    </w:pPr>
  </w:style>
  <w:style w:type="paragraph" w:styleId="ListBullet2">
    <w:name w:val="List Bullet 2"/>
    <w:uiPriority w:val="2"/>
    <w:qFormat/>
    <w:rsid w:val="00A86D5D"/>
    <w:pPr>
      <w:numPr>
        <w:numId w:val="2"/>
      </w:numPr>
      <w:contextualSpacing/>
    </w:p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5609D2"/>
    <w:pPr>
      <w:spacing w:after="0"/>
      <w:jc w:val="center"/>
    </w:pPr>
    <w:rPr>
      <w:sz w:val="18"/>
    </w:rPr>
  </w:style>
  <w:style w:type="character" w:customStyle="1" w:styleId="HeaderChar">
    <w:name w:val="Header Char"/>
    <w:basedOn w:val="DefaultParagraphFont"/>
    <w:link w:val="Header"/>
    <w:uiPriority w:val="8"/>
    <w:semiHidden/>
    <w:rsid w:val="005609D2"/>
    <w:rPr>
      <w:sz w:val="18"/>
    </w:rPr>
  </w:style>
  <w:style w:type="paragraph" w:styleId="Footer">
    <w:name w:val="footer"/>
    <w:basedOn w:val="BodyText"/>
    <w:link w:val="FooterChar"/>
    <w:uiPriority w:val="99"/>
    <w:rsid w:val="00990242"/>
    <w:pPr>
      <w:spacing w:after="0" w:line="240" w:lineRule="auto"/>
      <w:jc w:val="center"/>
    </w:pPr>
    <w:rPr>
      <w:b/>
    </w:rPr>
  </w:style>
  <w:style w:type="character" w:customStyle="1" w:styleId="FooterChar">
    <w:name w:val="Footer Char"/>
    <w:basedOn w:val="DefaultParagraphFont"/>
    <w:link w:val="Footer"/>
    <w:uiPriority w:val="99"/>
    <w:rsid w:val="00BC4DBC"/>
    <w:rPr>
      <w:b/>
      <w:sz w:val="24"/>
    </w:rPr>
  </w:style>
  <w:style w:type="paragraph" w:styleId="TOC1">
    <w:name w:val="toc 1"/>
    <w:basedOn w:val="BodyText"/>
    <w:uiPriority w:val="39"/>
    <w:rsid w:val="00347C9C"/>
    <w:pPr>
      <w:pBdr>
        <w:top w:val="single" w:sz="36" w:space="4" w:color="FBE0D5"/>
        <w:left w:val="single" w:sz="36" w:space="4" w:color="FBE0D5"/>
        <w:bottom w:val="single" w:sz="36" w:space="4" w:color="FBE0D5"/>
        <w:right w:val="single" w:sz="36" w:space="4" w:color="FBE0D5"/>
      </w:pBdr>
      <w:shd w:val="clear" w:color="auto" w:fill="FBE0D5"/>
      <w:tabs>
        <w:tab w:val="right" w:pos="8789"/>
      </w:tabs>
      <w:spacing w:before="360" w:after="0"/>
      <w:ind w:left="1361" w:right="1361"/>
    </w:pPr>
    <w:rPr>
      <w:b/>
      <w:color w:val="EB652E"/>
      <w:sz w:val="28"/>
      <w:szCs w:val="28"/>
    </w:rPr>
  </w:style>
  <w:style w:type="paragraph" w:styleId="TOC2">
    <w:name w:val="toc 2"/>
    <w:basedOn w:val="TOC1"/>
    <w:next w:val="BodyText"/>
    <w:uiPriority w:val="39"/>
    <w:rsid w:val="00517040"/>
    <w:pPr>
      <w:spacing w:before="240" w:after="120"/>
    </w:pPr>
    <w:rPr>
      <w:noProof/>
      <w:sz w:val="24"/>
    </w:rPr>
  </w:style>
  <w:style w:type="character" w:styleId="Hyperlink">
    <w:name w:val="Hyperlink"/>
    <w:uiPriority w:val="99"/>
    <w:unhideWhenUsed/>
    <w:rsid w:val="00A1090A"/>
    <w:rPr>
      <w:rFonts w:asciiTheme="minorHAnsi" w:hAnsiTheme="minorHAnsi"/>
      <w:color w:val="EB652E" w:themeColor="accent1"/>
      <w:sz w:val="24"/>
      <w:u w:val="none"/>
    </w:rPr>
  </w:style>
  <w:style w:type="paragraph" w:customStyle="1" w:styleId="CaseStudyHeading">
    <w:name w:val="Case Study Heading"/>
    <w:basedOn w:val="BodyText"/>
    <w:next w:val="CaseStudyText"/>
    <w:uiPriority w:val="3"/>
    <w:qFormat/>
    <w:rsid w:val="00A16AE3"/>
    <w:pPr>
      <w:keepNext/>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spacing w:before="240"/>
      <w:ind w:left="199"/>
    </w:pPr>
    <w:rPr>
      <w:b/>
    </w:rPr>
  </w:style>
  <w:style w:type="paragraph" w:customStyle="1" w:styleId="CaseStudyText">
    <w:name w:val="Case Study Text"/>
    <w:uiPriority w:val="3"/>
    <w:qFormat/>
    <w:rsid w:val="00A16AE3"/>
    <w:pPr>
      <w:keepLines/>
      <w:pBdr>
        <w:top w:val="single" w:sz="48" w:space="6" w:color="FDE397" w:themeColor="accent6" w:themeTint="66"/>
        <w:left w:val="single" w:sz="48" w:space="4" w:color="FDE397" w:themeColor="accent6" w:themeTint="66"/>
        <w:bottom w:val="single" w:sz="48" w:space="6" w:color="FDE397" w:themeColor="accent6" w:themeTint="66"/>
        <w:right w:val="single" w:sz="48" w:space="4" w:color="FDE397" w:themeColor="accent6" w:themeTint="66"/>
      </w:pBdr>
      <w:shd w:val="clear" w:color="auto" w:fill="FDE397" w:themeFill="accent6" w:themeFillTint="66"/>
      <w:ind w:left="199"/>
    </w:pPr>
    <w:rPr>
      <w:b/>
    </w:rPr>
  </w:style>
  <w:style w:type="table" w:styleId="TableGrid">
    <w:name w:val="Table Grid"/>
    <w:basedOn w:val="TableNormal"/>
    <w:uiPriority w:val="39"/>
    <w:rsid w:val="00085307"/>
    <w:pPr>
      <w:spacing w:after="0" w:line="240" w:lineRule="auto"/>
    </w:pPr>
    <w:tblPr>
      <w:tblBorders>
        <w:top w:val="single" w:sz="4" w:space="0" w:color="EE7127"/>
        <w:left w:val="single" w:sz="4" w:space="0" w:color="EE7127"/>
        <w:bottom w:val="single" w:sz="4" w:space="0" w:color="EE7127"/>
        <w:right w:val="single" w:sz="4" w:space="0" w:color="EE7127"/>
        <w:insideH w:val="single" w:sz="4" w:space="0" w:color="EE7127"/>
        <w:insideV w:val="single" w:sz="4" w:space="0" w:color="EE7127"/>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EE7127"/>
      </w:tcPr>
    </w:tblStylePr>
    <w:tblStylePr w:type="firstCol">
      <w:rPr>
        <w:b/>
        <w:i w:val="0"/>
      </w:rPr>
    </w:tblStylePr>
    <w:tblStylePr w:type="nwCell">
      <w:tblPr/>
      <w:tcPr>
        <w:tcBorders>
          <w:top w:val="nil"/>
          <w:left w:val="nil"/>
        </w:tcBorders>
      </w:tcPr>
    </w:tblStylePr>
  </w:style>
  <w:style w:type="paragraph" w:customStyle="1" w:styleId="Reporttype">
    <w:name w:val="Report type"/>
    <w:basedOn w:val="BodyText"/>
    <w:uiPriority w:val="8"/>
    <w:semiHidden/>
    <w:qFormat/>
    <w:rsid w:val="00231491"/>
    <w:pPr>
      <w:spacing w:after="0"/>
    </w:pPr>
    <w:rPr>
      <w:b/>
      <w:color w:val="FFFFFF" w:themeColor="background1"/>
      <w:sz w:val="46"/>
      <w:szCs w:val="46"/>
    </w:rPr>
  </w:style>
  <w:style w:type="character" w:styleId="UnresolvedMention">
    <w:name w:val="Unresolved Mention"/>
    <w:basedOn w:val="DefaultParagraphFont"/>
    <w:uiPriority w:val="99"/>
    <w:semiHidden/>
    <w:rsid w:val="00AD52C7"/>
    <w:rPr>
      <w:color w:val="808080"/>
      <w:shd w:val="clear" w:color="auto" w:fill="E6E6E6"/>
    </w:rPr>
  </w:style>
  <w:style w:type="paragraph" w:customStyle="1" w:styleId="TOC11">
    <w:name w:val="TOC 11"/>
    <w:basedOn w:val="BodyText"/>
    <w:next w:val="TOC1"/>
    <w:uiPriority w:val="39"/>
    <w:semiHidden/>
    <w:rsid w:val="003D27AC"/>
    <w:pPr>
      <w:tabs>
        <w:tab w:val="right" w:pos="9639"/>
      </w:tabs>
      <w:spacing w:before="240" w:after="120"/>
    </w:pPr>
    <w:rPr>
      <w:b/>
    </w:rPr>
  </w:style>
  <w:style w:type="paragraph" w:customStyle="1" w:styleId="HeadingSectionTitle">
    <w:name w:val="Heading Section Title"/>
    <w:uiPriority w:val="8"/>
    <w:qFormat/>
    <w:rsid w:val="00517040"/>
    <w:pPr>
      <w:keepLines/>
      <w:pageBreakBefore/>
      <w:suppressAutoHyphens/>
      <w:ind w:left="284"/>
    </w:pPr>
    <w:rPr>
      <w:rFonts w:asciiTheme="majorHAnsi" w:eastAsiaTheme="majorEastAsia" w:hAnsiTheme="majorHAnsi" w:cstheme="majorBidi"/>
      <w:noProof/>
      <w:color w:val="FFFFFF" w:themeColor="background1"/>
      <w:sz w:val="56"/>
      <w:szCs w:val="56"/>
    </w:rPr>
  </w:style>
  <w:style w:type="paragraph" w:customStyle="1" w:styleId="Headingpagespacer">
    <w:name w:val="Heading page spacer"/>
    <w:uiPriority w:val="8"/>
    <w:qFormat/>
    <w:rsid w:val="00E239CA"/>
    <w:pPr>
      <w:pageBreakBefore/>
      <w:spacing w:after="720"/>
    </w:pPr>
    <w:rPr>
      <w:rFonts w:asciiTheme="majorHAnsi" w:eastAsiaTheme="majorEastAsia" w:hAnsiTheme="majorHAnsi" w:cstheme="majorBidi"/>
      <w:color w:val="FFFFFF" w:themeColor="background1"/>
      <w:sz w:val="64"/>
      <w:szCs w:val="32"/>
    </w:rPr>
  </w:style>
  <w:style w:type="table" w:customStyle="1" w:styleId="Style1">
    <w:name w:val="Style1"/>
    <w:basedOn w:val="TableNormal"/>
    <w:uiPriority w:val="99"/>
    <w:rsid w:val="00085307"/>
    <w:pPr>
      <w:spacing w:after="0" w:line="240" w:lineRule="auto"/>
    </w:pPr>
    <w:tblPr/>
  </w:style>
  <w:style w:type="paragraph" w:styleId="TOC3">
    <w:name w:val="toc 3"/>
    <w:basedOn w:val="TOC2"/>
    <w:next w:val="Normal"/>
    <w:autoRedefine/>
    <w:uiPriority w:val="39"/>
    <w:rsid w:val="00517040"/>
    <w:pPr>
      <w:spacing w:before="60" w:after="60"/>
    </w:pPr>
    <w:rPr>
      <w:b w:val="0"/>
      <w:color w:val="auto"/>
      <w:sz w:val="22"/>
    </w:rPr>
  </w:style>
  <w:style w:type="paragraph" w:customStyle="1" w:styleId="RecommendationHeading">
    <w:name w:val="Recommendation Heading"/>
    <w:basedOn w:val="CaseStudyHeading"/>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Reccommendationtext">
    <w:name w:val="Reccommendation text"/>
    <w:basedOn w:val="CaseStudyText"/>
    <w:uiPriority w:val="8"/>
    <w:qFormat/>
    <w:rsid w:val="00B60E78"/>
    <w:pPr>
      <w:pBdr>
        <w:top w:val="single" w:sz="18" w:space="6" w:color="EB652E"/>
        <w:left w:val="single" w:sz="18" w:space="4" w:color="EB652E"/>
        <w:bottom w:val="single" w:sz="18" w:space="6" w:color="EB652E"/>
        <w:right w:val="single" w:sz="18" w:space="4" w:color="EB652E"/>
      </w:pBdr>
      <w:shd w:val="clear" w:color="auto" w:fill="auto"/>
    </w:pPr>
  </w:style>
  <w:style w:type="paragraph" w:customStyle="1" w:styleId="Heading2black">
    <w:name w:val="Heading 2 (black)"/>
    <w:basedOn w:val="Heading2"/>
    <w:qFormat/>
    <w:rsid w:val="004D689C"/>
  </w:style>
  <w:style w:type="paragraph" w:styleId="BalloonText">
    <w:name w:val="Balloon Text"/>
    <w:basedOn w:val="Normal"/>
    <w:link w:val="BalloonTextChar"/>
    <w:uiPriority w:val="99"/>
    <w:semiHidden/>
    <w:rsid w:val="003E2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DD"/>
    <w:rPr>
      <w:rFonts w:ascii="Segoe UI" w:hAnsi="Segoe UI" w:cs="Segoe UI"/>
      <w:sz w:val="18"/>
      <w:szCs w:val="18"/>
    </w:rPr>
  </w:style>
  <w:style w:type="paragraph" w:customStyle="1" w:styleId="FiguresEmbolden">
    <w:name w:val="Figures Embolden"/>
    <w:basedOn w:val="BodyText"/>
    <w:uiPriority w:val="8"/>
    <w:qFormat/>
    <w:rsid w:val="00A16AE3"/>
    <w:pPr>
      <w:keepNext/>
      <w:keepLines/>
      <w:spacing w:after="0" w:line="216" w:lineRule="auto"/>
    </w:pPr>
    <w:rPr>
      <w:color w:val="0F265C"/>
      <w:sz w:val="96"/>
      <w:szCs w:val="144"/>
    </w:rPr>
  </w:style>
  <w:style w:type="paragraph" w:customStyle="1" w:styleId="Sourcereference">
    <w:name w:val="Source reference"/>
    <w:basedOn w:val="BodyText"/>
    <w:uiPriority w:val="8"/>
    <w:qFormat/>
    <w:rsid w:val="00DA51BE"/>
    <w:rPr>
      <w:sz w:val="22"/>
    </w:rPr>
  </w:style>
  <w:style w:type="paragraph" w:styleId="NormalWeb">
    <w:name w:val="Normal (Web)"/>
    <w:basedOn w:val="Normal"/>
    <w:uiPriority w:val="99"/>
    <w:semiHidden/>
    <w:unhideWhenUsed/>
    <w:rsid w:val="00FC3CF3"/>
    <w:pPr>
      <w:spacing w:before="100" w:beforeAutospacing="1" w:after="100" w:afterAutospacing="1" w:line="240" w:lineRule="auto"/>
    </w:pPr>
    <w:rPr>
      <w:rFonts w:ascii="Calibri" w:hAnsi="Calibri" w:cs="Calibri"/>
      <w:sz w:val="22"/>
    </w:rPr>
  </w:style>
  <w:style w:type="paragraph" w:customStyle="1" w:styleId="FiguresHeading">
    <w:name w:val="Figures Heading"/>
    <w:basedOn w:val="BodyText"/>
    <w:next w:val="Figurestext"/>
    <w:uiPriority w:val="8"/>
    <w:qFormat/>
    <w:rsid w:val="00084CBA"/>
    <w:pPr>
      <w:keepNext/>
      <w:keepLines/>
      <w:pBdr>
        <w:bottom w:val="single" w:sz="12" w:space="1" w:color="EB652E" w:themeColor="accent1"/>
      </w:pBdr>
      <w:spacing w:after="0" w:line="216" w:lineRule="auto"/>
    </w:pPr>
    <w:rPr>
      <w:b/>
      <w:color w:val="106386" w:themeColor="accent3"/>
      <w:sz w:val="88"/>
      <w:szCs w:val="144"/>
    </w:rPr>
  </w:style>
  <w:style w:type="paragraph" w:customStyle="1" w:styleId="Figurestext">
    <w:name w:val="Figures text"/>
    <w:basedOn w:val="BodyText"/>
    <w:uiPriority w:val="8"/>
    <w:qFormat/>
    <w:rsid w:val="0031256D"/>
    <w:pPr>
      <w:pBdr>
        <w:top w:val="single" w:sz="36" w:space="6" w:color="FBE0D5" w:themeColor="accent1" w:themeTint="33"/>
        <w:left w:val="single" w:sz="36" w:space="4" w:color="FBE0D5" w:themeColor="accent1" w:themeTint="33"/>
        <w:bottom w:val="single" w:sz="36" w:space="6" w:color="FBE0D5" w:themeColor="accent1" w:themeTint="33"/>
        <w:right w:val="single" w:sz="36" w:space="4" w:color="FBE0D5" w:themeColor="accent1" w:themeTint="33"/>
      </w:pBdr>
      <w:shd w:val="clear" w:color="auto" w:fill="FBE0D5" w:themeFill="accent1" w:themeFillTint="33"/>
      <w:spacing w:after="120"/>
      <w:ind w:left="170" w:right="170"/>
    </w:pPr>
  </w:style>
  <w:style w:type="paragraph" w:customStyle="1" w:styleId="Heading2grey">
    <w:name w:val="Heading 2 (grey)"/>
    <w:basedOn w:val="Heading2"/>
    <w:next w:val="BodyText"/>
    <w:qFormat/>
    <w:rsid w:val="006C6539"/>
    <w:rPr>
      <w:color w:val="404040"/>
    </w:rPr>
  </w:style>
  <w:style w:type="paragraph" w:customStyle="1" w:styleId="Heading2navy">
    <w:name w:val="Heading 2 (navy)"/>
    <w:basedOn w:val="Heading2"/>
    <w:next w:val="BodyText"/>
    <w:qFormat/>
    <w:rsid w:val="00BC0CE5"/>
    <w:rPr>
      <w:color w:val="0F265C"/>
    </w:rPr>
  </w:style>
  <w:style w:type="character" w:styleId="PageNumber">
    <w:name w:val="page number"/>
    <w:basedOn w:val="DefaultParagraphFont"/>
    <w:uiPriority w:val="8"/>
    <w:semiHidden/>
    <w:unhideWhenUsed/>
    <w:rsid w:val="00B93FD3"/>
    <w:rPr>
      <w:b/>
      <w:bCs w:val="0"/>
      <w:color w:val="404040"/>
    </w:rPr>
  </w:style>
  <w:style w:type="paragraph" w:styleId="NoSpacing">
    <w:name w:val="No Spacing"/>
    <w:uiPriority w:val="99"/>
    <w:qFormat/>
    <w:rsid w:val="00DD4FA4"/>
    <w:pPr>
      <w:spacing w:after="0" w:line="240" w:lineRule="auto"/>
    </w:pPr>
  </w:style>
  <w:style w:type="table" w:customStyle="1" w:styleId="a">
    <w:basedOn w:val="TableNormal"/>
    <w:pPr>
      <w:spacing w:after="0" w:line="240" w:lineRule="auto"/>
    </w:pPr>
    <w:tblPr>
      <w:tblStyleRowBandSize w:val="1"/>
      <w:tblStyleColBandSize w:val="1"/>
      <w:tblCellMar>
        <w:left w:w="0" w:type="dxa"/>
        <w:bottom w:w="284" w:type="dxa"/>
        <w:right w:w="0"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3">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5">
    <w:basedOn w:val="TableNormal"/>
    <w:pPr>
      <w:spacing w:after="0" w:line="240" w:lineRule="auto"/>
    </w:pPr>
    <w:tblPr>
      <w:tblStyleRowBandSize w:val="1"/>
      <w:tblStyleColBandSize w:val="1"/>
      <w:tblCellMar>
        <w:top w:w="57" w:type="dxa"/>
        <w:left w:w="57" w:type="dxa"/>
        <w:bottom w:w="57"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ListParagraph">
    <w:name w:val="List Paragraph"/>
    <w:basedOn w:val="Normal"/>
    <w:uiPriority w:val="34"/>
    <w:qFormat/>
    <w:rsid w:val="00C91650"/>
    <w:pPr>
      <w:ind w:left="720"/>
      <w:contextualSpacing/>
    </w:pPr>
  </w:style>
  <w:style w:type="table" w:customStyle="1" w:styleId="a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a">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b">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c">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d">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e">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0">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1">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2">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3">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4">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5">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6">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7">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8">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table" w:customStyle="1" w:styleId="af9">
    <w:basedOn w:val="TableNormal"/>
    <w:pPr>
      <w:spacing w:after="0" w:line="240" w:lineRule="auto"/>
    </w:pPr>
    <w:tblPr>
      <w:tblStyleRowBandSize w:val="1"/>
      <w:tblStyleColBandSize w:val="1"/>
      <w:tblCellMar>
        <w:top w:w="113" w:type="dxa"/>
        <w:left w:w="57" w:type="dxa"/>
        <w:bottom w:w="113" w:type="dxa"/>
        <w:right w:w="57" w:type="dxa"/>
      </w:tblCellMar>
    </w:tblPr>
    <w:tblStylePr w:type="firstRow">
      <w:pPr>
        <w:keepNext/>
        <w:keepLines/>
        <w:widowControl/>
      </w:pPr>
      <w:rPr>
        <w:b/>
        <w:color w:val="FFFFFF"/>
      </w:rPr>
      <w:tblPr/>
      <w:tcPr>
        <w:shd w:val="clear" w:color="auto" w:fill="EE7127"/>
      </w:tcPr>
    </w:tblStylePr>
    <w:tblStylePr w:type="firstCol">
      <w:rPr>
        <w:b/>
        <w:i w:val="0"/>
      </w:rPr>
    </w:tblStylePr>
    <w:tblStylePr w:type="nwCell">
      <w:tblPr/>
      <w:tcPr>
        <w:tcBorders>
          <w:top w:val="nil"/>
          <w:left w:val="nil"/>
        </w:tcBorders>
      </w:tcPr>
    </w:tblStylePr>
  </w:style>
  <w:style w:type="paragraph" w:styleId="CommentSubject">
    <w:name w:val="annotation subject"/>
    <w:basedOn w:val="CommentText"/>
    <w:next w:val="CommentText"/>
    <w:link w:val="CommentSubjectChar"/>
    <w:uiPriority w:val="99"/>
    <w:semiHidden/>
    <w:unhideWhenUsed/>
    <w:rsid w:val="0075384E"/>
    <w:rPr>
      <w:b/>
      <w:bCs/>
    </w:rPr>
  </w:style>
  <w:style w:type="character" w:customStyle="1" w:styleId="CommentSubjectChar">
    <w:name w:val="Comment Subject Char"/>
    <w:basedOn w:val="CommentTextChar"/>
    <w:link w:val="CommentSubject"/>
    <w:uiPriority w:val="99"/>
    <w:semiHidden/>
    <w:rsid w:val="0075384E"/>
    <w:rPr>
      <w:b/>
      <w:bCs/>
      <w:sz w:val="20"/>
      <w:szCs w:val="20"/>
    </w:rPr>
  </w:style>
  <w:style w:type="paragraph" w:customStyle="1" w:styleId="paragraph">
    <w:name w:val="paragraph"/>
    <w:basedOn w:val="Normal"/>
    <w:rsid w:val="008721FC"/>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4F5865"/>
    <w:rPr>
      <w:rFonts w:asciiTheme="majorHAnsi" w:eastAsiaTheme="majorEastAsia" w:hAnsiTheme="majorHAnsi" w:cstheme="majorBidi"/>
      <w:i/>
      <w:iCs/>
      <w:color w:val="7F2D0C" w:themeColor="accent1" w:themeShade="7F"/>
    </w:rPr>
  </w:style>
  <w:style w:type="character" w:customStyle="1" w:styleId="Heading8Char">
    <w:name w:val="Heading 8 Char"/>
    <w:basedOn w:val="DefaultParagraphFont"/>
    <w:link w:val="Heading8"/>
    <w:uiPriority w:val="9"/>
    <w:semiHidden/>
    <w:rsid w:val="004F58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586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tractsfinder.service.gov.uk/Search" TargetMode="External"/><Relationship Id="rId4" Type="http://schemas.openxmlformats.org/officeDocument/2006/relationships/styles" Target="styles.xml"/><Relationship Id="rId9" Type="http://schemas.openxmlformats.org/officeDocument/2006/relationships/hyperlink" Target="https://www.contractsfinder.service.gov.uk/Search"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ontact@socialmobilitycommiss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fE SMC">
      <a:dk1>
        <a:sysClr val="windowText" lastClr="000000"/>
      </a:dk1>
      <a:lt1>
        <a:sysClr val="window" lastClr="FFFFFF"/>
      </a:lt1>
      <a:dk2>
        <a:srgbClr val="000000"/>
      </a:dk2>
      <a:lt2>
        <a:srgbClr val="FFFFFF"/>
      </a:lt2>
      <a:accent1>
        <a:srgbClr val="EB652E"/>
      </a:accent1>
      <a:accent2>
        <a:srgbClr val="169FDB"/>
      </a:accent2>
      <a:accent3>
        <a:srgbClr val="106386"/>
      </a:accent3>
      <a:accent4>
        <a:srgbClr val="797978"/>
      </a:accent4>
      <a:accent5>
        <a:srgbClr val="B32A2C"/>
      </a:accent5>
      <a:accent6>
        <a:srgbClr val="F2B605"/>
      </a:accent6>
      <a:hlink>
        <a:srgbClr val="EB652E"/>
      </a:hlink>
      <a:folHlink>
        <a:srgbClr val="EB652E"/>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B652E"/>
        </a:solidFill>
        <a:ln>
          <a:noFill/>
        </a:ln>
      </a:spPr>
      <a:bodyPr rot="0" spcFirstLastPara="0" vertOverflow="overflow" horzOverflow="overflow" vert="horz" wrap="square" lIns="91440" tIns="14400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N6Z1MVqM300L/VzwLFVTRo0fA==">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0632E8-06EC-4859-ACBF-F66BAE0E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Seymour</dc:creator>
  <cp:lastModifiedBy>Colin Seymour</cp:lastModifiedBy>
  <cp:revision>8</cp:revision>
  <dcterms:created xsi:type="dcterms:W3CDTF">2022-05-05T16:16:00Z</dcterms:created>
  <dcterms:modified xsi:type="dcterms:W3CDTF">2022-05-06T16:28:00Z</dcterms:modified>
</cp:coreProperties>
</file>