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E9" w:rsidRDefault="00A355E9" w:rsidP="00A355E9"/>
    <w:p w:rsidR="00A355E9" w:rsidRDefault="00A355E9" w:rsidP="00A355E9"/>
    <w:p w:rsidR="00A355E9" w:rsidRDefault="00A355E9" w:rsidP="00A355E9"/>
    <w:p w:rsidR="00A355E9" w:rsidRDefault="00A355E9" w:rsidP="00A355E9">
      <w:pPr>
        <w:pStyle w:val="Header"/>
        <w:tabs>
          <w:tab w:val="clear" w:pos="4152"/>
          <w:tab w:val="clear" w:pos="8305"/>
        </w:tabs>
      </w:pPr>
    </w:p>
    <w:p w:rsidR="00A355E9" w:rsidRDefault="00A355E9" w:rsidP="00A355E9"/>
    <w:p w:rsidR="00A355E9" w:rsidRDefault="00A355E9" w:rsidP="00A355E9"/>
    <w:p w:rsidR="00A355E9" w:rsidRDefault="00A355E9" w:rsidP="00A355E9"/>
    <w:p w:rsidR="00A355E9" w:rsidRDefault="00A355E9" w:rsidP="00A355E9"/>
    <w:p w:rsidR="00A355E9" w:rsidRDefault="00A355E9" w:rsidP="00A355E9"/>
    <w:p w:rsidR="00A355E9" w:rsidRDefault="00A355E9" w:rsidP="00A355E9">
      <w:pPr>
        <w:pStyle w:val="Header"/>
        <w:tabs>
          <w:tab w:val="clear" w:pos="4152"/>
          <w:tab w:val="clear" w:pos="8305"/>
        </w:tabs>
      </w:pPr>
    </w:p>
    <w:p w:rsidR="00A355E9" w:rsidRDefault="00A355E9" w:rsidP="00A355E9"/>
    <w:p w:rsidR="00A355E9" w:rsidRDefault="00A355E9" w:rsidP="00A355E9"/>
    <w:p w:rsidR="00A355E9" w:rsidRDefault="00A355E9" w:rsidP="00A355E9">
      <w:pPr>
        <w:jc w:val="center"/>
        <w:rPr>
          <w:rFonts w:ascii="Arial" w:hAnsi="Arial"/>
          <w:b/>
          <w:sz w:val="44"/>
        </w:rPr>
      </w:pPr>
    </w:p>
    <w:p w:rsidR="00A355E9" w:rsidRDefault="00FE0028" w:rsidP="00317B18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 xml:space="preserve">South West </w:t>
      </w:r>
      <w:r w:rsidR="004F34AB">
        <w:rPr>
          <w:rFonts w:ascii="Arial" w:hAnsi="Arial"/>
          <w:b/>
          <w:sz w:val="44"/>
        </w:rPr>
        <w:t xml:space="preserve">Region </w:t>
      </w:r>
      <w:r>
        <w:rPr>
          <w:rFonts w:ascii="Arial" w:hAnsi="Arial"/>
          <w:b/>
          <w:sz w:val="44"/>
        </w:rPr>
        <w:t>(</w:t>
      </w:r>
      <w:r w:rsidR="004F34AB">
        <w:rPr>
          <w:rFonts w:ascii="Arial" w:hAnsi="Arial"/>
          <w:b/>
          <w:sz w:val="44"/>
        </w:rPr>
        <w:t xml:space="preserve">formerly </w:t>
      </w:r>
      <w:r>
        <w:rPr>
          <w:rFonts w:ascii="Arial" w:hAnsi="Arial"/>
          <w:b/>
          <w:sz w:val="44"/>
        </w:rPr>
        <w:t>Area</w:t>
      </w:r>
      <w:r w:rsidR="004F34AB">
        <w:rPr>
          <w:rFonts w:ascii="Arial" w:hAnsi="Arial"/>
          <w:b/>
          <w:sz w:val="44"/>
        </w:rPr>
        <w:t>s</w:t>
      </w:r>
      <w:r>
        <w:rPr>
          <w:rFonts w:ascii="Arial" w:hAnsi="Arial"/>
          <w:b/>
          <w:sz w:val="44"/>
        </w:rPr>
        <w:t xml:space="preserve"> 1&amp;2)</w:t>
      </w:r>
    </w:p>
    <w:p w:rsidR="00A355E9" w:rsidRDefault="00A355E9" w:rsidP="00A355E9">
      <w:pPr>
        <w:spacing w:before="120"/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 xml:space="preserve">Goods Information </w:t>
      </w:r>
      <w:bookmarkStart w:id="0" w:name="_GoBack"/>
      <w:bookmarkEnd w:id="0"/>
      <w:r>
        <w:rPr>
          <w:rFonts w:ascii="Arial" w:hAnsi="Arial"/>
          <w:b/>
          <w:sz w:val="44"/>
        </w:rPr>
        <w:t>–</w:t>
      </w:r>
    </w:p>
    <w:p w:rsidR="00A355E9" w:rsidRDefault="00A355E9" w:rsidP="00A355E9">
      <w:pPr>
        <w:spacing w:before="120"/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Insurance Requirements</w:t>
      </w:r>
    </w:p>
    <w:p w:rsidR="00A355E9" w:rsidRPr="00317B18" w:rsidRDefault="00A355E9" w:rsidP="00317B18">
      <w:pPr>
        <w:rPr>
          <w:rFonts w:ascii="Arial" w:hAnsi="Arial"/>
          <w:b/>
          <w:sz w:val="44"/>
        </w:rPr>
      </w:pPr>
    </w:p>
    <w:p w:rsidR="00A355E9" w:rsidRDefault="00A355E9" w:rsidP="00A355E9">
      <w:bookmarkStart w:id="1" w:name="_Toc70846793"/>
    </w:p>
    <w:bookmarkEnd w:id="1"/>
    <w:p w:rsidR="00A355E9" w:rsidRDefault="00A355E9">
      <w:pPr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br w:type="page"/>
      </w:r>
    </w:p>
    <w:p w:rsidR="00A355E9" w:rsidRDefault="00A355E9" w:rsidP="00A355E9">
      <w:pPr>
        <w:spacing w:before="120"/>
        <w:jc w:val="center"/>
        <w:rPr>
          <w:rFonts w:ascii="Arial" w:hAnsi="Arial"/>
          <w:b/>
          <w:sz w:val="44"/>
        </w:rPr>
        <w:sectPr w:rsidR="00A355E9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355E9" w:rsidRDefault="00A355E9" w:rsidP="00A355E9">
      <w:pPr>
        <w:pStyle w:val="Heading1"/>
        <w:numPr>
          <w:ilvl w:val="0"/>
          <w:numId w:val="0"/>
        </w:numPr>
      </w:pPr>
      <w:bookmarkStart w:id="2" w:name="_Toc70846492"/>
      <w:r>
        <w:lastRenderedPageBreak/>
        <w:t>INSURANCE REQUIREMENTS</w:t>
      </w:r>
    </w:p>
    <w:bookmarkEnd w:id="2"/>
    <w:p w:rsidR="00A355E9" w:rsidRDefault="00A355E9" w:rsidP="00A355E9">
      <w:pPr>
        <w:pStyle w:val="Heading2"/>
        <w:numPr>
          <w:ilvl w:val="1"/>
          <w:numId w:val="2"/>
        </w:numPr>
        <w:ind w:left="567" w:hanging="567"/>
      </w:pPr>
      <w:r>
        <w:t>Insurance table</w:t>
      </w:r>
    </w:p>
    <w:p w:rsidR="00A355E9" w:rsidRDefault="00A355E9" w:rsidP="00A355E9">
      <w:pPr>
        <w:pStyle w:val="Heading3"/>
        <w:keepNext w:val="0"/>
        <w:numPr>
          <w:ilvl w:val="0"/>
          <w:numId w:val="0"/>
        </w:numPr>
        <w:spacing w:after="240"/>
      </w:pPr>
      <w:r>
        <w:t xml:space="preserve">The following table sets out the minimum requirements to be complied with by the </w:t>
      </w:r>
      <w:r>
        <w:rPr>
          <w:i/>
          <w:iCs/>
        </w:rPr>
        <w:t xml:space="preserve">Supplier </w:t>
      </w:r>
      <w:r>
        <w:t>in relation to the maintenance of insurances.</w:t>
      </w:r>
    </w:p>
    <w:tbl>
      <w:tblPr>
        <w:tblW w:w="1417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6237"/>
      </w:tblGrid>
      <w:tr w:rsidR="00A355E9" w:rsidRPr="00B661D8" w:rsidTr="00763868">
        <w:trPr>
          <w:tblHeader/>
        </w:trPr>
        <w:tc>
          <w:tcPr>
            <w:tcW w:w="7938" w:type="dxa"/>
          </w:tcPr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/>
              <w:rPr>
                <w:rFonts w:ascii="Arial" w:hAnsi="Arial" w:cs="Arial"/>
                <w:b/>
              </w:rPr>
            </w:pPr>
            <w:r w:rsidRPr="00020DC3">
              <w:rPr>
                <w:rFonts w:ascii="Arial" w:hAnsi="Arial" w:cs="Arial"/>
                <w:b/>
              </w:rPr>
              <w:t xml:space="preserve">Insurance </w:t>
            </w:r>
            <w:r>
              <w:rPr>
                <w:rFonts w:ascii="Arial" w:hAnsi="Arial" w:cs="Arial"/>
                <w:b/>
              </w:rPr>
              <w:t>type and scope of coverage</w:t>
            </w:r>
          </w:p>
        </w:tc>
        <w:tc>
          <w:tcPr>
            <w:tcW w:w="6237" w:type="dxa"/>
          </w:tcPr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/>
              <w:rPr>
                <w:rFonts w:ascii="Arial" w:hAnsi="Arial" w:cs="Arial"/>
                <w:b/>
              </w:rPr>
            </w:pPr>
            <w:r w:rsidRPr="00020DC3">
              <w:rPr>
                <w:rFonts w:ascii="Arial" w:hAnsi="Arial" w:cs="Arial"/>
                <w:b/>
              </w:rPr>
              <w:t xml:space="preserve">Minimum </w:t>
            </w:r>
            <w:r>
              <w:rPr>
                <w:rFonts w:ascii="Arial" w:hAnsi="Arial" w:cs="Arial"/>
                <w:b/>
              </w:rPr>
              <w:t>l</w:t>
            </w:r>
            <w:r w:rsidRPr="00020DC3">
              <w:rPr>
                <w:rFonts w:ascii="Arial" w:hAnsi="Arial" w:cs="Arial"/>
                <w:b/>
              </w:rPr>
              <w:t>imit of indemnity</w:t>
            </w:r>
          </w:p>
        </w:tc>
      </w:tr>
      <w:tr w:rsidR="00A355E9" w:rsidRPr="00B661D8" w:rsidTr="00763868">
        <w:tc>
          <w:tcPr>
            <w:tcW w:w="7938" w:type="dxa"/>
          </w:tcPr>
          <w:p w:rsidR="00A355E9" w:rsidRDefault="00A355E9" w:rsidP="00763868">
            <w:pPr>
              <w:numPr>
                <w:ilvl w:val="12"/>
                <w:numId w:val="0"/>
              </w:num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Section 1 – </w:t>
            </w:r>
            <w:r w:rsidRPr="00020DC3">
              <w:rPr>
                <w:rFonts w:ascii="Arial" w:hAnsi="Arial" w:cs="Arial"/>
                <w:b/>
              </w:rPr>
              <w:t>Third Party Public and Products Liability Insurance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432" w:hanging="432"/>
              <w:rPr>
                <w:rFonts w:ascii="Arial" w:hAnsi="Arial" w:cs="Arial"/>
              </w:rPr>
            </w:pPr>
            <w:r w:rsidRPr="00020DC3">
              <w:rPr>
                <w:rFonts w:ascii="Arial" w:hAnsi="Arial" w:cs="Arial"/>
              </w:rPr>
              <w:t>1.</w:t>
            </w:r>
            <w:r w:rsidRPr="00020DC3">
              <w:rPr>
                <w:rFonts w:ascii="Arial" w:hAnsi="Arial" w:cs="Arial"/>
              </w:rPr>
              <w:tab/>
              <w:t>insured</w:t>
            </w:r>
          </w:p>
          <w:p w:rsidR="00A355E9" w:rsidRPr="00036C82" w:rsidRDefault="00A355E9" w:rsidP="00763868">
            <w:pPr>
              <w:numPr>
                <w:ilvl w:val="12"/>
                <w:numId w:val="0"/>
              </w:numPr>
              <w:spacing w:before="120" w:after="120"/>
              <w:ind w:left="432" w:hanging="432"/>
              <w:rPr>
                <w:rFonts w:ascii="Arial" w:hAnsi="Arial" w:cs="Arial"/>
                <w:i/>
                <w:iCs/>
              </w:rPr>
            </w:pPr>
            <w:r w:rsidRPr="00020DC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i/>
                <w:iCs/>
              </w:rPr>
              <w:t>Supplier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432" w:hanging="432"/>
              <w:rPr>
                <w:rFonts w:ascii="Arial" w:hAnsi="Arial" w:cs="Arial"/>
              </w:rPr>
            </w:pPr>
            <w:r w:rsidRPr="00020DC3">
              <w:rPr>
                <w:rFonts w:ascii="Arial" w:hAnsi="Arial" w:cs="Arial"/>
              </w:rPr>
              <w:t>2.</w:t>
            </w:r>
            <w:r w:rsidRPr="00020DC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i</w:t>
            </w:r>
            <w:r w:rsidRPr="00020DC3">
              <w:rPr>
                <w:rFonts w:ascii="Arial" w:hAnsi="Arial" w:cs="Arial"/>
              </w:rPr>
              <w:t>nterest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432" w:hanging="432"/>
              <w:rPr>
                <w:rFonts w:ascii="Arial" w:hAnsi="Arial" w:cs="Arial"/>
              </w:rPr>
            </w:pPr>
            <w:r w:rsidRPr="00020DC3">
              <w:rPr>
                <w:rFonts w:ascii="Arial" w:hAnsi="Arial" w:cs="Arial"/>
              </w:rPr>
              <w:tab/>
              <w:t xml:space="preserve">To indemnify the insured in respect of all sums which the </w:t>
            </w:r>
            <w:r>
              <w:rPr>
                <w:rFonts w:ascii="Arial" w:hAnsi="Arial" w:cs="Arial"/>
              </w:rPr>
              <w:t>i</w:t>
            </w:r>
            <w:r w:rsidRPr="00020DC3">
              <w:rPr>
                <w:rFonts w:ascii="Arial" w:hAnsi="Arial" w:cs="Arial"/>
              </w:rPr>
              <w:t>nsured may become legally liable to pay (including claimant’s costs and expenses) as d</w:t>
            </w:r>
            <w:r>
              <w:rPr>
                <w:rFonts w:ascii="Arial" w:hAnsi="Arial" w:cs="Arial"/>
              </w:rPr>
              <w:t>amages in respect of accidental:</w:t>
            </w:r>
          </w:p>
          <w:p w:rsidR="00A355E9" w:rsidRPr="00036C82" w:rsidRDefault="00A355E9" w:rsidP="00763868">
            <w:pPr>
              <w:numPr>
                <w:ilvl w:val="12"/>
                <w:numId w:val="0"/>
              </w:numPr>
              <w:spacing w:before="120" w:after="120"/>
              <w:ind w:left="864" w:hanging="432"/>
              <w:rPr>
                <w:rFonts w:ascii="Arial" w:hAnsi="Arial" w:cs="Arial"/>
                <w:i/>
              </w:rPr>
            </w:pPr>
            <w:r w:rsidRPr="00020DC3">
              <w:rPr>
                <w:rFonts w:ascii="Arial" w:hAnsi="Arial" w:cs="Arial"/>
              </w:rPr>
              <w:t>2.1</w:t>
            </w:r>
            <w:r w:rsidRPr="00020DC3">
              <w:rPr>
                <w:rFonts w:ascii="Arial" w:hAnsi="Arial" w:cs="Arial"/>
              </w:rPr>
              <w:tab/>
              <w:t>death or bodily injury, illness or disease contracted by any person;</w:t>
            </w:r>
            <w:r>
              <w:rPr>
                <w:rFonts w:ascii="Arial" w:hAnsi="Arial" w:cs="Arial"/>
              </w:rPr>
              <w:t xml:space="preserve"> or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864" w:hanging="432"/>
              <w:rPr>
                <w:rFonts w:ascii="Arial" w:hAnsi="Arial" w:cs="Arial"/>
              </w:rPr>
            </w:pPr>
            <w:r w:rsidRPr="00020DC3">
              <w:rPr>
                <w:rFonts w:ascii="Arial" w:hAnsi="Arial" w:cs="Arial"/>
              </w:rPr>
              <w:t>2.2</w:t>
            </w:r>
            <w:r w:rsidRPr="00020DC3">
              <w:rPr>
                <w:rFonts w:ascii="Arial" w:hAnsi="Arial" w:cs="Arial"/>
              </w:rPr>
              <w:tab/>
              <w:t>loss or damage to property;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432" w:hanging="432"/>
              <w:rPr>
                <w:rFonts w:ascii="Arial" w:hAnsi="Arial" w:cs="Arial"/>
              </w:rPr>
            </w:pPr>
            <w:r w:rsidRPr="00020DC3">
              <w:rPr>
                <w:rFonts w:ascii="Arial" w:hAnsi="Arial" w:cs="Arial"/>
              </w:rPr>
              <w:tab/>
              <w:t xml:space="preserve">happening during the period of this </w:t>
            </w:r>
            <w:r>
              <w:rPr>
                <w:rFonts w:ascii="Arial" w:hAnsi="Arial" w:cs="Arial"/>
              </w:rPr>
              <w:t>c</w:t>
            </w:r>
            <w:r w:rsidRPr="00020DC3">
              <w:rPr>
                <w:rFonts w:ascii="Arial" w:hAnsi="Arial" w:cs="Arial"/>
              </w:rPr>
              <w:t>ontract and arising out of or</w:t>
            </w:r>
            <w:r>
              <w:rPr>
                <w:rFonts w:ascii="Arial" w:hAnsi="Arial" w:cs="Arial"/>
              </w:rPr>
              <w:t xml:space="preserve"> in connection when Providing the Goods</w:t>
            </w:r>
            <w:r w:rsidRPr="00020DC3">
              <w:rPr>
                <w:rFonts w:ascii="Arial" w:hAnsi="Arial" w:cs="Arial"/>
              </w:rPr>
              <w:t xml:space="preserve"> and/or arising out of or in connection with this </w:t>
            </w:r>
            <w:r>
              <w:rPr>
                <w:rFonts w:ascii="Arial" w:hAnsi="Arial" w:cs="Arial"/>
              </w:rPr>
              <w:t>c</w:t>
            </w:r>
            <w:r w:rsidRPr="00020DC3">
              <w:rPr>
                <w:rFonts w:ascii="Arial" w:hAnsi="Arial" w:cs="Arial"/>
              </w:rPr>
              <w:t>ontract.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432" w:hanging="432"/>
              <w:rPr>
                <w:rFonts w:ascii="Arial" w:hAnsi="Arial" w:cs="Arial"/>
              </w:rPr>
            </w:pPr>
            <w:r w:rsidRPr="00020DC3">
              <w:rPr>
                <w:rFonts w:ascii="Arial" w:hAnsi="Arial" w:cs="Arial"/>
              </w:rPr>
              <w:t>3.</w:t>
            </w:r>
            <w:r w:rsidRPr="00020DC3">
              <w:rPr>
                <w:rFonts w:ascii="Arial" w:hAnsi="Arial" w:cs="Arial"/>
              </w:rPr>
              <w:tab/>
              <w:t>cover features and extensions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864" w:hanging="432"/>
              <w:rPr>
                <w:rFonts w:ascii="Arial" w:hAnsi="Arial" w:cs="Arial"/>
              </w:rPr>
            </w:pPr>
            <w:r w:rsidRPr="00020DC3">
              <w:rPr>
                <w:rFonts w:ascii="Arial" w:hAnsi="Arial" w:cs="Arial"/>
              </w:rPr>
              <w:t>3.1</w:t>
            </w:r>
            <w:r w:rsidRPr="00020DC3">
              <w:rPr>
                <w:rFonts w:ascii="Arial" w:hAnsi="Arial" w:cs="Arial"/>
              </w:rPr>
              <w:tab/>
              <w:t>cross liability clause.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864" w:hanging="432"/>
              <w:rPr>
                <w:rFonts w:ascii="Arial" w:hAnsi="Arial" w:cs="Arial"/>
              </w:rPr>
            </w:pPr>
            <w:r w:rsidRPr="00020DC3">
              <w:rPr>
                <w:rFonts w:ascii="Arial" w:hAnsi="Arial" w:cs="Arial"/>
              </w:rPr>
              <w:t>3.2</w:t>
            </w:r>
            <w:r w:rsidRPr="00020DC3">
              <w:rPr>
                <w:rFonts w:ascii="Arial" w:hAnsi="Arial" w:cs="Arial"/>
              </w:rPr>
              <w:tab/>
              <w:t>contingent motor vehicle liability.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864" w:hanging="432"/>
              <w:rPr>
                <w:rFonts w:ascii="Arial" w:hAnsi="Arial" w:cs="Arial"/>
              </w:rPr>
            </w:pPr>
            <w:r w:rsidRPr="00020DC3">
              <w:rPr>
                <w:rFonts w:ascii="Arial" w:hAnsi="Arial" w:cs="Arial"/>
              </w:rPr>
              <w:t>3.3</w:t>
            </w:r>
            <w:r w:rsidRPr="00020DC3">
              <w:rPr>
                <w:rFonts w:ascii="Arial" w:hAnsi="Arial" w:cs="Arial"/>
              </w:rPr>
              <w:tab/>
              <w:t>legal defence costs.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864" w:hanging="432"/>
              <w:rPr>
                <w:rFonts w:ascii="Arial" w:hAnsi="Arial" w:cs="Arial"/>
              </w:rPr>
            </w:pPr>
            <w:r w:rsidRPr="00020DC3">
              <w:rPr>
                <w:rFonts w:ascii="Arial" w:hAnsi="Arial" w:cs="Arial"/>
              </w:rPr>
              <w:t>3.4</w:t>
            </w:r>
            <w:r w:rsidRPr="00020DC3">
              <w:rPr>
                <w:rFonts w:ascii="Arial" w:hAnsi="Arial" w:cs="Arial"/>
              </w:rPr>
              <w:tab/>
              <w:t>indemnity to principals clause.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864" w:hanging="432"/>
              <w:rPr>
                <w:rFonts w:ascii="Arial" w:hAnsi="Arial" w:cs="Arial"/>
              </w:rPr>
            </w:pPr>
            <w:r w:rsidRPr="00020DC3">
              <w:rPr>
                <w:rFonts w:ascii="Arial" w:hAnsi="Arial" w:cs="Arial"/>
              </w:rPr>
              <w:lastRenderedPageBreak/>
              <w:t>3.5</w:t>
            </w:r>
            <w:r w:rsidRPr="00020DC3">
              <w:rPr>
                <w:rFonts w:ascii="Arial" w:hAnsi="Arial" w:cs="Arial"/>
              </w:rPr>
              <w:tab/>
              <w:t>Health &amp; Safety at Work Act(s) clause.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864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  <w:r w:rsidRPr="00020DC3">
              <w:rPr>
                <w:rFonts w:ascii="Arial" w:hAnsi="Arial" w:cs="Arial"/>
              </w:rPr>
              <w:tab/>
              <w:t>Defence appeal and prosecution costs relating to the Corporate Manslaughter and Corporate Homicide Act 2007.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432" w:hanging="432"/>
              <w:rPr>
                <w:rFonts w:ascii="Arial" w:hAnsi="Arial" w:cs="Arial"/>
              </w:rPr>
            </w:pPr>
            <w:r w:rsidRPr="00020DC3">
              <w:rPr>
                <w:rFonts w:ascii="Arial" w:hAnsi="Arial" w:cs="Arial"/>
              </w:rPr>
              <w:t>4.</w:t>
            </w:r>
            <w:r w:rsidRPr="00020DC3">
              <w:rPr>
                <w:rFonts w:ascii="Arial" w:hAnsi="Arial" w:cs="Arial"/>
              </w:rPr>
              <w:tab/>
              <w:t>principal exclusions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864" w:hanging="432"/>
              <w:rPr>
                <w:rFonts w:ascii="Arial" w:hAnsi="Arial" w:cs="Arial"/>
              </w:rPr>
            </w:pPr>
            <w:r w:rsidRPr="00020DC3">
              <w:rPr>
                <w:rFonts w:ascii="Arial" w:hAnsi="Arial" w:cs="Arial"/>
              </w:rPr>
              <w:t>4.1</w:t>
            </w:r>
            <w:r w:rsidRPr="00020DC3">
              <w:rPr>
                <w:rFonts w:ascii="Arial" w:hAnsi="Arial" w:cs="Arial"/>
              </w:rPr>
              <w:tab/>
              <w:t>war and related perils.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864" w:hanging="432"/>
              <w:rPr>
                <w:rFonts w:ascii="Arial" w:hAnsi="Arial" w:cs="Arial"/>
              </w:rPr>
            </w:pPr>
            <w:r w:rsidRPr="00020DC3">
              <w:rPr>
                <w:rFonts w:ascii="Arial" w:hAnsi="Arial" w:cs="Arial"/>
              </w:rPr>
              <w:t>4.2</w:t>
            </w:r>
            <w:r w:rsidRPr="00020DC3">
              <w:rPr>
                <w:rFonts w:ascii="Arial" w:hAnsi="Arial" w:cs="Arial"/>
              </w:rPr>
              <w:tab/>
              <w:t>nuclear/radioactive risks.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864" w:hanging="432"/>
              <w:rPr>
                <w:rFonts w:ascii="Arial" w:hAnsi="Arial" w:cs="Arial"/>
              </w:rPr>
            </w:pPr>
            <w:r w:rsidRPr="00020DC3">
              <w:rPr>
                <w:rFonts w:ascii="Arial" w:hAnsi="Arial" w:cs="Arial"/>
              </w:rPr>
              <w:t>4.3</w:t>
            </w:r>
            <w:r w:rsidRPr="00020DC3">
              <w:rPr>
                <w:rFonts w:ascii="Arial" w:hAnsi="Arial" w:cs="Arial"/>
              </w:rPr>
              <w:tab/>
              <w:t>liability for death, illness, disease or bodily injury sustained by employees of the insured arising out of the course of their employment.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864" w:hanging="432"/>
              <w:rPr>
                <w:rFonts w:ascii="Arial" w:hAnsi="Arial" w:cs="Arial"/>
              </w:rPr>
            </w:pPr>
            <w:r w:rsidRPr="00020DC3">
              <w:rPr>
                <w:rFonts w:ascii="Arial" w:hAnsi="Arial" w:cs="Arial"/>
              </w:rPr>
              <w:t>4.4</w:t>
            </w:r>
            <w:r w:rsidRPr="00020DC3">
              <w:rPr>
                <w:rFonts w:ascii="Arial" w:hAnsi="Arial" w:cs="Arial"/>
              </w:rPr>
              <w:tab/>
              <w:t>liability arising out of the use of mechanically propelled vehicles whilst required to be compulsorily insured by legislation in respect of such vehicles.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864" w:hanging="432"/>
              <w:rPr>
                <w:rFonts w:ascii="Arial" w:hAnsi="Arial" w:cs="Arial"/>
              </w:rPr>
            </w:pPr>
            <w:r w:rsidRPr="00020DC3">
              <w:rPr>
                <w:rFonts w:ascii="Arial" w:hAnsi="Arial" w:cs="Arial"/>
              </w:rPr>
              <w:t>4.5</w:t>
            </w:r>
            <w:r w:rsidRPr="00020DC3">
              <w:rPr>
                <w:rFonts w:ascii="Arial" w:hAnsi="Arial" w:cs="Arial"/>
              </w:rPr>
              <w:tab/>
              <w:t>liability in respect of predetermined penalties or liquidated damages imposed under any contract entered into by the Insured.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864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</w:t>
            </w:r>
            <w:r w:rsidRPr="00020DC3">
              <w:rPr>
                <w:rFonts w:ascii="Arial" w:hAnsi="Arial" w:cs="Arial"/>
              </w:rPr>
              <w:tab/>
              <w:t>liability arising from the ownership, possession or use of any aircraft or marine vessels.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864" w:hanging="4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  <w:r w:rsidRPr="00020DC3">
              <w:rPr>
                <w:rFonts w:ascii="Arial" w:hAnsi="Arial" w:cs="Arial"/>
              </w:rPr>
              <w:tab/>
              <w:t>liability arising from seepage and pollution unless caused by a sudden, unintended and unexpected occurrence.</w:t>
            </w:r>
          </w:p>
        </w:tc>
        <w:tc>
          <w:tcPr>
            <w:tcW w:w="6237" w:type="dxa"/>
          </w:tcPr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Ten</w:t>
            </w:r>
            <w:r w:rsidRPr="00020DC3">
              <w:rPr>
                <w:rFonts w:ascii="Arial" w:hAnsi="Arial" w:cs="Arial"/>
              </w:rPr>
              <w:t xml:space="preserve"> million pounds (£</w:t>
            </w:r>
            <w:r>
              <w:rPr>
                <w:rFonts w:ascii="Arial" w:hAnsi="Arial" w:cs="Arial"/>
              </w:rPr>
              <w:t>10</w:t>
            </w:r>
            <w:r w:rsidRPr="00020DC3">
              <w:rPr>
                <w:rFonts w:ascii="Arial" w:hAnsi="Arial" w:cs="Arial"/>
              </w:rPr>
              <w:t xml:space="preserve">,000,000) in respect of any one occurrence </w:t>
            </w:r>
            <w:r>
              <w:rPr>
                <w:rFonts w:ascii="Arial" w:hAnsi="Arial" w:cs="Arial"/>
              </w:rPr>
              <w:t>(</w:t>
            </w:r>
            <w:r w:rsidRPr="00020DC3">
              <w:rPr>
                <w:rFonts w:ascii="Arial" w:hAnsi="Arial" w:cs="Arial"/>
              </w:rPr>
              <w:t>the number of occurrences being unlimited in any annual policy period</w:t>
            </w:r>
            <w:r>
              <w:rPr>
                <w:rFonts w:ascii="Arial" w:hAnsi="Arial" w:cs="Arial"/>
              </w:rPr>
              <w:t xml:space="preserve">) and ten </w:t>
            </w:r>
            <w:r w:rsidRPr="00020DC3">
              <w:rPr>
                <w:rFonts w:ascii="Arial" w:hAnsi="Arial" w:cs="Arial"/>
              </w:rPr>
              <w:t>million pounds (£</w:t>
            </w:r>
            <w:r>
              <w:rPr>
                <w:rFonts w:ascii="Arial" w:hAnsi="Arial" w:cs="Arial"/>
              </w:rPr>
              <w:t>10</w:t>
            </w:r>
            <w:r w:rsidRPr="00020DC3">
              <w:rPr>
                <w:rFonts w:ascii="Arial" w:hAnsi="Arial" w:cs="Arial"/>
              </w:rPr>
              <w:t>,000,000) in respect of any one occurrence and in the annual aggregate in respect of products liability insurance or pollution liability insurance.</w:t>
            </w:r>
          </w:p>
        </w:tc>
      </w:tr>
      <w:tr w:rsidR="00A355E9" w:rsidRPr="00B661D8" w:rsidTr="00763868">
        <w:tc>
          <w:tcPr>
            <w:tcW w:w="7938" w:type="dxa"/>
          </w:tcPr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Section 3 – </w:t>
            </w:r>
            <w:r w:rsidRPr="00020DC3">
              <w:rPr>
                <w:rFonts w:ascii="Arial" w:hAnsi="Arial" w:cs="Arial"/>
                <w:b/>
              </w:rPr>
              <w:t>Employer</w:t>
            </w:r>
            <w:r>
              <w:rPr>
                <w:rFonts w:ascii="Arial" w:hAnsi="Arial" w:cs="Arial"/>
                <w:b/>
              </w:rPr>
              <w:t>’</w:t>
            </w:r>
            <w:r w:rsidRPr="00020DC3">
              <w:rPr>
                <w:rFonts w:ascii="Arial" w:hAnsi="Arial" w:cs="Arial"/>
                <w:b/>
              </w:rPr>
              <w:t>s Liability Insurance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432" w:hanging="432"/>
              <w:rPr>
                <w:rFonts w:ascii="Arial" w:hAnsi="Arial" w:cs="Arial"/>
              </w:rPr>
            </w:pPr>
            <w:r w:rsidRPr="00020DC3">
              <w:rPr>
                <w:rFonts w:ascii="Arial" w:hAnsi="Arial" w:cs="Arial"/>
              </w:rPr>
              <w:t>1.</w:t>
            </w:r>
            <w:r w:rsidRPr="00020DC3">
              <w:rPr>
                <w:rFonts w:ascii="Arial" w:hAnsi="Arial" w:cs="Arial"/>
              </w:rPr>
              <w:tab/>
              <w:t>insured</w:t>
            </w:r>
          </w:p>
          <w:p w:rsidR="00A355E9" w:rsidRPr="00036C82" w:rsidRDefault="00A355E9" w:rsidP="00763868">
            <w:pPr>
              <w:numPr>
                <w:ilvl w:val="12"/>
                <w:numId w:val="0"/>
              </w:numPr>
              <w:spacing w:before="120" w:after="120"/>
              <w:ind w:left="432" w:hanging="432"/>
              <w:rPr>
                <w:rFonts w:ascii="Arial" w:hAnsi="Arial" w:cs="Arial"/>
                <w:i/>
                <w:iCs/>
              </w:rPr>
            </w:pPr>
            <w:r w:rsidRPr="00020DC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i/>
                <w:iCs/>
              </w:rPr>
              <w:t>Supplier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432" w:hanging="432"/>
              <w:rPr>
                <w:rFonts w:ascii="Arial" w:hAnsi="Arial" w:cs="Arial"/>
              </w:rPr>
            </w:pPr>
            <w:r w:rsidRPr="00020DC3">
              <w:rPr>
                <w:rFonts w:ascii="Arial" w:hAnsi="Arial" w:cs="Arial"/>
              </w:rPr>
              <w:t>2.</w:t>
            </w:r>
            <w:r w:rsidRPr="00020DC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i</w:t>
            </w:r>
            <w:r w:rsidRPr="00020DC3">
              <w:rPr>
                <w:rFonts w:ascii="Arial" w:hAnsi="Arial" w:cs="Arial"/>
              </w:rPr>
              <w:t>nterest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431"/>
              <w:rPr>
                <w:rFonts w:ascii="Arial" w:hAnsi="Arial" w:cs="Arial"/>
              </w:rPr>
            </w:pPr>
            <w:r w:rsidRPr="00020DC3">
              <w:rPr>
                <w:rFonts w:ascii="Arial" w:hAnsi="Arial" w:cs="Arial"/>
              </w:rPr>
              <w:lastRenderedPageBreak/>
              <w:t xml:space="preserve">To indemnify the insured in respect of all sums which the </w:t>
            </w:r>
            <w:r>
              <w:rPr>
                <w:rFonts w:ascii="Arial" w:hAnsi="Arial" w:cs="Arial"/>
              </w:rPr>
              <w:t>i</w:t>
            </w:r>
            <w:r w:rsidRPr="00020DC3">
              <w:rPr>
                <w:rFonts w:ascii="Arial" w:hAnsi="Arial" w:cs="Arial"/>
              </w:rPr>
              <w:t>nsured may become legally liable to pay (including claimant’s costs and expenses) as d</w:t>
            </w:r>
            <w:r>
              <w:rPr>
                <w:rFonts w:ascii="Arial" w:hAnsi="Arial" w:cs="Arial"/>
              </w:rPr>
              <w:t xml:space="preserve">amages in respect of </w:t>
            </w:r>
            <w:r w:rsidRPr="00020DC3">
              <w:rPr>
                <w:rFonts w:ascii="Arial" w:hAnsi="Arial" w:cs="Arial"/>
              </w:rPr>
              <w:t xml:space="preserve">death of or bodily injury to employees of the </w:t>
            </w:r>
            <w:r>
              <w:rPr>
                <w:rFonts w:ascii="Arial" w:hAnsi="Arial" w:cs="Arial"/>
                <w:i/>
              </w:rPr>
              <w:t>Supplier</w:t>
            </w:r>
            <w:r w:rsidRPr="00020DC3">
              <w:rPr>
                <w:rFonts w:ascii="Arial" w:hAnsi="Arial" w:cs="Arial"/>
                <w:i/>
              </w:rPr>
              <w:t xml:space="preserve"> </w:t>
            </w:r>
            <w:r w:rsidRPr="00020DC3">
              <w:rPr>
                <w:rFonts w:ascii="Arial" w:hAnsi="Arial" w:cs="Arial"/>
              </w:rPr>
              <w:t>arising out of and in the course of their employment i</w:t>
            </w:r>
            <w:r>
              <w:rPr>
                <w:rFonts w:ascii="Arial" w:hAnsi="Arial" w:cs="Arial"/>
              </w:rPr>
              <w:t>n connection with this contract.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432" w:hanging="43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Pr="00020DC3">
              <w:rPr>
                <w:rFonts w:ascii="Arial" w:hAnsi="Arial" w:cs="Arial"/>
                <w:bCs/>
              </w:rPr>
              <w:t>.</w:t>
            </w:r>
            <w:r w:rsidRPr="00020DC3">
              <w:rPr>
                <w:rFonts w:ascii="Arial" w:hAnsi="Arial" w:cs="Arial"/>
                <w:bCs/>
              </w:rPr>
              <w:tab/>
              <w:t>coverage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862" w:hanging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Pr="00020DC3">
              <w:rPr>
                <w:rFonts w:ascii="Arial" w:hAnsi="Arial" w:cs="Arial"/>
              </w:rPr>
              <w:t>1</w:t>
            </w:r>
            <w:r w:rsidRPr="00020DC3">
              <w:rPr>
                <w:rFonts w:ascii="Arial" w:hAnsi="Arial" w:cs="Arial"/>
              </w:rPr>
              <w:tab/>
              <w:t>As required by applicable law in the United Kingdom.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/>
              <w:ind w:left="862" w:hanging="4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020DC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  <w:r w:rsidRPr="00020DC3">
              <w:rPr>
                <w:rFonts w:ascii="Arial" w:hAnsi="Arial" w:cs="Arial"/>
              </w:rPr>
              <w:tab/>
              <w:t xml:space="preserve">The </w:t>
            </w:r>
            <w:r>
              <w:rPr>
                <w:rFonts w:ascii="Arial" w:hAnsi="Arial" w:cs="Arial"/>
              </w:rPr>
              <w:t>employer’s</w:t>
            </w:r>
            <w:r w:rsidRPr="00020DC3">
              <w:rPr>
                <w:rFonts w:ascii="Arial" w:hAnsi="Arial" w:cs="Arial"/>
              </w:rPr>
              <w:t xml:space="preserve"> liability insurance shall contain an indemnity to principals clause.</w:t>
            </w:r>
          </w:p>
        </w:tc>
        <w:tc>
          <w:tcPr>
            <w:tcW w:w="6237" w:type="dxa"/>
          </w:tcPr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/>
              <w:rPr>
                <w:rFonts w:ascii="Arial" w:hAnsi="Arial" w:cs="Arial"/>
              </w:rPr>
            </w:pPr>
            <w:r w:rsidRPr="00020DC3">
              <w:rPr>
                <w:rFonts w:ascii="Arial" w:hAnsi="Arial" w:cs="Arial"/>
              </w:rPr>
              <w:lastRenderedPageBreak/>
              <w:t xml:space="preserve">The greater of the amount required by the applicable law and ten million pounds (£10,000,000) in respect of any one occurrence </w:t>
            </w:r>
            <w:r>
              <w:rPr>
                <w:rFonts w:ascii="Arial" w:hAnsi="Arial" w:cs="Arial"/>
              </w:rPr>
              <w:t>(</w:t>
            </w:r>
            <w:r w:rsidRPr="00020DC3">
              <w:rPr>
                <w:rFonts w:ascii="Arial" w:hAnsi="Arial" w:cs="Arial"/>
              </w:rPr>
              <w:t>the number of occurrences being unlimited in any annual policy period</w:t>
            </w:r>
            <w:r>
              <w:rPr>
                <w:rFonts w:ascii="Arial" w:hAnsi="Arial" w:cs="Arial"/>
              </w:rPr>
              <w:t>)</w:t>
            </w:r>
            <w:r w:rsidRPr="00020DC3">
              <w:rPr>
                <w:rFonts w:ascii="Arial" w:hAnsi="Arial" w:cs="Arial"/>
              </w:rPr>
              <w:t>.</w:t>
            </w:r>
          </w:p>
        </w:tc>
      </w:tr>
      <w:tr w:rsidR="00A355E9" w:rsidRPr="00B661D8" w:rsidTr="00763868">
        <w:tc>
          <w:tcPr>
            <w:tcW w:w="7938" w:type="dxa"/>
          </w:tcPr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Section 4 – </w:t>
            </w:r>
            <w:r w:rsidRPr="00020DC3">
              <w:rPr>
                <w:rFonts w:ascii="Arial" w:hAnsi="Arial" w:cs="Arial"/>
                <w:b/>
              </w:rPr>
              <w:t>Motor Vehicle Third Party Liability Insurance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432" w:hanging="43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  <w:r>
              <w:rPr>
                <w:rFonts w:ascii="Arial" w:hAnsi="Arial" w:cs="Arial"/>
                <w:bCs/>
              </w:rPr>
              <w:tab/>
              <w:t>insured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864" w:hanging="432"/>
              <w:rPr>
                <w:rFonts w:ascii="Arial" w:hAnsi="Arial" w:cs="Arial"/>
                <w:bCs/>
              </w:rPr>
            </w:pPr>
            <w:r w:rsidRPr="00020DC3">
              <w:rPr>
                <w:rFonts w:ascii="Arial" w:hAnsi="Arial" w:cs="Arial"/>
                <w:bCs/>
              </w:rPr>
              <w:t>1.1</w:t>
            </w:r>
            <w:r w:rsidRPr="00020DC3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  <w:i/>
                <w:iCs/>
              </w:rPr>
              <w:t>Supplier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432" w:hanging="432"/>
              <w:rPr>
                <w:rFonts w:ascii="Arial" w:hAnsi="Arial" w:cs="Arial"/>
              </w:rPr>
            </w:pPr>
            <w:r w:rsidRPr="00020DC3">
              <w:rPr>
                <w:rFonts w:ascii="Arial" w:hAnsi="Arial" w:cs="Arial"/>
              </w:rPr>
              <w:t>2.</w:t>
            </w:r>
            <w:r w:rsidRPr="00020DC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i</w:t>
            </w:r>
            <w:r w:rsidRPr="00020DC3">
              <w:rPr>
                <w:rFonts w:ascii="Arial" w:hAnsi="Arial" w:cs="Arial"/>
              </w:rPr>
              <w:t>nterest</w:t>
            </w:r>
          </w:p>
          <w:p w:rsidR="00A355E9" w:rsidRDefault="00A355E9" w:rsidP="00763868">
            <w:pPr>
              <w:numPr>
                <w:ilvl w:val="12"/>
                <w:numId w:val="0"/>
              </w:numPr>
              <w:spacing w:before="120" w:after="120"/>
              <w:ind w:left="432" w:hanging="432"/>
              <w:rPr>
                <w:rFonts w:ascii="Arial" w:hAnsi="Arial" w:cs="Arial"/>
              </w:rPr>
            </w:pPr>
            <w:r w:rsidRPr="00020DC3">
              <w:rPr>
                <w:rFonts w:ascii="Arial" w:hAnsi="Arial" w:cs="Arial"/>
              </w:rPr>
              <w:tab/>
              <w:t xml:space="preserve">To indemnify the insured in respect of all sums which the </w:t>
            </w:r>
            <w:r>
              <w:rPr>
                <w:rFonts w:ascii="Arial" w:hAnsi="Arial" w:cs="Arial"/>
              </w:rPr>
              <w:t>i</w:t>
            </w:r>
            <w:r w:rsidRPr="00020DC3">
              <w:rPr>
                <w:rFonts w:ascii="Arial" w:hAnsi="Arial" w:cs="Arial"/>
              </w:rPr>
              <w:t>nsured may become legally liable to pay (including claimant’s costs and expenses) as d</w:t>
            </w:r>
            <w:r>
              <w:rPr>
                <w:rFonts w:ascii="Arial" w:hAnsi="Arial" w:cs="Arial"/>
              </w:rPr>
              <w:t xml:space="preserve">amages in respect of </w:t>
            </w:r>
            <w:r w:rsidRPr="00020DC3">
              <w:rPr>
                <w:rFonts w:ascii="Arial" w:hAnsi="Arial" w:cs="Arial"/>
              </w:rPr>
              <w:t>death or bodily injury</w:t>
            </w:r>
            <w:r>
              <w:rPr>
                <w:rFonts w:ascii="Arial" w:hAnsi="Arial" w:cs="Arial"/>
              </w:rPr>
              <w:t xml:space="preserve"> to</w:t>
            </w:r>
            <w:r w:rsidRPr="00020DC3">
              <w:rPr>
                <w:rFonts w:ascii="Arial" w:hAnsi="Arial" w:cs="Arial"/>
              </w:rPr>
              <w:t xml:space="preserve"> any person</w:t>
            </w:r>
            <w:r>
              <w:rPr>
                <w:rFonts w:ascii="Arial" w:hAnsi="Arial" w:cs="Arial"/>
              </w:rPr>
              <w:t xml:space="preserve"> or </w:t>
            </w:r>
            <w:r w:rsidRPr="00020DC3">
              <w:rPr>
                <w:rFonts w:ascii="Arial" w:hAnsi="Arial" w:cs="Arial"/>
              </w:rPr>
              <w:t xml:space="preserve">loss or damage to </w:t>
            </w:r>
            <w:r>
              <w:rPr>
                <w:rFonts w:ascii="Arial" w:hAnsi="Arial" w:cs="Arial"/>
              </w:rPr>
              <w:t xml:space="preserve">third </w:t>
            </w:r>
            <w:r w:rsidRPr="00020DC3">
              <w:rPr>
                <w:rFonts w:ascii="Arial" w:hAnsi="Arial" w:cs="Arial"/>
              </w:rPr>
              <w:t>property</w:t>
            </w:r>
            <w:r>
              <w:rPr>
                <w:rFonts w:ascii="Arial" w:hAnsi="Arial" w:cs="Arial"/>
              </w:rPr>
              <w:t xml:space="preserve"> arising out of the use of motor vehicles by the </w:t>
            </w:r>
            <w:r w:rsidRPr="00F866CB">
              <w:rPr>
                <w:rFonts w:ascii="Arial" w:hAnsi="Arial" w:cs="Arial"/>
                <w:i/>
              </w:rPr>
              <w:t>Supplier</w:t>
            </w:r>
            <w:r>
              <w:rPr>
                <w:rFonts w:ascii="Arial" w:hAnsi="Arial" w:cs="Arial"/>
              </w:rPr>
              <w:t xml:space="preserve"> in connection with this contract.</w:t>
            </w:r>
          </w:p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 w:after="120"/>
              <w:ind w:left="432" w:hanging="43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</w:t>
            </w:r>
            <w:r>
              <w:rPr>
                <w:rFonts w:ascii="Arial" w:hAnsi="Arial" w:cs="Arial"/>
                <w:bCs/>
              </w:rPr>
              <w:tab/>
              <w:t>cover features and extensions.</w:t>
            </w:r>
          </w:p>
          <w:p w:rsidR="00A355E9" w:rsidRDefault="00A355E9" w:rsidP="00763868">
            <w:pPr>
              <w:numPr>
                <w:ilvl w:val="12"/>
                <w:numId w:val="0"/>
              </w:numPr>
              <w:spacing w:before="120" w:after="120"/>
              <w:ind w:left="862" w:hanging="43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</w:t>
            </w:r>
            <w:r w:rsidRPr="00020DC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  <w:r w:rsidRPr="00020DC3">
              <w:rPr>
                <w:rFonts w:ascii="Arial" w:hAnsi="Arial" w:cs="Arial"/>
              </w:rPr>
              <w:tab/>
              <w:t>The motor vehicle third party liability insurance shall contain an indemnity to principals clause.</w:t>
            </w:r>
          </w:p>
        </w:tc>
        <w:tc>
          <w:tcPr>
            <w:tcW w:w="6237" w:type="dxa"/>
          </w:tcPr>
          <w:p w:rsidR="00A355E9" w:rsidRPr="00020DC3" w:rsidRDefault="00A355E9" w:rsidP="00763868">
            <w:pPr>
              <w:numPr>
                <w:ilvl w:val="12"/>
                <w:numId w:val="0"/>
              </w:num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C14E80">
              <w:rPr>
                <w:rFonts w:ascii="Arial" w:hAnsi="Arial" w:cs="Arial"/>
              </w:rPr>
              <w:t xml:space="preserve">he greater of </w:t>
            </w:r>
            <w:r>
              <w:rPr>
                <w:rFonts w:ascii="Arial" w:hAnsi="Arial" w:cs="Arial"/>
              </w:rPr>
              <w:t xml:space="preserve">the </w:t>
            </w:r>
            <w:r w:rsidRPr="00C14E80">
              <w:rPr>
                <w:rFonts w:ascii="Arial" w:hAnsi="Arial" w:cs="Arial"/>
              </w:rPr>
              <w:t xml:space="preserve">amount required by </w:t>
            </w:r>
            <w:r>
              <w:rPr>
                <w:rFonts w:ascii="Arial" w:hAnsi="Arial" w:cs="Arial"/>
              </w:rPr>
              <w:t xml:space="preserve">the </w:t>
            </w:r>
            <w:r w:rsidRPr="00C14E80">
              <w:rPr>
                <w:rFonts w:ascii="Arial" w:hAnsi="Arial" w:cs="Arial"/>
              </w:rPr>
              <w:t xml:space="preserve">applicable law and unlimited in respect of death/injury, </w:t>
            </w:r>
            <w:r>
              <w:rPr>
                <w:rFonts w:ascii="Arial" w:hAnsi="Arial" w:cs="Arial"/>
              </w:rPr>
              <w:t>five</w:t>
            </w:r>
            <w:r w:rsidRPr="00020DC3">
              <w:rPr>
                <w:rFonts w:ascii="Arial" w:hAnsi="Arial" w:cs="Arial"/>
              </w:rPr>
              <w:t xml:space="preserve"> million pounds (£</w:t>
            </w:r>
            <w:r>
              <w:rPr>
                <w:rFonts w:ascii="Arial" w:hAnsi="Arial" w:cs="Arial"/>
              </w:rPr>
              <w:t>5</w:t>
            </w:r>
            <w:r w:rsidRPr="00020DC3">
              <w:rPr>
                <w:rFonts w:ascii="Arial" w:hAnsi="Arial" w:cs="Arial"/>
              </w:rPr>
              <w:t xml:space="preserve">,000,000) </w:t>
            </w:r>
            <w:r w:rsidRPr="00C14E80">
              <w:rPr>
                <w:rFonts w:ascii="Arial" w:hAnsi="Arial" w:cs="Arial"/>
              </w:rPr>
              <w:t>in respect of third party property damage</w:t>
            </w:r>
            <w:r>
              <w:rPr>
                <w:rFonts w:ascii="Arial" w:hAnsi="Arial" w:cs="Arial"/>
              </w:rPr>
              <w:t xml:space="preserve"> caused by use of</w:t>
            </w:r>
            <w:r w:rsidRPr="00C14E80">
              <w:rPr>
                <w:rFonts w:ascii="Arial" w:hAnsi="Arial" w:cs="Arial"/>
              </w:rPr>
              <w:t xml:space="preserve"> commercial vehicles and </w:t>
            </w:r>
            <w:r w:rsidRPr="00020DC3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w</w:t>
            </w:r>
            <w:r w:rsidRPr="00020DC3">
              <w:rPr>
                <w:rFonts w:ascii="Arial" w:hAnsi="Arial" w:cs="Arial"/>
              </w:rPr>
              <w:t>en</w:t>
            </w:r>
            <w:r>
              <w:rPr>
                <w:rFonts w:ascii="Arial" w:hAnsi="Arial" w:cs="Arial"/>
              </w:rPr>
              <w:t>ty</w:t>
            </w:r>
            <w:r w:rsidRPr="00020DC3">
              <w:rPr>
                <w:rFonts w:ascii="Arial" w:hAnsi="Arial" w:cs="Arial"/>
              </w:rPr>
              <w:t xml:space="preserve"> million pounds (£</w:t>
            </w:r>
            <w:r>
              <w:rPr>
                <w:rFonts w:ascii="Arial" w:hAnsi="Arial" w:cs="Arial"/>
              </w:rPr>
              <w:t>2</w:t>
            </w:r>
            <w:r w:rsidRPr="00020DC3">
              <w:rPr>
                <w:rFonts w:ascii="Arial" w:hAnsi="Arial" w:cs="Arial"/>
              </w:rPr>
              <w:t xml:space="preserve">0,000,000) </w:t>
            </w:r>
            <w:r w:rsidRPr="00C14E80">
              <w:rPr>
                <w:rFonts w:ascii="Arial" w:hAnsi="Arial" w:cs="Arial"/>
              </w:rPr>
              <w:t xml:space="preserve">in respect of third party property damage </w:t>
            </w:r>
            <w:r>
              <w:rPr>
                <w:rFonts w:ascii="Arial" w:hAnsi="Arial" w:cs="Arial"/>
              </w:rPr>
              <w:t>caused by use of</w:t>
            </w:r>
            <w:r w:rsidRPr="00C14E80">
              <w:rPr>
                <w:rFonts w:ascii="Arial" w:hAnsi="Arial" w:cs="Arial"/>
              </w:rPr>
              <w:t xml:space="preserve"> cars.</w:t>
            </w:r>
          </w:p>
        </w:tc>
      </w:tr>
    </w:tbl>
    <w:p w:rsidR="005710D0" w:rsidRDefault="005710D0"/>
    <w:sectPr w:rsidR="005710D0" w:rsidSect="00A355E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3B5" w:rsidRDefault="004B53B5" w:rsidP="00A355E9">
      <w:pPr>
        <w:spacing w:after="0" w:line="240" w:lineRule="auto"/>
      </w:pPr>
      <w:r>
        <w:separator/>
      </w:r>
    </w:p>
  </w:endnote>
  <w:endnote w:type="continuationSeparator" w:id="0">
    <w:p w:rsidR="004B53B5" w:rsidRDefault="004B53B5" w:rsidP="00A3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223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355E9" w:rsidRDefault="00A355E9" w:rsidP="00A355E9">
            <w:pPr>
              <w:pStyle w:val="Footer"/>
              <w:pBdr>
                <w:top w:val="single" w:sz="4" w:space="1" w:color="auto"/>
              </w:pBdr>
              <w:jc w:val="center"/>
            </w:pPr>
            <w:r w:rsidRPr="00A355E9">
              <w:rPr>
                <w:rFonts w:ascii="Arial" w:hAnsi="Arial" w:cs="Arial"/>
              </w:rPr>
              <w:t xml:space="preserve">Page </w:t>
            </w:r>
            <w:r w:rsidRPr="00A355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355E9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355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F34AB">
              <w:rPr>
                <w:rFonts w:ascii="Arial" w:hAnsi="Arial" w:cs="Arial"/>
                <w:b/>
                <w:bCs/>
                <w:noProof/>
              </w:rPr>
              <w:t>1</w:t>
            </w:r>
            <w:r w:rsidRPr="00A355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355E9">
              <w:rPr>
                <w:rFonts w:ascii="Arial" w:hAnsi="Arial" w:cs="Arial"/>
              </w:rPr>
              <w:t xml:space="preserve"> of </w:t>
            </w:r>
            <w:r w:rsidRPr="00A355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355E9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355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4F34AB">
              <w:rPr>
                <w:rFonts w:ascii="Arial" w:hAnsi="Arial" w:cs="Arial"/>
                <w:b/>
                <w:bCs/>
                <w:noProof/>
              </w:rPr>
              <w:t>4</w:t>
            </w:r>
            <w:r w:rsidRPr="00A355E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55E9" w:rsidRDefault="00A355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3B5" w:rsidRDefault="004B53B5" w:rsidP="00A355E9">
      <w:pPr>
        <w:spacing w:after="0" w:line="240" w:lineRule="auto"/>
      </w:pPr>
      <w:r>
        <w:separator/>
      </w:r>
    </w:p>
  </w:footnote>
  <w:footnote w:type="continuationSeparator" w:id="0">
    <w:p w:rsidR="004B53B5" w:rsidRDefault="004B53B5" w:rsidP="00A35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5E9" w:rsidRDefault="00A355E9" w:rsidP="00317B18">
    <w:pPr>
      <w:pStyle w:val="Header"/>
      <w:pBdr>
        <w:bottom w:val="single" w:sz="4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C1526"/>
    <w:multiLevelType w:val="multilevel"/>
    <w:tmpl w:val="2236F4E0"/>
    <w:lvl w:ilvl="0">
      <w:start w:val="7"/>
      <w:numFmt w:val="decimal"/>
      <w:pStyle w:val="Heading1"/>
      <w:lvlText w:val="%1.2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caps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992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Restart w:val="0"/>
      <w:pStyle w:val="Heading3"/>
      <w:lvlText w:val="%1.1.%3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"/>
      <w:pStyle w:val="ListNumber"/>
      <w:lvlText w:val="(%4)"/>
      <w:lvlJc w:val="left"/>
      <w:pPr>
        <w:tabs>
          <w:tab w:val="num" w:pos="1560"/>
        </w:tabs>
        <w:ind w:left="1560" w:hanging="709"/>
      </w:pPr>
      <w:rPr>
        <w:rFonts w:ascii="Arial" w:hAnsi="Arial" w:hint="default"/>
        <w:b w:val="0"/>
        <w:i w:val="0"/>
        <w:sz w:val="22"/>
      </w:rPr>
    </w:lvl>
    <w:lvl w:ilvl="4">
      <w:start w:val="7"/>
      <w:numFmt w:val="lowerLetter"/>
      <w:pStyle w:val="List"/>
      <w:lvlText w:val="%5)"/>
      <w:lvlJc w:val="left"/>
      <w:pPr>
        <w:tabs>
          <w:tab w:val="num" w:pos="2126"/>
        </w:tabs>
        <w:ind w:left="2126" w:hanging="425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6">
      <w:start w:val="1"/>
      <w:numFmt w:val="decimal"/>
      <w:lvlRestart w:val="4"/>
      <w:pStyle w:val="Heading8"/>
      <w:lvlText w:val="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pStyle w:val="Heading9"/>
      <w:lvlText w:val="%7.%8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8">
      <w:start w:val="1"/>
      <w:numFmt w:val="decimal"/>
      <w:pStyle w:val="BodyText3"/>
      <w:lvlText w:val="%7.%8.%9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</w:abstractNum>
  <w:abstractNum w:abstractNumId="1">
    <w:nsid w:val="74871D05"/>
    <w:multiLevelType w:val="multilevel"/>
    <w:tmpl w:val="2F24079A"/>
    <w:lvl w:ilvl="0">
      <w:start w:val="3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E9"/>
    <w:rsid w:val="00317B18"/>
    <w:rsid w:val="004B53B5"/>
    <w:rsid w:val="004F34AB"/>
    <w:rsid w:val="005710D0"/>
    <w:rsid w:val="009D2095"/>
    <w:rsid w:val="00A355E9"/>
    <w:rsid w:val="00CC4648"/>
    <w:rsid w:val="00FE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355E9"/>
    <w:pPr>
      <w:keepNext/>
      <w:numPr>
        <w:numId w:val="1"/>
      </w:numPr>
      <w:spacing w:before="240" w:after="0" w:line="288" w:lineRule="auto"/>
      <w:outlineLvl w:val="0"/>
    </w:pPr>
    <w:rPr>
      <w:rFonts w:ascii="Arial" w:eastAsia="Times New Roman" w:hAnsi="Arial" w:cs="Times New Roman"/>
      <w:b/>
      <w:kern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A355E9"/>
    <w:pPr>
      <w:keepNext/>
      <w:numPr>
        <w:ilvl w:val="1"/>
        <w:numId w:val="1"/>
      </w:numPr>
      <w:spacing w:before="240" w:after="0" w:line="288" w:lineRule="auto"/>
      <w:outlineLvl w:val="1"/>
    </w:pPr>
    <w:rPr>
      <w:rFonts w:ascii="Arial" w:eastAsia="Times New Roman" w:hAnsi="Arial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A355E9"/>
    <w:pPr>
      <w:keepNext/>
      <w:numPr>
        <w:ilvl w:val="2"/>
        <w:numId w:val="1"/>
      </w:numPr>
      <w:spacing w:before="240" w:after="0" w:line="288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Heading8">
    <w:name w:val="heading 8"/>
    <w:basedOn w:val="Normal"/>
    <w:next w:val="Normal"/>
    <w:link w:val="Heading8Char"/>
    <w:qFormat/>
    <w:rsid w:val="00A355E9"/>
    <w:pPr>
      <w:numPr>
        <w:ilvl w:val="6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355E9"/>
    <w:pPr>
      <w:numPr>
        <w:ilvl w:val="7"/>
        <w:numId w:val="1"/>
      </w:numPr>
      <w:spacing w:before="120" w:after="0" w:line="264" w:lineRule="auto"/>
      <w:outlineLvl w:val="8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355E9"/>
    <w:pPr>
      <w:widowControl w:val="0"/>
      <w:tabs>
        <w:tab w:val="left" w:pos="0"/>
        <w:tab w:val="center" w:pos="4152"/>
        <w:tab w:val="right" w:pos="8305"/>
        <w:tab w:val="left" w:pos="864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A355E9"/>
    <w:rPr>
      <w:rFonts w:ascii="Courier New" w:eastAsia="Times New Roman" w:hAnsi="Courier New" w:cs="Times New Roman"/>
      <w:sz w:val="24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A355E9"/>
    <w:rPr>
      <w:rFonts w:ascii="Arial" w:eastAsia="Times New Roman" w:hAnsi="Arial" w:cs="Times New Roman"/>
      <w:b/>
      <w:kern w:val="28"/>
      <w:szCs w:val="20"/>
    </w:rPr>
  </w:style>
  <w:style w:type="character" w:customStyle="1" w:styleId="Heading2Char">
    <w:name w:val="Heading 2 Char"/>
    <w:basedOn w:val="DefaultParagraphFont"/>
    <w:link w:val="Heading2"/>
    <w:rsid w:val="00A355E9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A355E9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A355E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A355E9"/>
    <w:rPr>
      <w:rFonts w:ascii="Arial" w:eastAsia="Times New Roman" w:hAnsi="Arial" w:cs="Times New Roman"/>
      <w:szCs w:val="20"/>
    </w:rPr>
  </w:style>
  <w:style w:type="paragraph" w:styleId="ListNumber">
    <w:name w:val="List Number"/>
    <w:basedOn w:val="Normal"/>
    <w:rsid w:val="00A355E9"/>
    <w:pPr>
      <w:numPr>
        <w:ilvl w:val="3"/>
        <w:numId w:val="1"/>
      </w:numPr>
      <w:spacing w:before="180" w:after="0" w:line="264" w:lineRule="auto"/>
      <w:jc w:val="both"/>
    </w:pPr>
    <w:rPr>
      <w:rFonts w:ascii="Arial" w:eastAsia="Times New Roman" w:hAnsi="Arial" w:cs="Times New Roman"/>
      <w:szCs w:val="20"/>
    </w:rPr>
  </w:style>
  <w:style w:type="paragraph" w:styleId="BodyText3">
    <w:name w:val="Body Text 3"/>
    <w:basedOn w:val="Normal"/>
    <w:link w:val="BodyText3Char"/>
    <w:rsid w:val="00A355E9"/>
    <w:pPr>
      <w:numPr>
        <w:ilvl w:val="8"/>
        <w:numId w:val="1"/>
      </w:num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355E9"/>
    <w:rPr>
      <w:rFonts w:ascii="Times New Roman" w:eastAsia="Times New Roman" w:hAnsi="Times New Roman" w:cs="Times New Roman"/>
      <w:sz w:val="16"/>
      <w:szCs w:val="16"/>
    </w:rPr>
  </w:style>
  <w:style w:type="paragraph" w:styleId="List">
    <w:name w:val="List"/>
    <w:basedOn w:val="Normal"/>
    <w:rsid w:val="00A355E9"/>
    <w:pPr>
      <w:numPr>
        <w:ilvl w:val="4"/>
        <w:numId w:val="1"/>
      </w:numPr>
      <w:spacing w:before="240" w:after="0" w:line="288" w:lineRule="auto"/>
      <w:jc w:val="both"/>
    </w:pPr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35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5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355E9"/>
    <w:pPr>
      <w:keepNext/>
      <w:numPr>
        <w:numId w:val="1"/>
      </w:numPr>
      <w:spacing w:before="240" w:after="0" w:line="288" w:lineRule="auto"/>
      <w:outlineLvl w:val="0"/>
    </w:pPr>
    <w:rPr>
      <w:rFonts w:ascii="Arial" w:eastAsia="Times New Roman" w:hAnsi="Arial" w:cs="Times New Roman"/>
      <w:b/>
      <w:kern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A355E9"/>
    <w:pPr>
      <w:keepNext/>
      <w:numPr>
        <w:ilvl w:val="1"/>
        <w:numId w:val="1"/>
      </w:numPr>
      <w:spacing w:before="240" w:after="0" w:line="288" w:lineRule="auto"/>
      <w:outlineLvl w:val="1"/>
    </w:pPr>
    <w:rPr>
      <w:rFonts w:ascii="Arial" w:eastAsia="Times New Roman" w:hAnsi="Arial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A355E9"/>
    <w:pPr>
      <w:keepNext/>
      <w:numPr>
        <w:ilvl w:val="2"/>
        <w:numId w:val="1"/>
      </w:numPr>
      <w:spacing w:before="240" w:after="0" w:line="288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Heading8">
    <w:name w:val="heading 8"/>
    <w:basedOn w:val="Normal"/>
    <w:next w:val="Normal"/>
    <w:link w:val="Heading8Char"/>
    <w:qFormat/>
    <w:rsid w:val="00A355E9"/>
    <w:pPr>
      <w:numPr>
        <w:ilvl w:val="6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355E9"/>
    <w:pPr>
      <w:numPr>
        <w:ilvl w:val="7"/>
        <w:numId w:val="1"/>
      </w:numPr>
      <w:spacing w:before="120" w:after="0" w:line="264" w:lineRule="auto"/>
      <w:outlineLvl w:val="8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355E9"/>
    <w:pPr>
      <w:widowControl w:val="0"/>
      <w:tabs>
        <w:tab w:val="left" w:pos="0"/>
        <w:tab w:val="center" w:pos="4152"/>
        <w:tab w:val="right" w:pos="8305"/>
        <w:tab w:val="left" w:pos="864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A355E9"/>
    <w:rPr>
      <w:rFonts w:ascii="Courier New" w:eastAsia="Times New Roman" w:hAnsi="Courier New" w:cs="Times New Roman"/>
      <w:sz w:val="24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A355E9"/>
    <w:rPr>
      <w:rFonts w:ascii="Arial" w:eastAsia="Times New Roman" w:hAnsi="Arial" w:cs="Times New Roman"/>
      <w:b/>
      <w:kern w:val="28"/>
      <w:szCs w:val="20"/>
    </w:rPr>
  </w:style>
  <w:style w:type="character" w:customStyle="1" w:styleId="Heading2Char">
    <w:name w:val="Heading 2 Char"/>
    <w:basedOn w:val="DefaultParagraphFont"/>
    <w:link w:val="Heading2"/>
    <w:rsid w:val="00A355E9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A355E9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A355E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A355E9"/>
    <w:rPr>
      <w:rFonts w:ascii="Arial" w:eastAsia="Times New Roman" w:hAnsi="Arial" w:cs="Times New Roman"/>
      <w:szCs w:val="20"/>
    </w:rPr>
  </w:style>
  <w:style w:type="paragraph" w:styleId="ListNumber">
    <w:name w:val="List Number"/>
    <w:basedOn w:val="Normal"/>
    <w:rsid w:val="00A355E9"/>
    <w:pPr>
      <w:numPr>
        <w:ilvl w:val="3"/>
        <w:numId w:val="1"/>
      </w:numPr>
      <w:spacing w:before="180" w:after="0" w:line="264" w:lineRule="auto"/>
      <w:jc w:val="both"/>
    </w:pPr>
    <w:rPr>
      <w:rFonts w:ascii="Arial" w:eastAsia="Times New Roman" w:hAnsi="Arial" w:cs="Times New Roman"/>
      <w:szCs w:val="20"/>
    </w:rPr>
  </w:style>
  <w:style w:type="paragraph" w:styleId="BodyText3">
    <w:name w:val="Body Text 3"/>
    <w:basedOn w:val="Normal"/>
    <w:link w:val="BodyText3Char"/>
    <w:rsid w:val="00A355E9"/>
    <w:pPr>
      <w:numPr>
        <w:ilvl w:val="8"/>
        <w:numId w:val="1"/>
      </w:num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355E9"/>
    <w:rPr>
      <w:rFonts w:ascii="Times New Roman" w:eastAsia="Times New Roman" w:hAnsi="Times New Roman" w:cs="Times New Roman"/>
      <w:sz w:val="16"/>
      <w:szCs w:val="16"/>
    </w:rPr>
  </w:style>
  <w:style w:type="paragraph" w:styleId="List">
    <w:name w:val="List"/>
    <w:basedOn w:val="Normal"/>
    <w:rsid w:val="00A355E9"/>
    <w:pPr>
      <w:numPr>
        <w:ilvl w:val="4"/>
        <w:numId w:val="1"/>
      </w:numPr>
      <w:spacing w:before="240" w:after="0" w:line="288" w:lineRule="auto"/>
      <w:jc w:val="both"/>
    </w:pPr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35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66A5EB3F.dotm</Template>
  <TotalTime>0</TotalTime>
  <Pages>4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McMann, Oliver</dc:creator>
  <cp:lastModifiedBy>Templer, John</cp:lastModifiedBy>
  <cp:revision>4</cp:revision>
  <dcterms:created xsi:type="dcterms:W3CDTF">2016-03-09T19:53:00Z</dcterms:created>
  <dcterms:modified xsi:type="dcterms:W3CDTF">2017-03-01T17:12:00Z</dcterms:modified>
</cp:coreProperties>
</file>