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BFBBB" w14:textId="77777777" w:rsidR="00DC5819" w:rsidRPr="005F6D26" w:rsidRDefault="00E758CC" w:rsidP="005C2297">
      <w:pPr>
        <w:pStyle w:val="ListParagraph"/>
        <w:numPr>
          <w:ilvl w:val="0"/>
          <w:numId w:val="13"/>
        </w:numPr>
        <w:jc w:val="both"/>
        <w:rPr>
          <w:rFonts w:asciiTheme="majorHAnsi" w:hAnsiTheme="majorHAnsi"/>
          <w:b/>
        </w:rPr>
      </w:pPr>
      <w:r w:rsidRPr="005F6D26">
        <w:rPr>
          <w:rFonts w:asciiTheme="majorHAnsi" w:hAnsiTheme="majorHAnsi"/>
          <w:b/>
        </w:rPr>
        <w:t>BACKGROUND</w:t>
      </w:r>
    </w:p>
    <w:p w14:paraId="47B537D5" w14:textId="77777777" w:rsidR="00E758CC" w:rsidRPr="005F6D26" w:rsidRDefault="00E758CC" w:rsidP="00E758CC">
      <w:pPr>
        <w:jc w:val="both"/>
        <w:rPr>
          <w:rFonts w:asciiTheme="majorHAnsi" w:hAnsiTheme="majorHAnsi"/>
        </w:rPr>
      </w:pPr>
      <w:r w:rsidRPr="005F6D26">
        <w:rPr>
          <w:rFonts w:asciiTheme="majorHAnsi" w:hAnsiTheme="majorHAnsi"/>
        </w:rPr>
        <w:t xml:space="preserve">Kew’s Venue Hire and Commercial Media department serves to generate revenue from Kew’s valuable gardens and property assets, which encompass a diverse range of beautiful and historic buildings suitable for events and filming. </w:t>
      </w:r>
      <w:r w:rsidR="00EF67A8" w:rsidRPr="005F6D26">
        <w:rPr>
          <w:rFonts w:asciiTheme="majorHAnsi" w:hAnsiTheme="majorHAnsi"/>
        </w:rPr>
        <w:t>RBG Kew Enterprises is a limited company and wholly owned subsidiary of</w:t>
      </w:r>
      <w:r w:rsidR="00944A8D">
        <w:rPr>
          <w:rFonts w:asciiTheme="majorHAnsi" w:hAnsiTheme="majorHAnsi"/>
        </w:rPr>
        <w:t xml:space="preserve"> the Royal Botanic Gardens, Kew</w:t>
      </w:r>
      <w:r w:rsidR="00944A8D" w:rsidRPr="005F6D26">
        <w:rPr>
          <w:rFonts w:asciiTheme="majorHAnsi" w:hAnsiTheme="majorHAnsi"/>
        </w:rPr>
        <w:t xml:space="preserve"> (</w:t>
      </w:r>
      <w:r w:rsidR="008B0FF6" w:rsidRPr="005F6D26">
        <w:rPr>
          <w:rFonts w:asciiTheme="majorHAnsi" w:hAnsiTheme="majorHAnsi"/>
        </w:rPr>
        <w:t>“RBG Kew”)</w:t>
      </w:r>
      <w:r w:rsidR="00944A8D">
        <w:rPr>
          <w:rFonts w:asciiTheme="majorHAnsi" w:hAnsiTheme="majorHAnsi"/>
        </w:rPr>
        <w:t>, and</w:t>
      </w:r>
      <w:r w:rsidR="008B0FF6" w:rsidRPr="005F6D26">
        <w:rPr>
          <w:rFonts w:asciiTheme="majorHAnsi" w:hAnsiTheme="majorHAnsi"/>
        </w:rPr>
        <w:t xml:space="preserve"> </w:t>
      </w:r>
      <w:r w:rsidR="00EF67A8" w:rsidRPr="005F6D26">
        <w:rPr>
          <w:rFonts w:asciiTheme="majorHAnsi" w:hAnsiTheme="majorHAnsi"/>
        </w:rPr>
        <w:t xml:space="preserve">which exists to generate an income to support Kew. </w:t>
      </w:r>
      <w:r w:rsidR="00E7275C" w:rsidRPr="005F6D26">
        <w:rPr>
          <w:rFonts w:asciiTheme="majorHAnsi" w:hAnsiTheme="majorHAnsi"/>
        </w:rPr>
        <w:t xml:space="preserve"> </w:t>
      </w:r>
      <w:r w:rsidR="00EF67A8" w:rsidRPr="005F6D26">
        <w:rPr>
          <w:rFonts w:asciiTheme="majorHAnsi" w:hAnsiTheme="majorHAnsi"/>
        </w:rPr>
        <w:t>All profits are covenanted to the organisation providing invaluable support for Kew’s mission.</w:t>
      </w:r>
    </w:p>
    <w:p w14:paraId="0E2BCCCF" w14:textId="77777777" w:rsidR="000932CF" w:rsidRPr="005F6D26" w:rsidRDefault="00E758CC" w:rsidP="00E758CC">
      <w:pPr>
        <w:jc w:val="both"/>
        <w:rPr>
          <w:rFonts w:asciiTheme="majorHAnsi" w:hAnsiTheme="majorHAnsi"/>
        </w:rPr>
      </w:pPr>
      <w:r w:rsidRPr="005F6D26">
        <w:rPr>
          <w:rFonts w:asciiTheme="majorHAnsi" w:hAnsiTheme="majorHAnsi"/>
        </w:rPr>
        <w:t xml:space="preserve">A variety of corporate and private events are held within the Gardens, ranging from conferences, awards ceremonies, receptions and dinners, to birthday parties and wakes. A substantial amount of venue hire events are wedding ceremonies and receptions. </w:t>
      </w:r>
    </w:p>
    <w:p w14:paraId="415CE04A" w14:textId="77777777" w:rsidR="00E758CC" w:rsidRPr="005F6D26" w:rsidRDefault="00E758CC" w:rsidP="00E758CC">
      <w:pPr>
        <w:jc w:val="both"/>
        <w:rPr>
          <w:rFonts w:asciiTheme="majorHAnsi" w:hAnsiTheme="majorHAnsi"/>
        </w:rPr>
      </w:pPr>
      <w:r w:rsidRPr="005F6D26">
        <w:rPr>
          <w:rFonts w:asciiTheme="majorHAnsi" w:hAnsiTheme="majorHAnsi"/>
        </w:rPr>
        <w:t xml:space="preserve">The events can range in size and scale from a small meeting for 25 guests, to a wedding for 200 guests utilising three or four venues onsite. Additionally, the Venue Hire department looks after commercial media and manages photography and film shoots across the Gardens. </w:t>
      </w:r>
    </w:p>
    <w:p w14:paraId="23154E7A" w14:textId="77777777" w:rsidR="000932CF" w:rsidRPr="005F6D26" w:rsidRDefault="00E758CC" w:rsidP="00E758CC">
      <w:pPr>
        <w:jc w:val="both"/>
        <w:rPr>
          <w:rFonts w:asciiTheme="majorHAnsi" w:hAnsiTheme="majorHAnsi"/>
        </w:rPr>
      </w:pPr>
      <w:r w:rsidRPr="005F6D26">
        <w:rPr>
          <w:rFonts w:asciiTheme="majorHAnsi" w:hAnsiTheme="majorHAnsi"/>
        </w:rPr>
        <w:t>The V</w:t>
      </w:r>
      <w:r w:rsidR="00E7275C" w:rsidRPr="005F6D26">
        <w:rPr>
          <w:rFonts w:asciiTheme="majorHAnsi" w:hAnsiTheme="majorHAnsi"/>
        </w:rPr>
        <w:t>enue Hire team currently manage</w:t>
      </w:r>
      <w:r w:rsidRPr="005F6D26">
        <w:rPr>
          <w:rFonts w:asciiTheme="majorHAnsi" w:hAnsiTheme="majorHAnsi"/>
        </w:rPr>
        <w:t xml:space="preserve"> a portfolio of </w:t>
      </w:r>
      <w:r w:rsidR="0051681B">
        <w:rPr>
          <w:rFonts w:asciiTheme="majorHAnsi" w:hAnsiTheme="majorHAnsi"/>
        </w:rPr>
        <w:t xml:space="preserve">6 </w:t>
      </w:r>
      <w:r w:rsidRPr="005F6D26">
        <w:rPr>
          <w:rFonts w:asciiTheme="majorHAnsi" w:hAnsiTheme="majorHAnsi"/>
        </w:rPr>
        <w:t>venues onsite, and held 166 events in 2016. The Historical Event Data at</w:t>
      </w:r>
      <w:r w:rsidR="00E7275C" w:rsidRPr="005F6D26">
        <w:rPr>
          <w:rFonts w:asciiTheme="majorHAnsi" w:hAnsiTheme="majorHAnsi"/>
        </w:rPr>
        <w:t xml:space="preserve"> Appendix B</w:t>
      </w:r>
      <w:r w:rsidRPr="005F6D26">
        <w:rPr>
          <w:rFonts w:asciiTheme="majorHAnsi" w:hAnsiTheme="majorHAnsi"/>
        </w:rPr>
        <w:t xml:space="preserve"> shows in detail the distribution of events by month and day of the week. </w:t>
      </w:r>
      <w:r w:rsidR="009F0228">
        <w:rPr>
          <w:rFonts w:asciiTheme="majorHAnsi" w:hAnsiTheme="majorHAnsi"/>
        </w:rPr>
        <w:t xml:space="preserve"> </w:t>
      </w:r>
    </w:p>
    <w:p w14:paraId="03705EC3" w14:textId="77777777" w:rsidR="00E758CC" w:rsidRPr="005F6D26" w:rsidRDefault="00E758CC" w:rsidP="00E758CC">
      <w:pPr>
        <w:jc w:val="both"/>
        <w:rPr>
          <w:rFonts w:asciiTheme="majorHAnsi" w:hAnsiTheme="majorHAnsi"/>
        </w:rPr>
      </w:pPr>
      <w:r w:rsidRPr="005F6D26">
        <w:rPr>
          <w:rFonts w:asciiTheme="majorHAnsi" w:hAnsiTheme="majorHAnsi"/>
        </w:rPr>
        <w:t>The majority of the events broadly fall into the extended ‘wedding season’ of April to October, during which time there are frequently multiple event</w:t>
      </w:r>
      <w:r w:rsidR="000932CF" w:rsidRPr="005F6D26">
        <w:rPr>
          <w:rFonts w:asciiTheme="majorHAnsi" w:hAnsiTheme="majorHAnsi"/>
        </w:rPr>
        <w:t>s</w:t>
      </w:r>
      <w:r w:rsidRPr="005F6D26">
        <w:rPr>
          <w:rFonts w:asciiTheme="majorHAnsi" w:hAnsiTheme="majorHAnsi"/>
        </w:rPr>
        <w:t xml:space="preserve"> taking place on the same day. Events often take place at weekends, but can occur any day of the week including Bank Holidays. </w:t>
      </w:r>
    </w:p>
    <w:p w14:paraId="08F01A69" w14:textId="77777777" w:rsidR="00EF67A8" w:rsidRPr="005F6D26" w:rsidRDefault="00EF67A8" w:rsidP="00676D81">
      <w:pPr>
        <w:pStyle w:val="ListParagraph"/>
        <w:numPr>
          <w:ilvl w:val="0"/>
          <w:numId w:val="4"/>
        </w:numPr>
        <w:jc w:val="both"/>
        <w:rPr>
          <w:rFonts w:asciiTheme="majorHAnsi" w:hAnsiTheme="majorHAnsi"/>
          <w:b/>
        </w:rPr>
      </w:pPr>
      <w:r w:rsidRPr="005F6D26">
        <w:rPr>
          <w:rFonts w:asciiTheme="majorHAnsi" w:hAnsiTheme="majorHAnsi"/>
          <w:b/>
        </w:rPr>
        <w:t>CONTRACT BRIEF</w:t>
      </w:r>
    </w:p>
    <w:p w14:paraId="7E31F121" w14:textId="77777777" w:rsidR="00EF67A8" w:rsidRPr="005F6D26" w:rsidRDefault="00676D81" w:rsidP="00676D81">
      <w:pPr>
        <w:ind w:left="720"/>
        <w:jc w:val="both"/>
        <w:rPr>
          <w:rFonts w:asciiTheme="majorHAnsi" w:hAnsiTheme="majorHAnsi"/>
          <w:b/>
        </w:rPr>
      </w:pPr>
      <w:r w:rsidRPr="005F6D26">
        <w:rPr>
          <w:rFonts w:asciiTheme="majorHAnsi" w:hAnsiTheme="majorHAnsi"/>
          <w:b/>
        </w:rPr>
        <w:t xml:space="preserve">2.1 </w:t>
      </w:r>
      <w:r w:rsidR="00EF67A8" w:rsidRPr="005F6D26">
        <w:rPr>
          <w:rFonts w:asciiTheme="majorHAnsi" w:hAnsiTheme="majorHAnsi"/>
          <w:b/>
        </w:rPr>
        <w:t xml:space="preserve">Overview </w:t>
      </w:r>
    </w:p>
    <w:p w14:paraId="5CFC67A9" w14:textId="77777777" w:rsidR="005C2297" w:rsidRPr="005F6D26" w:rsidRDefault="00EF67A8" w:rsidP="00EF67A8">
      <w:pPr>
        <w:jc w:val="both"/>
        <w:rPr>
          <w:rFonts w:asciiTheme="majorHAnsi" w:hAnsiTheme="majorHAnsi"/>
        </w:rPr>
      </w:pPr>
      <w:r w:rsidRPr="005F6D26">
        <w:rPr>
          <w:rFonts w:asciiTheme="majorHAnsi" w:hAnsiTheme="majorHAnsi"/>
        </w:rPr>
        <w:t xml:space="preserve">The majority of Venue Hire events and Commercial Media shoots require a security presence to ensure the smooth running of the events. </w:t>
      </w:r>
    </w:p>
    <w:p w14:paraId="5A21B528" w14:textId="77777777" w:rsidR="005C2297" w:rsidRPr="005F6D26" w:rsidRDefault="00EF67A8" w:rsidP="00EF67A8">
      <w:pPr>
        <w:jc w:val="both"/>
        <w:rPr>
          <w:rFonts w:asciiTheme="majorHAnsi" w:hAnsiTheme="majorHAnsi"/>
        </w:rPr>
      </w:pPr>
      <w:r w:rsidRPr="005F6D26">
        <w:rPr>
          <w:rFonts w:asciiTheme="majorHAnsi" w:hAnsiTheme="majorHAnsi"/>
        </w:rPr>
        <w:t xml:space="preserve">Events which take place in </w:t>
      </w:r>
      <w:r w:rsidR="005C2297" w:rsidRPr="005F6D26">
        <w:rPr>
          <w:rFonts w:asciiTheme="majorHAnsi" w:hAnsiTheme="majorHAnsi"/>
        </w:rPr>
        <w:t xml:space="preserve">RBG </w:t>
      </w:r>
      <w:r w:rsidRPr="005F6D26">
        <w:rPr>
          <w:rFonts w:asciiTheme="majorHAnsi" w:hAnsiTheme="majorHAnsi"/>
        </w:rPr>
        <w:t xml:space="preserve">Kew’s smallest venue, the Orangery Conference Room, are an exception and do not require security. </w:t>
      </w:r>
    </w:p>
    <w:p w14:paraId="5A2F958C" w14:textId="77777777" w:rsidR="00EF67A8" w:rsidRPr="005F6D26" w:rsidRDefault="00EF67A8" w:rsidP="00EF67A8">
      <w:pPr>
        <w:jc w:val="both"/>
        <w:rPr>
          <w:rFonts w:asciiTheme="majorHAnsi" w:hAnsiTheme="majorHAnsi"/>
        </w:rPr>
      </w:pPr>
      <w:r w:rsidRPr="005F6D26">
        <w:rPr>
          <w:rFonts w:asciiTheme="majorHAnsi" w:hAnsiTheme="majorHAnsi"/>
        </w:rPr>
        <w:t>The overall aim of the contract is to provide high quality, reliable, safe, professional security at a cost that represents value for money.</w:t>
      </w:r>
    </w:p>
    <w:p w14:paraId="6E8909C7" w14:textId="77777777" w:rsidR="005C2297" w:rsidRPr="005F6D26" w:rsidRDefault="00EF67A8" w:rsidP="00EF67A8">
      <w:pPr>
        <w:jc w:val="both"/>
        <w:rPr>
          <w:rFonts w:asciiTheme="majorHAnsi" w:hAnsiTheme="majorHAnsi"/>
        </w:rPr>
      </w:pPr>
      <w:r w:rsidRPr="005F6D26">
        <w:rPr>
          <w:rFonts w:asciiTheme="majorHAnsi" w:hAnsiTheme="majorHAnsi"/>
        </w:rPr>
        <w:t xml:space="preserve">Kew is a world heritage site and aims to hold world class events, therefore our aim is to provide venue services to a standard of excellence that befits the surroundings. </w:t>
      </w:r>
    </w:p>
    <w:p w14:paraId="1A49030B" w14:textId="77777777" w:rsidR="004E72E1" w:rsidRPr="005F6D26" w:rsidRDefault="00EF67A8" w:rsidP="00EF67A8">
      <w:pPr>
        <w:jc w:val="both"/>
        <w:rPr>
          <w:rFonts w:asciiTheme="majorHAnsi" w:hAnsiTheme="majorHAnsi"/>
        </w:rPr>
      </w:pPr>
      <w:r w:rsidRPr="005F6D26">
        <w:rPr>
          <w:rFonts w:asciiTheme="majorHAnsi" w:hAnsiTheme="majorHAnsi"/>
        </w:rPr>
        <w:t xml:space="preserve">Event security staff are integral to the guest experience and must provide an exemplary standard of customer care. </w:t>
      </w:r>
      <w:r w:rsidR="005C2297" w:rsidRPr="005F6D26">
        <w:rPr>
          <w:rFonts w:asciiTheme="majorHAnsi" w:hAnsiTheme="majorHAnsi"/>
        </w:rPr>
        <w:t xml:space="preserve"> </w:t>
      </w:r>
      <w:r w:rsidR="00330453" w:rsidRPr="005F6D26">
        <w:rPr>
          <w:rFonts w:asciiTheme="majorHAnsi" w:hAnsiTheme="majorHAnsi"/>
        </w:rPr>
        <w:t xml:space="preserve">As such, </w:t>
      </w:r>
      <w:r w:rsidR="00F7202C">
        <w:rPr>
          <w:rFonts w:asciiTheme="majorHAnsi" w:hAnsiTheme="majorHAnsi"/>
        </w:rPr>
        <w:t xml:space="preserve">the appointed supplier must provide </w:t>
      </w:r>
      <w:r w:rsidR="00330453" w:rsidRPr="005F6D26">
        <w:rPr>
          <w:rFonts w:asciiTheme="majorHAnsi" w:hAnsiTheme="majorHAnsi"/>
        </w:rPr>
        <w:t>customer service training</w:t>
      </w:r>
      <w:r w:rsidR="00F7202C">
        <w:rPr>
          <w:rFonts w:asciiTheme="majorHAnsi" w:hAnsiTheme="majorHAnsi"/>
        </w:rPr>
        <w:t xml:space="preserve"> </w:t>
      </w:r>
      <w:r w:rsidR="00330453" w:rsidRPr="005F6D26">
        <w:rPr>
          <w:rFonts w:asciiTheme="majorHAnsi" w:hAnsiTheme="majorHAnsi"/>
        </w:rPr>
        <w:t xml:space="preserve">for all </w:t>
      </w:r>
      <w:r w:rsidR="00F7202C">
        <w:rPr>
          <w:rFonts w:asciiTheme="majorHAnsi" w:hAnsiTheme="majorHAnsi"/>
        </w:rPr>
        <w:t>staff deployed to RBG Kew</w:t>
      </w:r>
      <w:r w:rsidR="00330453" w:rsidRPr="005F6D26">
        <w:rPr>
          <w:rFonts w:asciiTheme="majorHAnsi" w:hAnsiTheme="majorHAnsi"/>
        </w:rPr>
        <w:t>.</w:t>
      </w:r>
      <w:r w:rsidR="004E72E1">
        <w:rPr>
          <w:rFonts w:asciiTheme="majorHAnsi" w:hAnsiTheme="majorHAnsi"/>
        </w:rPr>
        <w:t xml:space="preserve">  Role descriptions for each position are included at Appendix D.</w:t>
      </w:r>
    </w:p>
    <w:p w14:paraId="7E067843" w14:textId="77777777" w:rsidR="00676D81" w:rsidRPr="005F6D26" w:rsidRDefault="00676D81" w:rsidP="00676D81">
      <w:pPr>
        <w:ind w:firstLine="720"/>
        <w:jc w:val="both"/>
        <w:rPr>
          <w:rFonts w:asciiTheme="majorHAnsi" w:hAnsiTheme="majorHAnsi"/>
          <w:b/>
        </w:rPr>
      </w:pPr>
      <w:r w:rsidRPr="005F6D26">
        <w:rPr>
          <w:rFonts w:asciiTheme="majorHAnsi" w:hAnsiTheme="majorHAnsi"/>
          <w:b/>
        </w:rPr>
        <w:t>2.2 Staffing levels</w:t>
      </w:r>
    </w:p>
    <w:p w14:paraId="5940962E" w14:textId="77777777" w:rsidR="00225AFB" w:rsidRPr="005F6D26" w:rsidRDefault="00225AFB" w:rsidP="00F7202C">
      <w:pPr>
        <w:jc w:val="both"/>
        <w:rPr>
          <w:rFonts w:asciiTheme="majorHAnsi" w:hAnsiTheme="majorHAnsi"/>
        </w:rPr>
      </w:pPr>
      <w:r w:rsidRPr="005F6D26">
        <w:rPr>
          <w:rFonts w:asciiTheme="majorHAnsi" w:hAnsiTheme="majorHAnsi"/>
        </w:rPr>
        <w:t>Staffing levels required will vary on an event by event basis according to the specific requirements of the event</w:t>
      </w:r>
      <w:r w:rsidR="002C7FD6" w:rsidRPr="005F6D26">
        <w:rPr>
          <w:rFonts w:asciiTheme="majorHAnsi" w:hAnsiTheme="majorHAnsi"/>
        </w:rPr>
        <w:t xml:space="preserve">. </w:t>
      </w:r>
      <w:r w:rsidR="00F7202C">
        <w:rPr>
          <w:rFonts w:asciiTheme="majorHAnsi" w:hAnsiTheme="majorHAnsi"/>
        </w:rPr>
        <w:t xml:space="preserve"> </w:t>
      </w:r>
      <w:r w:rsidR="005E64B8" w:rsidRPr="005F6D26">
        <w:rPr>
          <w:rFonts w:asciiTheme="majorHAnsi" w:hAnsiTheme="majorHAnsi"/>
        </w:rPr>
        <w:t>RBG Kew will advise on the number o</w:t>
      </w:r>
      <w:r w:rsidR="00146549">
        <w:rPr>
          <w:rFonts w:asciiTheme="majorHAnsi" w:hAnsiTheme="majorHAnsi"/>
        </w:rPr>
        <w:t xml:space="preserve">f staff required for each event, and will be willing to pay a minimum call time of 5 hours or fewer. </w:t>
      </w:r>
      <w:r w:rsidR="00F7202C">
        <w:rPr>
          <w:rFonts w:asciiTheme="majorHAnsi" w:hAnsiTheme="majorHAnsi"/>
        </w:rPr>
        <w:t>The expected level of staff re</w:t>
      </w:r>
      <w:r w:rsidRPr="005F6D26">
        <w:rPr>
          <w:rFonts w:asciiTheme="majorHAnsi" w:hAnsiTheme="majorHAnsi"/>
        </w:rPr>
        <w:t>quire</w:t>
      </w:r>
      <w:r w:rsidR="00F7202C">
        <w:rPr>
          <w:rFonts w:asciiTheme="majorHAnsi" w:hAnsiTheme="majorHAnsi"/>
        </w:rPr>
        <w:t>d for each venue is</w:t>
      </w:r>
      <w:r w:rsidRPr="005F6D26">
        <w:rPr>
          <w:rFonts w:asciiTheme="majorHAnsi" w:hAnsiTheme="majorHAnsi"/>
        </w:rPr>
        <w:t xml:space="preserve"> as follows</w:t>
      </w:r>
      <w:r w:rsidR="00F7202C">
        <w:rPr>
          <w:rFonts w:asciiTheme="majorHAnsi" w:hAnsiTheme="majorHAnsi"/>
        </w:rPr>
        <w:t>:</w:t>
      </w:r>
      <w:r w:rsidR="00AA6D34" w:rsidRPr="005F6D26">
        <w:rPr>
          <w:rFonts w:asciiTheme="majorHAnsi" w:hAnsiTheme="majorHAnsi"/>
        </w:rPr>
        <w:t xml:space="preserve">  </w:t>
      </w:r>
    </w:p>
    <w:p w14:paraId="1DCE35A9" w14:textId="77777777" w:rsidR="00225AFB" w:rsidRPr="005F6D26" w:rsidRDefault="00225AFB" w:rsidP="00EF67A8">
      <w:pPr>
        <w:jc w:val="both"/>
        <w:rPr>
          <w:rFonts w:asciiTheme="majorHAnsi" w:hAnsiTheme="majorHAnsi"/>
        </w:rPr>
      </w:pPr>
      <w:r w:rsidRPr="005F6D26">
        <w:rPr>
          <w:rFonts w:asciiTheme="majorHAnsi" w:hAnsiTheme="majorHAnsi"/>
          <w:u w:val="single"/>
        </w:rPr>
        <w:lastRenderedPageBreak/>
        <w:t>Cambridge Cottage</w:t>
      </w:r>
      <w:r w:rsidRPr="005F6D26">
        <w:rPr>
          <w:rFonts w:asciiTheme="majorHAnsi" w:hAnsiTheme="majorHAnsi"/>
        </w:rPr>
        <w:t xml:space="preserve"> – 1 or 2 stewarding staff, one of which </w:t>
      </w:r>
      <w:r w:rsidR="005E64B8" w:rsidRPr="005F6D26">
        <w:rPr>
          <w:rFonts w:asciiTheme="majorHAnsi" w:hAnsiTheme="majorHAnsi"/>
        </w:rPr>
        <w:t>to be</w:t>
      </w:r>
      <w:r w:rsidRPr="005F6D26">
        <w:rPr>
          <w:rFonts w:asciiTheme="majorHAnsi" w:hAnsiTheme="majorHAnsi"/>
        </w:rPr>
        <w:t xml:space="preserve"> SIA licensed. Primary staff member to be </w:t>
      </w:r>
      <w:r w:rsidR="005E64B8" w:rsidRPr="005F6D26">
        <w:rPr>
          <w:rFonts w:asciiTheme="majorHAnsi" w:hAnsiTheme="majorHAnsi"/>
        </w:rPr>
        <w:t>of</w:t>
      </w:r>
      <w:r w:rsidRPr="005F6D26">
        <w:rPr>
          <w:rFonts w:asciiTheme="majorHAnsi" w:hAnsiTheme="majorHAnsi"/>
        </w:rPr>
        <w:t xml:space="preserve"> supervisory level. </w:t>
      </w:r>
      <w:r w:rsidR="00FF7990">
        <w:rPr>
          <w:rFonts w:asciiTheme="majorHAnsi" w:hAnsiTheme="majorHAnsi"/>
        </w:rPr>
        <w:t xml:space="preserve">Cambridge Cottage is a former royal residence incorporated into Kew in 1904. This elegant listed building is set within its own private gardens and how houses a permanent exhibition of botanical art. It can accommodate smaller events including wedding ceremonies and receptions and daytime and evening corporate events, of 100-150 guests. </w:t>
      </w:r>
    </w:p>
    <w:p w14:paraId="0AED4ACC" w14:textId="77777777" w:rsidR="00225AFB" w:rsidRPr="005F6D26" w:rsidRDefault="00225AFB" w:rsidP="00EF67A8">
      <w:pPr>
        <w:jc w:val="both"/>
        <w:rPr>
          <w:rFonts w:asciiTheme="majorHAnsi" w:hAnsiTheme="majorHAnsi"/>
        </w:rPr>
      </w:pPr>
      <w:r w:rsidRPr="005F6D26">
        <w:rPr>
          <w:rFonts w:asciiTheme="majorHAnsi" w:hAnsiTheme="majorHAnsi"/>
          <w:u w:val="single"/>
        </w:rPr>
        <w:t>Nash Conservatory</w:t>
      </w:r>
      <w:r w:rsidRPr="005F6D26">
        <w:rPr>
          <w:rFonts w:asciiTheme="majorHAnsi" w:hAnsiTheme="majorHAnsi"/>
        </w:rPr>
        <w:t xml:space="preserve"> – 1 supervisor, 6 stewarding staff</w:t>
      </w:r>
      <w:r w:rsidR="00FF7990">
        <w:rPr>
          <w:rFonts w:asciiTheme="majorHAnsi" w:hAnsiTheme="majorHAnsi"/>
        </w:rPr>
        <w:t>. The Nash Conservatory is the oldest of the 19</w:t>
      </w:r>
      <w:r w:rsidR="00FF7990" w:rsidRPr="00FF7990">
        <w:rPr>
          <w:rFonts w:asciiTheme="majorHAnsi" w:hAnsiTheme="majorHAnsi"/>
          <w:vertAlign w:val="superscript"/>
        </w:rPr>
        <w:t>th</w:t>
      </w:r>
      <w:r w:rsidR="00FF7990">
        <w:rPr>
          <w:rFonts w:asciiTheme="majorHAnsi" w:hAnsiTheme="majorHAnsi"/>
        </w:rPr>
        <w:t xml:space="preserve"> C glasshouses at Kew and is of major historical and architectural importance. It provides a versatile event space for daytime and evening events, including conferences, drinks receptions and wedding ceremonies for up to 200 guests. </w:t>
      </w:r>
    </w:p>
    <w:p w14:paraId="4C5B22A4" w14:textId="7DC27412" w:rsidR="00225AFB" w:rsidRPr="005F6D26" w:rsidRDefault="00225AFB" w:rsidP="00EF67A8">
      <w:pPr>
        <w:jc w:val="both"/>
        <w:rPr>
          <w:rFonts w:asciiTheme="majorHAnsi" w:hAnsiTheme="majorHAnsi"/>
        </w:rPr>
      </w:pPr>
      <w:r w:rsidRPr="005F6D26">
        <w:rPr>
          <w:rFonts w:asciiTheme="majorHAnsi" w:hAnsiTheme="majorHAnsi"/>
          <w:u w:val="single"/>
        </w:rPr>
        <w:t>Princess of Wales Conservatory</w:t>
      </w:r>
      <w:r w:rsidRPr="005F6D26">
        <w:rPr>
          <w:rFonts w:asciiTheme="majorHAnsi" w:hAnsiTheme="majorHAnsi"/>
        </w:rPr>
        <w:t xml:space="preserve"> – 2 stewarding staff</w:t>
      </w:r>
      <w:r w:rsidR="00FF7990">
        <w:rPr>
          <w:rFonts w:asciiTheme="majorHAnsi" w:hAnsiTheme="majorHAnsi"/>
        </w:rPr>
        <w:t>. The Princess of Wales Conservatory is Kew’s most varied glasshouse with ten climatic zones covering environments fr</w:t>
      </w:r>
      <w:r w:rsidR="00305E90">
        <w:rPr>
          <w:rFonts w:asciiTheme="majorHAnsi" w:hAnsiTheme="majorHAnsi"/>
        </w:rPr>
        <w:t>om</w:t>
      </w:r>
      <w:r w:rsidR="00FF7990">
        <w:rPr>
          <w:rFonts w:asciiTheme="majorHAnsi" w:hAnsiTheme="majorHAnsi"/>
        </w:rPr>
        <w:t xml:space="preserve"> arid desert to tropical rainforest</w:t>
      </w:r>
      <w:r w:rsidR="00305E90">
        <w:rPr>
          <w:rFonts w:asciiTheme="majorHAnsi" w:hAnsiTheme="majorHAnsi"/>
        </w:rPr>
        <w:t>,</w:t>
      </w:r>
      <w:bookmarkStart w:id="0" w:name="_GoBack"/>
      <w:bookmarkEnd w:id="0"/>
      <w:r w:rsidR="00FF7990">
        <w:rPr>
          <w:rFonts w:asciiTheme="majorHAnsi" w:hAnsiTheme="majorHAnsi"/>
        </w:rPr>
        <w:t xml:space="preserve"> and holds priceless botanical collections. </w:t>
      </w:r>
      <w:r w:rsidR="00305E90">
        <w:rPr>
          <w:rFonts w:asciiTheme="majorHAnsi" w:hAnsiTheme="majorHAnsi"/>
        </w:rPr>
        <w:t>It</w:t>
      </w:r>
      <w:r w:rsidR="00FF7990">
        <w:rPr>
          <w:rFonts w:asciiTheme="majorHAnsi" w:hAnsiTheme="majorHAnsi"/>
        </w:rPr>
        <w:t xml:space="preserve"> is used for evening drinks receptions </w:t>
      </w:r>
      <w:r w:rsidR="00305E90">
        <w:rPr>
          <w:rFonts w:asciiTheme="majorHAnsi" w:hAnsiTheme="majorHAnsi"/>
        </w:rPr>
        <w:t xml:space="preserve">of </w:t>
      </w:r>
      <w:r w:rsidR="00FF7990">
        <w:rPr>
          <w:rFonts w:asciiTheme="majorHAnsi" w:hAnsiTheme="majorHAnsi"/>
        </w:rPr>
        <w:t xml:space="preserve">up to 200 guests. </w:t>
      </w:r>
    </w:p>
    <w:p w14:paraId="5F4CBFB3" w14:textId="77777777" w:rsidR="00225AFB" w:rsidRPr="005F6D26" w:rsidRDefault="00225AFB" w:rsidP="00EF67A8">
      <w:pPr>
        <w:jc w:val="both"/>
        <w:rPr>
          <w:rFonts w:asciiTheme="majorHAnsi" w:hAnsiTheme="majorHAnsi"/>
        </w:rPr>
      </w:pPr>
      <w:r w:rsidRPr="005F6D26">
        <w:rPr>
          <w:rFonts w:asciiTheme="majorHAnsi" w:hAnsiTheme="majorHAnsi"/>
          <w:u w:val="single"/>
        </w:rPr>
        <w:t>Orangery</w:t>
      </w:r>
      <w:r w:rsidRPr="005F6D26">
        <w:rPr>
          <w:rFonts w:asciiTheme="majorHAnsi" w:hAnsiTheme="majorHAnsi"/>
        </w:rPr>
        <w:t xml:space="preserve"> – 1 supervisor, 5 stewarding staff, two of which to be SIA licensed.</w:t>
      </w:r>
      <w:r w:rsidR="00FF7990">
        <w:rPr>
          <w:rFonts w:asciiTheme="majorHAnsi" w:hAnsiTheme="majorHAnsi"/>
        </w:rPr>
        <w:t xml:space="preserve"> The Orangery is beautifully restored 18</w:t>
      </w:r>
      <w:r w:rsidR="00FF7990" w:rsidRPr="00FF7990">
        <w:rPr>
          <w:rFonts w:asciiTheme="majorHAnsi" w:hAnsiTheme="majorHAnsi"/>
          <w:vertAlign w:val="superscript"/>
        </w:rPr>
        <w:t>th</w:t>
      </w:r>
      <w:r w:rsidR="00FF7990">
        <w:rPr>
          <w:rFonts w:asciiTheme="majorHAnsi" w:hAnsiTheme="majorHAnsi"/>
        </w:rPr>
        <w:t xml:space="preserve"> C building formerly filled with citrus trees, and today housing one of Kew’s main day catering outlets. It is used for evening events and can host wedding receptions and corporate events for up to 400 guests. </w:t>
      </w:r>
    </w:p>
    <w:p w14:paraId="1E6312DE" w14:textId="77777777" w:rsidR="00225AFB" w:rsidRDefault="00225AFB" w:rsidP="00676D81">
      <w:pPr>
        <w:jc w:val="both"/>
        <w:rPr>
          <w:rFonts w:asciiTheme="majorHAnsi" w:hAnsiTheme="majorHAnsi"/>
        </w:rPr>
      </w:pPr>
      <w:r w:rsidRPr="005F6D26">
        <w:rPr>
          <w:rFonts w:asciiTheme="majorHAnsi" w:hAnsiTheme="majorHAnsi"/>
          <w:u w:val="single"/>
        </w:rPr>
        <w:t>Sir Joseph Banks Building</w:t>
      </w:r>
      <w:r w:rsidRPr="005F6D26">
        <w:rPr>
          <w:rFonts w:asciiTheme="majorHAnsi" w:hAnsiTheme="majorHAnsi"/>
        </w:rPr>
        <w:t xml:space="preserve"> – 1 supervisor, 4 stewarding staff</w:t>
      </w:r>
      <w:r w:rsidR="00FF7990">
        <w:rPr>
          <w:rFonts w:asciiTheme="majorHAnsi" w:hAnsiTheme="majorHAnsi"/>
        </w:rPr>
        <w:t xml:space="preserve">. The Sir Joseph Banks Building is one of Kew’s most modern structures, built in 1985, and is a contemporary subterranean </w:t>
      </w:r>
      <w:r w:rsidR="00522EC4">
        <w:rPr>
          <w:rFonts w:asciiTheme="majorHAnsi" w:hAnsiTheme="majorHAnsi"/>
        </w:rPr>
        <w:t xml:space="preserve">building holding a dedicated events space used mostly for corporate events for up to 230 guests. </w:t>
      </w:r>
    </w:p>
    <w:p w14:paraId="59D78425" w14:textId="77777777" w:rsidR="001F6E29" w:rsidRDefault="001F6E29" w:rsidP="00676D81">
      <w:pPr>
        <w:jc w:val="both"/>
        <w:rPr>
          <w:rFonts w:asciiTheme="majorHAnsi" w:hAnsiTheme="majorHAnsi"/>
        </w:rPr>
      </w:pPr>
      <w:r w:rsidRPr="001F6E29">
        <w:rPr>
          <w:rFonts w:asciiTheme="majorHAnsi" w:hAnsiTheme="majorHAnsi"/>
          <w:u w:val="single"/>
        </w:rPr>
        <w:t>Marianne North Gallery</w:t>
      </w:r>
      <w:r>
        <w:rPr>
          <w:rFonts w:asciiTheme="majorHAnsi" w:hAnsiTheme="majorHAnsi"/>
        </w:rPr>
        <w:t xml:space="preserve"> – 1 supervisor, 2 stewarding staff, one of which to be SIA licensed</w:t>
      </w:r>
      <w:r w:rsidR="00522EC4">
        <w:rPr>
          <w:rFonts w:asciiTheme="majorHAnsi" w:hAnsiTheme="majorHAnsi"/>
        </w:rPr>
        <w:t xml:space="preserve">. </w:t>
      </w:r>
      <w:r w:rsidR="00696B63">
        <w:rPr>
          <w:rFonts w:asciiTheme="majorHAnsi" w:hAnsiTheme="majorHAnsi"/>
        </w:rPr>
        <w:t>The Marianne North Gal</w:t>
      </w:r>
      <w:r w:rsidR="00BE6939">
        <w:rPr>
          <w:rFonts w:asciiTheme="majorHAnsi" w:hAnsiTheme="majorHAnsi"/>
        </w:rPr>
        <w:t xml:space="preserve">lery, opened in 1882, houses </w:t>
      </w:r>
      <w:r w:rsidR="00696B63">
        <w:rPr>
          <w:rFonts w:asciiTheme="majorHAnsi" w:hAnsiTheme="majorHAnsi"/>
        </w:rPr>
        <w:t xml:space="preserve">a permanent exhibition of 832 paintings and offers a unique experience for small events of up to 80 guests. </w:t>
      </w:r>
    </w:p>
    <w:p w14:paraId="3BF573CE" w14:textId="77777777" w:rsidR="000B6FD3" w:rsidRPr="005F6D26" w:rsidRDefault="00B25A40" w:rsidP="000B6FD3">
      <w:pPr>
        <w:jc w:val="both"/>
        <w:rPr>
          <w:rFonts w:asciiTheme="majorHAnsi" w:hAnsiTheme="majorHAnsi"/>
        </w:rPr>
      </w:pPr>
      <w:r w:rsidRPr="005F6D26">
        <w:rPr>
          <w:rFonts w:asciiTheme="majorHAnsi" w:hAnsiTheme="majorHAnsi"/>
        </w:rPr>
        <w:t xml:space="preserve">A map showing all </w:t>
      </w:r>
      <w:r w:rsidR="00944A8D">
        <w:rPr>
          <w:rFonts w:asciiTheme="majorHAnsi" w:hAnsiTheme="majorHAnsi"/>
        </w:rPr>
        <w:t xml:space="preserve">current </w:t>
      </w:r>
      <w:r w:rsidRPr="005F6D26">
        <w:rPr>
          <w:rFonts w:asciiTheme="majorHAnsi" w:hAnsiTheme="majorHAnsi"/>
        </w:rPr>
        <w:t>venues is at Appendix A.</w:t>
      </w:r>
      <w:r w:rsidR="00944A8D">
        <w:rPr>
          <w:rFonts w:asciiTheme="majorHAnsi" w:hAnsiTheme="majorHAnsi"/>
        </w:rPr>
        <w:t xml:space="preserve">  </w:t>
      </w:r>
      <w:r w:rsidR="00944A8D" w:rsidRPr="00E96EE8">
        <w:rPr>
          <w:rFonts w:asciiTheme="majorHAnsi" w:hAnsiTheme="majorHAnsi"/>
        </w:rPr>
        <w:t xml:space="preserve">Further locations </w:t>
      </w:r>
      <w:r w:rsidR="00E96EE8">
        <w:rPr>
          <w:rFonts w:asciiTheme="majorHAnsi" w:hAnsiTheme="majorHAnsi"/>
        </w:rPr>
        <w:t xml:space="preserve">at Kew </w:t>
      </w:r>
      <w:r w:rsidR="00944A8D" w:rsidRPr="00E96EE8">
        <w:rPr>
          <w:rFonts w:asciiTheme="majorHAnsi" w:hAnsiTheme="majorHAnsi"/>
        </w:rPr>
        <w:t>may be added to this portfolio of venue hire locations</w:t>
      </w:r>
      <w:r w:rsidR="00E96EE8" w:rsidRPr="00E96EE8">
        <w:rPr>
          <w:rFonts w:asciiTheme="majorHAnsi" w:hAnsiTheme="majorHAnsi"/>
        </w:rPr>
        <w:t xml:space="preserve"> throughout the duration of the contract</w:t>
      </w:r>
      <w:r w:rsidR="003C2FCF">
        <w:rPr>
          <w:rFonts w:asciiTheme="majorHAnsi" w:hAnsiTheme="majorHAnsi"/>
        </w:rPr>
        <w:t>, details of which will be provided if and when appropriate</w:t>
      </w:r>
      <w:r w:rsidR="00944A8D" w:rsidRPr="00E96EE8">
        <w:rPr>
          <w:rFonts w:asciiTheme="majorHAnsi" w:hAnsiTheme="majorHAnsi"/>
        </w:rPr>
        <w:t>.</w:t>
      </w:r>
      <w:r w:rsidR="00E96EE8">
        <w:rPr>
          <w:rFonts w:asciiTheme="majorHAnsi" w:hAnsiTheme="majorHAnsi"/>
        </w:rPr>
        <w:t xml:space="preserve">  </w:t>
      </w:r>
      <w:r w:rsidR="00944A8D">
        <w:rPr>
          <w:rFonts w:asciiTheme="majorHAnsi" w:hAnsiTheme="majorHAnsi"/>
        </w:rPr>
        <w:t xml:space="preserve"> </w:t>
      </w:r>
    </w:p>
    <w:p w14:paraId="5268830C" w14:textId="77777777" w:rsidR="00EF67A8" w:rsidRPr="005F6D26" w:rsidRDefault="00676D81" w:rsidP="00676D81">
      <w:pPr>
        <w:pStyle w:val="ListParagraph"/>
        <w:numPr>
          <w:ilvl w:val="0"/>
          <w:numId w:val="4"/>
        </w:numPr>
        <w:jc w:val="both"/>
        <w:rPr>
          <w:rFonts w:asciiTheme="majorHAnsi" w:hAnsiTheme="majorHAnsi"/>
          <w:b/>
        </w:rPr>
      </w:pPr>
      <w:r w:rsidRPr="005F6D26">
        <w:rPr>
          <w:rFonts w:asciiTheme="majorHAnsi" w:hAnsiTheme="majorHAnsi"/>
          <w:b/>
        </w:rPr>
        <w:t>SERVICE REQUIREMENTS</w:t>
      </w:r>
    </w:p>
    <w:p w14:paraId="0E783BB4" w14:textId="77777777" w:rsidR="00CD7EA6" w:rsidRPr="005F6D26" w:rsidRDefault="00CD7EA6" w:rsidP="00CD7EA6">
      <w:pPr>
        <w:pStyle w:val="Kew1"/>
        <w:spacing w:before="100" w:beforeAutospacing="1"/>
        <w:rPr>
          <w:rFonts w:asciiTheme="majorHAnsi" w:hAnsiTheme="majorHAnsi"/>
          <w:sz w:val="22"/>
          <w:szCs w:val="22"/>
        </w:rPr>
      </w:pPr>
      <w:r w:rsidRPr="005F6D26">
        <w:rPr>
          <w:rFonts w:asciiTheme="majorHAnsi" w:hAnsiTheme="majorHAnsi" w:cs="Arial"/>
          <w:sz w:val="22"/>
          <w:szCs w:val="22"/>
        </w:rPr>
        <w:t xml:space="preserve">The appointed supplier will be responsible for the following during </w:t>
      </w:r>
      <w:r w:rsidRPr="005F6D26">
        <w:rPr>
          <w:rFonts w:asciiTheme="majorHAnsi" w:hAnsiTheme="majorHAnsi"/>
          <w:sz w:val="22"/>
          <w:szCs w:val="22"/>
        </w:rPr>
        <w:t>venue hire and commercial filming events:</w:t>
      </w:r>
    </w:p>
    <w:p w14:paraId="359721C9" w14:textId="77777777" w:rsidR="00676D81" w:rsidRPr="005F6D26" w:rsidRDefault="00676D81" w:rsidP="00676D81">
      <w:pPr>
        <w:pStyle w:val="ListParagraph"/>
        <w:numPr>
          <w:ilvl w:val="0"/>
          <w:numId w:val="5"/>
        </w:numPr>
        <w:jc w:val="both"/>
        <w:rPr>
          <w:rFonts w:asciiTheme="majorHAnsi" w:hAnsiTheme="majorHAnsi"/>
        </w:rPr>
      </w:pPr>
      <w:r w:rsidRPr="005F6D26">
        <w:rPr>
          <w:rFonts w:asciiTheme="majorHAnsi" w:hAnsiTheme="majorHAnsi"/>
        </w:rPr>
        <w:t xml:space="preserve">Ensuring the security and integrity of the venues. The majority of the venues are Grade I or Grade II listed and require protection during events. This may also include the contents of the venue, such as botanical collections. </w:t>
      </w:r>
    </w:p>
    <w:p w14:paraId="01F7FB1C" w14:textId="77777777" w:rsidR="00676D81" w:rsidRPr="005F6D26" w:rsidRDefault="00676D81" w:rsidP="00676D81">
      <w:pPr>
        <w:pStyle w:val="ListParagraph"/>
        <w:numPr>
          <w:ilvl w:val="0"/>
          <w:numId w:val="5"/>
        </w:numPr>
        <w:jc w:val="both"/>
        <w:rPr>
          <w:rFonts w:asciiTheme="majorHAnsi" w:hAnsiTheme="majorHAnsi"/>
        </w:rPr>
      </w:pPr>
      <w:r w:rsidRPr="005F6D26">
        <w:rPr>
          <w:rFonts w:asciiTheme="majorHAnsi" w:hAnsiTheme="majorHAnsi"/>
        </w:rPr>
        <w:t xml:space="preserve">Working closely with the Venue Hire Operations &amp; Commercial Media team to deliver events as scheduled to the client’s requests and to the highest possible standard. </w:t>
      </w:r>
    </w:p>
    <w:p w14:paraId="2169018B" w14:textId="77777777" w:rsidR="00676D81" w:rsidRPr="005F6D26" w:rsidRDefault="00261FD8" w:rsidP="00676D81">
      <w:pPr>
        <w:pStyle w:val="ListParagraph"/>
        <w:numPr>
          <w:ilvl w:val="0"/>
          <w:numId w:val="5"/>
        </w:numPr>
        <w:jc w:val="both"/>
        <w:rPr>
          <w:rFonts w:asciiTheme="majorHAnsi" w:hAnsiTheme="majorHAnsi"/>
        </w:rPr>
      </w:pPr>
      <w:r w:rsidRPr="005F6D26">
        <w:rPr>
          <w:rFonts w:asciiTheme="majorHAnsi" w:hAnsiTheme="majorHAnsi"/>
        </w:rPr>
        <w:t>Lia</w:t>
      </w:r>
      <w:r w:rsidR="002E7D24">
        <w:rPr>
          <w:rFonts w:asciiTheme="majorHAnsi" w:hAnsiTheme="majorHAnsi"/>
        </w:rPr>
        <w:t>i</w:t>
      </w:r>
      <w:r w:rsidRPr="005F6D26">
        <w:rPr>
          <w:rFonts w:asciiTheme="majorHAnsi" w:hAnsiTheme="majorHAnsi"/>
        </w:rPr>
        <w:t>sing</w:t>
      </w:r>
      <w:r w:rsidR="00676D81" w:rsidRPr="005F6D26">
        <w:rPr>
          <w:rFonts w:asciiTheme="majorHAnsi" w:hAnsiTheme="majorHAnsi"/>
        </w:rPr>
        <w:t xml:space="preserve"> with other stakeholders as required, including but not limited to internal departments such as the </w:t>
      </w:r>
      <w:r w:rsidR="008B0FF6" w:rsidRPr="005F6D26">
        <w:rPr>
          <w:rFonts w:asciiTheme="majorHAnsi" w:hAnsiTheme="majorHAnsi"/>
        </w:rPr>
        <w:t xml:space="preserve">RBG </w:t>
      </w:r>
      <w:r w:rsidR="00676D81" w:rsidRPr="005F6D26">
        <w:rPr>
          <w:rFonts w:asciiTheme="majorHAnsi" w:hAnsiTheme="majorHAnsi"/>
        </w:rPr>
        <w:t xml:space="preserve">Kew Constabulary, facilities management, cleaning and horticultural teams; and external parties including </w:t>
      </w:r>
      <w:r w:rsidR="0006267C" w:rsidRPr="005F6D26">
        <w:rPr>
          <w:rFonts w:asciiTheme="majorHAnsi" w:hAnsiTheme="majorHAnsi"/>
        </w:rPr>
        <w:t xml:space="preserve">the </w:t>
      </w:r>
      <w:r w:rsidR="00676D81" w:rsidRPr="005F6D26">
        <w:rPr>
          <w:rFonts w:asciiTheme="majorHAnsi" w:hAnsiTheme="majorHAnsi"/>
        </w:rPr>
        <w:t>L</w:t>
      </w:r>
      <w:r w:rsidR="0006267C" w:rsidRPr="005F6D26">
        <w:rPr>
          <w:rFonts w:asciiTheme="majorHAnsi" w:hAnsiTheme="majorHAnsi"/>
        </w:rPr>
        <w:t xml:space="preserve">ondon </w:t>
      </w:r>
      <w:r w:rsidR="00676D81" w:rsidRPr="005F6D26">
        <w:rPr>
          <w:rFonts w:asciiTheme="majorHAnsi" w:hAnsiTheme="majorHAnsi"/>
        </w:rPr>
        <w:t>B</w:t>
      </w:r>
      <w:r w:rsidR="0006267C" w:rsidRPr="005F6D26">
        <w:rPr>
          <w:rFonts w:asciiTheme="majorHAnsi" w:hAnsiTheme="majorHAnsi"/>
        </w:rPr>
        <w:t xml:space="preserve">orough of </w:t>
      </w:r>
      <w:r w:rsidR="00676D81" w:rsidRPr="005F6D26">
        <w:rPr>
          <w:rFonts w:asciiTheme="majorHAnsi" w:hAnsiTheme="majorHAnsi"/>
        </w:rPr>
        <w:t>R</w:t>
      </w:r>
      <w:r w:rsidR="0006267C" w:rsidRPr="005F6D26">
        <w:rPr>
          <w:rFonts w:asciiTheme="majorHAnsi" w:hAnsiTheme="majorHAnsi"/>
        </w:rPr>
        <w:t>ichmond-</w:t>
      </w:r>
      <w:r w:rsidR="00676D81" w:rsidRPr="005F6D26">
        <w:rPr>
          <w:rFonts w:asciiTheme="majorHAnsi" w:hAnsiTheme="majorHAnsi"/>
        </w:rPr>
        <w:t>u</w:t>
      </w:r>
      <w:r w:rsidR="0006267C" w:rsidRPr="005F6D26">
        <w:rPr>
          <w:rFonts w:asciiTheme="majorHAnsi" w:hAnsiTheme="majorHAnsi"/>
        </w:rPr>
        <w:t>pon-</w:t>
      </w:r>
      <w:r w:rsidR="00676D81" w:rsidRPr="005F6D26">
        <w:rPr>
          <w:rFonts w:asciiTheme="majorHAnsi" w:hAnsiTheme="majorHAnsi"/>
        </w:rPr>
        <w:t>T</w:t>
      </w:r>
      <w:r w:rsidR="0006267C" w:rsidRPr="005F6D26">
        <w:rPr>
          <w:rFonts w:asciiTheme="majorHAnsi" w:hAnsiTheme="majorHAnsi"/>
        </w:rPr>
        <w:t>hames</w:t>
      </w:r>
      <w:r w:rsidR="00676D81" w:rsidRPr="005F6D26">
        <w:rPr>
          <w:rFonts w:asciiTheme="majorHAnsi" w:hAnsiTheme="majorHAnsi"/>
        </w:rPr>
        <w:t xml:space="preserve"> registrars and local residents. </w:t>
      </w:r>
    </w:p>
    <w:p w14:paraId="546CF6F5" w14:textId="77777777" w:rsidR="00676D81" w:rsidRPr="005F6D26" w:rsidRDefault="00261FD8" w:rsidP="00676D81">
      <w:pPr>
        <w:pStyle w:val="ListParagraph"/>
        <w:numPr>
          <w:ilvl w:val="0"/>
          <w:numId w:val="5"/>
        </w:numPr>
        <w:jc w:val="both"/>
        <w:rPr>
          <w:rFonts w:asciiTheme="majorHAnsi" w:hAnsiTheme="majorHAnsi"/>
        </w:rPr>
      </w:pPr>
      <w:r w:rsidRPr="005F6D26">
        <w:rPr>
          <w:rFonts w:asciiTheme="majorHAnsi" w:hAnsiTheme="majorHAnsi"/>
        </w:rPr>
        <w:t>Assisting</w:t>
      </w:r>
      <w:r w:rsidR="00676D81" w:rsidRPr="005F6D26">
        <w:rPr>
          <w:rFonts w:asciiTheme="majorHAnsi" w:hAnsiTheme="majorHAnsi"/>
        </w:rPr>
        <w:t xml:space="preserve"> the Venue Hire team in managing external event suppliers (such as caterers, production, floristry, entertainment and marquee suppliers) with particular regard to </w:t>
      </w:r>
      <w:r w:rsidR="00676D81" w:rsidRPr="005F6D26">
        <w:rPr>
          <w:rFonts w:asciiTheme="majorHAnsi" w:hAnsiTheme="majorHAnsi"/>
        </w:rPr>
        <w:lastRenderedPageBreak/>
        <w:t xml:space="preserve">facilitating access and egress from the site, managing vehicle movements onsite in accordance with </w:t>
      </w:r>
      <w:r w:rsidR="008B0FF6" w:rsidRPr="005F6D26">
        <w:rPr>
          <w:rFonts w:asciiTheme="majorHAnsi" w:hAnsiTheme="majorHAnsi"/>
        </w:rPr>
        <w:t xml:space="preserve">RBG </w:t>
      </w:r>
      <w:r w:rsidR="00676D81" w:rsidRPr="005F6D26">
        <w:rPr>
          <w:rFonts w:asciiTheme="majorHAnsi" w:hAnsiTheme="majorHAnsi"/>
        </w:rPr>
        <w:t>Kew’s Vehicle Policy and ensuring that venue rules and regulations are adhered to.</w:t>
      </w:r>
    </w:p>
    <w:p w14:paraId="734AEE17" w14:textId="77777777" w:rsidR="00D33DBC" w:rsidRPr="005F6D26" w:rsidRDefault="00261FD8" w:rsidP="00676D81">
      <w:pPr>
        <w:pStyle w:val="ListParagraph"/>
        <w:numPr>
          <w:ilvl w:val="0"/>
          <w:numId w:val="5"/>
        </w:numPr>
        <w:jc w:val="both"/>
        <w:rPr>
          <w:rFonts w:asciiTheme="majorHAnsi" w:hAnsiTheme="majorHAnsi"/>
        </w:rPr>
      </w:pPr>
      <w:r w:rsidRPr="005F6D26">
        <w:rPr>
          <w:rFonts w:asciiTheme="majorHAnsi" w:hAnsiTheme="majorHAnsi"/>
        </w:rPr>
        <w:t>Ensuring</w:t>
      </w:r>
      <w:r w:rsidR="00D33DBC" w:rsidRPr="005F6D26">
        <w:rPr>
          <w:rFonts w:asciiTheme="majorHAnsi" w:hAnsiTheme="majorHAnsi"/>
        </w:rPr>
        <w:t xml:space="preserve"> that </w:t>
      </w:r>
      <w:r w:rsidR="008B0FF6" w:rsidRPr="005F6D26">
        <w:rPr>
          <w:rFonts w:asciiTheme="majorHAnsi" w:hAnsiTheme="majorHAnsi"/>
        </w:rPr>
        <w:t xml:space="preserve">RBG </w:t>
      </w:r>
      <w:r w:rsidR="00D33DBC" w:rsidRPr="005F6D26">
        <w:rPr>
          <w:rFonts w:asciiTheme="majorHAnsi" w:hAnsiTheme="majorHAnsi"/>
        </w:rPr>
        <w:t>Kew meets licensing obligations with regards to alcohol service and provision.</w:t>
      </w:r>
    </w:p>
    <w:p w14:paraId="1C9CE770" w14:textId="77777777" w:rsidR="00D33DBC" w:rsidRPr="005F6D26" w:rsidRDefault="00261FD8" w:rsidP="00676D81">
      <w:pPr>
        <w:pStyle w:val="ListParagraph"/>
        <w:numPr>
          <w:ilvl w:val="0"/>
          <w:numId w:val="5"/>
        </w:numPr>
        <w:jc w:val="both"/>
        <w:rPr>
          <w:rFonts w:asciiTheme="majorHAnsi" w:hAnsiTheme="majorHAnsi"/>
        </w:rPr>
      </w:pPr>
      <w:r w:rsidRPr="005F6D26">
        <w:rPr>
          <w:rFonts w:asciiTheme="majorHAnsi" w:hAnsiTheme="majorHAnsi"/>
        </w:rPr>
        <w:t>P</w:t>
      </w:r>
      <w:r w:rsidR="00D33DBC" w:rsidRPr="005F6D26">
        <w:rPr>
          <w:rFonts w:asciiTheme="majorHAnsi" w:hAnsiTheme="majorHAnsi"/>
        </w:rPr>
        <w:t>rovid</w:t>
      </w:r>
      <w:r w:rsidRPr="005F6D26">
        <w:rPr>
          <w:rFonts w:asciiTheme="majorHAnsi" w:hAnsiTheme="majorHAnsi"/>
        </w:rPr>
        <w:t>ing</w:t>
      </w:r>
      <w:r w:rsidR="00D33DBC" w:rsidRPr="005F6D26">
        <w:rPr>
          <w:rFonts w:asciiTheme="majorHAnsi" w:hAnsiTheme="majorHAnsi"/>
        </w:rPr>
        <w:t xml:space="preserve"> assistance and a high level of customer service to event guests and day visitors, protecting their safety throughout the event. </w:t>
      </w:r>
    </w:p>
    <w:p w14:paraId="4A676990" w14:textId="77777777" w:rsidR="000B6FD3" w:rsidRPr="005F6D26" w:rsidRDefault="000B6FD3" w:rsidP="00676D81">
      <w:pPr>
        <w:pStyle w:val="ListParagraph"/>
        <w:numPr>
          <w:ilvl w:val="0"/>
          <w:numId w:val="5"/>
        </w:numPr>
        <w:jc w:val="both"/>
        <w:rPr>
          <w:rFonts w:asciiTheme="majorHAnsi" w:hAnsiTheme="majorHAnsi"/>
        </w:rPr>
      </w:pPr>
      <w:r w:rsidRPr="005F6D26">
        <w:rPr>
          <w:rFonts w:asciiTheme="majorHAnsi" w:hAnsiTheme="majorHAnsi"/>
        </w:rPr>
        <w:t>Managing the interface with day visitors to the Gardens who will often be in the same and surrounding areas.</w:t>
      </w:r>
    </w:p>
    <w:p w14:paraId="7C4983CA" w14:textId="77777777" w:rsidR="000B6FD3" w:rsidRPr="005F6D26" w:rsidRDefault="00261FD8" w:rsidP="00676D81">
      <w:pPr>
        <w:pStyle w:val="ListParagraph"/>
        <w:numPr>
          <w:ilvl w:val="0"/>
          <w:numId w:val="5"/>
        </w:numPr>
        <w:jc w:val="both"/>
        <w:rPr>
          <w:rFonts w:asciiTheme="majorHAnsi" w:hAnsiTheme="majorHAnsi"/>
        </w:rPr>
      </w:pPr>
      <w:r w:rsidRPr="005F6D26">
        <w:rPr>
          <w:rFonts w:asciiTheme="majorHAnsi" w:hAnsiTheme="majorHAnsi"/>
        </w:rPr>
        <w:t xml:space="preserve">Providing </w:t>
      </w:r>
      <w:r w:rsidR="000B6FD3" w:rsidRPr="005F6D26">
        <w:rPr>
          <w:rFonts w:asciiTheme="majorHAnsi" w:hAnsiTheme="majorHAnsi"/>
        </w:rPr>
        <w:t>of</w:t>
      </w:r>
      <w:r w:rsidR="00D248DB" w:rsidRPr="005F6D26">
        <w:rPr>
          <w:rFonts w:asciiTheme="majorHAnsi" w:hAnsiTheme="majorHAnsi"/>
        </w:rPr>
        <w:t xml:space="preserve"> support to </w:t>
      </w:r>
      <w:r w:rsidR="000B6FD3" w:rsidRPr="005F6D26">
        <w:rPr>
          <w:rFonts w:asciiTheme="majorHAnsi" w:hAnsiTheme="majorHAnsi"/>
        </w:rPr>
        <w:t xml:space="preserve">supplement existing onsite </w:t>
      </w:r>
      <w:r w:rsidR="00D248DB" w:rsidRPr="005F6D26">
        <w:rPr>
          <w:rFonts w:asciiTheme="majorHAnsi" w:hAnsiTheme="majorHAnsi"/>
        </w:rPr>
        <w:t xml:space="preserve">First Aid </w:t>
      </w:r>
      <w:r w:rsidR="000B6FD3" w:rsidRPr="005F6D26">
        <w:rPr>
          <w:rFonts w:asciiTheme="majorHAnsi" w:hAnsiTheme="majorHAnsi"/>
        </w:rPr>
        <w:t>provision</w:t>
      </w:r>
      <w:r w:rsidR="00D248DB" w:rsidRPr="005F6D26">
        <w:rPr>
          <w:rFonts w:asciiTheme="majorHAnsi" w:hAnsiTheme="majorHAnsi"/>
        </w:rPr>
        <w:t xml:space="preserve"> as needed</w:t>
      </w:r>
      <w:r w:rsidR="000B6FD3" w:rsidRPr="005F6D26">
        <w:rPr>
          <w:rFonts w:asciiTheme="majorHAnsi" w:hAnsiTheme="majorHAnsi"/>
        </w:rPr>
        <w:t>.</w:t>
      </w:r>
    </w:p>
    <w:p w14:paraId="2B51CB5A" w14:textId="77777777" w:rsidR="000B6FD3" w:rsidRPr="005F6D26" w:rsidRDefault="00261FD8" w:rsidP="00676D81">
      <w:pPr>
        <w:pStyle w:val="ListParagraph"/>
        <w:numPr>
          <w:ilvl w:val="0"/>
          <w:numId w:val="5"/>
        </w:numPr>
        <w:jc w:val="both"/>
        <w:rPr>
          <w:rFonts w:asciiTheme="majorHAnsi" w:hAnsiTheme="majorHAnsi"/>
        </w:rPr>
      </w:pPr>
      <w:r w:rsidRPr="005F6D26">
        <w:rPr>
          <w:rFonts w:asciiTheme="majorHAnsi" w:hAnsiTheme="majorHAnsi"/>
        </w:rPr>
        <w:t>Managing</w:t>
      </w:r>
      <w:r w:rsidR="000B6FD3" w:rsidRPr="005F6D26">
        <w:rPr>
          <w:rFonts w:asciiTheme="majorHAnsi" w:hAnsiTheme="majorHAnsi"/>
        </w:rPr>
        <w:t xml:space="preserve"> emergency evacuation procedures during events as required.</w:t>
      </w:r>
    </w:p>
    <w:p w14:paraId="7BF315FB" w14:textId="77777777" w:rsidR="000B6FD3" w:rsidRPr="005F6D26" w:rsidRDefault="00261FD8" w:rsidP="00676D81">
      <w:pPr>
        <w:pStyle w:val="ListParagraph"/>
        <w:numPr>
          <w:ilvl w:val="0"/>
          <w:numId w:val="5"/>
        </w:numPr>
        <w:jc w:val="both"/>
        <w:rPr>
          <w:rFonts w:asciiTheme="majorHAnsi" w:hAnsiTheme="majorHAnsi"/>
        </w:rPr>
      </w:pPr>
      <w:r w:rsidRPr="005F6D26">
        <w:rPr>
          <w:rFonts w:asciiTheme="majorHAnsi" w:hAnsiTheme="majorHAnsi"/>
        </w:rPr>
        <w:t>Dealing</w:t>
      </w:r>
      <w:r w:rsidR="000B6FD3" w:rsidRPr="005F6D26">
        <w:rPr>
          <w:rFonts w:asciiTheme="majorHAnsi" w:hAnsiTheme="majorHAnsi"/>
        </w:rPr>
        <w:t xml:space="preserve"> effectively and diplomatically with any incidences of difficult behaviour with the potential to cause harm to any guest, staff member, supplier or the venue itself. </w:t>
      </w:r>
    </w:p>
    <w:p w14:paraId="379F39AB" w14:textId="77777777" w:rsidR="008302FF" w:rsidRPr="005F6D26" w:rsidRDefault="008302FF" w:rsidP="008302FF">
      <w:pPr>
        <w:pStyle w:val="ListParagraph"/>
        <w:jc w:val="both"/>
        <w:rPr>
          <w:rFonts w:asciiTheme="majorHAnsi" w:hAnsiTheme="majorHAnsi"/>
        </w:rPr>
      </w:pPr>
    </w:p>
    <w:p w14:paraId="727415C8" w14:textId="77777777" w:rsidR="00676D81" w:rsidRPr="005F6D26" w:rsidRDefault="008302FF" w:rsidP="008302FF">
      <w:pPr>
        <w:pStyle w:val="ListParagraph"/>
        <w:numPr>
          <w:ilvl w:val="1"/>
          <w:numId w:val="4"/>
        </w:numPr>
        <w:jc w:val="both"/>
        <w:rPr>
          <w:rFonts w:asciiTheme="majorHAnsi" w:hAnsiTheme="majorHAnsi"/>
          <w:b/>
        </w:rPr>
      </w:pPr>
      <w:r w:rsidRPr="005F6D26">
        <w:rPr>
          <w:rFonts w:asciiTheme="majorHAnsi" w:hAnsiTheme="majorHAnsi"/>
          <w:b/>
        </w:rPr>
        <w:t>Insurance</w:t>
      </w:r>
    </w:p>
    <w:p w14:paraId="6A74907E" w14:textId="77777777" w:rsidR="008302FF" w:rsidRPr="00E36D8F" w:rsidRDefault="008302FF" w:rsidP="008302FF">
      <w:pPr>
        <w:jc w:val="both"/>
        <w:rPr>
          <w:rFonts w:asciiTheme="majorHAnsi" w:hAnsiTheme="majorHAnsi"/>
        </w:rPr>
      </w:pPr>
      <w:r w:rsidRPr="00E36D8F">
        <w:rPr>
          <w:rFonts w:asciiTheme="majorHAnsi" w:hAnsiTheme="majorHAnsi"/>
        </w:rPr>
        <w:t>The successful supplier will be required to ensure that as a minimum they have the following insurance cover in place;</w:t>
      </w:r>
    </w:p>
    <w:p w14:paraId="14D80EEA" w14:textId="77777777" w:rsidR="008302FF" w:rsidRPr="00E36D8F" w:rsidRDefault="008302FF" w:rsidP="008302FF">
      <w:pPr>
        <w:pStyle w:val="ListParagraph"/>
        <w:numPr>
          <w:ilvl w:val="0"/>
          <w:numId w:val="6"/>
        </w:numPr>
        <w:jc w:val="both"/>
        <w:rPr>
          <w:rFonts w:asciiTheme="majorHAnsi" w:hAnsiTheme="majorHAnsi"/>
        </w:rPr>
      </w:pPr>
      <w:r w:rsidRPr="00E36D8F">
        <w:rPr>
          <w:rFonts w:asciiTheme="majorHAnsi" w:hAnsiTheme="majorHAnsi"/>
        </w:rPr>
        <w:t>Public liability insurance of £5m for each and every occurrence or series of occurrences arising out of any one occurrence.</w:t>
      </w:r>
    </w:p>
    <w:p w14:paraId="3FC0D204" w14:textId="77777777" w:rsidR="008302FF" w:rsidRPr="00E36D8F" w:rsidRDefault="008302FF" w:rsidP="008302FF">
      <w:pPr>
        <w:pStyle w:val="ListParagraph"/>
        <w:numPr>
          <w:ilvl w:val="0"/>
          <w:numId w:val="6"/>
        </w:numPr>
        <w:jc w:val="both"/>
        <w:rPr>
          <w:rFonts w:asciiTheme="majorHAnsi" w:hAnsiTheme="majorHAnsi"/>
        </w:rPr>
      </w:pPr>
      <w:r w:rsidRPr="00E36D8F">
        <w:rPr>
          <w:rFonts w:asciiTheme="majorHAnsi" w:hAnsiTheme="majorHAnsi"/>
        </w:rPr>
        <w:t>Employer’s liability insurance of £5m for each and every occurrence or series of occurrences arising out of any one occurrence.</w:t>
      </w:r>
    </w:p>
    <w:p w14:paraId="6345C755" w14:textId="77777777" w:rsidR="00543C04" w:rsidRPr="00E36D8F" w:rsidRDefault="008302FF" w:rsidP="00543C04">
      <w:pPr>
        <w:pStyle w:val="ListParagraph"/>
        <w:numPr>
          <w:ilvl w:val="0"/>
          <w:numId w:val="6"/>
        </w:numPr>
        <w:jc w:val="both"/>
        <w:rPr>
          <w:rFonts w:asciiTheme="majorHAnsi" w:hAnsiTheme="majorHAnsi"/>
        </w:rPr>
      </w:pPr>
      <w:r w:rsidRPr="00E36D8F">
        <w:rPr>
          <w:rFonts w:asciiTheme="majorHAnsi" w:hAnsiTheme="majorHAnsi"/>
        </w:rPr>
        <w:t>Professional indemnity</w:t>
      </w:r>
      <w:r w:rsidR="00204D59" w:rsidRPr="00E36D8F">
        <w:rPr>
          <w:rFonts w:asciiTheme="majorHAnsi" w:hAnsiTheme="majorHAnsi"/>
        </w:rPr>
        <w:t xml:space="preserve"> of £2m.</w:t>
      </w:r>
    </w:p>
    <w:p w14:paraId="06FCE698" w14:textId="77777777" w:rsidR="00204D59" w:rsidRPr="00E36D8F" w:rsidRDefault="00204D59" w:rsidP="00204D59">
      <w:pPr>
        <w:pStyle w:val="ListParagraph"/>
        <w:jc w:val="both"/>
        <w:rPr>
          <w:rFonts w:asciiTheme="majorHAnsi" w:hAnsiTheme="majorHAnsi"/>
        </w:rPr>
      </w:pPr>
    </w:p>
    <w:p w14:paraId="2F26F91C" w14:textId="77777777" w:rsidR="00543C04" w:rsidRPr="00E36D8F" w:rsidRDefault="00543C04" w:rsidP="00543C04">
      <w:pPr>
        <w:pStyle w:val="ListParagraph"/>
        <w:numPr>
          <w:ilvl w:val="1"/>
          <w:numId w:val="4"/>
        </w:numPr>
        <w:jc w:val="both"/>
        <w:rPr>
          <w:rFonts w:asciiTheme="majorHAnsi" w:hAnsiTheme="majorHAnsi"/>
          <w:b/>
        </w:rPr>
      </w:pPr>
      <w:r w:rsidRPr="00E36D8F">
        <w:rPr>
          <w:rFonts w:asciiTheme="majorHAnsi" w:hAnsiTheme="majorHAnsi"/>
          <w:b/>
        </w:rPr>
        <w:t>Health &amp; Safety</w:t>
      </w:r>
    </w:p>
    <w:p w14:paraId="052F813D" w14:textId="696558B4" w:rsidR="00543C04" w:rsidRPr="005F6D26" w:rsidRDefault="00543C04" w:rsidP="00543C04">
      <w:pPr>
        <w:jc w:val="both"/>
        <w:rPr>
          <w:rFonts w:asciiTheme="majorHAnsi" w:hAnsiTheme="majorHAnsi"/>
        </w:rPr>
      </w:pPr>
      <w:r w:rsidRPr="00E36D8F">
        <w:rPr>
          <w:rFonts w:asciiTheme="majorHAnsi" w:hAnsiTheme="majorHAnsi"/>
        </w:rPr>
        <w:t>The successful supplier will be required to sign</w:t>
      </w:r>
      <w:r w:rsidRPr="005F6D26">
        <w:rPr>
          <w:rFonts w:asciiTheme="majorHAnsi" w:hAnsiTheme="majorHAnsi"/>
        </w:rPr>
        <w:t xml:space="preserve"> and adhere to </w:t>
      </w:r>
      <w:r w:rsidR="0016231B">
        <w:rPr>
          <w:rFonts w:asciiTheme="majorHAnsi" w:hAnsiTheme="majorHAnsi"/>
        </w:rPr>
        <w:t xml:space="preserve">RBG </w:t>
      </w:r>
      <w:r w:rsidRPr="005F6D26">
        <w:rPr>
          <w:rFonts w:asciiTheme="majorHAnsi" w:hAnsiTheme="majorHAnsi"/>
        </w:rPr>
        <w:t xml:space="preserve">Kew’s Contractor Code of Practice. </w:t>
      </w:r>
    </w:p>
    <w:p w14:paraId="0A7DC161" w14:textId="77777777" w:rsidR="005402D5" w:rsidRPr="005F6D26" w:rsidRDefault="005402D5" w:rsidP="005402D5">
      <w:pPr>
        <w:pStyle w:val="ListParagraph"/>
        <w:numPr>
          <w:ilvl w:val="0"/>
          <w:numId w:val="4"/>
        </w:numPr>
        <w:jc w:val="both"/>
        <w:rPr>
          <w:rFonts w:asciiTheme="majorHAnsi" w:hAnsiTheme="majorHAnsi"/>
          <w:b/>
        </w:rPr>
      </w:pPr>
      <w:r w:rsidRPr="005F6D26">
        <w:rPr>
          <w:rFonts w:asciiTheme="majorHAnsi" w:hAnsiTheme="majorHAnsi"/>
          <w:b/>
        </w:rPr>
        <w:t>OPERATIONAL REQUIREMENTS</w:t>
      </w:r>
    </w:p>
    <w:p w14:paraId="15704CE7" w14:textId="77777777" w:rsidR="0094127F" w:rsidRPr="005F6D26" w:rsidRDefault="0094127F" w:rsidP="0094127F">
      <w:pPr>
        <w:pStyle w:val="ListParagraph"/>
        <w:jc w:val="both"/>
        <w:rPr>
          <w:rFonts w:asciiTheme="majorHAnsi" w:hAnsiTheme="majorHAnsi"/>
          <w:b/>
        </w:rPr>
      </w:pPr>
      <w:r w:rsidRPr="005F6D26">
        <w:rPr>
          <w:rFonts w:asciiTheme="majorHAnsi" w:hAnsiTheme="majorHAnsi"/>
          <w:b/>
        </w:rPr>
        <w:t>4.1 Overview</w:t>
      </w:r>
    </w:p>
    <w:p w14:paraId="10430945" w14:textId="77777777" w:rsidR="005402D5" w:rsidRPr="005F6D26" w:rsidRDefault="005402D5" w:rsidP="005402D5">
      <w:pPr>
        <w:jc w:val="both"/>
        <w:rPr>
          <w:rFonts w:asciiTheme="majorHAnsi" w:hAnsiTheme="majorHAnsi"/>
        </w:rPr>
      </w:pPr>
      <w:r w:rsidRPr="005F6D26">
        <w:rPr>
          <w:rFonts w:asciiTheme="majorHAnsi" w:hAnsiTheme="majorHAnsi"/>
        </w:rPr>
        <w:t xml:space="preserve">The </w:t>
      </w:r>
      <w:r w:rsidR="00DF38D5" w:rsidRPr="005F6D26">
        <w:rPr>
          <w:rFonts w:asciiTheme="majorHAnsi" w:hAnsiTheme="majorHAnsi"/>
        </w:rPr>
        <w:t xml:space="preserve">appointed </w:t>
      </w:r>
      <w:r w:rsidRPr="005F6D26">
        <w:rPr>
          <w:rFonts w:asciiTheme="majorHAnsi" w:hAnsiTheme="majorHAnsi"/>
        </w:rPr>
        <w:t xml:space="preserve">supplier will be responsible for providing adequate numbers of staff </w:t>
      </w:r>
      <w:r w:rsidR="00D55767">
        <w:rPr>
          <w:rFonts w:asciiTheme="majorHAnsi" w:hAnsiTheme="majorHAnsi"/>
        </w:rPr>
        <w:t xml:space="preserve">trained in event security and customer service </w:t>
      </w:r>
      <w:r w:rsidRPr="005F6D26">
        <w:rPr>
          <w:rFonts w:asciiTheme="majorHAnsi" w:hAnsiTheme="majorHAnsi"/>
        </w:rPr>
        <w:t>to facilitate the events. The nature of the venue hire business is that events confirm on a variety of lead times, dependant on type of event – weddings typically confirm approx. 6 -18 months in advance, corporate events typically confirm 6 months to a week in advance.</w:t>
      </w:r>
      <w:r w:rsidR="00BB3630">
        <w:rPr>
          <w:rFonts w:asciiTheme="majorHAnsi" w:hAnsiTheme="majorHAnsi"/>
        </w:rPr>
        <w:t xml:space="preserve"> Security staff will typically be required prior to supplier access to set up for an event, until all event activity has finished and all guests and suppliers have departed from site. </w:t>
      </w:r>
    </w:p>
    <w:p w14:paraId="76C75D40" w14:textId="77777777" w:rsidR="005402D5" w:rsidRPr="005F6D26" w:rsidRDefault="005402D5" w:rsidP="005402D5">
      <w:pPr>
        <w:jc w:val="both"/>
        <w:rPr>
          <w:rFonts w:asciiTheme="majorHAnsi" w:hAnsiTheme="majorHAnsi"/>
        </w:rPr>
      </w:pPr>
      <w:r w:rsidRPr="005F6D26">
        <w:rPr>
          <w:rFonts w:asciiTheme="majorHAnsi" w:hAnsiTheme="majorHAnsi"/>
        </w:rPr>
        <w:t xml:space="preserve">Commercial Media bookings can be more variable, working on shorter lead times of 2 weeks – 2 days prior to the shoot. Most shoots are full days with early starts and approximate shift length of 8-10 hours. Typically 1-3 stewards are required for each shoot. Bookings can be variable but tend to be busier within March-May and September-October, with the summer months quieter. </w:t>
      </w:r>
    </w:p>
    <w:p w14:paraId="59516180" w14:textId="77777777" w:rsidR="00DA6EF9" w:rsidRPr="005F6D26" w:rsidRDefault="00DA6EF9" w:rsidP="005402D5">
      <w:pPr>
        <w:jc w:val="both"/>
        <w:rPr>
          <w:rFonts w:asciiTheme="majorHAnsi" w:hAnsiTheme="majorHAnsi"/>
        </w:rPr>
      </w:pPr>
      <w:r w:rsidRPr="005F6D26">
        <w:rPr>
          <w:rFonts w:asciiTheme="majorHAnsi" w:hAnsiTheme="majorHAnsi"/>
        </w:rPr>
        <w:t>Venue Hire and Commercial Media shoots can be based indoors, outdoors, or both</w:t>
      </w:r>
      <w:r w:rsidR="00FA3072" w:rsidRPr="005F6D26">
        <w:rPr>
          <w:rFonts w:asciiTheme="majorHAnsi" w:hAnsiTheme="majorHAnsi"/>
        </w:rPr>
        <w:t>,</w:t>
      </w:r>
      <w:r w:rsidRPr="005F6D26">
        <w:rPr>
          <w:rFonts w:asciiTheme="majorHAnsi" w:hAnsiTheme="majorHAnsi"/>
        </w:rPr>
        <w:t xml:space="preserve"> so weather conditions will need to be taken into account by the supplier.</w:t>
      </w:r>
    </w:p>
    <w:p w14:paraId="22165214" w14:textId="77777777" w:rsidR="005402D5" w:rsidRPr="005F6D26" w:rsidRDefault="00E47417" w:rsidP="00E47417">
      <w:pPr>
        <w:jc w:val="both"/>
        <w:rPr>
          <w:rFonts w:asciiTheme="majorHAnsi" w:hAnsiTheme="majorHAnsi"/>
        </w:rPr>
      </w:pPr>
      <w:r w:rsidRPr="005F6D26">
        <w:rPr>
          <w:rFonts w:asciiTheme="majorHAnsi" w:hAnsiTheme="majorHAnsi"/>
        </w:rPr>
        <w:lastRenderedPageBreak/>
        <w:t xml:space="preserve">The supplier will be advised of current forward bookings for the following three months on a monthly basis, and will be advised of exact requirements for each venue hire event the week preceding. The supplier will be advised of commercial media requirements on an ad hoc basis upon confirmation of the shoot, due to the short lead times involved. </w:t>
      </w:r>
    </w:p>
    <w:p w14:paraId="4D57964B" w14:textId="77777777" w:rsidR="00B16BC4" w:rsidRPr="005F6D26" w:rsidRDefault="00B16BC4" w:rsidP="00E47417">
      <w:pPr>
        <w:jc w:val="both"/>
        <w:rPr>
          <w:rFonts w:asciiTheme="majorHAnsi" w:hAnsiTheme="majorHAnsi"/>
        </w:rPr>
      </w:pPr>
      <w:r w:rsidRPr="005F6D26">
        <w:rPr>
          <w:rFonts w:asciiTheme="majorHAnsi" w:hAnsiTheme="majorHAnsi"/>
        </w:rPr>
        <w:t xml:space="preserve">The supplier will need to be able to provide staff from a minimum of 48 </w:t>
      </w:r>
      <w:r w:rsidR="00AA6D34" w:rsidRPr="005F6D26">
        <w:rPr>
          <w:rFonts w:asciiTheme="majorHAnsi" w:hAnsiTheme="majorHAnsi"/>
        </w:rPr>
        <w:t>hours’ notice</w:t>
      </w:r>
      <w:r w:rsidRPr="005F6D26">
        <w:rPr>
          <w:rFonts w:asciiTheme="majorHAnsi" w:hAnsiTheme="majorHAnsi"/>
        </w:rPr>
        <w:t xml:space="preserve">. The supplier will be expected to employ staff of a good calibre with the qualifications, language ability and experience required to perform their duties efficiently and effectively. </w:t>
      </w:r>
    </w:p>
    <w:p w14:paraId="342D8A99" w14:textId="77777777" w:rsidR="00A55045" w:rsidRPr="005F6D26" w:rsidRDefault="00A55045" w:rsidP="00E47417">
      <w:pPr>
        <w:jc w:val="both"/>
        <w:rPr>
          <w:rFonts w:asciiTheme="majorHAnsi" w:hAnsiTheme="majorHAnsi"/>
        </w:rPr>
      </w:pPr>
      <w:r w:rsidRPr="005F6D26">
        <w:rPr>
          <w:rFonts w:asciiTheme="majorHAnsi" w:hAnsiTheme="majorHAnsi"/>
        </w:rPr>
        <w:t>The supplier shall establish a management structure w</w:t>
      </w:r>
      <w:r w:rsidR="00A23387">
        <w:rPr>
          <w:rFonts w:asciiTheme="majorHAnsi" w:hAnsiTheme="majorHAnsi"/>
        </w:rPr>
        <w:t>ith</w:t>
      </w:r>
      <w:r w:rsidRPr="005F6D26">
        <w:rPr>
          <w:rFonts w:asciiTheme="majorHAnsi" w:hAnsiTheme="majorHAnsi"/>
        </w:rPr>
        <w:t xml:space="preserve"> clearly define</w:t>
      </w:r>
      <w:r w:rsidR="0073242F" w:rsidRPr="005F6D26">
        <w:rPr>
          <w:rFonts w:asciiTheme="majorHAnsi" w:hAnsiTheme="majorHAnsi"/>
        </w:rPr>
        <w:t>d</w:t>
      </w:r>
      <w:r w:rsidRPr="005F6D26">
        <w:rPr>
          <w:rFonts w:asciiTheme="majorHAnsi" w:hAnsiTheme="majorHAnsi"/>
        </w:rPr>
        <w:t xml:space="preserve"> lines of </w:t>
      </w:r>
      <w:r w:rsidR="0073242F" w:rsidRPr="005F6D26">
        <w:rPr>
          <w:rFonts w:asciiTheme="majorHAnsi" w:hAnsiTheme="majorHAnsi"/>
        </w:rPr>
        <w:t>authority</w:t>
      </w:r>
      <w:r w:rsidRPr="005F6D26">
        <w:rPr>
          <w:rFonts w:asciiTheme="majorHAnsi" w:hAnsiTheme="majorHAnsi"/>
        </w:rPr>
        <w:t>, responsibility and accountability. Details of this structure should be clearly shown within the proposal</w:t>
      </w:r>
      <w:r w:rsidR="004F7857" w:rsidRPr="005F6D26">
        <w:rPr>
          <w:rFonts w:asciiTheme="majorHAnsi" w:hAnsiTheme="majorHAnsi"/>
        </w:rPr>
        <w:t>.</w:t>
      </w:r>
    </w:p>
    <w:p w14:paraId="522AD0C5" w14:textId="77777777" w:rsidR="0094127F" w:rsidRPr="005F6D26" w:rsidRDefault="0094127F" w:rsidP="0094127F">
      <w:pPr>
        <w:ind w:firstLine="720"/>
        <w:jc w:val="both"/>
        <w:rPr>
          <w:rFonts w:asciiTheme="majorHAnsi" w:hAnsiTheme="majorHAnsi"/>
          <w:b/>
        </w:rPr>
      </w:pPr>
      <w:r w:rsidRPr="005F6D26">
        <w:rPr>
          <w:rFonts w:asciiTheme="majorHAnsi" w:hAnsiTheme="majorHAnsi"/>
          <w:b/>
        </w:rPr>
        <w:t>4.2</w:t>
      </w:r>
      <w:r w:rsidR="00692CE8" w:rsidRPr="005F6D26">
        <w:rPr>
          <w:rFonts w:asciiTheme="majorHAnsi" w:hAnsiTheme="majorHAnsi"/>
          <w:b/>
        </w:rPr>
        <w:t xml:space="preserve"> P</w:t>
      </w:r>
      <w:r w:rsidRPr="005F6D26">
        <w:rPr>
          <w:rFonts w:asciiTheme="majorHAnsi" w:hAnsiTheme="majorHAnsi"/>
          <w:b/>
        </w:rPr>
        <w:t>rovision by supplier</w:t>
      </w:r>
    </w:p>
    <w:p w14:paraId="4F97F074" w14:textId="77777777" w:rsidR="009B517B" w:rsidRPr="005F6D26" w:rsidRDefault="00DA6EF9" w:rsidP="00E47417">
      <w:pPr>
        <w:jc w:val="both"/>
        <w:rPr>
          <w:rFonts w:asciiTheme="majorHAnsi" w:hAnsiTheme="majorHAnsi"/>
        </w:rPr>
      </w:pPr>
      <w:r w:rsidRPr="005F6D26">
        <w:rPr>
          <w:rFonts w:asciiTheme="majorHAnsi" w:hAnsiTheme="majorHAnsi"/>
        </w:rPr>
        <w:t>The supplier will need to ensure the following</w:t>
      </w:r>
      <w:r w:rsidR="005B0372" w:rsidRPr="005F6D26">
        <w:rPr>
          <w:rFonts w:asciiTheme="majorHAnsi" w:hAnsiTheme="majorHAnsi"/>
        </w:rPr>
        <w:t>:</w:t>
      </w:r>
    </w:p>
    <w:p w14:paraId="12F078A5" w14:textId="77777777" w:rsidR="00DA6EF9" w:rsidRPr="005F6D26" w:rsidRDefault="005B0372" w:rsidP="00DA6EF9">
      <w:pPr>
        <w:pStyle w:val="ListParagraph"/>
        <w:numPr>
          <w:ilvl w:val="0"/>
          <w:numId w:val="7"/>
        </w:numPr>
        <w:jc w:val="both"/>
        <w:rPr>
          <w:rFonts w:asciiTheme="majorHAnsi" w:hAnsiTheme="majorHAnsi"/>
        </w:rPr>
      </w:pPr>
      <w:r w:rsidRPr="005F6D26">
        <w:rPr>
          <w:rFonts w:asciiTheme="majorHAnsi" w:hAnsiTheme="majorHAnsi"/>
        </w:rPr>
        <w:t>All staff are t</w:t>
      </w:r>
      <w:r w:rsidR="00DA6EF9" w:rsidRPr="005F6D26">
        <w:rPr>
          <w:rFonts w:asciiTheme="majorHAnsi" w:hAnsiTheme="majorHAnsi"/>
        </w:rPr>
        <w:t>rain</w:t>
      </w:r>
      <w:r w:rsidRPr="005F6D26">
        <w:rPr>
          <w:rFonts w:asciiTheme="majorHAnsi" w:hAnsiTheme="majorHAnsi"/>
        </w:rPr>
        <w:t>ed</w:t>
      </w:r>
      <w:r w:rsidR="00DA6EF9" w:rsidRPr="005F6D26">
        <w:rPr>
          <w:rFonts w:asciiTheme="majorHAnsi" w:hAnsiTheme="majorHAnsi"/>
        </w:rPr>
        <w:t xml:space="preserve"> in customer care and event security</w:t>
      </w:r>
      <w:r w:rsidR="006E7319">
        <w:rPr>
          <w:rFonts w:asciiTheme="majorHAnsi" w:hAnsiTheme="majorHAnsi"/>
        </w:rPr>
        <w:t xml:space="preserve">. General training will need to be provided and paid for by the supplier. </w:t>
      </w:r>
    </w:p>
    <w:p w14:paraId="2E511800" w14:textId="77777777" w:rsidR="00DA6EF9" w:rsidRPr="005F6D26" w:rsidRDefault="00D248DB" w:rsidP="00DA6EF9">
      <w:pPr>
        <w:pStyle w:val="ListParagraph"/>
        <w:numPr>
          <w:ilvl w:val="0"/>
          <w:numId w:val="7"/>
        </w:numPr>
        <w:jc w:val="both"/>
        <w:rPr>
          <w:rFonts w:asciiTheme="majorHAnsi" w:hAnsiTheme="majorHAnsi"/>
        </w:rPr>
      </w:pPr>
      <w:r w:rsidRPr="005F6D26">
        <w:rPr>
          <w:rFonts w:asciiTheme="majorHAnsi" w:hAnsiTheme="majorHAnsi"/>
        </w:rPr>
        <w:t>That a</w:t>
      </w:r>
      <w:r w:rsidR="00DA6EF9" w:rsidRPr="005F6D26">
        <w:rPr>
          <w:rFonts w:asciiTheme="majorHAnsi" w:hAnsiTheme="majorHAnsi"/>
        </w:rPr>
        <w:t xml:space="preserve"> number of staff </w:t>
      </w:r>
      <w:r w:rsidRPr="005F6D26">
        <w:rPr>
          <w:rFonts w:asciiTheme="majorHAnsi" w:hAnsiTheme="majorHAnsi"/>
        </w:rPr>
        <w:t>who are</w:t>
      </w:r>
      <w:r w:rsidR="00DA6EF9" w:rsidRPr="005F6D26">
        <w:rPr>
          <w:rFonts w:asciiTheme="majorHAnsi" w:hAnsiTheme="majorHAnsi"/>
        </w:rPr>
        <w:t xml:space="preserve"> SIA licensed</w:t>
      </w:r>
      <w:r w:rsidRPr="005F6D26">
        <w:rPr>
          <w:rFonts w:asciiTheme="majorHAnsi" w:hAnsiTheme="majorHAnsi"/>
        </w:rPr>
        <w:t xml:space="preserve"> are available to service events, as required</w:t>
      </w:r>
    </w:p>
    <w:p w14:paraId="78128B78" w14:textId="77777777" w:rsidR="00DA6EF9" w:rsidRPr="005F6D26" w:rsidRDefault="005B0372" w:rsidP="00DA6EF9">
      <w:pPr>
        <w:pStyle w:val="ListParagraph"/>
        <w:numPr>
          <w:ilvl w:val="0"/>
          <w:numId w:val="7"/>
        </w:numPr>
        <w:jc w:val="both"/>
        <w:rPr>
          <w:rFonts w:asciiTheme="majorHAnsi" w:hAnsiTheme="majorHAnsi"/>
        </w:rPr>
      </w:pPr>
      <w:r w:rsidRPr="005F6D26">
        <w:rPr>
          <w:rFonts w:asciiTheme="majorHAnsi" w:hAnsiTheme="majorHAnsi"/>
        </w:rPr>
        <w:t>That a</w:t>
      </w:r>
      <w:r w:rsidR="00DA6EF9" w:rsidRPr="005F6D26">
        <w:rPr>
          <w:rFonts w:asciiTheme="majorHAnsi" w:hAnsiTheme="majorHAnsi"/>
        </w:rPr>
        <w:t xml:space="preserve"> number of staff </w:t>
      </w:r>
      <w:r w:rsidRPr="005F6D26">
        <w:rPr>
          <w:rFonts w:asciiTheme="majorHAnsi" w:hAnsiTheme="majorHAnsi"/>
        </w:rPr>
        <w:t xml:space="preserve">who </w:t>
      </w:r>
      <w:r w:rsidR="00DA6EF9" w:rsidRPr="005F6D26">
        <w:rPr>
          <w:rFonts w:asciiTheme="majorHAnsi" w:hAnsiTheme="majorHAnsi"/>
        </w:rPr>
        <w:t>hold driving licenses</w:t>
      </w:r>
      <w:r w:rsidRPr="005F6D26">
        <w:rPr>
          <w:rFonts w:asciiTheme="majorHAnsi" w:hAnsiTheme="majorHAnsi"/>
        </w:rPr>
        <w:t xml:space="preserve"> are available</w:t>
      </w:r>
      <w:r w:rsidR="00DA6EF9" w:rsidRPr="005F6D26">
        <w:rPr>
          <w:rFonts w:asciiTheme="majorHAnsi" w:hAnsiTheme="majorHAnsi"/>
        </w:rPr>
        <w:t xml:space="preserve"> to drive buggies onsite</w:t>
      </w:r>
      <w:r w:rsidRPr="005F6D26">
        <w:rPr>
          <w:rFonts w:asciiTheme="majorHAnsi" w:hAnsiTheme="majorHAnsi"/>
        </w:rPr>
        <w:t>, as required</w:t>
      </w:r>
    </w:p>
    <w:p w14:paraId="7A7D61C4" w14:textId="77777777" w:rsidR="00DA6EF9" w:rsidRPr="005F6D26" w:rsidRDefault="00DA6EF9" w:rsidP="00DA6EF9">
      <w:pPr>
        <w:pStyle w:val="ListParagraph"/>
        <w:numPr>
          <w:ilvl w:val="0"/>
          <w:numId w:val="7"/>
        </w:numPr>
        <w:jc w:val="both"/>
        <w:rPr>
          <w:rFonts w:asciiTheme="majorHAnsi" w:hAnsiTheme="majorHAnsi"/>
        </w:rPr>
      </w:pPr>
      <w:r w:rsidRPr="005F6D26">
        <w:rPr>
          <w:rFonts w:asciiTheme="majorHAnsi" w:hAnsiTheme="majorHAnsi"/>
        </w:rPr>
        <w:t>Staff trained in First Aid are preferred but not required</w:t>
      </w:r>
    </w:p>
    <w:p w14:paraId="371CA10D" w14:textId="77777777" w:rsidR="00DA6EF9" w:rsidRPr="005F6D26" w:rsidRDefault="00DA6EF9" w:rsidP="00DA6EF9">
      <w:pPr>
        <w:pStyle w:val="ListParagraph"/>
        <w:numPr>
          <w:ilvl w:val="0"/>
          <w:numId w:val="7"/>
        </w:numPr>
        <w:jc w:val="both"/>
        <w:rPr>
          <w:rFonts w:asciiTheme="majorHAnsi" w:hAnsiTheme="majorHAnsi"/>
        </w:rPr>
      </w:pPr>
      <w:r w:rsidRPr="005F6D26">
        <w:rPr>
          <w:rFonts w:asciiTheme="majorHAnsi" w:hAnsiTheme="majorHAnsi"/>
        </w:rPr>
        <w:t>Staff can provide their own, or supplier can provide them with, appropriate uniform to include black suit, white shirt, smart black shoes or boots, with black coats, hats, gloves and umbrellas as required by the weather</w:t>
      </w:r>
    </w:p>
    <w:p w14:paraId="605B4B82" w14:textId="77777777" w:rsidR="00543C04" w:rsidRPr="005F6D26" w:rsidRDefault="001F55A9" w:rsidP="00DA6EF9">
      <w:pPr>
        <w:pStyle w:val="ListParagraph"/>
        <w:numPr>
          <w:ilvl w:val="0"/>
          <w:numId w:val="7"/>
        </w:numPr>
        <w:jc w:val="both"/>
        <w:rPr>
          <w:rFonts w:asciiTheme="majorHAnsi" w:hAnsiTheme="majorHAnsi"/>
        </w:rPr>
      </w:pPr>
      <w:r w:rsidRPr="005F6D26">
        <w:rPr>
          <w:rFonts w:asciiTheme="majorHAnsi" w:hAnsiTheme="majorHAnsi"/>
        </w:rPr>
        <w:t>That a</w:t>
      </w:r>
      <w:r w:rsidR="00543C04" w:rsidRPr="005F6D26">
        <w:rPr>
          <w:rFonts w:asciiTheme="majorHAnsi" w:hAnsiTheme="majorHAnsi"/>
        </w:rPr>
        <w:t xml:space="preserve">ppropriate PPE equipment (such as hi-vis tabards) </w:t>
      </w:r>
      <w:r w:rsidRPr="005F6D26">
        <w:rPr>
          <w:rFonts w:asciiTheme="majorHAnsi" w:hAnsiTheme="majorHAnsi"/>
        </w:rPr>
        <w:t>are</w:t>
      </w:r>
      <w:r w:rsidR="00543C04" w:rsidRPr="005F6D26">
        <w:rPr>
          <w:rFonts w:asciiTheme="majorHAnsi" w:hAnsiTheme="majorHAnsi"/>
        </w:rPr>
        <w:t xml:space="preserve"> provided as required</w:t>
      </w:r>
    </w:p>
    <w:p w14:paraId="296CA7A0" w14:textId="77777777" w:rsidR="00DA6EF9" w:rsidRPr="005F6D26" w:rsidRDefault="001F55A9" w:rsidP="00DA6EF9">
      <w:pPr>
        <w:pStyle w:val="ListParagraph"/>
        <w:numPr>
          <w:ilvl w:val="0"/>
          <w:numId w:val="7"/>
        </w:numPr>
        <w:jc w:val="both"/>
        <w:rPr>
          <w:rFonts w:asciiTheme="majorHAnsi" w:hAnsiTheme="majorHAnsi"/>
        </w:rPr>
      </w:pPr>
      <w:r w:rsidRPr="005F6D26">
        <w:rPr>
          <w:rFonts w:asciiTheme="majorHAnsi" w:hAnsiTheme="majorHAnsi"/>
        </w:rPr>
        <w:t>That s</w:t>
      </w:r>
      <w:r w:rsidR="00DA6EF9" w:rsidRPr="005F6D26">
        <w:rPr>
          <w:rFonts w:asciiTheme="majorHAnsi" w:hAnsiTheme="majorHAnsi"/>
        </w:rPr>
        <w:t xml:space="preserve">taff </w:t>
      </w:r>
      <w:r w:rsidRPr="005F6D26">
        <w:rPr>
          <w:rFonts w:asciiTheme="majorHAnsi" w:hAnsiTheme="majorHAnsi"/>
        </w:rPr>
        <w:t xml:space="preserve">observe </w:t>
      </w:r>
      <w:r w:rsidR="00DA6EF9" w:rsidRPr="005F6D26">
        <w:rPr>
          <w:rFonts w:asciiTheme="majorHAnsi" w:hAnsiTheme="majorHAnsi"/>
        </w:rPr>
        <w:t>exemplary timekeeping.</w:t>
      </w:r>
    </w:p>
    <w:p w14:paraId="48676018" w14:textId="77777777" w:rsidR="009B517B" w:rsidRPr="005F6D26" w:rsidRDefault="009B517B" w:rsidP="00E47417">
      <w:pPr>
        <w:jc w:val="both"/>
        <w:rPr>
          <w:rFonts w:asciiTheme="majorHAnsi" w:hAnsiTheme="majorHAnsi"/>
        </w:rPr>
      </w:pPr>
      <w:r w:rsidRPr="005F6D26">
        <w:rPr>
          <w:rFonts w:asciiTheme="majorHAnsi" w:hAnsiTheme="majorHAnsi"/>
        </w:rPr>
        <w:t xml:space="preserve">Please note subcontracting is prohibited within this contract. </w:t>
      </w:r>
    </w:p>
    <w:p w14:paraId="40DE50AF" w14:textId="77777777" w:rsidR="008302FF" w:rsidRPr="005F6D26" w:rsidRDefault="005402D5" w:rsidP="0094127F">
      <w:pPr>
        <w:ind w:firstLine="720"/>
        <w:jc w:val="both"/>
        <w:rPr>
          <w:rFonts w:asciiTheme="majorHAnsi" w:hAnsiTheme="majorHAnsi"/>
          <w:b/>
        </w:rPr>
      </w:pPr>
      <w:r w:rsidRPr="005F6D26">
        <w:rPr>
          <w:rFonts w:asciiTheme="majorHAnsi" w:hAnsiTheme="majorHAnsi"/>
          <w:b/>
        </w:rPr>
        <w:t xml:space="preserve"> </w:t>
      </w:r>
      <w:r w:rsidR="0094127F" w:rsidRPr="005F6D26">
        <w:rPr>
          <w:rFonts w:asciiTheme="majorHAnsi" w:hAnsiTheme="majorHAnsi"/>
          <w:b/>
        </w:rPr>
        <w:t xml:space="preserve">4.3 Provision by </w:t>
      </w:r>
      <w:r w:rsidR="00E84444" w:rsidRPr="005F6D26">
        <w:rPr>
          <w:rFonts w:asciiTheme="majorHAnsi" w:hAnsiTheme="majorHAnsi"/>
          <w:b/>
        </w:rPr>
        <w:t xml:space="preserve">RBG </w:t>
      </w:r>
      <w:r w:rsidR="0094127F" w:rsidRPr="005F6D26">
        <w:rPr>
          <w:rFonts w:asciiTheme="majorHAnsi" w:hAnsiTheme="majorHAnsi"/>
          <w:b/>
        </w:rPr>
        <w:t>Kew</w:t>
      </w:r>
    </w:p>
    <w:p w14:paraId="2BCA2CDB" w14:textId="77777777" w:rsidR="0094127F" w:rsidRPr="005F6D26" w:rsidRDefault="0094127F" w:rsidP="0094127F">
      <w:pPr>
        <w:jc w:val="both"/>
        <w:rPr>
          <w:rFonts w:asciiTheme="majorHAnsi" w:hAnsiTheme="majorHAnsi"/>
        </w:rPr>
      </w:pPr>
      <w:r w:rsidRPr="005F6D26">
        <w:rPr>
          <w:rFonts w:asciiTheme="majorHAnsi" w:hAnsiTheme="majorHAnsi"/>
        </w:rPr>
        <w:t>Kew will provide the following;</w:t>
      </w:r>
    </w:p>
    <w:p w14:paraId="06279AE3" w14:textId="77777777" w:rsidR="0094127F" w:rsidRDefault="0094127F" w:rsidP="0094127F">
      <w:pPr>
        <w:pStyle w:val="ListParagraph"/>
        <w:numPr>
          <w:ilvl w:val="0"/>
          <w:numId w:val="11"/>
        </w:numPr>
        <w:jc w:val="both"/>
        <w:rPr>
          <w:rFonts w:asciiTheme="majorHAnsi" w:hAnsiTheme="majorHAnsi"/>
        </w:rPr>
      </w:pPr>
      <w:r w:rsidRPr="005F6D26">
        <w:rPr>
          <w:rFonts w:asciiTheme="majorHAnsi" w:hAnsiTheme="majorHAnsi"/>
        </w:rPr>
        <w:t xml:space="preserve">An adequate number of radios compatible with </w:t>
      </w:r>
      <w:r w:rsidR="00E84444" w:rsidRPr="005F6D26">
        <w:rPr>
          <w:rFonts w:asciiTheme="majorHAnsi" w:hAnsiTheme="majorHAnsi"/>
        </w:rPr>
        <w:t xml:space="preserve">RBG </w:t>
      </w:r>
      <w:r w:rsidRPr="005F6D26">
        <w:rPr>
          <w:rFonts w:asciiTheme="majorHAnsi" w:hAnsiTheme="majorHAnsi"/>
        </w:rPr>
        <w:t>Kew’s onsite communications system</w:t>
      </w:r>
    </w:p>
    <w:p w14:paraId="386DBB53" w14:textId="77777777" w:rsidR="006E7319" w:rsidRPr="005F6D26" w:rsidRDefault="006E7319" w:rsidP="0094127F">
      <w:pPr>
        <w:pStyle w:val="ListParagraph"/>
        <w:numPr>
          <w:ilvl w:val="0"/>
          <w:numId w:val="11"/>
        </w:numPr>
        <w:jc w:val="both"/>
        <w:rPr>
          <w:rFonts w:asciiTheme="majorHAnsi" w:hAnsiTheme="majorHAnsi"/>
        </w:rPr>
      </w:pPr>
      <w:r>
        <w:rPr>
          <w:rFonts w:asciiTheme="majorHAnsi" w:hAnsiTheme="majorHAnsi"/>
        </w:rPr>
        <w:t xml:space="preserve">Onsite induction and familiarisation training as and when deemed appropriate by RBG Kew Venue Hire team, </w:t>
      </w:r>
      <w:r w:rsidR="002F4634">
        <w:rPr>
          <w:rFonts w:asciiTheme="majorHAnsi" w:hAnsiTheme="majorHAnsi"/>
        </w:rPr>
        <w:t xml:space="preserve">with a general level of two training sessions to be conducted per year. </w:t>
      </w:r>
    </w:p>
    <w:p w14:paraId="64B83638" w14:textId="77777777" w:rsidR="0094127F" w:rsidRPr="005F6D26" w:rsidRDefault="0094127F" w:rsidP="0094127F">
      <w:pPr>
        <w:pStyle w:val="ListParagraph"/>
        <w:numPr>
          <w:ilvl w:val="0"/>
          <w:numId w:val="11"/>
        </w:numPr>
        <w:jc w:val="both"/>
        <w:rPr>
          <w:rFonts w:asciiTheme="majorHAnsi" w:hAnsiTheme="majorHAnsi"/>
        </w:rPr>
      </w:pPr>
      <w:r w:rsidRPr="005F6D26">
        <w:rPr>
          <w:rFonts w:asciiTheme="majorHAnsi" w:hAnsiTheme="majorHAnsi"/>
        </w:rPr>
        <w:t xml:space="preserve">Individual </w:t>
      </w:r>
      <w:proofErr w:type="spellStart"/>
      <w:r w:rsidRPr="005F6D26">
        <w:rPr>
          <w:rFonts w:asciiTheme="majorHAnsi" w:hAnsiTheme="majorHAnsi"/>
        </w:rPr>
        <w:t>photocard</w:t>
      </w:r>
      <w:proofErr w:type="spellEnd"/>
      <w:r w:rsidRPr="005F6D26">
        <w:rPr>
          <w:rFonts w:asciiTheme="majorHAnsi" w:hAnsiTheme="majorHAnsi"/>
        </w:rPr>
        <w:t xml:space="preserve"> passes or general staff passes as deemed necessary by the</w:t>
      </w:r>
      <w:r w:rsidR="00E84444" w:rsidRPr="005F6D26">
        <w:rPr>
          <w:rFonts w:asciiTheme="majorHAnsi" w:hAnsiTheme="majorHAnsi"/>
        </w:rPr>
        <w:t xml:space="preserve"> RBG</w:t>
      </w:r>
      <w:r w:rsidRPr="005F6D26">
        <w:rPr>
          <w:rFonts w:asciiTheme="majorHAnsi" w:hAnsiTheme="majorHAnsi"/>
        </w:rPr>
        <w:t xml:space="preserve"> Kew Security Manager</w:t>
      </w:r>
    </w:p>
    <w:p w14:paraId="0A04DEBC" w14:textId="77777777" w:rsidR="0094127F" w:rsidRPr="005F6D26" w:rsidRDefault="0094127F" w:rsidP="0094127F">
      <w:pPr>
        <w:pStyle w:val="ListParagraph"/>
        <w:numPr>
          <w:ilvl w:val="0"/>
          <w:numId w:val="11"/>
        </w:numPr>
        <w:jc w:val="both"/>
        <w:rPr>
          <w:rFonts w:asciiTheme="majorHAnsi" w:hAnsiTheme="majorHAnsi"/>
        </w:rPr>
      </w:pPr>
      <w:r w:rsidRPr="005F6D26">
        <w:rPr>
          <w:rFonts w:asciiTheme="majorHAnsi" w:hAnsiTheme="majorHAnsi"/>
        </w:rPr>
        <w:t>All keys and other equipment required for the purpose of the event</w:t>
      </w:r>
    </w:p>
    <w:p w14:paraId="77E18459" w14:textId="77777777" w:rsidR="00A55045" w:rsidRPr="005F6D26" w:rsidRDefault="00A55045" w:rsidP="00A55045">
      <w:pPr>
        <w:pStyle w:val="ListParagraph"/>
        <w:jc w:val="both"/>
        <w:rPr>
          <w:rFonts w:asciiTheme="majorHAnsi" w:hAnsiTheme="majorHAnsi"/>
        </w:rPr>
      </w:pPr>
    </w:p>
    <w:p w14:paraId="219F3110" w14:textId="77777777" w:rsidR="00A55045" w:rsidRPr="005F6D26" w:rsidRDefault="00A55045" w:rsidP="00A55045">
      <w:pPr>
        <w:pStyle w:val="ListParagraph"/>
        <w:numPr>
          <w:ilvl w:val="0"/>
          <w:numId w:val="4"/>
        </w:numPr>
        <w:jc w:val="both"/>
        <w:rPr>
          <w:rFonts w:asciiTheme="majorHAnsi" w:hAnsiTheme="majorHAnsi"/>
          <w:b/>
        </w:rPr>
      </w:pPr>
      <w:r w:rsidRPr="005F6D26">
        <w:rPr>
          <w:rFonts w:asciiTheme="majorHAnsi" w:hAnsiTheme="majorHAnsi"/>
          <w:b/>
        </w:rPr>
        <w:t xml:space="preserve">CONTRACT MANAGEMENT </w:t>
      </w:r>
    </w:p>
    <w:p w14:paraId="7329E77C" w14:textId="77777777" w:rsidR="00EE0D97" w:rsidRPr="005F6D26" w:rsidRDefault="00EE0D97" w:rsidP="00E17E1D">
      <w:pPr>
        <w:pStyle w:val="ListParagraph"/>
        <w:numPr>
          <w:ilvl w:val="1"/>
          <w:numId w:val="4"/>
        </w:numPr>
        <w:tabs>
          <w:tab w:val="left" w:pos="-720"/>
        </w:tabs>
        <w:suppressAutoHyphens/>
        <w:jc w:val="both"/>
        <w:outlineLvl w:val="0"/>
        <w:rPr>
          <w:rFonts w:asciiTheme="majorHAnsi" w:hAnsiTheme="majorHAnsi"/>
          <w:b/>
          <w:spacing w:val="-2"/>
        </w:rPr>
      </w:pPr>
      <w:r w:rsidRPr="005F6D26">
        <w:rPr>
          <w:rFonts w:asciiTheme="majorHAnsi" w:hAnsiTheme="majorHAnsi"/>
          <w:b/>
          <w:spacing w:val="-2"/>
        </w:rPr>
        <w:t>Client Liaison Meetings</w:t>
      </w:r>
    </w:p>
    <w:p w14:paraId="29A2747D" w14:textId="77777777" w:rsidR="0057412C" w:rsidRPr="00FC014A" w:rsidRDefault="00FC014A" w:rsidP="00E17E1D">
      <w:pPr>
        <w:pStyle w:val="ListParagraph"/>
        <w:jc w:val="both"/>
        <w:rPr>
          <w:rFonts w:asciiTheme="majorHAnsi" w:hAnsiTheme="majorHAnsi"/>
          <w:spacing w:val="-2"/>
        </w:rPr>
      </w:pPr>
      <w:r w:rsidRPr="00FC014A">
        <w:rPr>
          <w:rFonts w:asciiTheme="majorHAnsi" w:hAnsiTheme="majorHAnsi"/>
          <w:spacing w:val="-2"/>
        </w:rPr>
        <w:t xml:space="preserve">The performance of the contract will be monitored regularly through monthly reporting of </w:t>
      </w:r>
      <w:r w:rsidRPr="00A23387">
        <w:rPr>
          <w:rFonts w:asciiTheme="majorHAnsi" w:hAnsiTheme="majorHAnsi"/>
          <w:spacing w:val="-2"/>
        </w:rPr>
        <w:t>KPIs</w:t>
      </w:r>
      <w:r w:rsidRPr="00FC014A">
        <w:rPr>
          <w:rFonts w:asciiTheme="majorHAnsi" w:hAnsiTheme="majorHAnsi"/>
          <w:spacing w:val="-2"/>
        </w:rPr>
        <w:t xml:space="preserve"> and quarterly review meetings.</w:t>
      </w:r>
      <w:r>
        <w:rPr>
          <w:rFonts w:asciiTheme="majorHAnsi" w:hAnsiTheme="majorHAnsi"/>
          <w:spacing w:val="-2"/>
        </w:rPr>
        <w:t xml:space="preserve"> The supplier will be responsible for submitting the reports and arrangement of the review meetings.</w:t>
      </w:r>
    </w:p>
    <w:p w14:paraId="585B9D60" w14:textId="77777777" w:rsidR="0057412C" w:rsidRPr="005F6D26" w:rsidRDefault="0057412C" w:rsidP="00E17E1D">
      <w:pPr>
        <w:pStyle w:val="ListParagraph"/>
        <w:tabs>
          <w:tab w:val="left" w:pos="-720"/>
        </w:tabs>
        <w:suppressAutoHyphens/>
        <w:ind w:left="1080"/>
        <w:jc w:val="both"/>
        <w:outlineLvl w:val="0"/>
        <w:rPr>
          <w:rFonts w:asciiTheme="majorHAnsi" w:hAnsiTheme="majorHAnsi"/>
          <w:b/>
          <w:spacing w:val="-2"/>
        </w:rPr>
      </w:pPr>
    </w:p>
    <w:p w14:paraId="4DB14E08" w14:textId="77777777" w:rsidR="00EE0D97" w:rsidRPr="005F6D26" w:rsidRDefault="00EE0D97" w:rsidP="00E17E1D">
      <w:pPr>
        <w:pStyle w:val="ListParagraph"/>
        <w:numPr>
          <w:ilvl w:val="1"/>
          <w:numId w:val="4"/>
        </w:numPr>
        <w:tabs>
          <w:tab w:val="left" w:pos="-720"/>
        </w:tabs>
        <w:suppressAutoHyphens/>
        <w:jc w:val="both"/>
        <w:outlineLvl w:val="0"/>
        <w:rPr>
          <w:rFonts w:asciiTheme="majorHAnsi" w:hAnsiTheme="majorHAnsi"/>
          <w:b/>
          <w:spacing w:val="-2"/>
        </w:rPr>
      </w:pPr>
      <w:r w:rsidRPr="005F6D26">
        <w:rPr>
          <w:rFonts w:asciiTheme="majorHAnsi" w:hAnsiTheme="majorHAnsi"/>
          <w:b/>
          <w:spacing w:val="-2"/>
        </w:rPr>
        <w:t>Key Performance Indicators</w:t>
      </w:r>
    </w:p>
    <w:p w14:paraId="260B60CD" w14:textId="77777777" w:rsidR="00B933B1" w:rsidRPr="005F6D26" w:rsidRDefault="00B933B1" w:rsidP="00B933B1">
      <w:pPr>
        <w:jc w:val="both"/>
        <w:rPr>
          <w:rFonts w:asciiTheme="majorHAnsi" w:hAnsiTheme="majorHAnsi"/>
        </w:rPr>
      </w:pPr>
      <w:r w:rsidRPr="005F6D26">
        <w:rPr>
          <w:rFonts w:asciiTheme="majorHAnsi" w:hAnsiTheme="majorHAnsi"/>
        </w:rPr>
        <w:lastRenderedPageBreak/>
        <w:t>The contract will be monitored through the Key Performance Indicators detailed in Appendix C.</w:t>
      </w:r>
    </w:p>
    <w:p w14:paraId="1D8D4E6C" w14:textId="77777777" w:rsidR="00B933B1" w:rsidRPr="005F6D26" w:rsidRDefault="00B933B1" w:rsidP="00B933B1">
      <w:pPr>
        <w:pStyle w:val="ListParagraph"/>
        <w:spacing w:after="0"/>
        <w:rPr>
          <w:rFonts w:asciiTheme="majorHAnsi" w:hAnsiTheme="majorHAnsi"/>
          <w:color w:val="000000" w:themeColor="text1"/>
        </w:rPr>
      </w:pPr>
    </w:p>
    <w:p w14:paraId="510656AE" w14:textId="77777777" w:rsidR="00B933B1" w:rsidRPr="005F6D26" w:rsidRDefault="00B933B1" w:rsidP="00B933B1">
      <w:pPr>
        <w:pStyle w:val="ListParagraph"/>
        <w:tabs>
          <w:tab w:val="left" w:pos="-720"/>
        </w:tabs>
        <w:suppressAutoHyphens/>
        <w:ind w:left="1080"/>
        <w:jc w:val="both"/>
        <w:outlineLvl w:val="0"/>
        <w:rPr>
          <w:rFonts w:asciiTheme="majorHAnsi" w:hAnsiTheme="majorHAnsi"/>
          <w:b/>
          <w:spacing w:val="-2"/>
        </w:rPr>
      </w:pPr>
    </w:p>
    <w:p w14:paraId="7B383C0E" w14:textId="77777777" w:rsidR="00185461" w:rsidRPr="005F6D26" w:rsidRDefault="00185461">
      <w:pPr>
        <w:rPr>
          <w:rFonts w:asciiTheme="majorHAnsi" w:hAnsiTheme="majorHAnsi"/>
          <w:b/>
        </w:rPr>
      </w:pPr>
      <w:r w:rsidRPr="005F6D26">
        <w:rPr>
          <w:rFonts w:asciiTheme="majorHAnsi" w:hAnsiTheme="majorHAnsi"/>
          <w:b/>
        </w:rPr>
        <w:br w:type="page"/>
      </w:r>
    </w:p>
    <w:p w14:paraId="3764E60A" w14:textId="77777777" w:rsidR="00D53B28" w:rsidRPr="005F6D26" w:rsidRDefault="00D53B28" w:rsidP="00D53B28">
      <w:pPr>
        <w:spacing w:after="0" w:line="240" w:lineRule="auto"/>
        <w:rPr>
          <w:rFonts w:asciiTheme="majorHAnsi" w:hAnsiTheme="majorHAnsi"/>
          <w:b/>
        </w:rPr>
      </w:pPr>
      <w:r w:rsidRPr="005F6D26">
        <w:rPr>
          <w:rFonts w:asciiTheme="majorHAnsi" w:hAnsiTheme="majorHAnsi"/>
          <w:b/>
        </w:rPr>
        <w:lastRenderedPageBreak/>
        <w:t>Appendix A - Site locations</w:t>
      </w:r>
    </w:p>
    <w:p w14:paraId="34D9D856" w14:textId="77777777" w:rsidR="00D53B28" w:rsidRPr="005F6D26" w:rsidRDefault="00D53B28" w:rsidP="00D53B28">
      <w:pPr>
        <w:spacing w:after="0" w:line="240" w:lineRule="auto"/>
        <w:rPr>
          <w:rFonts w:asciiTheme="majorHAnsi" w:hAnsiTheme="majorHAnsi"/>
        </w:rPr>
      </w:pPr>
    </w:p>
    <w:p w14:paraId="244D38C1" w14:textId="77777777" w:rsidR="00D53B28" w:rsidRPr="005F6D26" w:rsidRDefault="00D53B28" w:rsidP="00D53B28">
      <w:pPr>
        <w:spacing w:after="0" w:line="240" w:lineRule="auto"/>
        <w:rPr>
          <w:rFonts w:asciiTheme="majorHAnsi" w:hAnsiTheme="majorHAnsi"/>
        </w:rPr>
      </w:pPr>
      <w:r w:rsidRPr="005F6D26">
        <w:rPr>
          <w:rFonts w:asciiTheme="majorHAnsi" w:hAnsiTheme="majorHAnsi"/>
        </w:rPr>
        <w:t xml:space="preserve">A site map showing venues, access and egress points: </w:t>
      </w:r>
    </w:p>
    <w:p w14:paraId="418711F7" w14:textId="77777777" w:rsidR="00D53B28" w:rsidRPr="005F6D26" w:rsidRDefault="00D53B28" w:rsidP="00D53B28">
      <w:pPr>
        <w:spacing w:after="0" w:line="240" w:lineRule="auto"/>
        <w:rPr>
          <w:rFonts w:asciiTheme="majorHAnsi" w:hAnsiTheme="majorHAnsi"/>
        </w:rPr>
      </w:pPr>
    </w:p>
    <w:p w14:paraId="75C90000" w14:textId="4AC6BEE9" w:rsidR="00D53B28" w:rsidRPr="002B4450" w:rsidRDefault="002B4450" w:rsidP="00D53B28">
      <w:pPr>
        <w:spacing w:after="0" w:line="240" w:lineRule="auto"/>
        <w:rPr>
          <w:rFonts w:asciiTheme="majorHAnsi" w:hAnsiTheme="majorHAnsi"/>
          <w:i/>
        </w:rPr>
      </w:pPr>
      <w:r w:rsidRPr="002B4450">
        <w:rPr>
          <w:rFonts w:asciiTheme="majorHAnsi" w:hAnsiTheme="majorHAnsi"/>
          <w:i/>
        </w:rPr>
        <w:t>[</w:t>
      </w:r>
      <w:proofErr w:type="gramStart"/>
      <w:r w:rsidRPr="002B4450">
        <w:rPr>
          <w:rFonts w:asciiTheme="majorHAnsi" w:hAnsiTheme="majorHAnsi"/>
          <w:i/>
        </w:rPr>
        <w:t>will</w:t>
      </w:r>
      <w:proofErr w:type="gramEnd"/>
      <w:r w:rsidRPr="002B4450">
        <w:rPr>
          <w:rFonts w:asciiTheme="majorHAnsi" w:hAnsiTheme="majorHAnsi"/>
          <w:i/>
        </w:rPr>
        <w:t xml:space="preserve"> be provided at ITT stage]</w:t>
      </w:r>
    </w:p>
    <w:p w14:paraId="1E695AA2" w14:textId="77777777" w:rsidR="002B4450" w:rsidRDefault="002B4450" w:rsidP="00D53B28">
      <w:pPr>
        <w:spacing w:after="0" w:line="240" w:lineRule="auto"/>
        <w:rPr>
          <w:rFonts w:asciiTheme="majorHAnsi" w:hAnsiTheme="majorHAnsi"/>
        </w:rPr>
      </w:pPr>
    </w:p>
    <w:p w14:paraId="4FB9D9E9" w14:textId="77777777" w:rsidR="00E07BC5" w:rsidRPr="005F6D26" w:rsidRDefault="00E07BC5" w:rsidP="00E07BC5">
      <w:pPr>
        <w:spacing w:after="0" w:line="240" w:lineRule="auto"/>
        <w:rPr>
          <w:rFonts w:asciiTheme="majorHAnsi" w:hAnsiTheme="majorHAnsi"/>
        </w:rPr>
      </w:pPr>
      <w:r w:rsidRPr="005F6D26">
        <w:rPr>
          <w:rFonts w:asciiTheme="majorHAnsi" w:hAnsiTheme="majorHAnsi"/>
        </w:rPr>
        <w:t>A floorplan for each venue:</w:t>
      </w:r>
    </w:p>
    <w:p w14:paraId="27E9A972" w14:textId="4D54DD5A" w:rsidR="00E07BC5" w:rsidRPr="005F6D26" w:rsidRDefault="00E07BC5" w:rsidP="00E07BC5">
      <w:pPr>
        <w:spacing w:after="0" w:line="240" w:lineRule="auto"/>
        <w:rPr>
          <w:rFonts w:asciiTheme="majorHAnsi" w:hAnsiTheme="majorHAnsi"/>
        </w:rPr>
      </w:pPr>
    </w:p>
    <w:p w14:paraId="1C2D6ECA" w14:textId="77777777" w:rsidR="002B4450" w:rsidRPr="002B4450" w:rsidRDefault="002B4450" w:rsidP="002B4450">
      <w:pPr>
        <w:spacing w:after="0" w:line="240" w:lineRule="auto"/>
        <w:rPr>
          <w:rFonts w:asciiTheme="majorHAnsi" w:hAnsiTheme="majorHAnsi"/>
          <w:i/>
        </w:rPr>
      </w:pPr>
      <w:r w:rsidRPr="002B4450">
        <w:rPr>
          <w:rFonts w:asciiTheme="majorHAnsi" w:hAnsiTheme="majorHAnsi"/>
          <w:i/>
        </w:rPr>
        <w:t>[</w:t>
      </w:r>
      <w:proofErr w:type="gramStart"/>
      <w:r w:rsidRPr="002B4450">
        <w:rPr>
          <w:rFonts w:asciiTheme="majorHAnsi" w:hAnsiTheme="majorHAnsi"/>
          <w:i/>
        </w:rPr>
        <w:t>will</w:t>
      </w:r>
      <w:proofErr w:type="gramEnd"/>
      <w:r w:rsidRPr="002B4450">
        <w:rPr>
          <w:rFonts w:asciiTheme="majorHAnsi" w:hAnsiTheme="majorHAnsi"/>
          <w:i/>
        </w:rPr>
        <w:t xml:space="preserve"> be provided at ITT stage]</w:t>
      </w:r>
    </w:p>
    <w:p w14:paraId="15FFFF92" w14:textId="77777777" w:rsidR="002B4450" w:rsidRDefault="002B4450" w:rsidP="00A55045">
      <w:pPr>
        <w:jc w:val="both"/>
        <w:rPr>
          <w:rFonts w:asciiTheme="majorHAnsi" w:hAnsiTheme="majorHAnsi"/>
          <w:b/>
        </w:rPr>
      </w:pPr>
    </w:p>
    <w:p w14:paraId="70AD33BB" w14:textId="77777777" w:rsidR="009642D2" w:rsidRPr="005F6D26" w:rsidRDefault="009642D2" w:rsidP="00A55045">
      <w:pPr>
        <w:jc w:val="both"/>
        <w:rPr>
          <w:rFonts w:asciiTheme="majorHAnsi" w:hAnsiTheme="majorHAnsi"/>
        </w:rPr>
      </w:pPr>
      <w:r w:rsidRPr="005F6D26">
        <w:rPr>
          <w:rFonts w:asciiTheme="majorHAnsi" w:hAnsiTheme="majorHAnsi"/>
          <w:b/>
        </w:rPr>
        <w:t>Appendix B</w:t>
      </w:r>
      <w:r w:rsidRPr="005F6D26">
        <w:rPr>
          <w:rFonts w:asciiTheme="majorHAnsi" w:hAnsiTheme="majorHAnsi"/>
        </w:rPr>
        <w:t xml:space="preserve"> – Historical event data</w:t>
      </w:r>
    </w:p>
    <w:bookmarkStart w:id="1" w:name="_MON_1551783866"/>
    <w:bookmarkEnd w:id="1"/>
    <w:p w14:paraId="3FA678C1" w14:textId="77777777" w:rsidR="00692CE8" w:rsidRPr="005F6D26" w:rsidRDefault="00A23387" w:rsidP="00A55045">
      <w:pPr>
        <w:jc w:val="both"/>
        <w:rPr>
          <w:rFonts w:asciiTheme="majorHAnsi" w:hAnsiTheme="majorHAnsi"/>
        </w:rPr>
      </w:pPr>
      <w:r w:rsidRPr="005F6D26">
        <w:rPr>
          <w:rFonts w:asciiTheme="majorHAnsi" w:hAnsiTheme="majorHAnsi"/>
        </w:rPr>
        <w:object w:dxaOrig="1513" w:dyaOrig="996" w14:anchorId="75E4F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6.3pt;height:49.7pt" o:ole="">
            <v:imagedata r:id="rId8" o:title=""/>
          </v:shape>
          <o:OLEObject Type="Embed" ProgID="Excel.Sheet.12" ShapeID="_x0000_i1032" DrawAspect="Icon" ObjectID="_1563188321" r:id="rId9"/>
        </w:object>
      </w:r>
    </w:p>
    <w:p w14:paraId="70736CA3" w14:textId="77777777" w:rsidR="00CF374A" w:rsidRDefault="00692CE8" w:rsidP="00A23387">
      <w:pPr>
        <w:rPr>
          <w:rFonts w:asciiTheme="majorHAnsi" w:hAnsiTheme="majorHAnsi"/>
        </w:rPr>
      </w:pPr>
      <w:r w:rsidRPr="005F6D26">
        <w:rPr>
          <w:rFonts w:asciiTheme="majorHAnsi" w:hAnsiTheme="majorHAnsi"/>
          <w:b/>
        </w:rPr>
        <w:t>Appendix C</w:t>
      </w:r>
      <w:r w:rsidRPr="005F6D26">
        <w:rPr>
          <w:rFonts w:asciiTheme="majorHAnsi" w:hAnsiTheme="majorHAnsi"/>
        </w:rPr>
        <w:t xml:space="preserve"> – Key Performance Indicators</w:t>
      </w:r>
    </w:p>
    <w:bookmarkStart w:id="2" w:name="_MON_1560597860"/>
    <w:bookmarkEnd w:id="2"/>
    <w:p w14:paraId="171B91F8" w14:textId="77777777" w:rsidR="00CF374A" w:rsidRDefault="00A23387">
      <w:pPr>
        <w:rPr>
          <w:rFonts w:asciiTheme="majorHAnsi" w:hAnsiTheme="majorHAnsi"/>
        </w:rPr>
      </w:pPr>
      <w:r>
        <w:rPr>
          <w:rFonts w:asciiTheme="majorHAnsi" w:hAnsiTheme="majorHAnsi"/>
        </w:rPr>
        <w:object w:dxaOrig="1513" w:dyaOrig="996" w14:anchorId="6C564215">
          <v:shape id="_x0000_i1033" type="#_x0000_t75" style="width:75.45pt;height:49.7pt" o:ole="">
            <v:imagedata r:id="rId10" o:title=""/>
          </v:shape>
          <o:OLEObject Type="Embed" ProgID="Word.Document.12" ShapeID="_x0000_i1033" DrawAspect="Icon" ObjectID="_1563188322" r:id="rId11">
            <o:FieldCodes>\s</o:FieldCodes>
          </o:OLEObject>
        </w:object>
      </w:r>
    </w:p>
    <w:p w14:paraId="17BB882D" w14:textId="77777777" w:rsidR="00CF374A" w:rsidRDefault="00CF374A" w:rsidP="00A55045">
      <w:pPr>
        <w:jc w:val="both"/>
        <w:rPr>
          <w:rFonts w:asciiTheme="majorHAnsi" w:hAnsiTheme="majorHAnsi"/>
        </w:rPr>
      </w:pPr>
      <w:r w:rsidRPr="00A23387">
        <w:rPr>
          <w:rFonts w:asciiTheme="majorHAnsi" w:hAnsiTheme="majorHAnsi"/>
          <w:b/>
        </w:rPr>
        <w:t>Appendix D</w:t>
      </w:r>
      <w:r>
        <w:rPr>
          <w:rFonts w:asciiTheme="majorHAnsi" w:hAnsiTheme="majorHAnsi"/>
        </w:rPr>
        <w:t xml:space="preserve"> – Roles &amp; Responsibilities</w:t>
      </w:r>
    </w:p>
    <w:bookmarkStart w:id="3" w:name="_MON_1560599134"/>
    <w:bookmarkEnd w:id="3"/>
    <w:p w14:paraId="1063D8DA" w14:textId="6186AAE1" w:rsidR="009642D2" w:rsidRPr="005F6D26" w:rsidRDefault="00840F19" w:rsidP="00A55045">
      <w:pPr>
        <w:jc w:val="both"/>
        <w:rPr>
          <w:rFonts w:asciiTheme="majorHAnsi" w:hAnsiTheme="majorHAnsi"/>
        </w:rPr>
      </w:pPr>
      <w:r>
        <w:rPr>
          <w:rFonts w:asciiTheme="majorHAnsi" w:hAnsiTheme="majorHAnsi"/>
        </w:rPr>
        <w:object w:dxaOrig="1513" w:dyaOrig="996" w14:anchorId="1247F222">
          <v:shape id="_x0000_i1034" type="#_x0000_t75" style="width:75.45pt;height:49.7pt" o:ole="">
            <v:imagedata r:id="rId12" o:title=""/>
          </v:shape>
          <o:OLEObject Type="Embed" ProgID="Word.Document.12" ShapeID="_x0000_i1034" DrawAspect="Icon" ObjectID="_1563188323" r:id="rId13">
            <o:FieldCodes>\s</o:FieldCodes>
          </o:OLEObject>
        </w:object>
      </w:r>
    </w:p>
    <w:sectPr w:rsidR="009642D2" w:rsidRPr="005F6D26" w:rsidSect="00BE3A1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4D859" w14:textId="77777777" w:rsidR="00765600" w:rsidRDefault="00765600" w:rsidP="00E7275C">
      <w:pPr>
        <w:spacing w:after="0" w:line="240" w:lineRule="auto"/>
      </w:pPr>
      <w:r>
        <w:separator/>
      </w:r>
    </w:p>
  </w:endnote>
  <w:endnote w:type="continuationSeparator" w:id="0">
    <w:p w14:paraId="639A5061" w14:textId="77777777" w:rsidR="00765600" w:rsidRDefault="00765600" w:rsidP="00E72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5AB6E" w14:textId="77777777" w:rsidR="00765600" w:rsidRDefault="00765600" w:rsidP="00E7275C">
      <w:pPr>
        <w:spacing w:after="0" w:line="240" w:lineRule="auto"/>
      </w:pPr>
      <w:r>
        <w:separator/>
      </w:r>
    </w:p>
  </w:footnote>
  <w:footnote w:type="continuationSeparator" w:id="0">
    <w:p w14:paraId="6F18FBE8" w14:textId="77777777" w:rsidR="00765600" w:rsidRDefault="00765600" w:rsidP="00E72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16A6A" w14:textId="77777777" w:rsidR="00765600" w:rsidRPr="00813C8D" w:rsidRDefault="00765600" w:rsidP="00E7275C">
    <w:pPr>
      <w:pStyle w:val="Header"/>
      <w:framePr w:w="216" w:wrap="none" w:vAnchor="text" w:hAnchor="page" w:x="11052" w:y="1"/>
      <w:rPr>
        <w:rStyle w:val="PageNumber"/>
      </w:rPr>
    </w:pPr>
    <w:r w:rsidRPr="00813C8D">
      <w:rPr>
        <w:rStyle w:val="PageNumber"/>
        <w:b/>
        <w:sz w:val="18"/>
        <w:szCs w:val="18"/>
      </w:rPr>
      <w:fldChar w:fldCharType="begin"/>
    </w:r>
    <w:r w:rsidRPr="00813C8D">
      <w:rPr>
        <w:rStyle w:val="PageNumber"/>
        <w:b/>
        <w:sz w:val="18"/>
        <w:szCs w:val="18"/>
      </w:rPr>
      <w:instrText xml:space="preserve">PAGE  </w:instrText>
    </w:r>
    <w:r w:rsidRPr="00813C8D">
      <w:rPr>
        <w:rStyle w:val="PageNumber"/>
        <w:b/>
        <w:sz w:val="18"/>
        <w:szCs w:val="18"/>
      </w:rPr>
      <w:fldChar w:fldCharType="separate"/>
    </w:r>
    <w:r w:rsidR="00305E90">
      <w:rPr>
        <w:rStyle w:val="PageNumber"/>
        <w:b/>
        <w:noProof/>
        <w:sz w:val="18"/>
        <w:szCs w:val="18"/>
      </w:rPr>
      <w:t>6</w:t>
    </w:r>
    <w:r w:rsidRPr="00813C8D">
      <w:rPr>
        <w:rStyle w:val="PageNumber"/>
        <w:b/>
        <w:sz w:val="18"/>
        <w:szCs w:val="18"/>
      </w:rPr>
      <w:fldChar w:fldCharType="end"/>
    </w:r>
  </w:p>
  <w:p w14:paraId="37BC4517" w14:textId="77777777" w:rsidR="00765600" w:rsidRPr="00FD7980" w:rsidRDefault="00765600" w:rsidP="00E7275C">
    <w:pPr>
      <w:pStyle w:val="Header"/>
      <w:rPr>
        <w:color w:val="7B7B7B" w:themeColor="accent3" w:themeShade="BF"/>
        <w:sz w:val="18"/>
        <w:szCs w:val="18"/>
      </w:rPr>
    </w:pPr>
    <w:r>
      <w:rPr>
        <w:rFonts w:ascii="Franklin Gothic Demi" w:hAnsi="Franklin Gothic Demi"/>
        <w:b/>
        <w:color w:val="7B7B7B" w:themeColor="accent3" w:themeShade="BF"/>
        <w:sz w:val="40"/>
        <w:szCs w:val="40"/>
      </w:rPr>
      <w:t>Section 2</w:t>
    </w:r>
    <w:r w:rsidRPr="00FD7980">
      <w:rPr>
        <w:rFonts w:ascii="Franklin Gothic Demi" w:hAnsi="Franklin Gothic Demi"/>
        <w:b/>
        <w:color w:val="7B7B7B" w:themeColor="accent3" w:themeShade="BF"/>
        <w:sz w:val="40"/>
        <w:szCs w:val="40"/>
      </w:rPr>
      <w:t>:</w:t>
    </w:r>
    <w:r w:rsidRPr="00FD7980">
      <w:rPr>
        <w:rStyle w:val="PageNumber"/>
        <w:color w:val="7B7B7B" w:themeColor="accent3" w:themeShade="BF"/>
        <w:sz w:val="18"/>
        <w:szCs w:val="18"/>
      </w:rPr>
      <w:t xml:space="preserve"> </w:t>
    </w:r>
  </w:p>
  <w:p w14:paraId="4CB3625D" w14:textId="77777777" w:rsidR="00765600" w:rsidRPr="00FD7980" w:rsidRDefault="00765600" w:rsidP="00E7275C">
    <w:pPr>
      <w:pStyle w:val="Header"/>
      <w:rPr>
        <w:rFonts w:ascii="Franklin Gothic Demi" w:hAnsi="Franklin Gothic Demi"/>
        <w:b/>
        <w:color w:val="7B7B7B" w:themeColor="accent3" w:themeShade="BF"/>
        <w:sz w:val="32"/>
        <w:szCs w:val="40"/>
      </w:rPr>
    </w:pPr>
    <w:r w:rsidRPr="00FD7980">
      <w:rPr>
        <w:rFonts w:ascii="Franklin Gothic Demi" w:hAnsi="Franklin Gothic Demi"/>
        <w:b/>
        <w:color w:val="7B7B7B" w:themeColor="accent3" w:themeShade="BF"/>
        <w:sz w:val="40"/>
        <w:szCs w:val="40"/>
      </w:rPr>
      <w:t>Specification of Services</w:t>
    </w:r>
  </w:p>
  <w:p w14:paraId="18D16FEA" w14:textId="77777777" w:rsidR="00765600" w:rsidRDefault="00305E90" w:rsidP="00E7275C">
    <w:pPr>
      <w:pStyle w:val="Header"/>
    </w:pPr>
    <w:r>
      <w:rPr>
        <w:noProof/>
        <w:lang w:eastAsia="en-GB"/>
      </w:rPr>
      <w:pict w14:anchorId="2565FCD8">
        <v:line id="Straight Connector 4" o:spid="_x0000_s8193"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2.6pt,11.5pt" to="726.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" strokecolor="black [3213]" strokeweight="3pt">
          <v:stroke joinstyle="miter"/>
          <o:lock v:ext="edit" shapetype="f"/>
        </v:line>
      </w:pict>
    </w:r>
  </w:p>
  <w:p w14:paraId="35BF2D97" w14:textId="77777777" w:rsidR="00765600" w:rsidRDefault="007656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548A3"/>
    <w:multiLevelType w:val="hybridMultilevel"/>
    <w:tmpl w:val="D02815A2"/>
    <w:lvl w:ilvl="0" w:tplc="CDEA33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D57B6"/>
    <w:multiLevelType w:val="hybridMultilevel"/>
    <w:tmpl w:val="651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75AE6"/>
    <w:multiLevelType w:val="multilevel"/>
    <w:tmpl w:val="C5C0E92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17A500B"/>
    <w:multiLevelType w:val="hybridMultilevel"/>
    <w:tmpl w:val="1A14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F088A"/>
    <w:multiLevelType w:val="multilevel"/>
    <w:tmpl w:val="6136E8C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CFD4351"/>
    <w:multiLevelType w:val="hybridMultilevel"/>
    <w:tmpl w:val="8C2C172E"/>
    <w:lvl w:ilvl="0" w:tplc="D62E5AEE">
      <w:start w:val="4"/>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25B21E4"/>
    <w:multiLevelType w:val="hybridMultilevel"/>
    <w:tmpl w:val="6B74B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CD33BD"/>
    <w:multiLevelType w:val="hybridMultilevel"/>
    <w:tmpl w:val="C3A2D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D905E3"/>
    <w:multiLevelType w:val="hybridMultilevel"/>
    <w:tmpl w:val="ADA65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66E5632"/>
    <w:multiLevelType w:val="hybridMultilevel"/>
    <w:tmpl w:val="0E505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512FBF"/>
    <w:multiLevelType w:val="hybridMultilevel"/>
    <w:tmpl w:val="BA4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914D62"/>
    <w:multiLevelType w:val="hybridMultilevel"/>
    <w:tmpl w:val="D436AB0A"/>
    <w:lvl w:ilvl="0" w:tplc="5CC2143E">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5E3083"/>
    <w:multiLevelType w:val="hybridMultilevel"/>
    <w:tmpl w:val="E5EE90F0"/>
    <w:lvl w:ilvl="0" w:tplc="D62E5AE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9"/>
  </w:num>
  <w:num w:numId="6">
    <w:abstractNumId w:val="3"/>
  </w:num>
  <w:num w:numId="7">
    <w:abstractNumId w:val="1"/>
  </w:num>
  <w:num w:numId="8">
    <w:abstractNumId w:val="12"/>
  </w:num>
  <w:num w:numId="9">
    <w:abstractNumId w:val="5"/>
  </w:num>
  <w:num w:numId="10">
    <w:abstractNumId w:val="8"/>
  </w:num>
  <w:num w:numId="11">
    <w:abstractNumId w:val="1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E758CC"/>
    <w:rsid w:val="00012210"/>
    <w:rsid w:val="000605A8"/>
    <w:rsid w:val="0006267C"/>
    <w:rsid w:val="00064DBD"/>
    <w:rsid w:val="000705E0"/>
    <w:rsid w:val="000932CF"/>
    <w:rsid w:val="000B28C4"/>
    <w:rsid w:val="000B2BD5"/>
    <w:rsid w:val="000B2E23"/>
    <w:rsid w:val="000B6FD3"/>
    <w:rsid w:val="00124DB0"/>
    <w:rsid w:val="00135668"/>
    <w:rsid w:val="00146549"/>
    <w:rsid w:val="00146EA1"/>
    <w:rsid w:val="0016231B"/>
    <w:rsid w:val="00185461"/>
    <w:rsid w:val="00193E76"/>
    <w:rsid w:val="001A2CD3"/>
    <w:rsid w:val="001B3484"/>
    <w:rsid w:val="001C4B88"/>
    <w:rsid w:val="001D0A8A"/>
    <w:rsid w:val="001D4548"/>
    <w:rsid w:val="001F55A9"/>
    <w:rsid w:val="001F6E29"/>
    <w:rsid w:val="00204D59"/>
    <w:rsid w:val="0022284B"/>
    <w:rsid w:val="00225AFB"/>
    <w:rsid w:val="00261FD8"/>
    <w:rsid w:val="00272943"/>
    <w:rsid w:val="00292D69"/>
    <w:rsid w:val="002B4450"/>
    <w:rsid w:val="002B573A"/>
    <w:rsid w:val="002C7311"/>
    <w:rsid w:val="002C7FD6"/>
    <w:rsid w:val="002D30C1"/>
    <w:rsid w:val="002E561D"/>
    <w:rsid w:val="002E7D24"/>
    <w:rsid w:val="002F4634"/>
    <w:rsid w:val="00305E90"/>
    <w:rsid w:val="00307C70"/>
    <w:rsid w:val="00311173"/>
    <w:rsid w:val="00321B3D"/>
    <w:rsid w:val="00323051"/>
    <w:rsid w:val="00330453"/>
    <w:rsid w:val="0034152C"/>
    <w:rsid w:val="00367AD9"/>
    <w:rsid w:val="003830F8"/>
    <w:rsid w:val="003C2FCF"/>
    <w:rsid w:val="003D6342"/>
    <w:rsid w:val="00434794"/>
    <w:rsid w:val="004370A3"/>
    <w:rsid w:val="0046153A"/>
    <w:rsid w:val="004A552E"/>
    <w:rsid w:val="004E72E1"/>
    <w:rsid w:val="004F2712"/>
    <w:rsid w:val="004F4576"/>
    <w:rsid w:val="004F54ED"/>
    <w:rsid w:val="004F7857"/>
    <w:rsid w:val="0051681B"/>
    <w:rsid w:val="00522EC4"/>
    <w:rsid w:val="005402D5"/>
    <w:rsid w:val="00543C04"/>
    <w:rsid w:val="00556323"/>
    <w:rsid w:val="0057412C"/>
    <w:rsid w:val="005B0372"/>
    <w:rsid w:val="005C2297"/>
    <w:rsid w:val="005E64B8"/>
    <w:rsid w:val="005F4C51"/>
    <w:rsid w:val="005F6D26"/>
    <w:rsid w:val="00652C34"/>
    <w:rsid w:val="00676D81"/>
    <w:rsid w:val="00692CE8"/>
    <w:rsid w:val="00693684"/>
    <w:rsid w:val="00696B63"/>
    <w:rsid w:val="006C5C34"/>
    <w:rsid w:val="006D7760"/>
    <w:rsid w:val="006E7319"/>
    <w:rsid w:val="007104E1"/>
    <w:rsid w:val="00712537"/>
    <w:rsid w:val="007223B2"/>
    <w:rsid w:val="0073242F"/>
    <w:rsid w:val="00765600"/>
    <w:rsid w:val="007A2155"/>
    <w:rsid w:val="007B06CC"/>
    <w:rsid w:val="007C73F0"/>
    <w:rsid w:val="007D7262"/>
    <w:rsid w:val="008302FF"/>
    <w:rsid w:val="00834501"/>
    <w:rsid w:val="00840F19"/>
    <w:rsid w:val="00841821"/>
    <w:rsid w:val="00895466"/>
    <w:rsid w:val="008A09C3"/>
    <w:rsid w:val="008A7CA0"/>
    <w:rsid w:val="008B0FF6"/>
    <w:rsid w:val="0092424C"/>
    <w:rsid w:val="00940E29"/>
    <w:rsid w:val="0094127F"/>
    <w:rsid w:val="00944A8D"/>
    <w:rsid w:val="009642D2"/>
    <w:rsid w:val="00971EB1"/>
    <w:rsid w:val="009B517B"/>
    <w:rsid w:val="009B6C63"/>
    <w:rsid w:val="009F0228"/>
    <w:rsid w:val="00A23387"/>
    <w:rsid w:val="00A55045"/>
    <w:rsid w:val="00A564BB"/>
    <w:rsid w:val="00A80DAC"/>
    <w:rsid w:val="00AA6D34"/>
    <w:rsid w:val="00AB6F47"/>
    <w:rsid w:val="00AD31B6"/>
    <w:rsid w:val="00AE332E"/>
    <w:rsid w:val="00B16BC4"/>
    <w:rsid w:val="00B25A40"/>
    <w:rsid w:val="00B91263"/>
    <w:rsid w:val="00B933B1"/>
    <w:rsid w:val="00BB3630"/>
    <w:rsid w:val="00BD2C74"/>
    <w:rsid w:val="00BD7119"/>
    <w:rsid w:val="00BE3A19"/>
    <w:rsid w:val="00BE6939"/>
    <w:rsid w:val="00C65745"/>
    <w:rsid w:val="00CA2A20"/>
    <w:rsid w:val="00CD7EA6"/>
    <w:rsid w:val="00CE037E"/>
    <w:rsid w:val="00CF374A"/>
    <w:rsid w:val="00CF5F0F"/>
    <w:rsid w:val="00D04DFF"/>
    <w:rsid w:val="00D14CC8"/>
    <w:rsid w:val="00D242E4"/>
    <w:rsid w:val="00D248DB"/>
    <w:rsid w:val="00D33DBC"/>
    <w:rsid w:val="00D35402"/>
    <w:rsid w:val="00D53B28"/>
    <w:rsid w:val="00D55767"/>
    <w:rsid w:val="00DA6EF9"/>
    <w:rsid w:val="00DA7AF2"/>
    <w:rsid w:val="00DB6C9B"/>
    <w:rsid w:val="00DC5819"/>
    <w:rsid w:val="00DF3827"/>
    <w:rsid w:val="00DF38D5"/>
    <w:rsid w:val="00E07BC5"/>
    <w:rsid w:val="00E17E1D"/>
    <w:rsid w:val="00E36D8F"/>
    <w:rsid w:val="00E40D88"/>
    <w:rsid w:val="00E47417"/>
    <w:rsid w:val="00E6150E"/>
    <w:rsid w:val="00E7275C"/>
    <w:rsid w:val="00E747B4"/>
    <w:rsid w:val="00E758CC"/>
    <w:rsid w:val="00E84444"/>
    <w:rsid w:val="00E96EE8"/>
    <w:rsid w:val="00EA23A6"/>
    <w:rsid w:val="00EE0D97"/>
    <w:rsid w:val="00EF67A8"/>
    <w:rsid w:val="00F37B84"/>
    <w:rsid w:val="00F62A4B"/>
    <w:rsid w:val="00F63764"/>
    <w:rsid w:val="00F7202C"/>
    <w:rsid w:val="00F76D1C"/>
    <w:rsid w:val="00FA3072"/>
    <w:rsid w:val="00FA6B6B"/>
    <w:rsid w:val="00FC014A"/>
    <w:rsid w:val="00FD1356"/>
    <w:rsid w:val="00FE0F40"/>
    <w:rsid w:val="00FF7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6FCA0EE"/>
  <w15:docId w15:val="{29467328-768A-4ED5-8822-6AEA795A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8CC"/>
    <w:pPr>
      <w:ind w:left="720"/>
      <w:contextualSpacing/>
    </w:pPr>
  </w:style>
  <w:style w:type="character" w:styleId="CommentReference">
    <w:name w:val="annotation reference"/>
    <w:basedOn w:val="DefaultParagraphFont"/>
    <w:uiPriority w:val="99"/>
    <w:semiHidden/>
    <w:unhideWhenUsed/>
    <w:rsid w:val="009642D2"/>
    <w:rPr>
      <w:sz w:val="16"/>
      <w:szCs w:val="16"/>
    </w:rPr>
  </w:style>
  <w:style w:type="paragraph" w:styleId="CommentText">
    <w:name w:val="annotation text"/>
    <w:basedOn w:val="Normal"/>
    <w:link w:val="CommentTextChar"/>
    <w:uiPriority w:val="99"/>
    <w:semiHidden/>
    <w:unhideWhenUsed/>
    <w:rsid w:val="009642D2"/>
    <w:pPr>
      <w:spacing w:line="240" w:lineRule="auto"/>
    </w:pPr>
    <w:rPr>
      <w:sz w:val="20"/>
      <w:szCs w:val="20"/>
    </w:rPr>
  </w:style>
  <w:style w:type="character" w:customStyle="1" w:styleId="CommentTextChar">
    <w:name w:val="Comment Text Char"/>
    <w:basedOn w:val="DefaultParagraphFont"/>
    <w:link w:val="CommentText"/>
    <w:uiPriority w:val="99"/>
    <w:semiHidden/>
    <w:rsid w:val="009642D2"/>
    <w:rPr>
      <w:sz w:val="20"/>
      <w:szCs w:val="20"/>
    </w:rPr>
  </w:style>
  <w:style w:type="paragraph" w:styleId="CommentSubject">
    <w:name w:val="annotation subject"/>
    <w:basedOn w:val="CommentText"/>
    <w:next w:val="CommentText"/>
    <w:link w:val="CommentSubjectChar"/>
    <w:uiPriority w:val="99"/>
    <w:semiHidden/>
    <w:unhideWhenUsed/>
    <w:rsid w:val="009642D2"/>
    <w:rPr>
      <w:b/>
      <w:bCs/>
    </w:rPr>
  </w:style>
  <w:style w:type="character" w:customStyle="1" w:styleId="CommentSubjectChar">
    <w:name w:val="Comment Subject Char"/>
    <w:basedOn w:val="CommentTextChar"/>
    <w:link w:val="CommentSubject"/>
    <w:uiPriority w:val="99"/>
    <w:semiHidden/>
    <w:rsid w:val="009642D2"/>
    <w:rPr>
      <w:b/>
      <w:bCs/>
      <w:sz w:val="20"/>
      <w:szCs w:val="20"/>
    </w:rPr>
  </w:style>
  <w:style w:type="paragraph" w:styleId="BalloonText">
    <w:name w:val="Balloon Text"/>
    <w:basedOn w:val="Normal"/>
    <w:link w:val="BalloonTextChar"/>
    <w:uiPriority w:val="99"/>
    <w:semiHidden/>
    <w:unhideWhenUsed/>
    <w:rsid w:val="00964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2D2"/>
    <w:rPr>
      <w:rFonts w:ascii="Segoe UI" w:hAnsi="Segoe UI" w:cs="Segoe UI"/>
      <w:sz w:val="18"/>
      <w:szCs w:val="18"/>
    </w:rPr>
  </w:style>
  <w:style w:type="paragraph" w:styleId="Header">
    <w:name w:val="header"/>
    <w:basedOn w:val="Normal"/>
    <w:link w:val="HeaderChar"/>
    <w:unhideWhenUsed/>
    <w:rsid w:val="00E7275C"/>
    <w:pPr>
      <w:tabs>
        <w:tab w:val="center" w:pos="4513"/>
        <w:tab w:val="right" w:pos="9026"/>
      </w:tabs>
      <w:spacing w:after="0" w:line="240" w:lineRule="auto"/>
    </w:pPr>
  </w:style>
  <w:style w:type="character" w:customStyle="1" w:styleId="HeaderChar">
    <w:name w:val="Header Char"/>
    <w:basedOn w:val="DefaultParagraphFont"/>
    <w:link w:val="Header"/>
    <w:rsid w:val="00E7275C"/>
  </w:style>
  <w:style w:type="paragraph" w:styleId="Footer">
    <w:name w:val="footer"/>
    <w:basedOn w:val="Normal"/>
    <w:link w:val="FooterChar"/>
    <w:uiPriority w:val="99"/>
    <w:unhideWhenUsed/>
    <w:rsid w:val="00E72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75C"/>
  </w:style>
  <w:style w:type="character" w:styleId="PageNumber">
    <w:name w:val="page number"/>
    <w:basedOn w:val="DefaultParagraphFont"/>
    <w:rsid w:val="00E7275C"/>
  </w:style>
  <w:style w:type="paragraph" w:customStyle="1" w:styleId="Kew1">
    <w:name w:val="Kew1"/>
    <w:basedOn w:val="Normal"/>
    <w:link w:val="Kew1Char"/>
    <w:qFormat/>
    <w:rsid w:val="00CD7EA6"/>
    <w:pPr>
      <w:spacing w:after="0" w:line="240" w:lineRule="auto"/>
      <w:jc w:val="both"/>
    </w:pPr>
    <w:rPr>
      <w:rFonts w:ascii="Verdana" w:eastAsia="Times New Roman" w:hAnsi="Verdana" w:cs="Times New Roman"/>
      <w:sz w:val="20"/>
      <w:szCs w:val="24"/>
    </w:rPr>
  </w:style>
  <w:style w:type="character" w:customStyle="1" w:styleId="Kew1Char">
    <w:name w:val="Kew1 Char"/>
    <w:link w:val="Kew1"/>
    <w:rsid w:val="00CD7EA6"/>
    <w:rPr>
      <w:rFonts w:ascii="Verdana" w:eastAsia="Times New Roman" w:hAnsi="Verdana" w:cs="Times New Roman"/>
      <w:sz w:val="20"/>
      <w:szCs w:val="24"/>
    </w:rPr>
  </w:style>
  <w:style w:type="paragraph" w:styleId="Revision">
    <w:name w:val="Revision"/>
    <w:hidden/>
    <w:uiPriority w:val="99"/>
    <w:semiHidden/>
    <w:rsid w:val="00AA6D34"/>
    <w:pPr>
      <w:spacing w:after="0" w:line="240" w:lineRule="auto"/>
    </w:pPr>
  </w:style>
  <w:style w:type="character" w:styleId="Hyperlink">
    <w:name w:val="Hyperlink"/>
    <w:basedOn w:val="DefaultParagraphFont"/>
    <w:uiPriority w:val="99"/>
    <w:unhideWhenUsed/>
    <w:rsid w:val="001D45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00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3.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2.doc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27351-539C-4A35-9323-926C0220A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rd06kg</dc:creator>
  <cp:keywords/>
  <dc:description/>
  <cp:lastModifiedBy>Tracey Powell</cp:lastModifiedBy>
  <cp:revision>34</cp:revision>
  <dcterms:created xsi:type="dcterms:W3CDTF">2017-03-31T16:38:00Z</dcterms:created>
  <dcterms:modified xsi:type="dcterms:W3CDTF">2017-08-02T13:12:00Z</dcterms:modified>
</cp:coreProperties>
</file>