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693948" w:rsidRDefault="0072415C" w:rsidP="00693948">
      <w:pPr>
        <w:pStyle w:val="BodyText"/>
        <w:spacing w:before="120"/>
        <w:jc w:val="center"/>
        <w:rPr>
          <w:rFonts w:cs="Arial"/>
          <w:b/>
          <w:sz w:val="28"/>
          <w:szCs w:val="28"/>
        </w:rPr>
      </w:pPr>
    </w:p>
    <w:p w14:paraId="328A9A2A"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Provision of Consultancy for Value Analysis: Better Asset Management</w:t>
      </w:r>
    </w:p>
    <w:p w14:paraId="0A49105B"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 </w:t>
      </w:r>
    </w:p>
    <w:p w14:paraId="30053765"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CONTRACT REFERENCE: CCCC17A82</w:t>
      </w:r>
    </w:p>
    <w:p w14:paraId="532AEA58" w14:textId="77777777" w:rsidR="00693948" w:rsidRPr="00B44670" w:rsidRDefault="00693948" w:rsidP="00693948">
      <w:pPr>
        <w:pStyle w:val="BodyText"/>
        <w:spacing w:before="120"/>
        <w:jc w:val="center"/>
        <w:rPr>
          <w:rFonts w:ascii="Arial Bold" w:hAnsi="Arial Bold" w:cs="Arial"/>
          <w:b/>
          <w:caps/>
          <w:sz w:val="28"/>
          <w:szCs w:val="28"/>
        </w:rPr>
      </w:pPr>
    </w:p>
    <w:p w14:paraId="306D04D7"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CONTRACT for </w:t>
      </w:r>
    </w:p>
    <w:p w14:paraId="615F81E6" w14:textId="77777777" w:rsidR="00693948" w:rsidRPr="00B44670" w:rsidRDefault="00693948" w:rsidP="00693948">
      <w:pPr>
        <w:pStyle w:val="BodyText"/>
        <w:spacing w:before="120"/>
        <w:jc w:val="center"/>
        <w:rPr>
          <w:rFonts w:ascii="Arial Bold" w:hAnsi="Arial Bold" w:cs="Arial"/>
          <w:b/>
          <w:caps/>
          <w:sz w:val="28"/>
          <w:szCs w:val="28"/>
        </w:rPr>
      </w:pPr>
    </w:p>
    <w:p w14:paraId="28072D92" w14:textId="77777777" w:rsidR="00693948" w:rsidRPr="00B44670" w:rsidRDefault="00693948" w:rsidP="00693948">
      <w:pPr>
        <w:pStyle w:val="BodyText"/>
        <w:spacing w:before="120"/>
        <w:jc w:val="center"/>
        <w:rPr>
          <w:rFonts w:ascii="Arial Bold" w:hAnsi="Arial Bold" w:cs="Arial"/>
          <w:b/>
          <w:caps/>
          <w:sz w:val="28"/>
          <w:szCs w:val="28"/>
        </w:rPr>
      </w:pPr>
    </w:p>
    <w:p w14:paraId="366C0BC9"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NATIONAL INFRASTRUCTURE COMMISSION</w:t>
      </w:r>
    </w:p>
    <w:p w14:paraId="6A0CFE60" w14:textId="77777777" w:rsidR="00693948" w:rsidRPr="00B44670" w:rsidRDefault="00693948" w:rsidP="00693948">
      <w:pPr>
        <w:pStyle w:val="BodyText"/>
        <w:spacing w:before="120"/>
        <w:jc w:val="center"/>
        <w:rPr>
          <w:rFonts w:ascii="Arial Bold" w:hAnsi="Arial Bold" w:cs="Arial"/>
          <w:b/>
          <w:caps/>
          <w:sz w:val="28"/>
          <w:szCs w:val="28"/>
        </w:rPr>
      </w:pPr>
    </w:p>
    <w:p w14:paraId="0F879958"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an Executive Agency of </w:t>
      </w:r>
    </w:p>
    <w:p w14:paraId="60129118" w14:textId="77777777" w:rsidR="00693948" w:rsidRPr="00B44670" w:rsidRDefault="00693948" w:rsidP="00693948">
      <w:pPr>
        <w:pStyle w:val="BodyText"/>
        <w:spacing w:before="120"/>
        <w:jc w:val="center"/>
        <w:rPr>
          <w:rFonts w:ascii="Arial Bold" w:hAnsi="Arial Bold" w:cs="Arial"/>
          <w:b/>
          <w:caps/>
          <w:sz w:val="28"/>
          <w:szCs w:val="28"/>
        </w:rPr>
      </w:pPr>
    </w:p>
    <w:p w14:paraId="4355348A"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68E375B3" w14:textId="7100C127" w:rsidR="005868EB"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1965772" w:history="1">
        <w:r w:rsidR="005868EB" w:rsidRPr="00792EDC">
          <w:rPr>
            <w:rStyle w:val="Hyperlink"/>
            <w:noProof/>
          </w:rPr>
          <w:t>1.</w:t>
        </w:r>
        <w:r w:rsidR="005868EB">
          <w:rPr>
            <w:rFonts w:asciiTheme="minorHAnsi" w:eastAsiaTheme="minorEastAsia" w:hAnsiTheme="minorHAnsi" w:cstheme="minorBidi"/>
            <w:caps w:val="0"/>
            <w:noProof/>
            <w:szCs w:val="22"/>
            <w:lang w:eastAsia="en-GB"/>
          </w:rPr>
          <w:tab/>
        </w:r>
        <w:r w:rsidR="005868EB" w:rsidRPr="00792EDC">
          <w:rPr>
            <w:rStyle w:val="Hyperlink"/>
            <w:noProof/>
          </w:rPr>
          <w:t>introduction</w:t>
        </w:r>
        <w:r w:rsidR="005868EB">
          <w:rPr>
            <w:noProof/>
            <w:webHidden/>
          </w:rPr>
          <w:tab/>
        </w:r>
        <w:r w:rsidR="005868EB">
          <w:rPr>
            <w:noProof/>
            <w:webHidden/>
          </w:rPr>
          <w:fldChar w:fldCharType="begin"/>
        </w:r>
        <w:r w:rsidR="005868EB">
          <w:rPr>
            <w:noProof/>
            <w:webHidden/>
          </w:rPr>
          <w:instrText xml:space="preserve"> PAGEREF _Toc491965772 \h </w:instrText>
        </w:r>
        <w:r w:rsidR="005868EB">
          <w:rPr>
            <w:noProof/>
            <w:webHidden/>
          </w:rPr>
        </w:r>
        <w:r w:rsidR="005868EB">
          <w:rPr>
            <w:noProof/>
            <w:webHidden/>
          </w:rPr>
          <w:fldChar w:fldCharType="separate"/>
        </w:r>
        <w:r w:rsidR="005868EB">
          <w:rPr>
            <w:noProof/>
            <w:webHidden/>
          </w:rPr>
          <w:t>2</w:t>
        </w:r>
        <w:r w:rsidR="005868EB">
          <w:rPr>
            <w:noProof/>
            <w:webHidden/>
          </w:rPr>
          <w:fldChar w:fldCharType="end"/>
        </w:r>
      </w:hyperlink>
    </w:p>
    <w:p w14:paraId="79273222" w14:textId="44FEF91E" w:rsidR="005868EB" w:rsidRDefault="008118BC">
      <w:pPr>
        <w:pStyle w:val="TOC1"/>
        <w:rPr>
          <w:rFonts w:asciiTheme="minorHAnsi" w:eastAsiaTheme="minorEastAsia" w:hAnsiTheme="minorHAnsi" w:cstheme="minorBidi"/>
          <w:caps w:val="0"/>
          <w:noProof/>
          <w:szCs w:val="22"/>
          <w:lang w:eastAsia="en-GB"/>
        </w:rPr>
      </w:pPr>
      <w:hyperlink w:anchor="_Toc491965773" w:history="1">
        <w:r w:rsidR="005868EB" w:rsidRPr="00792EDC">
          <w:rPr>
            <w:rStyle w:val="Hyperlink"/>
            <w:noProof/>
          </w:rPr>
          <w:t>2.</w:t>
        </w:r>
        <w:r w:rsidR="005868EB">
          <w:rPr>
            <w:rFonts w:asciiTheme="minorHAnsi" w:eastAsiaTheme="minorEastAsia" w:hAnsiTheme="minorHAnsi" w:cstheme="minorBidi"/>
            <w:caps w:val="0"/>
            <w:noProof/>
            <w:szCs w:val="22"/>
            <w:lang w:eastAsia="en-GB"/>
          </w:rPr>
          <w:tab/>
        </w:r>
        <w:r w:rsidR="005868EB" w:rsidRPr="00792EDC">
          <w:rPr>
            <w:rStyle w:val="Hyperlink"/>
            <w:noProof/>
          </w:rPr>
          <w:t>OVERVIEW OF INVITATION TO TENDER</w:t>
        </w:r>
        <w:r w:rsidR="005868EB">
          <w:rPr>
            <w:noProof/>
            <w:webHidden/>
          </w:rPr>
          <w:tab/>
        </w:r>
        <w:r w:rsidR="005868EB">
          <w:rPr>
            <w:noProof/>
            <w:webHidden/>
          </w:rPr>
          <w:fldChar w:fldCharType="begin"/>
        </w:r>
        <w:r w:rsidR="005868EB">
          <w:rPr>
            <w:noProof/>
            <w:webHidden/>
          </w:rPr>
          <w:instrText xml:space="preserve"> PAGEREF _Toc491965773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6FBB47F2" w14:textId="04A7C8CC" w:rsidR="005868EB" w:rsidRDefault="008118BC">
      <w:pPr>
        <w:pStyle w:val="TOC1"/>
        <w:rPr>
          <w:rFonts w:asciiTheme="minorHAnsi" w:eastAsiaTheme="minorEastAsia" w:hAnsiTheme="minorHAnsi" w:cstheme="minorBidi"/>
          <w:caps w:val="0"/>
          <w:noProof/>
          <w:szCs w:val="22"/>
          <w:lang w:eastAsia="en-GB"/>
        </w:rPr>
      </w:pPr>
      <w:hyperlink w:anchor="_Toc491965774" w:history="1">
        <w:r w:rsidR="005868EB" w:rsidRPr="00792EDC">
          <w:rPr>
            <w:rStyle w:val="Hyperlink"/>
            <w:noProof/>
          </w:rPr>
          <w:t>3.</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ReqUirements</w:t>
        </w:r>
        <w:r w:rsidR="005868EB">
          <w:rPr>
            <w:noProof/>
            <w:webHidden/>
          </w:rPr>
          <w:tab/>
        </w:r>
        <w:r w:rsidR="005868EB">
          <w:rPr>
            <w:noProof/>
            <w:webHidden/>
          </w:rPr>
          <w:fldChar w:fldCharType="begin"/>
        </w:r>
        <w:r w:rsidR="005868EB">
          <w:rPr>
            <w:noProof/>
            <w:webHidden/>
          </w:rPr>
          <w:instrText xml:space="preserve"> PAGEREF _Toc491965774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7EC40A05" w14:textId="33CEE5DE" w:rsidR="005868EB" w:rsidRDefault="008118BC">
      <w:pPr>
        <w:pStyle w:val="TOC1"/>
        <w:rPr>
          <w:rFonts w:asciiTheme="minorHAnsi" w:eastAsiaTheme="minorEastAsia" w:hAnsiTheme="minorHAnsi" w:cstheme="minorBidi"/>
          <w:caps w:val="0"/>
          <w:noProof/>
          <w:szCs w:val="22"/>
          <w:lang w:eastAsia="en-GB"/>
        </w:rPr>
      </w:pPr>
      <w:hyperlink w:anchor="_Toc491965775" w:history="1">
        <w:r w:rsidR="005868EB" w:rsidRPr="00792EDC">
          <w:rPr>
            <w:rStyle w:val="Hyperlink"/>
            <w:noProof/>
          </w:rPr>
          <w:t>4.</w:t>
        </w:r>
        <w:r w:rsidR="005868EB">
          <w:rPr>
            <w:rFonts w:asciiTheme="minorHAnsi" w:eastAsiaTheme="minorEastAsia" w:hAnsiTheme="minorHAnsi" w:cstheme="minorBidi"/>
            <w:caps w:val="0"/>
            <w:noProof/>
            <w:szCs w:val="22"/>
            <w:lang w:eastAsia="en-GB"/>
          </w:rPr>
          <w:tab/>
        </w:r>
        <w:r w:rsidR="005868EB" w:rsidRPr="00792EDC">
          <w:rPr>
            <w:rStyle w:val="Hyperlink"/>
            <w:noProof/>
          </w:rPr>
          <w:t>procurement timEtable</w:t>
        </w:r>
        <w:r w:rsidR="005868EB">
          <w:rPr>
            <w:noProof/>
            <w:webHidden/>
          </w:rPr>
          <w:tab/>
        </w:r>
        <w:r w:rsidR="005868EB">
          <w:rPr>
            <w:noProof/>
            <w:webHidden/>
          </w:rPr>
          <w:fldChar w:fldCharType="begin"/>
        </w:r>
        <w:r w:rsidR="005868EB">
          <w:rPr>
            <w:noProof/>
            <w:webHidden/>
          </w:rPr>
          <w:instrText xml:space="preserve"> PAGEREF _Toc491965775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41C14C71" w14:textId="2355527D" w:rsidR="005868EB" w:rsidRDefault="008118BC">
      <w:pPr>
        <w:pStyle w:val="TOC1"/>
        <w:rPr>
          <w:rFonts w:asciiTheme="minorHAnsi" w:eastAsiaTheme="minorEastAsia" w:hAnsiTheme="minorHAnsi" w:cstheme="minorBidi"/>
          <w:caps w:val="0"/>
          <w:noProof/>
          <w:szCs w:val="22"/>
          <w:lang w:eastAsia="en-GB"/>
        </w:rPr>
      </w:pPr>
      <w:hyperlink w:anchor="_Toc491965776" w:history="1">
        <w:r w:rsidR="005868EB" w:rsidRPr="00792EDC">
          <w:rPr>
            <w:rStyle w:val="Hyperlink"/>
            <w:noProof/>
          </w:rPr>
          <w:t>5.</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completiNG AND SUBMITTING A tender</w:t>
        </w:r>
        <w:r w:rsidR="005868EB">
          <w:rPr>
            <w:noProof/>
            <w:webHidden/>
          </w:rPr>
          <w:tab/>
        </w:r>
        <w:r w:rsidR="005868EB">
          <w:rPr>
            <w:noProof/>
            <w:webHidden/>
          </w:rPr>
          <w:fldChar w:fldCharType="begin"/>
        </w:r>
        <w:r w:rsidR="005868EB">
          <w:rPr>
            <w:noProof/>
            <w:webHidden/>
          </w:rPr>
          <w:instrText xml:space="preserve"> PAGEREF _Toc491965776 \h </w:instrText>
        </w:r>
        <w:r w:rsidR="005868EB">
          <w:rPr>
            <w:noProof/>
            <w:webHidden/>
          </w:rPr>
        </w:r>
        <w:r w:rsidR="005868EB">
          <w:rPr>
            <w:noProof/>
            <w:webHidden/>
          </w:rPr>
          <w:fldChar w:fldCharType="separate"/>
        </w:r>
        <w:r w:rsidR="005868EB">
          <w:rPr>
            <w:noProof/>
            <w:webHidden/>
          </w:rPr>
          <w:t>4</w:t>
        </w:r>
        <w:r w:rsidR="005868EB">
          <w:rPr>
            <w:noProof/>
            <w:webHidden/>
          </w:rPr>
          <w:fldChar w:fldCharType="end"/>
        </w:r>
      </w:hyperlink>
    </w:p>
    <w:p w14:paraId="2F9E50CF" w14:textId="1B4A3AE9" w:rsidR="005868EB" w:rsidRDefault="008118BC">
      <w:pPr>
        <w:pStyle w:val="TOC1"/>
        <w:rPr>
          <w:rFonts w:asciiTheme="minorHAnsi" w:eastAsiaTheme="minorEastAsia" w:hAnsiTheme="minorHAnsi" w:cstheme="minorBidi"/>
          <w:caps w:val="0"/>
          <w:noProof/>
          <w:szCs w:val="22"/>
          <w:lang w:eastAsia="en-GB"/>
        </w:rPr>
      </w:pPr>
      <w:hyperlink w:anchor="_Toc491965777" w:history="1">
        <w:r w:rsidR="005868EB" w:rsidRPr="00792EDC">
          <w:rPr>
            <w:rStyle w:val="Hyperlink"/>
            <w:noProof/>
          </w:rPr>
          <w:t>6.</w:t>
        </w:r>
        <w:r w:rsidR="005868EB">
          <w:rPr>
            <w:rFonts w:asciiTheme="minorHAnsi" w:eastAsiaTheme="minorEastAsia" w:hAnsiTheme="minorHAnsi" w:cstheme="minorBidi"/>
            <w:caps w:val="0"/>
            <w:noProof/>
            <w:szCs w:val="22"/>
            <w:lang w:eastAsia="en-GB"/>
          </w:rPr>
          <w:tab/>
        </w:r>
        <w:r w:rsidR="005868EB" w:rsidRPr="00792EDC">
          <w:rPr>
            <w:rStyle w:val="Hyperlink"/>
            <w:noProof/>
          </w:rPr>
          <w:t>CONTRACTING ARRANGEMENTS (Sub-contractORS AND GROUPS OF ECONOMIC OPERATORS)</w:t>
        </w:r>
        <w:r w:rsidR="005868EB">
          <w:rPr>
            <w:noProof/>
            <w:webHidden/>
          </w:rPr>
          <w:tab/>
        </w:r>
        <w:r w:rsidR="005868EB">
          <w:rPr>
            <w:noProof/>
            <w:webHidden/>
          </w:rPr>
          <w:fldChar w:fldCharType="begin"/>
        </w:r>
        <w:r w:rsidR="005868EB">
          <w:rPr>
            <w:noProof/>
            <w:webHidden/>
          </w:rPr>
          <w:instrText xml:space="preserve"> PAGEREF _Toc491965777 \h </w:instrText>
        </w:r>
        <w:r w:rsidR="005868EB">
          <w:rPr>
            <w:noProof/>
            <w:webHidden/>
          </w:rPr>
        </w:r>
        <w:r w:rsidR="005868EB">
          <w:rPr>
            <w:noProof/>
            <w:webHidden/>
          </w:rPr>
          <w:fldChar w:fldCharType="separate"/>
        </w:r>
        <w:r w:rsidR="005868EB">
          <w:rPr>
            <w:noProof/>
            <w:webHidden/>
          </w:rPr>
          <w:t>6</w:t>
        </w:r>
        <w:r w:rsidR="005868EB">
          <w:rPr>
            <w:noProof/>
            <w:webHidden/>
          </w:rPr>
          <w:fldChar w:fldCharType="end"/>
        </w:r>
      </w:hyperlink>
    </w:p>
    <w:p w14:paraId="678EF328" w14:textId="09C2CAA6" w:rsidR="005868EB" w:rsidRDefault="008118BC">
      <w:pPr>
        <w:pStyle w:val="TOC1"/>
        <w:rPr>
          <w:rFonts w:asciiTheme="minorHAnsi" w:eastAsiaTheme="minorEastAsia" w:hAnsiTheme="minorHAnsi" w:cstheme="minorBidi"/>
          <w:caps w:val="0"/>
          <w:noProof/>
          <w:szCs w:val="22"/>
          <w:lang w:eastAsia="en-GB"/>
        </w:rPr>
      </w:pPr>
      <w:hyperlink w:anchor="_Toc491965778" w:history="1">
        <w:r w:rsidR="005868EB" w:rsidRPr="00792EDC">
          <w:rPr>
            <w:rStyle w:val="Hyperlink"/>
            <w:noProof/>
          </w:rPr>
          <w:t>7.</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questions AND ClarificationS</w:t>
        </w:r>
        <w:r w:rsidR="005868EB">
          <w:rPr>
            <w:noProof/>
            <w:webHidden/>
          </w:rPr>
          <w:tab/>
        </w:r>
        <w:r w:rsidR="005868EB">
          <w:rPr>
            <w:noProof/>
            <w:webHidden/>
          </w:rPr>
          <w:fldChar w:fldCharType="begin"/>
        </w:r>
        <w:r w:rsidR="005868EB">
          <w:rPr>
            <w:noProof/>
            <w:webHidden/>
          </w:rPr>
          <w:instrText xml:space="preserve"> PAGEREF _Toc491965778 \h </w:instrText>
        </w:r>
        <w:r w:rsidR="005868EB">
          <w:rPr>
            <w:noProof/>
            <w:webHidden/>
          </w:rPr>
        </w:r>
        <w:r w:rsidR="005868EB">
          <w:rPr>
            <w:noProof/>
            <w:webHidden/>
          </w:rPr>
          <w:fldChar w:fldCharType="separate"/>
        </w:r>
        <w:r w:rsidR="005868EB">
          <w:rPr>
            <w:noProof/>
            <w:webHidden/>
          </w:rPr>
          <w:t>8</w:t>
        </w:r>
        <w:r w:rsidR="005868EB">
          <w:rPr>
            <w:noProof/>
            <w:webHidden/>
          </w:rPr>
          <w:fldChar w:fldCharType="end"/>
        </w:r>
      </w:hyperlink>
    </w:p>
    <w:p w14:paraId="72133D30" w14:textId="10E4F928" w:rsidR="005868EB" w:rsidRDefault="008118BC">
      <w:pPr>
        <w:pStyle w:val="TOC1"/>
        <w:rPr>
          <w:rFonts w:asciiTheme="minorHAnsi" w:eastAsiaTheme="minorEastAsia" w:hAnsiTheme="minorHAnsi" w:cstheme="minorBidi"/>
          <w:caps w:val="0"/>
          <w:noProof/>
          <w:szCs w:val="22"/>
          <w:lang w:eastAsia="en-GB"/>
        </w:rPr>
      </w:pPr>
      <w:hyperlink w:anchor="_Toc491965779" w:history="1">
        <w:r w:rsidR="005868EB" w:rsidRPr="00792EDC">
          <w:rPr>
            <w:rStyle w:val="Hyperlink"/>
            <w:noProof/>
          </w:rPr>
          <w:t>8.</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OVERVIEW OF THE EVALUATION PROCESS</w:t>
        </w:r>
        <w:r w:rsidR="005868EB">
          <w:rPr>
            <w:noProof/>
            <w:webHidden/>
          </w:rPr>
          <w:tab/>
        </w:r>
        <w:r w:rsidR="005868EB">
          <w:rPr>
            <w:noProof/>
            <w:webHidden/>
          </w:rPr>
          <w:fldChar w:fldCharType="begin"/>
        </w:r>
        <w:r w:rsidR="005868EB">
          <w:rPr>
            <w:noProof/>
            <w:webHidden/>
          </w:rPr>
          <w:instrText xml:space="preserve"> PAGEREF _Toc491965779 \h </w:instrText>
        </w:r>
        <w:r w:rsidR="005868EB">
          <w:rPr>
            <w:noProof/>
            <w:webHidden/>
          </w:rPr>
        </w:r>
        <w:r w:rsidR="005868EB">
          <w:rPr>
            <w:noProof/>
            <w:webHidden/>
          </w:rPr>
          <w:fldChar w:fldCharType="separate"/>
        </w:r>
        <w:r w:rsidR="005868EB">
          <w:rPr>
            <w:noProof/>
            <w:webHidden/>
          </w:rPr>
          <w:t>9</w:t>
        </w:r>
        <w:r w:rsidR="005868EB">
          <w:rPr>
            <w:noProof/>
            <w:webHidden/>
          </w:rPr>
          <w:fldChar w:fldCharType="end"/>
        </w:r>
      </w:hyperlink>
    </w:p>
    <w:p w14:paraId="671F5DB6" w14:textId="3B372582" w:rsidR="005868EB" w:rsidRDefault="008118BC">
      <w:pPr>
        <w:pStyle w:val="TOC1"/>
        <w:rPr>
          <w:rFonts w:asciiTheme="minorHAnsi" w:eastAsiaTheme="minorEastAsia" w:hAnsiTheme="minorHAnsi" w:cstheme="minorBidi"/>
          <w:caps w:val="0"/>
          <w:noProof/>
          <w:szCs w:val="22"/>
          <w:lang w:eastAsia="en-GB"/>
        </w:rPr>
      </w:pPr>
      <w:hyperlink w:anchor="_Toc491965780" w:history="1">
        <w:r w:rsidR="005868EB" w:rsidRPr="00792EDC">
          <w:rPr>
            <w:rStyle w:val="Hyperlink"/>
            <w:noProof/>
          </w:rPr>
          <w:t>9.</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FINAL DECISION TO Award</w:t>
        </w:r>
        <w:r w:rsidR="005868EB">
          <w:rPr>
            <w:noProof/>
            <w:webHidden/>
          </w:rPr>
          <w:tab/>
        </w:r>
        <w:r w:rsidR="005868EB">
          <w:rPr>
            <w:noProof/>
            <w:webHidden/>
          </w:rPr>
          <w:fldChar w:fldCharType="begin"/>
        </w:r>
        <w:r w:rsidR="005868EB">
          <w:rPr>
            <w:noProof/>
            <w:webHidden/>
          </w:rPr>
          <w:instrText xml:space="preserve"> PAGEREF _Toc491965780 \h </w:instrText>
        </w:r>
        <w:r w:rsidR="005868EB">
          <w:rPr>
            <w:noProof/>
            <w:webHidden/>
          </w:rPr>
        </w:r>
        <w:r w:rsidR="005868EB">
          <w:rPr>
            <w:noProof/>
            <w:webHidden/>
          </w:rPr>
          <w:fldChar w:fldCharType="separate"/>
        </w:r>
        <w:r w:rsidR="005868EB">
          <w:rPr>
            <w:noProof/>
            <w:webHidden/>
          </w:rPr>
          <w:t>10</w:t>
        </w:r>
        <w:r w:rsidR="005868EB">
          <w:rPr>
            <w:noProof/>
            <w:webHidden/>
          </w:rPr>
          <w:fldChar w:fldCharType="end"/>
        </w:r>
      </w:hyperlink>
    </w:p>
    <w:p w14:paraId="395AF1F3" w14:textId="4DA6CBFC" w:rsidR="005868EB" w:rsidRDefault="008118BC">
      <w:pPr>
        <w:pStyle w:val="TOC1"/>
        <w:rPr>
          <w:rFonts w:asciiTheme="minorHAnsi" w:eastAsiaTheme="minorEastAsia" w:hAnsiTheme="minorHAnsi" w:cstheme="minorBidi"/>
          <w:caps w:val="0"/>
          <w:noProof/>
          <w:szCs w:val="22"/>
          <w:lang w:eastAsia="en-GB"/>
        </w:rPr>
      </w:pPr>
      <w:hyperlink w:anchor="_Toc491965781" w:history="1">
        <w:r w:rsidR="005868EB" w:rsidRPr="00792EDC">
          <w:rPr>
            <w:rStyle w:val="Hyperlink"/>
            <w:noProof/>
          </w:rPr>
          <w:t>10.</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GLOSSARY</w:t>
        </w:r>
        <w:r w:rsidR="005868EB">
          <w:rPr>
            <w:noProof/>
            <w:webHidden/>
          </w:rPr>
          <w:tab/>
        </w:r>
        <w:r w:rsidR="005868EB">
          <w:rPr>
            <w:noProof/>
            <w:webHidden/>
          </w:rPr>
          <w:fldChar w:fldCharType="begin"/>
        </w:r>
        <w:r w:rsidR="005868EB">
          <w:rPr>
            <w:noProof/>
            <w:webHidden/>
          </w:rPr>
          <w:instrText xml:space="preserve"> PAGEREF _Toc491965781 \h </w:instrText>
        </w:r>
        <w:r w:rsidR="005868EB">
          <w:rPr>
            <w:noProof/>
            <w:webHidden/>
          </w:rPr>
        </w:r>
        <w:r w:rsidR="005868EB">
          <w:rPr>
            <w:noProof/>
            <w:webHidden/>
          </w:rPr>
          <w:fldChar w:fldCharType="separate"/>
        </w:r>
        <w:r w:rsidR="005868EB">
          <w:rPr>
            <w:noProof/>
            <w:webHidden/>
          </w:rPr>
          <w:t>11</w:t>
        </w:r>
        <w:r w:rsidR="005868EB">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1965772"/>
      <w:r w:rsidRPr="002A5365">
        <w:rPr>
          <w:sz w:val="22"/>
          <w:szCs w:val="22"/>
        </w:rPr>
        <w:lastRenderedPageBreak/>
        <w:t>introduction</w:t>
      </w:r>
      <w:bookmarkEnd w:id="0"/>
    </w:p>
    <w:p w14:paraId="5D83E873" w14:textId="77777777" w:rsidR="00B44670" w:rsidRPr="0058404D"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Pr>
          <w:rFonts w:ascii="Arial" w:eastAsia="STZhongsong" w:hAnsi="Arial" w:cs="Times New Roman"/>
          <w:lang w:eastAsia="zh-CN"/>
        </w:rPr>
        <w:t xml:space="preserve"> (“</w:t>
      </w:r>
      <w:r w:rsidRPr="000B5803">
        <w:rPr>
          <w:rFonts w:ascii="Arial" w:eastAsia="STZhongsong" w:hAnsi="Arial" w:cs="Times New Roman"/>
          <w:b/>
          <w:lang w:eastAsia="zh-CN"/>
        </w:rPr>
        <w:t>ITT</w:t>
      </w:r>
      <w:r>
        <w:rPr>
          <w:rFonts w:ascii="Arial" w:eastAsia="STZhongsong" w:hAnsi="Arial" w:cs="Times New Roman"/>
          <w:lang w:eastAsia="zh-CN"/>
        </w:rPr>
        <w:t>”)</w:t>
      </w:r>
      <w:r w:rsidRPr="0058404D">
        <w:rPr>
          <w:rFonts w:ascii="Arial" w:eastAsia="STZhongsong" w:hAnsi="Arial" w:cs="Times New Roman"/>
          <w:lang w:eastAsia="zh-CN"/>
        </w:rPr>
        <w:t xml:space="preserve">) on behalf of </w:t>
      </w:r>
      <w:r>
        <w:rPr>
          <w:rFonts w:ascii="Arial" w:eastAsia="STZhongsong" w:hAnsi="Arial" w:cs="Times New Roman"/>
          <w:lang w:eastAsia="zh-CN"/>
        </w:rPr>
        <w:t xml:space="preserve">National Infrastructure Commission </w:t>
      </w:r>
      <w:r w:rsidRPr="0058404D">
        <w:rPr>
          <w:rFonts w:ascii="Arial" w:eastAsia="STZhongsong" w:hAnsi="Arial" w:cs="Times New Roman"/>
          <w:lang w:eastAsia="zh-CN"/>
        </w:rPr>
        <w:t xml:space="preserve">referred to as the Authority in this ITT.  </w:t>
      </w:r>
    </w:p>
    <w:p w14:paraId="2879620A" w14:textId="77777777" w:rsidR="00B44670"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661498">
        <w:rPr>
          <w:rFonts w:ascii="Arial" w:eastAsia="STZhongsong" w:hAnsi="Arial" w:cs="Times New Roman"/>
          <w:lang w:eastAsia="zh-CN"/>
        </w:rPr>
        <w:t>establish a single Supplier</w:t>
      </w:r>
      <w:r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Pr>
          <w:rFonts w:ascii="Arial" w:eastAsia="STZhongsong" w:hAnsi="Arial" w:cs="Times New Roman"/>
          <w:lang w:eastAsia="zh-CN"/>
        </w:rPr>
        <w:t>advice and guidance for new technologies in relation to privacy and security of data sharing of the infrastructure industry.</w:t>
      </w:r>
      <w:r w:rsidRPr="0058404D">
        <w:rPr>
          <w:rFonts w:ascii="Arial" w:eastAsia="STZhongsong" w:hAnsi="Arial" w:cs="Times New Roman"/>
          <w:lang w:eastAsia="zh-CN"/>
        </w:rPr>
        <w:t xml:space="preserve"> T</w:t>
      </w:r>
      <w:r w:rsidRPr="00661498">
        <w:rPr>
          <w:rFonts w:ascii="Arial" w:eastAsia="STZhongsong" w:hAnsi="Arial" w:cs="Times New Roman"/>
          <w:lang w:eastAsia="zh-CN"/>
        </w:rPr>
        <w:t>he Services are described</w:t>
      </w:r>
      <w:r w:rsidRPr="003A2983">
        <w:rPr>
          <w:rFonts w:ascii="Arial" w:eastAsia="STZhongsong" w:hAnsi="Arial" w:cs="Times New Roman"/>
          <w:lang w:eastAsia="zh-CN"/>
        </w:rPr>
        <w:t xml:space="preserve"> in detail within Appendix B</w:t>
      </w:r>
      <w:r>
        <w:rPr>
          <w:rFonts w:ascii="Arial" w:eastAsia="STZhongsong" w:hAnsi="Arial" w:cs="Times New Roman"/>
          <w:lang w:eastAsia="zh-CN"/>
        </w:rPr>
        <w:t>, Statement of Requirements.</w:t>
      </w:r>
    </w:p>
    <w:p w14:paraId="53B2E070" w14:textId="4859730E" w:rsidR="00B44670" w:rsidRPr="0058404D"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B44670">
        <w:rPr>
          <w:rFonts w:ascii="Arial" w:eastAsia="STZhongsong" w:hAnsi="Arial" w:cs="Arial"/>
          <w:lang w:eastAsia="zh-CN"/>
        </w:rPr>
        <w:t xml:space="preserve">The contract will be for a </w:t>
      </w:r>
      <w:r w:rsidRPr="00B44670">
        <w:rPr>
          <w:rFonts w:ascii="Arial" w:hAnsi="Arial" w:cs="Arial"/>
        </w:rPr>
        <w:t>five (5) week period from Wednesday 4</w:t>
      </w:r>
      <w:r w:rsidRPr="00B44670">
        <w:rPr>
          <w:rFonts w:ascii="Arial" w:hAnsi="Arial" w:cs="Arial"/>
          <w:vertAlign w:val="superscript"/>
        </w:rPr>
        <w:t>th</w:t>
      </w:r>
      <w:r w:rsidRPr="00B44670">
        <w:rPr>
          <w:rFonts w:ascii="Arial" w:hAnsi="Arial" w:cs="Arial"/>
        </w:rPr>
        <w:t xml:space="preserve"> October 2017 until Tuesday 7</w:t>
      </w:r>
      <w:r w:rsidRPr="00B44670">
        <w:rPr>
          <w:rFonts w:ascii="Arial" w:hAnsi="Arial" w:cs="Arial"/>
          <w:vertAlign w:val="superscript"/>
        </w:rPr>
        <w:t>th</w:t>
      </w:r>
      <w:r w:rsidRPr="00B44670">
        <w:rPr>
          <w:rFonts w:ascii="Arial" w:hAnsi="Arial" w:cs="Arial"/>
        </w:rPr>
        <w:t xml:space="preserve"> November 2017</w:t>
      </w:r>
      <w:r w:rsidRPr="00B44670">
        <w:rPr>
          <w:rFonts w:ascii="Arial" w:eastAsia="STZhongsong" w:hAnsi="Arial" w:cs="Arial"/>
          <w:lang w:eastAsia="zh-CN"/>
        </w:rPr>
        <w:t>, with an</w:t>
      </w:r>
      <w:r>
        <w:rPr>
          <w:rFonts w:ascii="Arial" w:eastAsia="STZhongsong" w:hAnsi="Arial" w:cs="Times New Roman"/>
          <w:lang w:eastAsia="zh-CN"/>
        </w:rPr>
        <w:t xml:space="preserve"> option to extend for up to two (2) weeks.</w:t>
      </w:r>
    </w:p>
    <w:p w14:paraId="10591B7B" w14:textId="77777777" w:rsidR="00B44670" w:rsidRPr="00D868A1"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Pr>
          <w:rFonts w:ascii="Arial" w:eastAsia="STZhongsong" w:hAnsi="Arial" w:cs="Times New Roman"/>
          <w:lang w:eastAsia="zh-CN"/>
        </w:rPr>
        <w:t>A</w:t>
      </w:r>
      <w:r w:rsidRPr="0058404D">
        <w:rPr>
          <w:rFonts w:ascii="Arial" w:eastAsia="STZhongsong" w:hAnsi="Arial" w:cs="Times New Roman"/>
          <w:lang w:eastAsia="zh-CN"/>
        </w:rPr>
        <w:t>uthority (not the Agent).</w:t>
      </w:r>
      <w:r>
        <w:rPr>
          <w:rFonts w:ascii="Arial" w:eastAsia="STZhongsong" w:hAnsi="Arial" w:cs="Times New Roman"/>
          <w:lang w:eastAsia="zh-CN"/>
        </w:rPr>
        <w:t xml:space="preserve"> </w:t>
      </w:r>
    </w:p>
    <w:p w14:paraId="457FFBA6" w14:textId="77777777" w:rsidR="00B44670"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Pr="00661498">
        <w:rPr>
          <w:rFonts w:ascii="Arial" w:eastAsia="STZhongsong" w:hAnsi="Arial" w:cs="Times New Roman"/>
          <w:lang w:eastAsia="zh-CN"/>
        </w:rPr>
        <w:t>under Crown Commercial Service Standard Terms and Conditions for Services which will govern any resultant</w:t>
      </w:r>
      <w:r>
        <w:rPr>
          <w:rFonts w:ascii="Arial" w:eastAsia="STZhongsong" w:hAnsi="Arial" w:cs="Times New Roman"/>
          <w:lang w:eastAsia="zh-CN"/>
        </w:rPr>
        <w:t xml:space="preserve"> C</w:t>
      </w:r>
      <w:r w:rsidRPr="003E3DDB">
        <w:rPr>
          <w:rFonts w:ascii="Arial" w:eastAsia="STZhongsong" w:hAnsi="Arial" w:cs="Times New Roman"/>
          <w:lang w:eastAsia="zh-CN"/>
        </w:rPr>
        <w:t>ontract.</w:t>
      </w:r>
    </w:p>
    <w:p w14:paraId="59E5F176" w14:textId="77777777" w:rsidR="00B44670" w:rsidRDefault="00B44670" w:rsidP="00B44670">
      <w:pPr>
        <w:pStyle w:val="Heading2"/>
        <w:numPr>
          <w:ilvl w:val="1"/>
          <w:numId w:val="19"/>
        </w:numPr>
        <w:rPr>
          <w:sz w:val="22"/>
          <w:szCs w:val="22"/>
        </w:rPr>
      </w:pPr>
      <w:r w:rsidRPr="00661498">
        <w:rPr>
          <w:sz w:val="22"/>
          <w:szCs w:val="22"/>
        </w:rPr>
        <w:t>The Agent is managing this Procurement in accordance with the Public Contracts Regulations 2015.</w:t>
      </w:r>
    </w:p>
    <w:p w14:paraId="4A7BA10F" w14:textId="3C4735EE"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5C3344">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1965773"/>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261C230"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63052019" w:rsidR="00AE4296" w:rsidRPr="002A5365" w:rsidRDefault="00AE4296" w:rsidP="0058734C">
      <w:pPr>
        <w:pStyle w:val="Heading1"/>
        <w:rPr>
          <w:rFonts w:cs="Arial"/>
          <w:sz w:val="22"/>
          <w:szCs w:val="22"/>
        </w:rPr>
      </w:pPr>
      <w:bookmarkStart w:id="2" w:name="_Toc491965774"/>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6C682A68" w:rsidR="00AE4296" w:rsidRPr="00B44670" w:rsidRDefault="00AE4296" w:rsidP="00BF6C46">
      <w:pPr>
        <w:pStyle w:val="Heading2"/>
        <w:jc w:val="left"/>
        <w:rPr>
          <w:rFonts w:cs="Arial"/>
          <w:sz w:val="22"/>
          <w:szCs w:val="22"/>
        </w:rPr>
      </w:pPr>
      <w:r w:rsidRPr="00B44670">
        <w:rPr>
          <w:rFonts w:cs="Arial"/>
          <w:sz w:val="22"/>
          <w:szCs w:val="22"/>
        </w:rPr>
        <w:t xml:space="preserve">A detailed description of the </w:t>
      </w:r>
      <w:r w:rsidR="00EB45FC" w:rsidRPr="00B44670">
        <w:rPr>
          <w:rFonts w:cs="Arial"/>
          <w:sz w:val="22"/>
          <w:szCs w:val="22"/>
        </w:rPr>
        <w:t>S</w:t>
      </w:r>
      <w:r w:rsidRPr="00B44670">
        <w:rPr>
          <w:rFonts w:cs="Arial"/>
          <w:sz w:val="22"/>
          <w:szCs w:val="22"/>
        </w:rPr>
        <w:t>ervices that a Supplier will be required to supply</w:t>
      </w:r>
      <w:r w:rsidR="009D588D" w:rsidRPr="00B44670">
        <w:rPr>
          <w:rFonts w:cs="Arial"/>
          <w:sz w:val="22"/>
          <w:szCs w:val="22"/>
        </w:rPr>
        <w:t xml:space="preserve"> is set out at </w:t>
      </w:r>
      <w:r w:rsidR="00DF0D5B" w:rsidRPr="00B44670">
        <w:rPr>
          <w:rFonts w:cs="Arial"/>
          <w:sz w:val="22"/>
          <w:szCs w:val="22"/>
        </w:rPr>
        <w:t>Appendix B</w:t>
      </w:r>
      <w:r w:rsidR="00A24DBD" w:rsidRPr="00B44670">
        <w:rPr>
          <w:rFonts w:cs="Arial"/>
          <w:sz w:val="22"/>
          <w:szCs w:val="22"/>
        </w:rPr>
        <w:t>,</w:t>
      </w:r>
      <w:r w:rsidR="009757CE" w:rsidRPr="00B44670">
        <w:rPr>
          <w:rFonts w:cs="Arial"/>
          <w:sz w:val="22"/>
          <w:szCs w:val="22"/>
        </w:rPr>
        <w:t xml:space="preserve"> Statement of Requirements</w:t>
      </w:r>
      <w:r w:rsidR="00A24DBD" w:rsidRPr="00B44670">
        <w:rPr>
          <w:rFonts w:cs="Arial"/>
          <w:sz w:val="22"/>
          <w:szCs w:val="22"/>
        </w:rPr>
        <w:t>.</w:t>
      </w:r>
      <w:r w:rsidR="009757CE" w:rsidRPr="00B44670">
        <w:rPr>
          <w:rFonts w:cs="Arial"/>
          <w:sz w:val="22"/>
          <w:szCs w:val="22"/>
        </w:rPr>
        <w:t xml:space="preserve"> </w:t>
      </w:r>
    </w:p>
    <w:p w14:paraId="546C76C0" w14:textId="342D90B1" w:rsidR="00B44670" w:rsidRPr="00B44670" w:rsidRDefault="00B44670" w:rsidP="00B44670">
      <w:pPr>
        <w:pStyle w:val="Heading2"/>
        <w:rPr>
          <w:rFonts w:cs="Arial"/>
          <w:sz w:val="22"/>
          <w:szCs w:val="22"/>
        </w:rPr>
      </w:pPr>
      <w:r w:rsidRPr="00B44670">
        <w:rPr>
          <w:rFonts w:cs="Arial"/>
          <w:sz w:val="22"/>
          <w:szCs w:val="22"/>
        </w:rPr>
        <w:t>This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4" w:name="_Ref284764423"/>
      <w:bookmarkStart w:id="5" w:name="_Toc491965775"/>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B44670" w:rsidRPr="00711F42" w14:paraId="09D80CA0" w14:textId="77777777" w:rsidTr="00B44670">
        <w:trPr>
          <w:cantSplit/>
          <w:trHeight w:val="397"/>
          <w:tblHeader/>
        </w:trPr>
        <w:tc>
          <w:tcPr>
            <w:tcW w:w="2564" w:type="dxa"/>
            <w:shd w:val="clear" w:color="auto" w:fill="C6D9F1" w:themeFill="text2" w:themeFillTint="33"/>
            <w:vAlign w:val="center"/>
          </w:tcPr>
          <w:p w14:paraId="0AD182F7" w14:textId="77777777" w:rsidR="00B44670" w:rsidRPr="00B44670" w:rsidRDefault="00B44670" w:rsidP="00B44670">
            <w:pPr>
              <w:pStyle w:val="Heading2"/>
              <w:numPr>
                <w:ilvl w:val="0"/>
                <w:numId w:val="0"/>
              </w:numPr>
              <w:ind w:left="720" w:hanging="720"/>
              <w:rPr>
                <w:sz w:val="22"/>
                <w:szCs w:val="22"/>
              </w:rPr>
            </w:pPr>
            <w:r w:rsidRPr="00B44670">
              <w:rPr>
                <w:sz w:val="22"/>
                <w:szCs w:val="22"/>
              </w:rPr>
              <w:t>DATE</w:t>
            </w:r>
          </w:p>
        </w:tc>
        <w:tc>
          <w:tcPr>
            <w:tcW w:w="5866" w:type="dxa"/>
            <w:shd w:val="clear" w:color="auto" w:fill="C6D9F1" w:themeFill="text2" w:themeFillTint="33"/>
            <w:vAlign w:val="center"/>
          </w:tcPr>
          <w:p w14:paraId="229A05AA" w14:textId="77777777" w:rsidR="00B44670" w:rsidRPr="00B44670" w:rsidRDefault="00B44670" w:rsidP="00B44670">
            <w:pPr>
              <w:pStyle w:val="Heading2"/>
              <w:numPr>
                <w:ilvl w:val="0"/>
                <w:numId w:val="0"/>
              </w:numPr>
              <w:ind w:left="720" w:hanging="720"/>
              <w:rPr>
                <w:sz w:val="22"/>
                <w:szCs w:val="22"/>
              </w:rPr>
            </w:pPr>
            <w:r w:rsidRPr="00B44670">
              <w:rPr>
                <w:sz w:val="22"/>
                <w:szCs w:val="22"/>
              </w:rPr>
              <w:t>ACTIVITY</w:t>
            </w:r>
          </w:p>
        </w:tc>
      </w:tr>
      <w:tr w:rsidR="00B44670" w:rsidRPr="00711F42" w14:paraId="1AB439B5" w14:textId="77777777" w:rsidTr="00B44670">
        <w:trPr>
          <w:cantSplit/>
          <w:trHeight w:val="397"/>
        </w:trPr>
        <w:tc>
          <w:tcPr>
            <w:tcW w:w="2564" w:type="dxa"/>
            <w:vAlign w:val="center"/>
          </w:tcPr>
          <w:p w14:paraId="4068FCA3" w14:textId="4463C67F" w:rsidR="00B44670" w:rsidRPr="00B44670" w:rsidRDefault="00AA214F" w:rsidP="00AA214F">
            <w:pPr>
              <w:pStyle w:val="Heading2"/>
              <w:numPr>
                <w:ilvl w:val="0"/>
                <w:numId w:val="0"/>
              </w:numPr>
              <w:jc w:val="center"/>
              <w:rPr>
                <w:sz w:val="22"/>
                <w:szCs w:val="22"/>
                <w:highlight w:val="yellow"/>
              </w:rPr>
            </w:pPr>
            <w:r>
              <w:rPr>
                <w:sz w:val="22"/>
                <w:szCs w:val="22"/>
              </w:rPr>
              <w:t xml:space="preserve">Friday </w:t>
            </w:r>
            <w:r w:rsidR="00B44670" w:rsidRPr="00B44670">
              <w:rPr>
                <w:sz w:val="22"/>
                <w:szCs w:val="22"/>
              </w:rPr>
              <w:t>1</w:t>
            </w:r>
            <w:r w:rsidR="00B44670" w:rsidRPr="00B44670">
              <w:rPr>
                <w:sz w:val="22"/>
                <w:szCs w:val="22"/>
                <w:vertAlign w:val="superscript"/>
              </w:rPr>
              <w:t>st</w:t>
            </w:r>
            <w:r w:rsidR="00B44670" w:rsidRPr="00B44670">
              <w:rPr>
                <w:sz w:val="22"/>
                <w:szCs w:val="22"/>
              </w:rPr>
              <w:t xml:space="preserve"> </w:t>
            </w:r>
            <w:r>
              <w:rPr>
                <w:sz w:val="22"/>
                <w:szCs w:val="22"/>
              </w:rPr>
              <w:t>September</w:t>
            </w:r>
            <w:r w:rsidR="00B44670" w:rsidRPr="00B44670">
              <w:rPr>
                <w:sz w:val="22"/>
                <w:szCs w:val="22"/>
              </w:rPr>
              <w:t xml:space="preserve"> 2017</w:t>
            </w:r>
          </w:p>
        </w:tc>
        <w:tc>
          <w:tcPr>
            <w:tcW w:w="5866" w:type="dxa"/>
          </w:tcPr>
          <w:p w14:paraId="16B0E0FE" w14:textId="77777777" w:rsidR="00B44670" w:rsidRPr="00B44670" w:rsidRDefault="00B44670" w:rsidP="00B44670">
            <w:pPr>
              <w:pStyle w:val="Heading2"/>
              <w:numPr>
                <w:ilvl w:val="0"/>
                <w:numId w:val="0"/>
              </w:numPr>
              <w:rPr>
                <w:sz w:val="22"/>
                <w:szCs w:val="22"/>
              </w:rPr>
            </w:pPr>
            <w:r w:rsidRPr="00B44670">
              <w:rPr>
                <w:sz w:val="22"/>
                <w:szCs w:val="22"/>
              </w:rPr>
              <w:t>Publication of ITT /Contracts Finder</w:t>
            </w:r>
            <w:r w:rsidRPr="00B44670">
              <w:rPr>
                <w:i/>
                <w:sz w:val="22"/>
                <w:szCs w:val="22"/>
              </w:rPr>
              <w:t xml:space="preserve"> </w:t>
            </w:r>
            <w:r w:rsidRPr="00B44670">
              <w:rPr>
                <w:sz w:val="22"/>
                <w:szCs w:val="22"/>
              </w:rPr>
              <w:t>Notice inclusive of Launch of e-Sourcing event</w:t>
            </w:r>
          </w:p>
        </w:tc>
      </w:tr>
      <w:tr w:rsidR="00B44670" w:rsidRPr="00711F42" w14:paraId="5537B9C2" w14:textId="77777777" w:rsidTr="00B44670">
        <w:trPr>
          <w:cantSplit/>
          <w:trHeight w:val="397"/>
        </w:trPr>
        <w:tc>
          <w:tcPr>
            <w:tcW w:w="2564" w:type="dxa"/>
            <w:vAlign w:val="center"/>
          </w:tcPr>
          <w:p w14:paraId="0F168888" w14:textId="1A512D31" w:rsidR="00B44670" w:rsidRPr="00B44670" w:rsidRDefault="00AA214F" w:rsidP="00B44670">
            <w:pPr>
              <w:pStyle w:val="Heading2"/>
              <w:numPr>
                <w:ilvl w:val="0"/>
                <w:numId w:val="0"/>
              </w:numPr>
              <w:jc w:val="center"/>
              <w:rPr>
                <w:sz w:val="22"/>
                <w:szCs w:val="22"/>
              </w:rPr>
            </w:pPr>
            <w:r>
              <w:rPr>
                <w:sz w:val="22"/>
                <w:szCs w:val="22"/>
              </w:rPr>
              <w:t xml:space="preserve">Friday </w:t>
            </w:r>
            <w:r w:rsidRPr="00B44670">
              <w:rPr>
                <w:sz w:val="22"/>
                <w:szCs w:val="22"/>
              </w:rPr>
              <w:t>1</w:t>
            </w:r>
            <w:r w:rsidRPr="00B44670">
              <w:rPr>
                <w:sz w:val="22"/>
                <w:szCs w:val="22"/>
                <w:vertAlign w:val="superscript"/>
              </w:rPr>
              <w:t>st</w:t>
            </w:r>
            <w:r w:rsidRPr="00B44670">
              <w:rPr>
                <w:sz w:val="22"/>
                <w:szCs w:val="22"/>
              </w:rPr>
              <w:t xml:space="preserve"> </w:t>
            </w:r>
            <w:r>
              <w:rPr>
                <w:sz w:val="22"/>
                <w:szCs w:val="22"/>
              </w:rPr>
              <w:t>September</w:t>
            </w:r>
            <w:r w:rsidRPr="00B44670">
              <w:rPr>
                <w:sz w:val="22"/>
                <w:szCs w:val="22"/>
              </w:rPr>
              <w:t xml:space="preserve"> 2017</w:t>
            </w:r>
          </w:p>
        </w:tc>
        <w:tc>
          <w:tcPr>
            <w:tcW w:w="5866" w:type="dxa"/>
          </w:tcPr>
          <w:p w14:paraId="6E809096" w14:textId="77777777" w:rsidR="00B44670" w:rsidRPr="00B44670" w:rsidRDefault="00B44670" w:rsidP="00B44670">
            <w:pPr>
              <w:pStyle w:val="Heading2"/>
              <w:numPr>
                <w:ilvl w:val="0"/>
                <w:numId w:val="0"/>
              </w:numPr>
              <w:ind w:left="720" w:hanging="720"/>
              <w:rPr>
                <w:sz w:val="22"/>
                <w:szCs w:val="22"/>
              </w:rPr>
            </w:pPr>
            <w:r w:rsidRPr="00B44670">
              <w:rPr>
                <w:sz w:val="22"/>
                <w:szCs w:val="22"/>
              </w:rPr>
              <w:t>Clarification period starts</w:t>
            </w:r>
          </w:p>
        </w:tc>
      </w:tr>
      <w:tr w:rsidR="00B44670" w:rsidRPr="00711F42" w14:paraId="043CDD25" w14:textId="77777777" w:rsidTr="00B44670">
        <w:trPr>
          <w:cantSplit/>
          <w:trHeight w:val="397"/>
        </w:trPr>
        <w:tc>
          <w:tcPr>
            <w:tcW w:w="2564" w:type="dxa"/>
            <w:vAlign w:val="center"/>
          </w:tcPr>
          <w:p w14:paraId="55DE3DA3" w14:textId="77777777" w:rsidR="00B44670" w:rsidRPr="00B44670" w:rsidRDefault="00B44670" w:rsidP="00B44670">
            <w:pPr>
              <w:pStyle w:val="Heading2"/>
              <w:numPr>
                <w:ilvl w:val="0"/>
                <w:numId w:val="0"/>
              </w:numPr>
              <w:jc w:val="center"/>
              <w:rPr>
                <w:sz w:val="22"/>
                <w:szCs w:val="22"/>
              </w:rPr>
            </w:pPr>
            <w:r w:rsidRPr="00B44670">
              <w:rPr>
                <w:sz w:val="22"/>
                <w:szCs w:val="22"/>
              </w:rPr>
              <w:t>Wednesday 6</w:t>
            </w:r>
            <w:r w:rsidRPr="00B44670">
              <w:rPr>
                <w:sz w:val="22"/>
                <w:szCs w:val="22"/>
                <w:vertAlign w:val="superscript"/>
              </w:rPr>
              <w:t>th</w:t>
            </w:r>
            <w:r w:rsidRPr="00B44670">
              <w:rPr>
                <w:sz w:val="22"/>
                <w:szCs w:val="22"/>
              </w:rPr>
              <w:t xml:space="preserve"> September 2017    11:00am</w:t>
            </w:r>
          </w:p>
        </w:tc>
        <w:tc>
          <w:tcPr>
            <w:tcW w:w="5866" w:type="dxa"/>
          </w:tcPr>
          <w:p w14:paraId="49EF8136" w14:textId="77777777" w:rsidR="00B44670" w:rsidRPr="00B44670" w:rsidRDefault="00B44670" w:rsidP="00B44670">
            <w:pPr>
              <w:pStyle w:val="Heading2"/>
              <w:numPr>
                <w:ilvl w:val="0"/>
                <w:numId w:val="0"/>
              </w:numPr>
              <w:ind w:left="71"/>
              <w:rPr>
                <w:sz w:val="22"/>
                <w:szCs w:val="22"/>
              </w:rPr>
            </w:pPr>
            <w:r w:rsidRPr="00B44670">
              <w:rPr>
                <w:sz w:val="22"/>
                <w:szCs w:val="22"/>
              </w:rPr>
              <w:t>Clarification period closes (“Tender Clarifications Deadline”)</w:t>
            </w:r>
          </w:p>
        </w:tc>
      </w:tr>
      <w:tr w:rsidR="00B44670" w:rsidRPr="00711F42" w14:paraId="198513A1" w14:textId="77777777" w:rsidTr="00B44670">
        <w:trPr>
          <w:cantSplit/>
          <w:trHeight w:val="397"/>
        </w:trPr>
        <w:tc>
          <w:tcPr>
            <w:tcW w:w="2564" w:type="dxa"/>
            <w:vAlign w:val="center"/>
          </w:tcPr>
          <w:p w14:paraId="2DFC96D4" w14:textId="6211A115" w:rsidR="00B44670" w:rsidRPr="00B44670" w:rsidRDefault="00B44670" w:rsidP="008118BC">
            <w:pPr>
              <w:pStyle w:val="Heading2"/>
              <w:numPr>
                <w:ilvl w:val="0"/>
                <w:numId w:val="0"/>
              </w:numPr>
              <w:jc w:val="center"/>
              <w:rPr>
                <w:sz w:val="22"/>
                <w:szCs w:val="22"/>
                <w:highlight w:val="yellow"/>
              </w:rPr>
            </w:pPr>
            <w:r w:rsidRPr="00B44670">
              <w:rPr>
                <w:sz w:val="22"/>
                <w:szCs w:val="22"/>
              </w:rPr>
              <w:t xml:space="preserve">Thursday </w:t>
            </w:r>
            <w:r w:rsidR="008118BC">
              <w:rPr>
                <w:sz w:val="22"/>
                <w:szCs w:val="22"/>
              </w:rPr>
              <w:t>7</w:t>
            </w:r>
            <w:bookmarkStart w:id="7" w:name="_GoBack"/>
            <w:bookmarkEnd w:id="7"/>
            <w:r w:rsidRPr="00B44670">
              <w:rPr>
                <w:sz w:val="22"/>
                <w:szCs w:val="22"/>
                <w:vertAlign w:val="superscript"/>
              </w:rPr>
              <w:t>th</w:t>
            </w:r>
            <w:r w:rsidRPr="00B44670">
              <w:rPr>
                <w:sz w:val="22"/>
                <w:szCs w:val="22"/>
              </w:rPr>
              <w:t xml:space="preserve"> September 2017         </w:t>
            </w:r>
          </w:p>
        </w:tc>
        <w:tc>
          <w:tcPr>
            <w:tcW w:w="5866" w:type="dxa"/>
          </w:tcPr>
          <w:p w14:paraId="4E331A4E" w14:textId="77777777" w:rsidR="00B44670" w:rsidRPr="00B44670" w:rsidRDefault="00B44670" w:rsidP="00B44670">
            <w:pPr>
              <w:pStyle w:val="Heading2"/>
              <w:numPr>
                <w:ilvl w:val="0"/>
                <w:numId w:val="0"/>
              </w:numPr>
              <w:rPr>
                <w:sz w:val="22"/>
                <w:szCs w:val="22"/>
              </w:rPr>
            </w:pPr>
            <w:r w:rsidRPr="00B44670">
              <w:rPr>
                <w:sz w:val="22"/>
                <w:szCs w:val="22"/>
              </w:rPr>
              <w:t xml:space="preserve">Deadline for the publication of responses to Tender Clarification questions </w:t>
            </w:r>
          </w:p>
        </w:tc>
      </w:tr>
      <w:tr w:rsidR="00B44670" w:rsidRPr="00711F42" w14:paraId="382E5FF2" w14:textId="77777777" w:rsidTr="00B44670">
        <w:trPr>
          <w:cantSplit/>
          <w:trHeight w:val="397"/>
        </w:trPr>
        <w:tc>
          <w:tcPr>
            <w:tcW w:w="2564" w:type="dxa"/>
            <w:vAlign w:val="center"/>
          </w:tcPr>
          <w:p w14:paraId="214ED38B"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lastRenderedPageBreak/>
              <w:t>Wednesday 13</w:t>
            </w:r>
            <w:r w:rsidRPr="00B44670">
              <w:rPr>
                <w:sz w:val="22"/>
                <w:szCs w:val="22"/>
                <w:vertAlign w:val="superscript"/>
              </w:rPr>
              <w:t>th</w:t>
            </w:r>
            <w:r w:rsidRPr="00B44670">
              <w:rPr>
                <w:sz w:val="22"/>
                <w:szCs w:val="22"/>
              </w:rPr>
              <w:t xml:space="preserve"> September 2017         11:00am</w:t>
            </w:r>
          </w:p>
        </w:tc>
        <w:tc>
          <w:tcPr>
            <w:tcW w:w="5866" w:type="dxa"/>
          </w:tcPr>
          <w:p w14:paraId="68163CFB" w14:textId="77777777" w:rsidR="00B44670" w:rsidRPr="00B44670" w:rsidRDefault="00B44670" w:rsidP="00B44670">
            <w:pPr>
              <w:pStyle w:val="Heading2"/>
              <w:numPr>
                <w:ilvl w:val="0"/>
                <w:numId w:val="0"/>
              </w:numPr>
              <w:rPr>
                <w:sz w:val="22"/>
                <w:szCs w:val="22"/>
              </w:rPr>
            </w:pPr>
            <w:r w:rsidRPr="00B44670">
              <w:rPr>
                <w:sz w:val="22"/>
                <w:szCs w:val="22"/>
              </w:rPr>
              <w:t xml:space="preserve">Deadline for submission of Tenders to the Agent (“Tender Submission Deadline”) </w:t>
            </w:r>
          </w:p>
        </w:tc>
      </w:tr>
      <w:tr w:rsidR="00B44670" w:rsidRPr="00711F42" w14:paraId="127428FD" w14:textId="77777777" w:rsidTr="00B44670">
        <w:trPr>
          <w:cantSplit/>
          <w:trHeight w:val="397"/>
        </w:trPr>
        <w:tc>
          <w:tcPr>
            <w:tcW w:w="2564" w:type="dxa"/>
            <w:vAlign w:val="center"/>
          </w:tcPr>
          <w:p w14:paraId="66239CEE"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Thursday 14</w:t>
            </w:r>
            <w:r w:rsidRPr="00B44670">
              <w:rPr>
                <w:sz w:val="22"/>
                <w:szCs w:val="22"/>
                <w:vertAlign w:val="superscript"/>
              </w:rPr>
              <w:t>th</w:t>
            </w:r>
            <w:r w:rsidRPr="00B44670">
              <w:rPr>
                <w:sz w:val="22"/>
                <w:szCs w:val="22"/>
              </w:rPr>
              <w:t xml:space="preserve"> September 2017</w:t>
            </w:r>
          </w:p>
        </w:tc>
        <w:tc>
          <w:tcPr>
            <w:tcW w:w="5866" w:type="dxa"/>
          </w:tcPr>
          <w:p w14:paraId="7F484461" w14:textId="77777777" w:rsidR="00B44670" w:rsidRPr="00B44670" w:rsidRDefault="00B44670" w:rsidP="00B44670">
            <w:pPr>
              <w:pStyle w:val="Heading2"/>
              <w:numPr>
                <w:ilvl w:val="0"/>
                <w:numId w:val="0"/>
              </w:numPr>
              <w:ind w:left="720" w:hanging="720"/>
              <w:rPr>
                <w:sz w:val="22"/>
                <w:szCs w:val="22"/>
              </w:rPr>
            </w:pPr>
            <w:r w:rsidRPr="00B44670">
              <w:rPr>
                <w:sz w:val="22"/>
                <w:szCs w:val="22"/>
              </w:rPr>
              <w:t>Evaluation Process</w:t>
            </w:r>
          </w:p>
        </w:tc>
      </w:tr>
      <w:tr w:rsidR="00B44670" w:rsidRPr="00711F42" w14:paraId="4AC1033C" w14:textId="77777777" w:rsidTr="00B44670">
        <w:trPr>
          <w:cantSplit/>
          <w:trHeight w:val="397"/>
        </w:trPr>
        <w:tc>
          <w:tcPr>
            <w:tcW w:w="2564" w:type="dxa"/>
            <w:vAlign w:val="center"/>
          </w:tcPr>
          <w:p w14:paraId="0D552D2F"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Friday 22</w:t>
            </w:r>
            <w:r w:rsidRPr="00B44670">
              <w:rPr>
                <w:sz w:val="22"/>
                <w:szCs w:val="22"/>
                <w:vertAlign w:val="superscript"/>
              </w:rPr>
              <w:t>nd</w:t>
            </w:r>
            <w:r w:rsidRPr="00B44670">
              <w:rPr>
                <w:sz w:val="22"/>
                <w:szCs w:val="22"/>
              </w:rPr>
              <w:t xml:space="preserve"> September 2017</w:t>
            </w:r>
          </w:p>
        </w:tc>
        <w:tc>
          <w:tcPr>
            <w:tcW w:w="5866" w:type="dxa"/>
          </w:tcPr>
          <w:p w14:paraId="17B30B31" w14:textId="77777777" w:rsidR="00B44670" w:rsidRPr="00B44670" w:rsidRDefault="00B44670" w:rsidP="00B44670">
            <w:pPr>
              <w:pStyle w:val="Heading2"/>
              <w:numPr>
                <w:ilvl w:val="0"/>
                <w:numId w:val="0"/>
              </w:numPr>
              <w:ind w:left="720" w:hanging="720"/>
              <w:rPr>
                <w:sz w:val="22"/>
                <w:szCs w:val="22"/>
              </w:rPr>
            </w:pPr>
            <w:r w:rsidRPr="00B44670">
              <w:rPr>
                <w:sz w:val="22"/>
                <w:szCs w:val="22"/>
              </w:rPr>
              <w:t>Potential Provider presentations</w:t>
            </w:r>
          </w:p>
        </w:tc>
      </w:tr>
      <w:tr w:rsidR="00B44670" w:rsidRPr="00711F42" w14:paraId="327973EE" w14:textId="77777777" w:rsidTr="00B44670">
        <w:trPr>
          <w:cantSplit/>
          <w:trHeight w:val="397"/>
        </w:trPr>
        <w:tc>
          <w:tcPr>
            <w:tcW w:w="2564" w:type="dxa"/>
            <w:vAlign w:val="center"/>
          </w:tcPr>
          <w:p w14:paraId="69A5E39F" w14:textId="77777777" w:rsidR="00B44670" w:rsidRPr="00B44670" w:rsidRDefault="00B44670" w:rsidP="00B44670">
            <w:pPr>
              <w:pStyle w:val="Heading2"/>
              <w:numPr>
                <w:ilvl w:val="0"/>
                <w:numId w:val="0"/>
              </w:numPr>
              <w:jc w:val="center"/>
              <w:rPr>
                <w:sz w:val="22"/>
                <w:szCs w:val="22"/>
              </w:rPr>
            </w:pPr>
            <w:r w:rsidRPr="00B44670">
              <w:rPr>
                <w:sz w:val="22"/>
                <w:szCs w:val="22"/>
              </w:rPr>
              <w:t>Thursday 28</w:t>
            </w:r>
            <w:r w:rsidRPr="00B44670">
              <w:rPr>
                <w:sz w:val="22"/>
                <w:szCs w:val="22"/>
                <w:vertAlign w:val="superscript"/>
              </w:rPr>
              <w:t>th</w:t>
            </w:r>
            <w:r w:rsidRPr="00B44670">
              <w:rPr>
                <w:sz w:val="22"/>
                <w:szCs w:val="22"/>
              </w:rPr>
              <w:t xml:space="preserve"> September 2017</w:t>
            </w:r>
          </w:p>
        </w:tc>
        <w:tc>
          <w:tcPr>
            <w:tcW w:w="5866" w:type="dxa"/>
          </w:tcPr>
          <w:p w14:paraId="1C1A27E6" w14:textId="77777777" w:rsidR="00B44670" w:rsidRPr="00B44670" w:rsidRDefault="00B44670" w:rsidP="00B44670">
            <w:pPr>
              <w:pStyle w:val="Heading2"/>
              <w:numPr>
                <w:ilvl w:val="0"/>
                <w:numId w:val="0"/>
              </w:numPr>
              <w:rPr>
                <w:sz w:val="22"/>
                <w:szCs w:val="22"/>
              </w:rPr>
            </w:pPr>
            <w:r w:rsidRPr="00B44670">
              <w:rPr>
                <w:sz w:val="22"/>
                <w:szCs w:val="22"/>
              </w:rPr>
              <w:t>Provision of the Agent’s ‘Award Recommendation Report’ following internal approval.</w:t>
            </w:r>
          </w:p>
        </w:tc>
      </w:tr>
      <w:tr w:rsidR="00B44670" w:rsidRPr="00711F42" w14:paraId="0A4B2AAA" w14:textId="77777777" w:rsidTr="00B44670">
        <w:trPr>
          <w:cantSplit/>
          <w:trHeight w:val="397"/>
        </w:trPr>
        <w:tc>
          <w:tcPr>
            <w:tcW w:w="2564" w:type="dxa"/>
            <w:vAlign w:val="center"/>
          </w:tcPr>
          <w:p w14:paraId="78612EF9" w14:textId="77777777" w:rsidR="00B44670" w:rsidRPr="00B44670" w:rsidRDefault="00B44670" w:rsidP="00B44670">
            <w:pPr>
              <w:pStyle w:val="Heading2"/>
              <w:numPr>
                <w:ilvl w:val="0"/>
                <w:numId w:val="0"/>
              </w:numPr>
              <w:jc w:val="center"/>
              <w:rPr>
                <w:sz w:val="22"/>
                <w:szCs w:val="22"/>
              </w:rPr>
            </w:pPr>
            <w:r w:rsidRPr="00B44670">
              <w:rPr>
                <w:sz w:val="22"/>
                <w:szCs w:val="22"/>
              </w:rPr>
              <w:t>Friday 29</w:t>
            </w:r>
            <w:r w:rsidRPr="00B44670">
              <w:rPr>
                <w:sz w:val="22"/>
                <w:szCs w:val="22"/>
                <w:vertAlign w:val="superscript"/>
              </w:rPr>
              <w:t>th</w:t>
            </w:r>
            <w:r w:rsidRPr="00B44670">
              <w:rPr>
                <w:sz w:val="22"/>
                <w:szCs w:val="22"/>
              </w:rPr>
              <w:t xml:space="preserve"> September 2017</w:t>
            </w:r>
          </w:p>
        </w:tc>
        <w:tc>
          <w:tcPr>
            <w:tcW w:w="5866" w:type="dxa"/>
          </w:tcPr>
          <w:p w14:paraId="43540B88" w14:textId="77777777" w:rsidR="00B44670" w:rsidRPr="00B44670" w:rsidRDefault="00B44670" w:rsidP="00B44670">
            <w:pPr>
              <w:pStyle w:val="Heading2"/>
              <w:numPr>
                <w:ilvl w:val="0"/>
                <w:numId w:val="0"/>
              </w:numPr>
              <w:ind w:left="720" w:hanging="720"/>
              <w:rPr>
                <w:sz w:val="22"/>
                <w:szCs w:val="22"/>
              </w:rPr>
            </w:pPr>
            <w:r w:rsidRPr="00B44670">
              <w:rPr>
                <w:sz w:val="22"/>
                <w:szCs w:val="22"/>
              </w:rPr>
              <w:t>Provision of Authority’s ‘Approval to Proceed’.</w:t>
            </w:r>
          </w:p>
        </w:tc>
      </w:tr>
      <w:tr w:rsidR="00B44670" w:rsidRPr="00711F42" w14:paraId="17126CA9" w14:textId="77777777" w:rsidTr="00B44670">
        <w:trPr>
          <w:cantSplit/>
          <w:trHeight w:val="397"/>
        </w:trPr>
        <w:tc>
          <w:tcPr>
            <w:tcW w:w="2564" w:type="dxa"/>
            <w:vAlign w:val="center"/>
          </w:tcPr>
          <w:p w14:paraId="00B06F76" w14:textId="77777777" w:rsidR="00B44670" w:rsidRPr="00B44670" w:rsidRDefault="00B44670" w:rsidP="00B44670">
            <w:pPr>
              <w:pStyle w:val="Heading2"/>
              <w:numPr>
                <w:ilvl w:val="0"/>
                <w:numId w:val="0"/>
              </w:numPr>
              <w:jc w:val="center"/>
              <w:rPr>
                <w:sz w:val="22"/>
                <w:szCs w:val="22"/>
              </w:rPr>
            </w:pPr>
            <w:r w:rsidRPr="00B44670">
              <w:rPr>
                <w:sz w:val="22"/>
                <w:szCs w:val="22"/>
              </w:rPr>
              <w:t>Friday 29</w:t>
            </w:r>
            <w:r w:rsidRPr="00B44670">
              <w:rPr>
                <w:sz w:val="22"/>
                <w:szCs w:val="22"/>
                <w:vertAlign w:val="superscript"/>
              </w:rPr>
              <w:t>th</w:t>
            </w:r>
            <w:r w:rsidRPr="00B44670">
              <w:rPr>
                <w:sz w:val="22"/>
                <w:szCs w:val="22"/>
              </w:rPr>
              <w:t xml:space="preserve"> September 2017</w:t>
            </w:r>
          </w:p>
        </w:tc>
        <w:tc>
          <w:tcPr>
            <w:tcW w:w="5866" w:type="dxa"/>
          </w:tcPr>
          <w:p w14:paraId="0BB0C216" w14:textId="77777777" w:rsidR="00B44670" w:rsidRPr="00B44670" w:rsidRDefault="00B44670" w:rsidP="00B44670">
            <w:pPr>
              <w:pStyle w:val="Heading2"/>
              <w:numPr>
                <w:ilvl w:val="0"/>
                <w:numId w:val="0"/>
              </w:numPr>
              <w:ind w:left="720" w:hanging="720"/>
              <w:rPr>
                <w:sz w:val="22"/>
                <w:szCs w:val="22"/>
              </w:rPr>
            </w:pPr>
            <w:r w:rsidRPr="00B44670">
              <w:rPr>
                <w:sz w:val="22"/>
                <w:szCs w:val="22"/>
              </w:rPr>
              <w:t>Proposed Award Date of Contract</w:t>
            </w:r>
          </w:p>
        </w:tc>
      </w:tr>
      <w:tr w:rsidR="00B44670" w:rsidRPr="00711F42" w14:paraId="61964673" w14:textId="77777777" w:rsidTr="00B44670">
        <w:trPr>
          <w:cantSplit/>
          <w:trHeight w:val="397"/>
        </w:trPr>
        <w:tc>
          <w:tcPr>
            <w:tcW w:w="2564" w:type="dxa"/>
            <w:vAlign w:val="center"/>
          </w:tcPr>
          <w:p w14:paraId="38DF43E2"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Tuesday 3</w:t>
            </w:r>
            <w:r w:rsidRPr="00B44670">
              <w:rPr>
                <w:sz w:val="22"/>
                <w:szCs w:val="22"/>
                <w:vertAlign w:val="superscript"/>
              </w:rPr>
              <w:t>rd</w:t>
            </w:r>
            <w:r w:rsidRPr="00B44670">
              <w:rPr>
                <w:sz w:val="22"/>
                <w:szCs w:val="22"/>
              </w:rPr>
              <w:t xml:space="preserve"> October 2017</w:t>
            </w:r>
          </w:p>
        </w:tc>
        <w:tc>
          <w:tcPr>
            <w:tcW w:w="5866" w:type="dxa"/>
          </w:tcPr>
          <w:p w14:paraId="683C04EF"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execution (signature) date for Contract</w:t>
            </w:r>
          </w:p>
        </w:tc>
      </w:tr>
      <w:tr w:rsidR="00B44670" w:rsidRPr="00711F42" w14:paraId="1B790098" w14:textId="77777777" w:rsidTr="00B44670">
        <w:trPr>
          <w:cantSplit/>
          <w:trHeight w:val="397"/>
        </w:trPr>
        <w:tc>
          <w:tcPr>
            <w:tcW w:w="2564" w:type="dxa"/>
            <w:vAlign w:val="center"/>
          </w:tcPr>
          <w:p w14:paraId="5D198CC2"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Wednesday 4</w:t>
            </w:r>
            <w:r w:rsidRPr="00B44670">
              <w:rPr>
                <w:sz w:val="22"/>
                <w:szCs w:val="22"/>
                <w:vertAlign w:val="superscript"/>
              </w:rPr>
              <w:t>th</w:t>
            </w:r>
            <w:r w:rsidRPr="00B44670">
              <w:rPr>
                <w:sz w:val="22"/>
                <w:szCs w:val="22"/>
              </w:rPr>
              <w:t xml:space="preserve"> October 2017</w:t>
            </w:r>
          </w:p>
        </w:tc>
        <w:tc>
          <w:tcPr>
            <w:tcW w:w="5866" w:type="dxa"/>
          </w:tcPr>
          <w:p w14:paraId="3839C64B"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commencement date for Contract</w:t>
            </w:r>
          </w:p>
        </w:tc>
      </w:tr>
      <w:tr w:rsidR="00B44670" w:rsidRPr="00711F42" w14:paraId="5EC2B8DD" w14:textId="77777777" w:rsidTr="00B44670">
        <w:trPr>
          <w:cantSplit/>
          <w:trHeight w:val="397"/>
        </w:trPr>
        <w:tc>
          <w:tcPr>
            <w:tcW w:w="2564" w:type="dxa"/>
            <w:vAlign w:val="center"/>
          </w:tcPr>
          <w:p w14:paraId="0C18766D" w14:textId="77777777" w:rsidR="00B44670" w:rsidRPr="00B44670" w:rsidRDefault="00B44670" w:rsidP="00B44670">
            <w:pPr>
              <w:pStyle w:val="Heading2"/>
              <w:numPr>
                <w:ilvl w:val="0"/>
                <w:numId w:val="0"/>
              </w:numPr>
              <w:jc w:val="center"/>
              <w:rPr>
                <w:sz w:val="22"/>
                <w:szCs w:val="22"/>
              </w:rPr>
            </w:pPr>
            <w:r w:rsidRPr="00B44670">
              <w:rPr>
                <w:sz w:val="22"/>
                <w:szCs w:val="22"/>
              </w:rPr>
              <w:t>Tuesday 7</w:t>
            </w:r>
            <w:r w:rsidRPr="00B44670">
              <w:rPr>
                <w:sz w:val="22"/>
                <w:szCs w:val="22"/>
                <w:vertAlign w:val="superscript"/>
              </w:rPr>
              <w:t>th</w:t>
            </w:r>
            <w:r w:rsidRPr="00B44670">
              <w:rPr>
                <w:sz w:val="22"/>
                <w:szCs w:val="22"/>
              </w:rPr>
              <w:t xml:space="preserve"> November 2017</w:t>
            </w:r>
          </w:p>
        </w:tc>
        <w:tc>
          <w:tcPr>
            <w:tcW w:w="5866" w:type="dxa"/>
          </w:tcPr>
          <w:p w14:paraId="2183F7B6"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91965776"/>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1965777"/>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5B735283"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B44670">
        <w:rPr>
          <w:sz w:val="22"/>
          <w:szCs w:val="22"/>
        </w:rPr>
        <w:t>Services</w:t>
      </w:r>
      <w:r w:rsidR="00BF6C46" w:rsidRPr="00B44670">
        <w:rPr>
          <w:sz w:val="22"/>
          <w:szCs w:val="22"/>
        </w:rPr>
        <w:t xml:space="preserve"> </w:t>
      </w:r>
      <w:r w:rsidRPr="00B44670">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94FAEB6"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693948">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3847A4FD"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693948">
        <w:t>the</w:t>
      </w:r>
      <w:r w:rsidR="00EC3DFE" w:rsidRPr="00693948">
        <w:t xml:space="preserve"> </w:t>
      </w:r>
      <w:r w:rsidRPr="00693948">
        <w:t>Services they may do so</w:t>
      </w:r>
      <w:r w:rsidR="006504BD" w:rsidRPr="00693948">
        <w:t xml:space="preserve"> with all parties signing the resultant </w:t>
      </w:r>
      <w:r w:rsidR="00C4674C" w:rsidRPr="00693948">
        <w:t>Contract</w:t>
      </w:r>
      <w:r w:rsidR="006504BD" w:rsidRPr="00693948">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F228367"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693948">
        <w:t>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ABF7969"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w:t>
      </w:r>
      <w:r w:rsidR="00D22EF6" w:rsidRPr="00693948">
        <w:t>contracting</w:t>
      </w:r>
      <w:r w:rsidR="001B2733" w:rsidRPr="00693948">
        <w:t xml:space="preserve"> and </w:t>
      </w:r>
      <w:r w:rsidR="005011AF" w:rsidRPr="00693948">
        <w:t>Group of Economic Operators</w:t>
      </w:r>
      <w:r w:rsidR="001B2733" w:rsidRPr="00693948">
        <w:t xml:space="preserve"> arrangements</w:t>
      </w:r>
      <w:r w:rsidR="00D22EF6" w:rsidRPr="00693948">
        <w:t xml:space="preserve"> which are made following the award will be dealt with in accordance with </w:t>
      </w:r>
      <w:r w:rsidR="00113E19" w:rsidRPr="00693948">
        <w:t xml:space="preserve">the </w:t>
      </w:r>
      <w:r w:rsidR="007722A4" w:rsidRPr="00693948">
        <w:t>Crown Commercial Service (“</w:t>
      </w:r>
      <w:r w:rsidR="00113E19" w:rsidRPr="00693948">
        <w:rPr>
          <w:b/>
        </w:rPr>
        <w:t>CCS</w:t>
      </w:r>
      <w:r w:rsidR="007722A4" w:rsidRPr="00693948">
        <w:t>”)</w:t>
      </w:r>
      <w:r w:rsidR="003F4AE1" w:rsidRPr="00693948">
        <w:t xml:space="preserve"> contract management s</w:t>
      </w:r>
      <w:r w:rsidR="00113E19" w:rsidRPr="00693948">
        <w:t>tandards</w:t>
      </w:r>
      <w:r w:rsidR="00693948">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1965778"/>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1965779"/>
      <w:r w:rsidRPr="00137CD3">
        <w:rPr>
          <w:rFonts w:cs="Arial"/>
          <w:sz w:val="22"/>
          <w:szCs w:val="22"/>
        </w:rPr>
        <w:t>OVERVIEW OF THE EVALUATION PROCESS</w:t>
      </w:r>
      <w:bookmarkEnd w:id="24"/>
    </w:p>
    <w:p w14:paraId="74081B73" w14:textId="6C2C3937" w:rsidR="00693948" w:rsidRPr="00CA35BA" w:rsidRDefault="00693948" w:rsidP="00693948">
      <w:pPr>
        <w:pStyle w:val="Heading2"/>
        <w:rPr>
          <w:sz w:val="22"/>
          <w:szCs w:val="22"/>
        </w:rPr>
      </w:pPr>
      <w:bookmarkStart w:id="25" w:name="_Ref284504457"/>
      <w:bookmarkStart w:id="26" w:name="_Ref284857382"/>
      <w:r>
        <w:rPr>
          <w:sz w:val="22"/>
          <w:szCs w:val="22"/>
        </w:rPr>
        <w:t>The C</w:t>
      </w:r>
      <w:r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693948" w:rsidRPr="00CA1007" w:rsidRDefault="00693948" w:rsidP="00693948">
      <w:pPr>
        <w:pStyle w:val="Heading2"/>
        <w:rPr>
          <w:sz w:val="22"/>
          <w:szCs w:val="22"/>
        </w:rPr>
      </w:pPr>
      <w:r w:rsidRPr="00137CD3">
        <w:rPr>
          <w:sz w:val="22"/>
          <w:szCs w:val="22"/>
        </w:rPr>
        <w:t>The evaluation procedure is divided into the following key stages</w:t>
      </w:r>
      <w:r>
        <w:rPr>
          <w:sz w:val="22"/>
          <w:szCs w:val="22"/>
        </w:rPr>
        <w:t>,</w:t>
      </w:r>
      <w:r w:rsidRPr="00137CD3">
        <w:rPr>
          <w:sz w:val="22"/>
          <w:szCs w:val="22"/>
        </w:rPr>
        <w:t xml:space="preserve"> </w:t>
      </w:r>
      <w:r>
        <w:rPr>
          <w:rFonts w:cs="Arial"/>
          <w:sz w:val="22"/>
          <w:szCs w:val="22"/>
        </w:rPr>
        <w:t>w</w:t>
      </w:r>
      <w:r w:rsidRPr="00137CD3">
        <w:rPr>
          <w:rFonts w:cs="Arial"/>
          <w:sz w:val="22"/>
          <w:szCs w:val="22"/>
        </w:rPr>
        <w:t xml:space="preserve">hich </w:t>
      </w:r>
      <w:r>
        <w:rPr>
          <w:rFonts w:cs="Arial"/>
          <w:sz w:val="22"/>
          <w:szCs w:val="22"/>
        </w:rPr>
        <w:t>the Agent</w:t>
      </w:r>
      <w:r w:rsidRPr="00137CD3">
        <w:rPr>
          <w:rFonts w:cs="Arial"/>
          <w:sz w:val="22"/>
          <w:szCs w:val="22"/>
        </w:rPr>
        <w:t xml:space="preserve"> may nevertheless decide to </w:t>
      </w:r>
      <w:r w:rsidRPr="00CA1007">
        <w:rPr>
          <w:rFonts w:cs="Arial"/>
          <w:sz w:val="22"/>
          <w:szCs w:val="22"/>
        </w:rPr>
        <w:t>run concurrently</w:t>
      </w:r>
      <w:r w:rsidRPr="00CA1007">
        <w:rPr>
          <w:sz w:val="22"/>
          <w:szCs w:val="22"/>
        </w:rPr>
        <w:t>;</w:t>
      </w:r>
    </w:p>
    <w:p w14:paraId="4A7BA1C3" w14:textId="6CA0A6E0" w:rsidR="00693948" w:rsidRPr="00CA1007" w:rsidRDefault="00693948" w:rsidP="00693948">
      <w:pPr>
        <w:pStyle w:val="Heading3"/>
      </w:pPr>
      <w:bookmarkStart w:id="27" w:name="_Ref285636769"/>
      <w:r w:rsidRPr="00CA1007">
        <w:t xml:space="preserve">Compliance/validation – </w:t>
      </w:r>
      <w:r>
        <w:t>The Agent</w:t>
      </w:r>
      <w:r w:rsidRPr="00CA1007">
        <w:t xml:space="preserve"> will check </w:t>
      </w:r>
      <w:r>
        <w:t>the</w:t>
      </w:r>
      <w:r w:rsidRPr="00CA1007">
        <w:t xml:space="preserve"> Tender to ensure it is compliant with the ITT and that </w:t>
      </w:r>
      <w:r>
        <w:t>the</w:t>
      </w:r>
      <w:r w:rsidRPr="00CA1007">
        <w:t xml:space="preserve"> responses </w:t>
      </w:r>
      <w:r>
        <w:t xml:space="preserve">are </w:t>
      </w:r>
      <w:r w:rsidRPr="00CA1007">
        <w:t xml:space="preserve">valid. </w:t>
      </w:r>
      <w:r>
        <w:t xml:space="preserve">This includes satisfying all the participation requirements listed in the online </w:t>
      </w:r>
      <w:r w:rsidRPr="00086755">
        <w:t xml:space="preserve">‘Key </w:t>
      </w:r>
      <w:r>
        <w:t>Participation Requirements’ questionnaire</w:t>
      </w:r>
      <w:r w:rsidRPr="00086755">
        <w:t>.</w:t>
      </w:r>
      <w:r>
        <w:t xml:space="preserve"> </w:t>
      </w:r>
      <w:r w:rsidRPr="00CA1007">
        <w:t>Non-compliant Tenders may be excluded from th</w:t>
      </w:r>
      <w:r>
        <w:t>is</w:t>
      </w:r>
      <w:r w:rsidRPr="00CA1007">
        <w:t xml:space="preserve"> Procurement by </w:t>
      </w:r>
      <w:r>
        <w:t>the Agent</w:t>
      </w:r>
      <w:r w:rsidRPr="00CA1007">
        <w:t>.</w:t>
      </w:r>
    </w:p>
    <w:p w14:paraId="4A7BA1C5" w14:textId="0E09FEC4" w:rsidR="00693948" w:rsidRDefault="00693948" w:rsidP="00693948">
      <w:pPr>
        <w:pStyle w:val="Heading3"/>
      </w:pPr>
      <w:bookmarkStart w:id="28" w:name="_Ref285636786"/>
      <w:bookmarkEnd w:id="27"/>
      <w:r>
        <w:t>Quality Evaluation</w:t>
      </w:r>
      <w:r w:rsidRPr="00C351DF">
        <w:t xml:space="preserve"> </w:t>
      </w:r>
      <w:r>
        <w:t>–</w:t>
      </w:r>
      <w:bookmarkEnd w:id="28"/>
      <w:r w:rsidRPr="00C351DF">
        <w:t xml:space="preserve"> </w:t>
      </w:r>
      <w:r>
        <w:t xml:space="preserve">An Evaluation Panel provided by the Authority will assess the Tender </w:t>
      </w:r>
      <w:r w:rsidRPr="00C351DF">
        <w:t>response</w:t>
      </w:r>
      <w:r>
        <w:t>s</w:t>
      </w:r>
      <w:r w:rsidRPr="00C351DF">
        <w:t xml:space="preserve"> in accordance with </w:t>
      </w:r>
      <w:r w:rsidRPr="00086755">
        <w:t>Appendix D,</w:t>
      </w:r>
      <w:r>
        <w:t xml:space="preserve"> Response Guidance, applying the Consensus Marking Procedure described within that document.</w:t>
      </w:r>
    </w:p>
    <w:p w14:paraId="551EBF8F" w14:textId="4189EB5C" w:rsidR="00693948" w:rsidRDefault="00693948" w:rsidP="00693948">
      <w:pPr>
        <w:pStyle w:val="Heading3"/>
      </w:pPr>
      <w:r>
        <w:t xml:space="preserve">Price Evaluation – The Agent will make a commercial assessment of prices offered and award scores according to </w:t>
      </w:r>
      <w:r w:rsidRPr="00086755">
        <w:t>Appendix D,</w:t>
      </w:r>
      <w:r>
        <w:t xml:space="preserve"> Response Guidance.</w:t>
      </w:r>
    </w:p>
    <w:p w14:paraId="0A67E6E6" w14:textId="77777777" w:rsidR="00693948" w:rsidRPr="00C2519C" w:rsidRDefault="00693948" w:rsidP="00693948">
      <w:pPr>
        <w:pStyle w:val="Heading3"/>
      </w:pPr>
      <w:r w:rsidRPr="00257334">
        <w:t xml:space="preserve">The Authority will require presentations by the Potential Provider as part of the evaluation process (stage two (2)).  Such a requirement shall imply no obligation on the part of the Authority and the Potential Provider shall be </w:t>
      </w:r>
      <w:r w:rsidRPr="00C2519C">
        <w:t>responsible for any of its own expenses incurred.</w:t>
      </w:r>
    </w:p>
    <w:p w14:paraId="4F11AB78" w14:textId="77777777" w:rsidR="00693948" w:rsidRPr="00C2519C" w:rsidRDefault="00693948" w:rsidP="00693948">
      <w:pPr>
        <w:pStyle w:val="Heading2"/>
        <w:rPr>
          <w:sz w:val="22"/>
          <w:szCs w:val="22"/>
        </w:rPr>
      </w:pPr>
      <w:r w:rsidRPr="00C2519C">
        <w:rPr>
          <w:sz w:val="22"/>
          <w:szCs w:val="22"/>
        </w:rPr>
        <w:t xml:space="preserve">Final Score </w:t>
      </w:r>
    </w:p>
    <w:p w14:paraId="73EBF0FC" w14:textId="77777777" w:rsidR="00693948" w:rsidRDefault="00693948" w:rsidP="00693948">
      <w:pPr>
        <w:pStyle w:val="Heading3"/>
      </w:pPr>
      <w:r w:rsidRPr="00E57D91">
        <w:t xml:space="preserve">The Quality Score </w:t>
      </w:r>
      <w:r>
        <w:t xml:space="preserve">achieved at stage one (1)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3D88DDF2" w14:textId="77777777" w:rsidR="00693948" w:rsidRDefault="00693948" w:rsidP="00693948">
      <w:pPr>
        <w:pStyle w:val="Heading3"/>
      </w:pPr>
      <w:r>
        <w:t>The highest ranked Potential Providers, who achieve the minimum acceptable quality score and are within 10% of the first ranked Potential Provider at stage one (1) will be invited to participate in Stage two (2).</w:t>
      </w:r>
    </w:p>
    <w:p w14:paraId="46B7640E" w14:textId="77777777" w:rsidR="00693948" w:rsidRDefault="00693948" w:rsidP="00693948">
      <w:pPr>
        <w:pStyle w:val="Heading3"/>
      </w:pPr>
      <w:r w:rsidRPr="00E57D91">
        <w:t>The Quality</w:t>
      </w:r>
      <w:r>
        <w:t>/Price</w:t>
      </w:r>
      <w:r w:rsidRPr="00E57D91">
        <w:t xml:space="preserve"> Score </w:t>
      </w:r>
      <w:r>
        <w:t xml:space="preserve">at stage one (1) </w:t>
      </w:r>
      <w:r w:rsidRPr="002434E0">
        <w:t>will be</w:t>
      </w:r>
      <w:r>
        <w:t xml:space="preserve"> combined with the Quality score at stage two (2)  </w:t>
      </w:r>
      <w:r w:rsidRPr="00E57D91">
        <w:t>to determine the final score for each Potential Provider  (“</w:t>
      </w:r>
      <w:r w:rsidRPr="00E57D91">
        <w:rPr>
          <w:b/>
        </w:rPr>
        <w:t>Final Score</w:t>
      </w:r>
      <w:r>
        <w:t>”).</w:t>
      </w:r>
    </w:p>
    <w:p w14:paraId="3C298859" w14:textId="097C284C" w:rsidR="00693948" w:rsidRDefault="00693948" w:rsidP="00693948">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693948" w:rsidRPr="002B0BB5" w14:paraId="7692DB88" w14:textId="77777777" w:rsidTr="00B44670">
        <w:tc>
          <w:tcPr>
            <w:tcW w:w="1696" w:type="dxa"/>
            <w:shd w:val="clear" w:color="auto" w:fill="C6D9F1" w:themeFill="text2" w:themeFillTint="33"/>
          </w:tcPr>
          <w:p w14:paraId="2FC8D359"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Number</w:t>
            </w:r>
          </w:p>
        </w:tc>
        <w:tc>
          <w:tcPr>
            <w:tcW w:w="2195" w:type="dxa"/>
            <w:shd w:val="clear" w:color="auto" w:fill="C6D9F1" w:themeFill="text2" w:themeFillTint="33"/>
          </w:tcPr>
          <w:p w14:paraId="4660BE12"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Title</w:t>
            </w:r>
          </w:p>
        </w:tc>
        <w:tc>
          <w:tcPr>
            <w:tcW w:w="1955" w:type="dxa"/>
            <w:shd w:val="clear" w:color="auto" w:fill="C6D9F1" w:themeFill="text2" w:themeFillTint="33"/>
          </w:tcPr>
          <w:p w14:paraId="08688FFC"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Total Score Available</w:t>
            </w:r>
          </w:p>
        </w:tc>
        <w:tc>
          <w:tcPr>
            <w:tcW w:w="1696" w:type="dxa"/>
            <w:shd w:val="clear" w:color="auto" w:fill="C6D9F1" w:themeFill="text2" w:themeFillTint="33"/>
          </w:tcPr>
          <w:p w14:paraId="2E68690D"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Weighting (%)</w:t>
            </w:r>
          </w:p>
        </w:tc>
      </w:tr>
      <w:tr w:rsidR="00693948" w:rsidRPr="002B0BB5" w14:paraId="511DEB15" w14:textId="77777777" w:rsidTr="00B44670">
        <w:tc>
          <w:tcPr>
            <w:tcW w:w="7542" w:type="dxa"/>
            <w:gridSpan w:val="4"/>
            <w:shd w:val="clear" w:color="auto" w:fill="DBE5F1" w:themeFill="accent1" w:themeFillTint="33"/>
          </w:tcPr>
          <w:p w14:paraId="7AFCD901"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Stage One</w:t>
            </w:r>
          </w:p>
        </w:tc>
      </w:tr>
      <w:tr w:rsidR="00693948" w:rsidRPr="002B0BB5" w14:paraId="172C8E12" w14:textId="77777777" w:rsidTr="00B44670">
        <w:tc>
          <w:tcPr>
            <w:tcW w:w="1696" w:type="dxa"/>
          </w:tcPr>
          <w:p w14:paraId="03D057E1"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w:t>
            </w:r>
          </w:p>
        </w:tc>
        <w:tc>
          <w:tcPr>
            <w:tcW w:w="2195" w:type="dxa"/>
          </w:tcPr>
          <w:p w14:paraId="6AC7FEA5" w14:textId="77777777" w:rsidR="00693948" w:rsidRPr="002B0BB5" w:rsidRDefault="00693948" w:rsidP="00B44670">
            <w:pPr>
              <w:pStyle w:val="Heading3"/>
              <w:numPr>
                <w:ilvl w:val="0"/>
                <w:numId w:val="0"/>
              </w:numPr>
              <w:jc w:val="left"/>
              <w:outlineLvl w:val="2"/>
              <w:rPr>
                <w:sz w:val="22"/>
                <w:szCs w:val="22"/>
              </w:rPr>
            </w:pPr>
            <w:r w:rsidRPr="002B0BB5">
              <w:rPr>
                <w:sz w:val="22"/>
                <w:szCs w:val="22"/>
              </w:rPr>
              <w:t>Key Participation Requirements</w:t>
            </w:r>
          </w:p>
        </w:tc>
        <w:tc>
          <w:tcPr>
            <w:tcW w:w="1955" w:type="dxa"/>
          </w:tcPr>
          <w:p w14:paraId="1580EAB8"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Pass/Fail</w:t>
            </w:r>
          </w:p>
        </w:tc>
        <w:tc>
          <w:tcPr>
            <w:tcW w:w="1696" w:type="dxa"/>
          </w:tcPr>
          <w:p w14:paraId="0DB9422E"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0BA22B97" w14:textId="77777777" w:rsidTr="00B44670">
        <w:tc>
          <w:tcPr>
            <w:tcW w:w="1696" w:type="dxa"/>
          </w:tcPr>
          <w:p w14:paraId="2352F439"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2</w:t>
            </w:r>
          </w:p>
        </w:tc>
        <w:tc>
          <w:tcPr>
            <w:tcW w:w="2195" w:type="dxa"/>
          </w:tcPr>
          <w:p w14:paraId="40700493" w14:textId="77777777" w:rsidR="00693948" w:rsidRPr="002B0BB5" w:rsidRDefault="00693948" w:rsidP="00B44670">
            <w:pPr>
              <w:pStyle w:val="Heading3"/>
              <w:numPr>
                <w:ilvl w:val="0"/>
                <w:numId w:val="0"/>
              </w:numPr>
              <w:jc w:val="left"/>
              <w:outlineLvl w:val="2"/>
              <w:rPr>
                <w:sz w:val="22"/>
                <w:szCs w:val="22"/>
              </w:rPr>
            </w:pPr>
            <w:r w:rsidRPr="002B0BB5">
              <w:rPr>
                <w:sz w:val="22"/>
                <w:szCs w:val="22"/>
              </w:rPr>
              <w:t>Conflicts of Interest</w:t>
            </w:r>
          </w:p>
        </w:tc>
        <w:tc>
          <w:tcPr>
            <w:tcW w:w="1955" w:type="dxa"/>
          </w:tcPr>
          <w:p w14:paraId="246C5B63"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Pass/Fail</w:t>
            </w:r>
          </w:p>
        </w:tc>
        <w:tc>
          <w:tcPr>
            <w:tcW w:w="1696" w:type="dxa"/>
          </w:tcPr>
          <w:p w14:paraId="6BFAB297"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63C7888E" w14:textId="77777777" w:rsidTr="00B44670">
        <w:tc>
          <w:tcPr>
            <w:tcW w:w="1696" w:type="dxa"/>
          </w:tcPr>
          <w:p w14:paraId="676F0683"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w:t>
            </w:r>
          </w:p>
        </w:tc>
        <w:tc>
          <w:tcPr>
            <w:tcW w:w="2195" w:type="dxa"/>
          </w:tcPr>
          <w:p w14:paraId="2959B472" w14:textId="77777777" w:rsidR="00693948" w:rsidRPr="002B0BB5" w:rsidRDefault="00693948" w:rsidP="00B44670">
            <w:pPr>
              <w:pStyle w:val="Heading3"/>
              <w:numPr>
                <w:ilvl w:val="0"/>
                <w:numId w:val="0"/>
              </w:numPr>
              <w:jc w:val="left"/>
              <w:outlineLvl w:val="2"/>
              <w:rPr>
                <w:sz w:val="22"/>
                <w:szCs w:val="22"/>
              </w:rPr>
            </w:pPr>
            <w:r w:rsidRPr="002B0BB5">
              <w:rPr>
                <w:sz w:val="22"/>
                <w:szCs w:val="22"/>
              </w:rPr>
              <w:t>Information Only</w:t>
            </w:r>
          </w:p>
        </w:tc>
        <w:tc>
          <w:tcPr>
            <w:tcW w:w="1955" w:type="dxa"/>
          </w:tcPr>
          <w:p w14:paraId="716C3F9F"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c>
          <w:tcPr>
            <w:tcW w:w="1696" w:type="dxa"/>
          </w:tcPr>
          <w:p w14:paraId="60D1982B"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3B3F80C7" w14:textId="77777777" w:rsidTr="00B44670">
        <w:tc>
          <w:tcPr>
            <w:tcW w:w="1696" w:type="dxa"/>
          </w:tcPr>
          <w:p w14:paraId="78CE8EBE"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4</w:t>
            </w:r>
          </w:p>
        </w:tc>
        <w:tc>
          <w:tcPr>
            <w:tcW w:w="2195" w:type="dxa"/>
          </w:tcPr>
          <w:p w14:paraId="27470317" w14:textId="0517A270" w:rsidR="00693948" w:rsidRPr="002B0BB5" w:rsidRDefault="00693948" w:rsidP="00B44670">
            <w:pPr>
              <w:pStyle w:val="Heading3"/>
              <w:numPr>
                <w:ilvl w:val="0"/>
                <w:numId w:val="0"/>
              </w:numPr>
              <w:jc w:val="left"/>
              <w:outlineLvl w:val="2"/>
              <w:rPr>
                <w:sz w:val="22"/>
                <w:szCs w:val="22"/>
              </w:rPr>
            </w:pPr>
            <w:r>
              <w:rPr>
                <w:sz w:val="22"/>
                <w:szCs w:val="22"/>
              </w:rPr>
              <w:t>Capability</w:t>
            </w:r>
          </w:p>
        </w:tc>
        <w:tc>
          <w:tcPr>
            <w:tcW w:w="1955" w:type="dxa"/>
          </w:tcPr>
          <w:p w14:paraId="6A4E4AC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589730FF"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48048993" w14:textId="77777777" w:rsidTr="00B44670">
        <w:tc>
          <w:tcPr>
            <w:tcW w:w="1696" w:type="dxa"/>
          </w:tcPr>
          <w:p w14:paraId="0E3C197A"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5</w:t>
            </w:r>
          </w:p>
        </w:tc>
        <w:tc>
          <w:tcPr>
            <w:tcW w:w="2195" w:type="dxa"/>
          </w:tcPr>
          <w:p w14:paraId="32AA263A" w14:textId="240EC9CE" w:rsidR="00693948" w:rsidRPr="002B0BB5" w:rsidRDefault="00693948" w:rsidP="00B44670">
            <w:pPr>
              <w:pStyle w:val="Heading3"/>
              <w:numPr>
                <w:ilvl w:val="0"/>
                <w:numId w:val="0"/>
              </w:numPr>
              <w:jc w:val="left"/>
              <w:outlineLvl w:val="2"/>
              <w:rPr>
                <w:sz w:val="22"/>
                <w:szCs w:val="22"/>
              </w:rPr>
            </w:pPr>
            <w:r>
              <w:rPr>
                <w:sz w:val="22"/>
                <w:szCs w:val="22"/>
              </w:rPr>
              <w:t>Approach</w:t>
            </w:r>
          </w:p>
        </w:tc>
        <w:tc>
          <w:tcPr>
            <w:tcW w:w="1955" w:type="dxa"/>
          </w:tcPr>
          <w:p w14:paraId="44894ECB"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62A0A5C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0BE02EE7" w14:textId="77777777" w:rsidTr="00B44670">
        <w:tc>
          <w:tcPr>
            <w:tcW w:w="1696" w:type="dxa"/>
          </w:tcPr>
          <w:p w14:paraId="711EB4C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6</w:t>
            </w:r>
          </w:p>
        </w:tc>
        <w:tc>
          <w:tcPr>
            <w:tcW w:w="2195" w:type="dxa"/>
          </w:tcPr>
          <w:p w14:paraId="420A111B" w14:textId="77777777" w:rsidR="00693948" w:rsidRPr="002B0BB5" w:rsidRDefault="00693948" w:rsidP="00B44670">
            <w:pPr>
              <w:pStyle w:val="Heading3"/>
              <w:numPr>
                <w:ilvl w:val="0"/>
                <w:numId w:val="0"/>
              </w:numPr>
              <w:jc w:val="left"/>
              <w:outlineLvl w:val="2"/>
              <w:rPr>
                <w:sz w:val="22"/>
                <w:szCs w:val="22"/>
                <w:highlight w:val="yellow"/>
              </w:rPr>
            </w:pPr>
            <w:r w:rsidRPr="002B0BB5">
              <w:rPr>
                <w:sz w:val="22"/>
                <w:szCs w:val="22"/>
              </w:rPr>
              <w:t>Price</w:t>
            </w:r>
          </w:p>
        </w:tc>
        <w:tc>
          <w:tcPr>
            <w:tcW w:w="1955" w:type="dxa"/>
          </w:tcPr>
          <w:p w14:paraId="173F1858"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6A95B225"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3289C632" w14:textId="77777777" w:rsidTr="00B44670">
        <w:tc>
          <w:tcPr>
            <w:tcW w:w="3891" w:type="dxa"/>
            <w:gridSpan w:val="2"/>
            <w:shd w:val="clear" w:color="auto" w:fill="D9D9D9" w:themeFill="background1" w:themeFillShade="D9"/>
          </w:tcPr>
          <w:p w14:paraId="32741841" w14:textId="77777777" w:rsidR="00693948" w:rsidRPr="002B0BB5" w:rsidRDefault="00693948" w:rsidP="00B44670">
            <w:pPr>
              <w:pStyle w:val="Heading3"/>
              <w:numPr>
                <w:ilvl w:val="0"/>
                <w:numId w:val="0"/>
              </w:numPr>
              <w:jc w:val="left"/>
              <w:outlineLvl w:val="2"/>
              <w:rPr>
                <w:sz w:val="22"/>
                <w:szCs w:val="22"/>
                <w:highlight w:val="yellow"/>
              </w:rPr>
            </w:pPr>
          </w:p>
        </w:tc>
        <w:tc>
          <w:tcPr>
            <w:tcW w:w="1955" w:type="dxa"/>
            <w:shd w:val="clear" w:color="auto" w:fill="C6D9F1" w:themeFill="text2" w:themeFillTint="33"/>
          </w:tcPr>
          <w:p w14:paraId="2AD3424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05A1FD9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90%</w:t>
            </w:r>
          </w:p>
        </w:tc>
      </w:tr>
      <w:tr w:rsidR="00693948" w:rsidRPr="002B0BB5" w14:paraId="15BBC776" w14:textId="77777777" w:rsidTr="00B44670">
        <w:tc>
          <w:tcPr>
            <w:tcW w:w="7542" w:type="dxa"/>
            <w:gridSpan w:val="4"/>
            <w:shd w:val="clear" w:color="auto" w:fill="DBE5F1" w:themeFill="accent1" w:themeFillTint="33"/>
          </w:tcPr>
          <w:p w14:paraId="6A85452D"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 xml:space="preserve">Stage Two </w:t>
            </w:r>
          </w:p>
        </w:tc>
      </w:tr>
      <w:tr w:rsidR="00693948" w:rsidRPr="002B0BB5" w14:paraId="3C586CA5" w14:textId="77777777" w:rsidTr="00B44670">
        <w:tc>
          <w:tcPr>
            <w:tcW w:w="1696" w:type="dxa"/>
          </w:tcPr>
          <w:p w14:paraId="5FDFB3DC"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7</w:t>
            </w:r>
          </w:p>
        </w:tc>
        <w:tc>
          <w:tcPr>
            <w:tcW w:w="2195" w:type="dxa"/>
          </w:tcPr>
          <w:p w14:paraId="2403EF64" w14:textId="77777777" w:rsidR="00693948" w:rsidRPr="002B0BB5" w:rsidRDefault="00693948" w:rsidP="00B44670">
            <w:pPr>
              <w:pStyle w:val="Heading3"/>
              <w:numPr>
                <w:ilvl w:val="0"/>
                <w:numId w:val="0"/>
              </w:numPr>
              <w:jc w:val="left"/>
              <w:outlineLvl w:val="2"/>
              <w:rPr>
                <w:sz w:val="22"/>
                <w:szCs w:val="22"/>
              </w:rPr>
            </w:pPr>
            <w:r w:rsidRPr="002B0BB5">
              <w:rPr>
                <w:sz w:val="22"/>
                <w:szCs w:val="22"/>
              </w:rPr>
              <w:t>Presentation</w:t>
            </w:r>
          </w:p>
        </w:tc>
        <w:tc>
          <w:tcPr>
            <w:tcW w:w="1955" w:type="dxa"/>
          </w:tcPr>
          <w:p w14:paraId="46039B75"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136F9FF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w:t>
            </w:r>
            <w:r>
              <w:rPr>
                <w:sz w:val="22"/>
                <w:szCs w:val="22"/>
              </w:rPr>
              <w:t>%</w:t>
            </w:r>
          </w:p>
        </w:tc>
      </w:tr>
      <w:tr w:rsidR="00693948" w:rsidRPr="002B0BB5" w14:paraId="2723212E" w14:textId="77777777" w:rsidTr="00B44670">
        <w:tc>
          <w:tcPr>
            <w:tcW w:w="3891" w:type="dxa"/>
            <w:gridSpan w:val="2"/>
            <w:tcBorders>
              <w:bottom w:val="single" w:sz="4" w:space="0" w:color="auto"/>
            </w:tcBorders>
            <w:shd w:val="clear" w:color="auto" w:fill="D9D9D9" w:themeFill="background1" w:themeFillShade="D9"/>
          </w:tcPr>
          <w:p w14:paraId="274CCC56" w14:textId="77777777" w:rsidR="00693948" w:rsidRPr="002B0BB5" w:rsidRDefault="00693948" w:rsidP="00B44670">
            <w:pPr>
              <w:pStyle w:val="Heading3"/>
              <w:numPr>
                <w:ilvl w:val="0"/>
                <w:numId w:val="0"/>
              </w:numPr>
              <w:jc w:val="left"/>
              <w:outlineLvl w:val="2"/>
              <w:rPr>
                <w:sz w:val="22"/>
                <w:szCs w:val="22"/>
              </w:rPr>
            </w:pPr>
          </w:p>
        </w:tc>
        <w:tc>
          <w:tcPr>
            <w:tcW w:w="1955" w:type="dxa"/>
            <w:shd w:val="clear" w:color="auto" w:fill="C6D9F1" w:themeFill="text2" w:themeFillTint="33"/>
          </w:tcPr>
          <w:p w14:paraId="4847C347"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041B51F0"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1965780"/>
      <w:bookmarkEnd w:id="25"/>
      <w:bookmarkEnd w:id="26"/>
      <w:r w:rsidRPr="00C351DF">
        <w:rPr>
          <w:rFonts w:cs="Arial"/>
          <w:sz w:val="22"/>
          <w:szCs w:val="22"/>
        </w:rPr>
        <w:t>FINAL DECISION TO Award</w:t>
      </w:r>
      <w:bookmarkEnd w:id="29"/>
      <w:bookmarkEnd w:id="30"/>
    </w:p>
    <w:p w14:paraId="4A7BA2EF" w14:textId="6997D689" w:rsidR="00693948" w:rsidRPr="00C351DF" w:rsidRDefault="00693948" w:rsidP="00693948">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1E02CD20" w14:textId="77777777" w:rsidR="00693948" w:rsidRPr="007578DC" w:rsidRDefault="00693948" w:rsidP="00693948">
      <w:pPr>
        <w:pStyle w:val="Heading2"/>
        <w:rPr>
          <w:rFonts w:cs="Arial"/>
          <w:sz w:val="22"/>
          <w:szCs w:val="22"/>
        </w:rPr>
      </w:pPr>
      <w:r w:rsidRPr="007578DC">
        <w:rPr>
          <w:rFonts w:cs="Arial"/>
          <w:sz w:val="22"/>
          <w:szCs w:val="22"/>
        </w:rPr>
        <w:t>The most economically advantageous Tenders will be the Potential Provider scoring t</w:t>
      </w:r>
      <w:r>
        <w:rPr>
          <w:rFonts w:cs="Arial"/>
          <w:sz w:val="22"/>
          <w:szCs w:val="22"/>
        </w:rPr>
        <w:t xml:space="preserve">he highest ranking Final Score </w:t>
      </w:r>
      <w:r w:rsidRPr="007578DC">
        <w:rPr>
          <w:rFonts w:cs="Arial"/>
          <w:sz w:val="22"/>
          <w:szCs w:val="22"/>
        </w:rPr>
        <w:t xml:space="preserve">provided that they have achieved a Final Score of </w:t>
      </w:r>
      <w:r>
        <w:rPr>
          <w:rFonts w:cs="Arial"/>
          <w:sz w:val="22"/>
          <w:szCs w:val="22"/>
        </w:rPr>
        <w:t>50</w:t>
      </w:r>
      <w:r w:rsidRPr="007578DC">
        <w:rPr>
          <w:rFonts w:cs="Arial"/>
          <w:sz w:val="22"/>
          <w:szCs w:val="22"/>
        </w:rPr>
        <w:t xml:space="preserve"> or higher </w:t>
      </w:r>
      <w:r>
        <w:rPr>
          <w:rFonts w:cs="Arial"/>
          <w:sz w:val="22"/>
          <w:szCs w:val="22"/>
        </w:rPr>
        <w:t>(</w:t>
      </w:r>
      <w:r w:rsidRPr="007578DC">
        <w:rPr>
          <w:rFonts w:cs="Arial"/>
          <w:b/>
          <w:sz w:val="22"/>
          <w:szCs w:val="22"/>
        </w:rPr>
        <w:t>“Minimum Pass Score”</w:t>
      </w:r>
      <w:r>
        <w:rPr>
          <w:rFonts w:cs="Arial"/>
          <w:sz w:val="22"/>
          <w:szCs w:val="22"/>
        </w:rPr>
        <w:t>)</w:t>
      </w:r>
      <w:r w:rsidRPr="007578DC">
        <w:rPr>
          <w:rFonts w:cs="Arial"/>
          <w:sz w:val="22"/>
          <w:szCs w:val="22"/>
        </w:rPr>
        <w:t xml:space="preserve"> </w:t>
      </w:r>
    </w:p>
    <w:p w14:paraId="6C83F76D" w14:textId="77777777" w:rsidR="00693948" w:rsidRPr="007578DC" w:rsidRDefault="00693948" w:rsidP="00693948">
      <w:pPr>
        <w:pStyle w:val="Heading2"/>
        <w:rPr>
          <w:rFonts w:cs="Arial"/>
          <w:sz w:val="22"/>
          <w:szCs w:val="22"/>
        </w:rPr>
      </w:pPr>
      <w:r w:rsidRPr="007578DC">
        <w:rPr>
          <w:sz w:val="22"/>
          <w:szCs w:val="22"/>
        </w:rPr>
        <w:t>Where the Final Score achieved by multiple Potential Providers ranks them in equal</w:t>
      </w:r>
      <w:r w:rsidRPr="007578DC">
        <w:rPr>
          <w:sz w:val="22"/>
          <w:szCs w:val="22"/>
          <w:highlight w:val="yellow"/>
        </w:rPr>
        <w:t xml:space="preserve"> </w:t>
      </w:r>
      <w:r w:rsidRPr="007578DC">
        <w:rPr>
          <w:sz w:val="22"/>
          <w:szCs w:val="22"/>
        </w:rPr>
        <w:t xml:space="preserve"> and all such Potential Providers have achieved a Minimum Pass </w:t>
      </w:r>
      <w:r w:rsidRPr="00257334">
        <w:rPr>
          <w:sz w:val="22"/>
          <w:szCs w:val="22"/>
        </w:rPr>
        <w:t>Mark of 50 or higher</w:t>
      </w:r>
      <w:r w:rsidRPr="007578DC">
        <w:rPr>
          <w:sz w:val="22"/>
          <w:szCs w:val="22"/>
        </w:rPr>
        <w:t>,</w:t>
      </w:r>
      <w:r>
        <w:rPr>
          <w:sz w:val="22"/>
          <w:szCs w:val="22"/>
        </w:rPr>
        <w:t xml:space="preserve"> then the Potential Provider</w:t>
      </w:r>
      <w:r w:rsidRPr="007578DC">
        <w:rPr>
          <w:sz w:val="22"/>
          <w:szCs w:val="22"/>
        </w:rPr>
        <w:t xml:space="preserve"> </w:t>
      </w:r>
      <w:r>
        <w:rPr>
          <w:sz w:val="22"/>
          <w:szCs w:val="22"/>
        </w:rPr>
        <w:t xml:space="preserve">with the </w:t>
      </w:r>
      <w:r w:rsidRPr="007578DC">
        <w:rPr>
          <w:rFonts w:cs="Arial"/>
          <w:sz w:val="22"/>
          <w:szCs w:val="22"/>
        </w:rPr>
        <w:t xml:space="preserve">highest score for the </w:t>
      </w:r>
      <w:r>
        <w:rPr>
          <w:rFonts w:cs="Arial"/>
          <w:sz w:val="22"/>
          <w:szCs w:val="22"/>
        </w:rPr>
        <w:t>Price</w:t>
      </w:r>
      <w:r w:rsidRPr="007578DC">
        <w:rPr>
          <w:rFonts w:cs="Arial"/>
          <w:sz w:val="22"/>
          <w:szCs w:val="22"/>
        </w:rPr>
        <w:t xml:space="preserve"> element will be deemed the</w:t>
      </w:r>
      <w:r>
        <w:rPr>
          <w:rFonts w:cs="Arial"/>
          <w:sz w:val="22"/>
          <w:szCs w:val="22"/>
        </w:rPr>
        <w:t xml:space="preserve"> </w:t>
      </w:r>
      <w:r w:rsidRPr="007578DC">
        <w:rPr>
          <w:rFonts w:cs="Arial"/>
          <w:sz w:val="22"/>
          <w:szCs w:val="22"/>
        </w:rPr>
        <w:t>winner and awarded the Contract.</w:t>
      </w:r>
    </w:p>
    <w:p w14:paraId="4A7BA2F2" w14:textId="4617CF48" w:rsidR="00693948" w:rsidRPr="00C351DF" w:rsidRDefault="00693948" w:rsidP="00693948">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4A7BA2F3" w14:textId="76813834" w:rsidR="00693948" w:rsidRPr="00C351DF" w:rsidRDefault="00693948" w:rsidP="00693948">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4A7BA2F7" w14:textId="676E1C52" w:rsidR="00693948" w:rsidRDefault="00693948" w:rsidP="00693948">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91965781"/>
      <w:r w:rsidRPr="00C351DF">
        <w:rPr>
          <w:rFonts w:cs="Arial"/>
          <w:sz w:val="22"/>
          <w:szCs w:val="22"/>
        </w:rPr>
        <w:t>GLOSSARY</w:t>
      </w:r>
      <w:bookmarkEnd w:id="32"/>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bookmarkEnd w:id="31"/>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CE51BEF" w:rsidR="00F12F6D" w:rsidRPr="00C351DF" w:rsidRDefault="00693948" w:rsidP="000352DC">
            <w:pPr>
              <w:pStyle w:val="MarginText"/>
              <w:jc w:val="left"/>
              <w:rPr>
                <w:rFonts w:cs="Arial"/>
                <w:sz w:val="22"/>
                <w:szCs w:val="22"/>
              </w:rPr>
            </w:pPr>
            <w:r w:rsidRPr="00844935">
              <w:rPr>
                <w:sz w:val="22"/>
                <w:szCs w:val="22"/>
              </w:rPr>
              <w:t xml:space="preserve">means </w:t>
            </w:r>
            <w:r>
              <w:rPr>
                <w:sz w:val="22"/>
                <w:szCs w:val="22"/>
              </w:rPr>
              <w:t>National Infrastructure Commission</w:t>
            </w:r>
            <w:r w:rsidRPr="00844935">
              <w:rPr>
                <w:sz w:val="22"/>
                <w:szCs w:val="22"/>
              </w:rPr>
              <w:t xml:space="preserve"> whose offices are located at National Infrastructure Commission at the supplier’s offices, or at the Commission’s offices in the </w:t>
            </w:r>
            <w:r w:rsidRPr="00C2519C">
              <w:rPr>
                <w:sz w:val="22"/>
                <w:szCs w:val="22"/>
              </w:rPr>
              <w:t>Eastcheap Court, 11 Philpot Lane,</w:t>
            </w:r>
            <w:r w:rsidRPr="00844935">
              <w:rPr>
                <w:sz w:val="22"/>
                <w:szCs w:val="22"/>
              </w:rPr>
              <w:t xml:space="preserve"> London EC3M 8UD</w:t>
            </w:r>
            <w:r>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2496110" w:rsidR="006B6D9D" w:rsidRPr="006B6D9D" w:rsidRDefault="006B6D9D" w:rsidP="00693948">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693948">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B791837" w:rsidR="00F12F6D" w:rsidRPr="00693948" w:rsidRDefault="00F12F6D" w:rsidP="00693948">
            <w:pPr>
              <w:pStyle w:val="MarginText"/>
              <w:jc w:val="left"/>
              <w:rPr>
                <w:rFonts w:cs="Arial"/>
                <w:sz w:val="22"/>
                <w:szCs w:val="22"/>
              </w:rPr>
            </w:pPr>
            <w:r w:rsidRPr="00693948">
              <w:rPr>
                <w:rFonts w:cs="Arial"/>
                <w:sz w:val="22"/>
                <w:szCs w:val="22"/>
              </w:rPr>
              <w:t>Services</w:t>
            </w:r>
          </w:p>
        </w:tc>
        <w:tc>
          <w:tcPr>
            <w:tcW w:w="6015" w:type="dxa"/>
          </w:tcPr>
          <w:p w14:paraId="4A7BA32A" w14:textId="25BBC3C0" w:rsidR="00F12F6D" w:rsidRPr="00693948" w:rsidRDefault="00F12F6D" w:rsidP="00693948">
            <w:pPr>
              <w:pStyle w:val="MarginText"/>
              <w:jc w:val="left"/>
              <w:rPr>
                <w:rFonts w:cs="Arial"/>
                <w:sz w:val="22"/>
                <w:szCs w:val="22"/>
              </w:rPr>
            </w:pPr>
            <w:r w:rsidRPr="00693948">
              <w:rPr>
                <w:rFonts w:cs="Arial"/>
                <w:sz w:val="22"/>
                <w:szCs w:val="22"/>
              </w:rPr>
              <w:t xml:space="preserve">means the services that may be provided by Suppliers, as set out at </w:t>
            </w:r>
            <w:r w:rsidR="00B16E91" w:rsidRPr="00693948">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6D7BB18" w:rsidR="00F12F6D" w:rsidRPr="00C351DF" w:rsidRDefault="00F12F6D" w:rsidP="00693948">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693948">
              <w:rPr>
                <w:rFonts w:cs="Arial"/>
                <w:sz w:val="22"/>
                <w:szCs w:val="22"/>
              </w:rPr>
              <w:t>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A922737" w:rsidR="00F12F6D" w:rsidRPr="006B6D9D" w:rsidRDefault="00F12F6D" w:rsidP="00693948">
            <w:pPr>
              <w:pStyle w:val="MarginText"/>
              <w:jc w:val="left"/>
              <w:rPr>
                <w:rFonts w:cs="Arial"/>
                <w:b/>
                <w:i/>
                <w:sz w:val="22"/>
                <w:szCs w:val="22"/>
                <w:highlight w:val="yellow"/>
              </w:rPr>
            </w:pPr>
            <w:r w:rsidRPr="004D6565">
              <w:rPr>
                <w:rFonts w:cs="Arial"/>
                <w:sz w:val="22"/>
                <w:szCs w:val="22"/>
              </w:rPr>
              <w:t xml:space="preserve">means a discrete sub-division </w:t>
            </w:r>
            <w:r w:rsidRPr="00693948">
              <w:rPr>
                <w:rFonts w:cs="Arial"/>
                <w:sz w:val="22"/>
                <w:szCs w:val="22"/>
              </w:rPr>
              <w:t>of the Services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93855DB" w:rsidR="00F12F6D" w:rsidRPr="00C351DF" w:rsidRDefault="00F12F6D" w:rsidP="00693948">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w:t>
            </w:r>
            <w:r w:rsidRPr="00693948">
              <w:rPr>
                <w:rFonts w:cs="Arial"/>
                <w:sz w:val="22"/>
                <w:szCs w:val="22"/>
              </w:rPr>
              <w:t>supply of the Services</w:t>
            </w:r>
            <w:r w:rsidR="00B16E91" w:rsidRPr="00693948">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693948" w:rsidRDefault="00F12F6D" w:rsidP="00F12F6D">
            <w:pPr>
              <w:pStyle w:val="MarginText"/>
              <w:jc w:val="left"/>
              <w:rPr>
                <w:rFonts w:cs="Arial"/>
                <w:sz w:val="22"/>
                <w:szCs w:val="22"/>
              </w:rPr>
            </w:pPr>
            <w:r w:rsidRPr="00693948">
              <w:rPr>
                <w:rFonts w:cs="Arial"/>
                <w:sz w:val="22"/>
                <w:szCs w:val="22"/>
              </w:rPr>
              <w:t>Regulations</w:t>
            </w:r>
          </w:p>
        </w:tc>
        <w:tc>
          <w:tcPr>
            <w:tcW w:w="6015" w:type="dxa"/>
          </w:tcPr>
          <w:p w14:paraId="4A7BA367" w14:textId="77777777" w:rsidR="00F12F6D" w:rsidRPr="00693948" w:rsidRDefault="00F12F6D" w:rsidP="00F12F6D">
            <w:pPr>
              <w:pStyle w:val="MarginText"/>
              <w:jc w:val="left"/>
              <w:rPr>
                <w:rFonts w:cs="Arial"/>
                <w:sz w:val="22"/>
                <w:szCs w:val="22"/>
              </w:rPr>
            </w:pPr>
            <w:r w:rsidRPr="00693948">
              <w:rPr>
                <w:rFonts w:cs="Arial"/>
                <w:sz w:val="22"/>
                <w:szCs w:val="22"/>
              </w:rPr>
              <w:t>means the Public Contracts Regulations 2015 (</w:t>
            </w:r>
            <w:hyperlink r:id="rId11" w:history="1">
              <w:r w:rsidRPr="00693948">
                <w:rPr>
                  <w:rStyle w:val="Hyperlink"/>
                  <w:rFonts w:cs="Arial"/>
                  <w:sz w:val="22"/>
                  <w:szCs w:val="22"/>
                </w:rPr>
                <w:t>http://www.legislation.gov.uk/uksi/2015/102/contents/made</w:t>
              </w:r>
            </w:hyperlink>
          </w:p>
          <w:p w14:paraId="4A7BA369" w14:textId="2532FC6A" w:rsidR="00F12F6D" w:rsidRPr="00693948" w:rsidRDefault="00F12F6D" w:rsidP="00693948">
            <w:pPr>
              <w:pStyle w:val="MarginText"/>
              <w:jc w:val="left"/>
              <w:rPr>
                <w:rFonts w:cs="Arial"/>
                <w:sz w:val="22"/>
                <w:szCs w:val="22"/>
              </w:rPr>
            </w:pPr>
            <w:r w:rsidRPr="00693948">
              <w:rPr>
                <w:rFonts w:cs="Arial"/>
                <w:sz w:val="22"/>
                <w:szCs w:val="22"/>
              </w:rPr>
              <w:t>)</w:t>
            </w:r>
            <w:r w:rsidRPr="00693948" w:rsidDel="00065ECA">
              <w:rPr>
                <w:rFonts w:cs="Arial"/>
                <w:sz w:val="22"/>
                <w:szCs w:val="22"/>
              </w:rPr>
              <w:t xml:space="preserve"> </w:t>
            </w:r>
            <w:r w:rsidRPr="00693948">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0E8EC377" w:rsidR="00CA35BA" w:rsidRPr="00C351DF" w:rsidRDefault="00CA35BA" w:rsidP="00F12F6D">
            <w:pPr>
              <w:pStyle w:val="MarginText"/>
              <w:jc w:val="left"/>
              <w:rPr>
                <w:rFonts w:cs="Arial"/>
                <w:sz w:val="22"/>
                <w:szCs w:val="22"/>
              </w:rPr>
            </w:pPr>
            <w:r w:rsidRPr="00693948">
              <w:rPr>
                <w:rFonts w:cs="Arial"/>
                <w:sz w:val="22"/>
                <w:szCs w:val="22"/>
              </w:rPr>
              <w:t>Stage One Score</w:t>
            </w:r>
          </w:p>
        </w:tc>
        <w:tc>
          <w:tcPr>
            <w:tcW w:w="6015" w:type="dxa"/>
          </w:tcPr>
          <w:p w14:paraId="3D74EE06" w14:textId="0DE898AF" w:rsidR="00CA35BA" w:rsidRPr="00C351DF" w:rsidRDefault="00D868A1" w:rsidP="00693948">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the stage one (1) Quality Score with the Price Score where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B92F3" w14:textId="77777777" w:rsidR="008118BC" w:rsidRPr="00AE4296" w:rsidRDefault="008118BC" w:rsidP="00AE4296">
      <w:pPr>
        <w:spacing w:after="0" w:line="240" w:lineRule="auto"/>
      </w:pPr>
      <w:r>
        <w:separator/>
      </w:r>
    </w:p>
  </w:endnote>
  <w:endnote w:type="continuationSeparator" w:id="0">
    <w:p w14:paraId="5819D52F" w14:textId="77777777" w:rsidR="008118BC" w:rsidRPr="00AE4296" w:rsidRDefault="008118BC" w:rsidP="00AE4296">
      <w:pPr>
        <w:spacing w:after="0" w:line="240" w:lineRule="auto"/>
      </w:pPr>
      <w:r>
        <w:continuationSeparator/>
      </w:r>
    </w:p>
  </w:endnote>
  <w:endnote w:type="continuationNotice" w:id="1">
    <w:p w14:paraId="0F88AB26" w14:textId="77777777" w:rsidR="008118BC" w:rsidRDefault="0081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118BC" w:rsidRPr="009D0EAE" w:rsidRDefault="008118B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8118BC" w:rsidRPr="009D0EAE" w:rsidRDefault="008118BC"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A61769F" w:rsidR="008118BC" w:rsidRDefault="008118BC" w:rsidP="00AE4296">
    <w:pPr>
      <w:pStyle w:val="Footer"/>
      <w:pBdr>
        <w:top w:val="single" w:sz="6" w:space="1" w:color="auto"/>
      </w:pBdr>
      <w:tabs>
        <w:tab w:val="right" w:pos="8647"/>
      </w:tabs>
      <w:rPr>
        <w:rFonts w:ascii="Arial" w:hAnsi="Arial" w:cs="Arial"/>
        <w:sz w:val="20"/>
        <w:szCs w:val="20"/>
      </w:rPr>
    </w:pPr>
    <w:r w:rsidRPr="00693948">
      <w:rPr>
        <w:rFonts w:ascii="Arial" w:hAnsi="Arial" w:cs="Arial"/>
        <w:sz w:val="20"/>
        <w:szCs w:val="20"/>
      </w:rPr>
      <w:t>Robert Card</w:t>
    </w:r>
  </w:p>
  <w:p w14:paraId="265FF3EA" w14:textId="48B5B80C" w:rsidR="008118BC" w:rsidRPr="009D0EAE" w:rsidRDefault="008118BC"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DC2B8F1" w:rsidR="008118BC" w:rsidRPr="009D0EAE" w:rsidRDefault="008118BC"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30</w:t>
    </w:r>
    <w:r w:rsidRPr="00693948">
      <w:rPr>
        <w:rFonts w:ascii="Arial" w:hAnsi="Arial" w:cs="Arial"/>
        <w:sz w:val="20"/>
        <w:szCs w:val="20"/>
        <w:vertAlign w:val="superscript"/>
      </w:rPr>
      <w:t>th</w:t>
    </w:r>
    <w:r>
      <w:rPr>
        <w:rFonts w:ascii="Arial" w:hAnsi="Arial" w:cs="Arial"/>
        <w:sz w:val="20"/>
        <w:szCs w:val="20"/>
      </w:rPr>
      <w:t xml:space="preserve"> August 2017</w:t>
    </w:r>
  </w:p>
  <w:p w14:paraId="23416E65" w14:textId="5D051E43" w:rsidR="008118BC" w:rsidRPr="009D0EAE" w:rsidRDefault="008118B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B73213">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3F7D4" w14:textId="77777777" w:rsidR="008118BC" w:rsidRPr="00AE4296" w:rsidRDefault="008118BC" w:rsidP="00AE4296">
      <w:pPr>
        <w:spacing w:after="0" w:line="240" w:lineRule="auto"/>
      </w:pPr>
      <w:r>
        <w:separator/>
      </w:r>
    </w:p>
  </w:footnote>
  <w:footnote w:type="continuationSeparator" w:id="0">
    <w:p w14:paraId="4934D914" w14:textId="77777777" w:rsidR="008118BC" w:rsidRPr="00AE4296" w:rsidRDefault="008118BC" w:rsidP="00AE4296">
      <w:pPr>
        <w:spacing w:after="0" w:line="240" w:lineRule="auto"/>
      </w:pPr>
      <w:r>
        <w:continuationSeparator/>
      </w:r>
    </w:p>
  </w:footnote>
  <w:footnote w:type="continuationNotice" w:id="1">
    <w:p w14:paraId="314E9861" w14:textId="77777777" w:rsidR="008118BC" w:rsidRDefault="008118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8118BC" w:rsidRPr="009D0EAE" w:rsidRDefault="008118BC"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8118BC" w:rsidRDefault="008118BC"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4E73F06" w14:textId="77777777" w:rsidR="008118BC" w:rsidRPr="00693948" w:rsidRDefault="008118BC" w:rsidP="00693948">
    <w:pPr>
      <w:pStyle w:val="Header"/>
      <w:jc w:val="center"/>
      <w:rPr>
        <w:rFonts w:ascii="Arial" w:hAnsi="Arial" w:cs="Arial"/>
      </w:rPr>
    </w:pPr>
    <w:r w:rsidRPr="00693948">
      <w:rPr>
        <w:rFonts w:ascii="Arial" w:hAnsi="Arial" w:cs="Arial"/>
      </w:rPr>
      <w:t>Provision of Consultancy for Value Analysis:</w:t>
    </w:r>
  </w:p>
  <w:p w14:paraId="7669A6C3" w14:textId="77777777" w:rsidR="008118BC" w:rsidRPr="00693948" w:rsidRDefault="008118BC" w:rsidP="00693948">
    <w:pPr>
      <w:pStyle w:val="Header"/>
      <w:jc w:val="center"/>
      <w:rPr>
        <w:rFonts w:ascii="Arial" w:hAnsi="Arial" w:cs="Arial"/>
      </w:rPr>
    </w:pPr>
    <w:r w:rsidRPr="00693948">
      <w:rPr>
        <w:rFonts w:ascii="Arial" w:hAnsi="Arial" w:cs="Arial"/>
      </w:rPr>
      <w:t xml:space="preserve"> Better Asset Management </w:t>
    </w:r>
  </w:p>
  <w:p w14:paraId="46BCEF9D" w14:textId="73B3793A" w:rsidR="008118BC" w:rsidRDefault="008118BC" w:rsidP="00A225AA">
    <w:pPr>
      <w:pStyle w:val="Header"/>
      <w:jc w:val="center"/>
      <w:rPr>
        <w:rFonts w:ascii="Arial" w:hAnsi="Arial" w:cs="Arial"/>
        <w:sz w:val="20"/>
        <w:szCs w:val="20"/>
      </w:rPr>
    </w:pPr>
    <w:r w:rsidRPr="00693948">
      <w:rPr>
        <w:rFonts w:ascii="Arial" w:hAnsi="Arial" w:cs="Arial"/>
      </w:rPr>
      <w:t>Contract Reference: CCCC17A82</w:t>
    </w:r>
  </w:p>
  <w:p w14:paraId="594134B2" w14:textId="6AE1B134" w:rsidR="008118BC" w:rsidRDefault="008118BC"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D3E3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118BC" w:rsidRPr="009D0EAE" w:rsidRDefault="008118BC"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118BC" w:rsidRDefault="008118BC">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0340"/>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7591"/>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1608"/>
    <w:rsid w:val="0058404D"/>
    <w:rsid w:val="005856B9"/>
    <w:rsid w:val="005868EB"/>
    <w:rsid w:val="00586D75"/>
    <w:rsid w:val="00587169"/>
    <w:rsid w:val="0058734C"/>
    <w:rsid w:val="00593601"/>
    <w:rsid w:val="005960B4"/>
    <w:rsid w:val="005A07D5"/>
    <w:rsid w:val="005A4ECF"/>
    <w:rsid w:val="005B545B"/>
    <w:rsid w:val="005C32AF"/>
    <w:rsid w:val="005C3344"/>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3948"/>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18BC"/>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45F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B93"/>
    <w:rsid w:val="00A77F87"/>
    <w:rsid w:val="00A86401"/>
    <w:rsid w:val="00A909A8"/>
    <w:rsid w:val="00A94867"/>
    <w:rsid w:val="00A964F0"/>
    <w:rsid w:val="00AA086A"/>
    <w:rsid w:val="00AA1BD9"/>
    <w:rsid w:val="00AA214F"/>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44670"/>
    <w:rsid w:val="00B44721"/>
    <w:rsid w:val="00B508A9"/>
    <w:rsid w:val="00B5350C"/>
    <w:rsid w:val="00B549AC"/>
    <w:rsid w:val="00B54CEE"/>
    <w:rsid w:val="00B55BE0"/>
    <w:rsid w:val="00B63957"/>
    <w:rsid w:val="00B7002F"/>
    <w:rsid w:val="00B71515"/>
    <w:rsid w:val="00B73213"/>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021"/>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0F61"/>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8FF1292B-1E46-496A-A284-0CD133C9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2017-09-01T15:10:00Z</dcterms:created>
  <dcterms:modified xsi:type="dcterms:W3CDTF">2017-09-01T15:10:00Z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