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140" w:rsidRDefault="00B91140">
      <w:pPr>
        <w:widowControl w:val="0"/>
        <w:pBdr>
          <w:top w:val="nil"/>
          <w:left w:val="nil"/>
          <w:bottom w:val="nil"/>
          <w:right w:val="nil"/>
          <w:between w:val="nil"/>
        </w:pBdr>
        <w:tabs>
          <w:tab w:val="left" w:pos="1745"/>
        </w:tabs>
        <w:spacing w:after="0"/>
        <w:jc w:val="center"/>
        <w:rPr>
          <w:rFonts w:ascii="Arial" w:eastAsia="Arial" w:hAnsi="Arial" w:cs="Arial"/>
          <w:b/>
          <w:color w:val="000000"/>
          <w:sz w:val="36"/>
          <w:szCs w:val="36"/>
        </w:rPr>
      </w:pPr>
    </w:p>
    <w:p w:rsidR="00B91140" w:rsidRDefault="00EE1134">
      <w:pPr>
        <w:keepNext/>
        <w:keepLines/>
        <w:spacing w:after="26" w:line="250" w:lineRule="auto"/>
        <w:ind w:left="-5" w:hanging="10"/>
        <w:rPr>
          <w:rFonts w:ascii="Arial" w:eastAsia="Arial" w:hAnsi="Arial" w:cs="Arial"/>
          <w:b/>
          <w:color w:val="000000"/>
          <w:sz w:val="36"/>
          <w:szCs w:val="36"/>
        </w:rPr>
      </w:pPr>
      <w:r>
        <w:rPr>
          <w:rFonts w:ascii="Arial" w:eastAsia="Arial" w:hAnsi="Arial" w:cs="Arial"/>
          <w:b/>
          <w:color w:val="000000"/>
          <w:sz w:val="36"/>
          <w:szCs w:val="36"/>
        </w:rPr>
        <w:t xml:space="preserve">Joint Schedule 7 (Financial Difficulties) </w:t>
      </w:r>
    </w:p>
    <w:p w:rsidR="00B91140" w:rsidRDefault="00B91140">
      <w:pPr>
        <w:pBdr>
          <w:top w:val="nil"/>
          <w:left w:val="nil"/>
          <w:bottom w:val="nil"/>
          <w:right w:val="nil"/>
          <w:between w:val="nil"/>
        </w:pBdr>
        <w:spacing w:before="120" w:after="120"/>
        <w:jc w:val="center"/>
        <w:rPr>
          <w:rFonts w:ascii="Arial" w:eastAsia="Arial" w:hAnsi="Arial" w:cs="Arial"/>
          <w:b/>
          <w:color w:val="000000"/>
        </w:rPr>
      </w:pPr>
    </w:p>
    <w:p w:rsidR="00B91140" w:rsidRDefault="00EE1134">
      <w:pPr>
        <w:pStyle w:val="Heading2"/>
        <w:keepLines/>
        <w:numPr>
          <w:ilvl w:val="1"/>
          <w:numId w:val="11"/>
        </w:numPr>
        <w:spacing w:before="0" w:after="240"/>
        <w:rPr>
          <w:rFonts w:ascii="Arial" w:eastAsia="Arial" w:hAnsi="Arial" w:cs="Arial"/>
          <w:i w:val="0"/>
          <w:sz w:val="24"/>
          <w:szCs w:val="24"/>
        </w:rPr>
      </w:pPr>
      <w:r>
        <w:rPr>
          <w:rFonts w:ascii="Arial" w:eastAsia="Arial" w:hAnsi="Arial" w:cs="Arial"/>
          <w:i w:val="0"/>
          <w:sz w:val="24"/>
          <w:szCs w:val="24"/>
        </w:rPr>
        <w:t>DEFINITIONS</w:t>
      </w:r>
    </w:p>
    <w:p w:rsidR="00B91140" w:rsidRDefault="00EE1134">
      <w:pPr>
        <w:rPr>
          <w:rFonts w:ascii="Arial" w:eastAsia="Arial" w:hAnsi="Arial" w:cs="Arial"/>
        </w:rPr>
      </w:pPr>
      <w:r>
        <w:rPr>
          <w:rFonts w:ascii="Arial" w:eastAsia="Arial" w:hAnsi="Arial" w:cs="Arial"/>
        </w:rPr>
        <w:t>In this Schedule, the following definitions shall apply:</w:t>
      </w:r>
    </w:p>
    <w:tbl>
      <w:tblPr>
        <w:tblStyle w:val="a"/>
        <w:tblW w:w="8446" w:type="dxa"/>
        <w:tblInd w:w="768" w:type="dxa"/>
        <w:tblLayout w:type="fixed"/>
        <w:tblLook w:val="0000" w:firstRow="0" w:lastRow="0" w:firstColumn="0" w:lastColumn="0" w:noHBand="0" w:noVBand="0"/>
      </w:tblPr>
      <w:tblGrid>
        <w:gridCol w:w="2616"/>
        <w:gridCol w:w="5830"/>
      </w:tblGrid>
      <w:tr w:rsidR="00B91140">
        <w:trPr>
          <w:trHeight w:val="1248"/>
        </w:trPr>
        <w:tc>
          <w:tcPr>
            <w:tcW w:w="2616" w:type="dxa"/>
          </w:tcPr>
          <w:p w:rsidR="00B91140" w:rsidRDefault="00EE1134">
            <w:pPr>
              <w:rPr>
                <w:rFonts w:ascii="Arial" w:eastAsia="Arial" w:hAnsi="Arial" w:cs="Arial"/>
                <w:b/>
              </w:rPr>
            </w:pPr>
            <w:r>
              <w:rPr>
                <w:rFonts w:ascii="Arial" w:eastAsia="Arial" w:hAnsi="Arial" w:cs="Arial"/>
                <w:b/>
              </w:rPr>
              <w:t>“Accounting Reference Date”</w:t>
            </w:r>
          </w:p>
        </w:tc>
        <w:tc>
          <w:tcPr>
            <w:tcW w:w="5830" w:type="dxa"/>
          </w:tcPr>
          <w:p w:rsidR="00B91140" w:rsidRDefault="00EE1134">
            <w:pPr>
              <w:ind w:left="11"/>
              <w:rPr>
                <w:rFonts w:ascii="Arial" w:eastAsia="Arial" w:hAnsi="Arial" w:cs="Arial"/>
              </w:rPr>
            </w:pPr>
            <w:r>
              <w:rPr>
                <w:rFonts w:ascii="Arial" w:eastAsia="Arial" w:hAnsi="Arial" w:cs="Arial"/>
              </w:rPr>
              <w:t>means in each year, the date to which each entity in the FDE Group prepares its annual audited financial statements;</w:t>
            </w:r>
          </w:p>
        </w:tc>
      </w:tr>
      <w:tr w:rsidR="00B91140">
        <w:trPr>
          <w:trHeight w:val="1248"/>
        </w:trPr>
        <w:tc>
          <w:tcPr>
            <w:tcW w:w="2616" w:type="dxa"/>
          </w:tcPr>
          <w:p w:rsidR="00B91140" w:rsidRDefault="00EE1134">
            <w:pPr>
              <w:rPr>
                <w:rFonts w:ascii="Trebuchet MS" w:eastAsia="Trebuchet MS" w:hAnsi="Trebuchet MS" w:cs="Trebuchet MS"/>
                <w:b/>
              </w:rPr>
            </w:pPr>
            <w:r>
              <w:rPr>
                <w:rFonts w:ascii="Arial" w:eastAsia="Arial" w:hAnsi="Arial" w:cs="Arial"/>
                <w:b/>
              </w:rPr>
              <w:t>“Applicable Financial Indicators”</w:t>
            </w:r>
          </w:p>
        </w:tc>
        <w:tc>
          <w:tcPr>
            <w:tcW w:w="5830" w:type="dxa"/>
          </w:tcPr>
          <w:p w:rsidR="00B91140" w:rsidRDefault="00EE1134">
            <w:pPr>
              <w:ind w:left="11"/>
              <w:rPr>
                <w:rFonts w:ascii="Trebuchet MS" w:eastAsia="Trebuchet MS" w:hAnsi="Trebuchet MS" w:cs="Trebuchet MS"/>
              </w:rPr>
            </w:pPr>
            <w:r>
              <w:rPr>
                <w:rFonts w:ascii="Arial" w:eastAsia="Arial" w:hAnsi="Arial" w:cs="Arial"/>
              </w:rPr>
              <w:t>means the financial indicators from Paragraph 5.1 of this Schedule which are to apply to the Monitored Suppliers as set out in Paragraph 6 of this Schedule;</w:t>
            </w:r>
          </w:p>
        </w:tc>
      </w:tr>
      <w:tr w:rsidR="00B91140">
        <w:tc>
          <w:tcPr>
            <w:tcW w:w="2616" w:type="dxa"/>
          </w:tcPr>
          <w:p w:rsidR="00B91140" w:rsidRDefault="00EE1134">
            <w:pPr>
              <w:rPr>
                <w:rFonts w:ascii="Arial" w:eastAsia="Arial" w:hAnsi="Arial" w:cs="Arial"/>
                <w:b/>
              </w:rPr>
            </w:pPr>
            <w:r>
              <w:rPr>
                <w:rFonts w:ascii="Arial" w:eastAsia="Arial" w:hAnsi="Arial" w:cs="Arial"/>
                <w:b/>
              </w:rPr>
              <w:t>“Appropriate Accepted Mitigation”</w:t>
            </w:r>
          </w:p>
        </w:tc>
        <w:tc>
          <w:tcPr>
            <w:tcW w:w="5830" w:type="dxa"/>
          </w:tcPr>
          <w:p w:rsidR="00B91140" w:rsidRDefault="00EE1134">
            <w:pPr>
              <w:spacing w:after="0"/>
              <w:rPr>
                <w:rFonts w:ascii="Arial" w:eastAsia="Arial" w:hAnsi="Arial" w:cs="Arial"/>
                <w:color w:val="000000"/>
              </w:rPr>
            </w:pPr>
            <w:r>
              <w:rPr>
                <w:rFonts w:ascii="Arial" w:eastAsia="Arial" w:hAnsi="Arial" w:cs="Arial"/>
                <w:color w:val="000000"/>
              </w:rPr>
              <w:t>means a mitigation to a Financial Distress Event as agreed betwe</w:t>
            </w:r>
            <w:r>
              <w:rPr>
                <w:rFonts w:ascii="Arial" w:eastAsia="Arial" w:hAnsi="Arial" w:cs="Arial"/>
                <w:color w:val="000000"/>
              </w:rPr>
              <w:t>en the Parties, as follows:</w:t>
            </w:r>
          </w:p>
          <w:p w:rsidR="00B91140" w:rsidRDefault="00B91140">
            <w:pPr>
              <w:spacing w:after="0"/>
              <w:rPr>
                <w:rFonts w:ascii="Arial" w:eastAsia="Arial" w:hAnsi="Arial" w:cs="Arial"/>
                <w:color w:val="000000"/>
              </w:rPr>
            </w:pPr>
          </w:p>
          <w:p w:rsidR="00B91140" w:rsidRDefault="00EE1134">
            <w:pPr>
              <w:pStyle w:val="Heading4"/>
              <w:numPr>
                <w:ilvl w:val="2"/>
                <w:numId w:val="10"/>
              </w:numPr>
              <w:rPr>
                <w:rFonts w:ascii="Arial" w:eastAsia="Arial" w:hAnsi="Arial" w:cs="Arial"/>
              </w:rPr>
            </w:pPr>
            <w:r>
              <w:rPr>
                <w:rFonts w:ascii="Arial" w:eastAsia="Arial" w:hAnsi="Arial" w:cs="Arial"/>
              </w:rPr>
              <w:t>as at the Effective Date, as set out in Annex 2 of this Schedule; and</w:t>
            </w:r>
          </w:p>
          <w:p w:rsidR="00B91140" w:rsidRDefault="00EE1134">
            <w:pPr>
              <w:pStyle w:val="Heading4"/>
              <w:numPr>
                <w:ilvl w:val="2"/>
                <w:numId w:val="10"/>
              </w:numPr>
              <w:rPr>
                <w:rFonts w:ascii="Arial" w:eastAsia="Arial" w:hAnsi="Arial" w:cs="Arial"/>
              </w:rPr>
            </w:pPr>
            <w:r>
              <w:rPr>
                <w:rFonts w:ascii="Arial" w:eastAsia="Arial" w:hAnsi="Arial" w:cs="Arial"/>
              </w:rPr>
              <w:t>during the term of the Contract, as set out in Paragraph 3.4 of this Schedule.</w:t>
            </w:r>
          </w:p>
          <w:p w:rsidR="00B91140" w:rsidRDefault="00EE1134">
            <w:pPr>
              <w:rPr>
                <w:rFonts w:ascii="Arial" w:eastAsia="Arial" w:hAnsi="Arial" w:cs="Arial"/>
              </w:rPr>
            </w:pPr>
            <w:r>
              <w:rPr>
                <w:rFonts w:ascii="Arial" w:eastAsia="Arial" w:hAnsi="Arial" w:cs="Arial"/>
              </w:rPr>
              <w:t>All Appropriate Accepted Mitigations, including any new or amended Appropriate Accepted Mitigations must be documented and recorded in a format and location agreed between the Parties;</w:t>
            </w:r>
          </w:p>
        </w:tc>
      </w:tr>
      <w:tr w:rsidR="00B91140">
        <w:tc>
          <w:tcPr>
            <w:tcW w:w="2616" w:type="dxa"/>
          </w:tcPr>
          <w:p w:rsidR="00B91140" w:rsidRDefault="00EE1134">
            <w:pPr>
              <w:rPr>
                <w:rFonts w:ascii="Arial" w:eastAsia="Arial" w:hAnsi="Arial" w:cs="Arial"/>
                <w:b/>
              </w:rPr>
            </w:pPr>
            <w:r>
              <w:rPr>
                <w:rFonts w:ascii="Arial" w:eastAsia="Arial" w:hAnsi="Arial" w:cs="Arial"/>
                <w:b/>
              </w:rPr>
              <w:t>“Board”</w:t>
            </w:r>
          </w:p>
        </w:tc>
        <w:tc>
          <w:tcPr>
            <w:tcW w:w="5830" w:type="dxa"/>
          </w:tcPr>
          <w:p w:rsidR="00B91140" w:rsidRDefault="00EE1134">
            <w:pPr>
              <w:ind w:left="11"/>
              <w:rPr>
                <w:rFonts w:ascii="Arial" w:eastAsia="Arial" w:hAnsi="Arial" w:cs="Arial"/>
              </w:rPr>
            </w:pPr>
            <w:r>
              <w:rPr>
                <w:rFonts w:ascii="Arial" w:eastAsia="Arial" w:hAnsi="Arial" w:cs="Arial"/>
              </w:rPr>
              <w:t>means the Supplier’s board of directors;</w:t>
            </w:r>
          </w:p>
        </w:tc>
      </w:tr>
      <w:tr w:rsidR="00B91140">
        <w:tc>
          <w:tcPr>
            <w:tcW w:w="2616" w:type="dxa"/>
          </w:tcPr>
          <w:p w:rsidR="00B91140" w:rsidRDefault="00EE1134">
            <w:pPr>
              <w:rPr>
                <w:rFonts w:ascii="Arial" w:eastAsia="Arial" w:hAnsi="Arial" w:cs="Arial"/>
                <w:b/>
              </w:rPr>
            </w:pPr>
            <w:r>
              <w:rPr>
                <w:rFonts w:ascii="Arial" w:eastAsia="Arial" w:hAnsi="Arial" w:cs="Arial"/>
                <w:b/>
              </w:rPr>
              <w:t>“Board Confirmation”</w:t>
            </w:r>
            <w:r>
              <w:rPr>
                <w:rFonts w:ascii="Arial" w:eastAsia="Arial" w:hAnsi="Arial" w:cs="Arial"/>
                <w:b/>
              </w:rPr>
              <w:t xml:space="preserve"> </w:t>
            </w:r>
          </w:p>
        </w:tc>
        <w:tc>
          <w:tcPr>
            <w:tcW w:w="5830" w:type="dxa"/>
          </w:tcPr>
          <w:p w:rsidR="00B91140" w:rsidRDefault="00EE1134">
            <w:pPr>
              <w:ind w:left="11"/>
              <w:rPr>
                <w:rFonts w:ascii="Arial" w:eastAsia="Arial" w:hAnsi="Arial" w:cs="Arial"/>
              </w:rPr>
            </w:pPr>
            <w:r>
              <w:rPr>
                <w:rFonts w:ascii="Arial" w:eastAsia="Arial" w:hAnsi="Arial" w:cs="Arial"/>
              </w:rPr>
              <w:t>means written confirmation from the Board in accordance with Paragraph 8 of this Schedule;</w:t>
            </w:r>
          </w:p>
        </w:tc>
      </w:tr>
      <w:tr w:rsidR="00B91140">
        <w:tc>
          <w:tcPr>
            <w:tcW w:w="2616" w:type="dxa"/>
          </w:tcPr>
          <w:p w:rsidR="00B91140" w:rsidRDefault="00EE1134">
            <w:pPr>
              <w:rPr>
                <w:rFonts w:ascii="Arial" w:eastAsia="Arial" w:hAnsi="Arial" w:cs="Arial"/>
                <w:b/>
              </w:rPr>
            </w:pPr>
            <w:r>
              <w:rPr>
                <w:rFonts w:ascii="Arial" w:eastAsia="Arial" w:hAnsi="Arial" w:cs="Arial"/>
                <w:b/>
              </w:rPr>
              <w:t>“Credit Rating Level”</w:t>
            </w:r>
          </w:p>
        </w:tc>
        <w:tc>
          <w:tcPr>
            <w:tcW w:w="5830" w:type="dxa"/>
          </w:tcPr>
          <w:p w:rsidR="00B91140" w:rsidRDefault="00EE1134">
            <w:pPr>
              <w:ind w:left="11"/>
              <w:rPr>
                <w:rFonts w:ascii="Arial" w:eastAsia="Arial" w:hAnsi="Arial" w:cs="Arial"/>
              </w:rPr>
            </w:pPr>
            <w:r>
              <w:rPr>
                <w:rFonts w:ascii="Arial" w:eastAsia="Arial" w:hAnsi="Arial" w:cs="Arial"/>
                <w:color w:val="000000"/>
              </w:rPr>
              <w:t xml:space="preserve">means </w:t>
            </w:r>
            <w:r>
              <w:rPr>
                <w:rFonts w:ascii="Arial" w:eastAsia="Arial" w:hAnsi="Arial" w:cs="Arial"/>
              </w:rPr>
              <w:t>a credit rating level as specified in Annex 1 of this Schedule;</w:t>
            </w:r>
          </w:p>
        </w:tc>
      </w:tr>
      <w:tr w:rsidR="00B91140">
        <w:trPr>
          <w:trHeight w:val="687"/>
        </w:trPr>
        <w:tc>
          <w:tcPr>
            <w:tcW w:w="2616" w:type="dxa"/>
          </w:tcPr>
          <w:p w:rsidR="00B91140" w:rsidRDefault="00EE1134">
            <w:pPr>
              <w:rPr>
                <w:rFonts w:ascii="Arial" w:eastAsia="Arial" w:hAnsi="Arial" w:cs="Arial"/>
                <w:b/>
              </w:rPr>
            </w:pPr>
            <w:r>
              <w:rPr>
                <w:rFonts w:ascii="Arial" w:eastAsia="Arial" w:hAnsi="Arial" w:cs="Arial"/>
                <w:b/>
              </w:rPr>
              <w:t>“Credit Rating Threshold”</w:t>
            </w:r>
          </w:p>
        </w:tc>
        <w:tc>
          <w:tcPr>
            <w:tcW w:w="5830" w:type="dxa"/>
          </w:tcPr>
          <w:p w:rsidR="00B91140" w:rsidRDefault="00EE1134">
            <w:pPr>
              <w:ind w:left="11"/>
              <w:rPr>
                <w:rFonts w:ascii="Arial" w:eastAsia="Arial" w:hAnsi="Arial" w:cs="Arial"/>
              </w:rPr>
            </w:pPr>
            <w:r>
              <w:rPr>
                <w:rFonts w:ascii="Arial" w:eastAsia="Arial" w:hAnsi="Arial" w:cs="Arial"/>
                <w:color w:val="000000"/>
              </w:rPr>
              <w:t xml:space="preserve">means </w:t>
            </w:r>
            <w:r>
              <w:rPr>
                <w:rFonts w:ascii="Arial" w:eastAsia="Arial" w:hAnsi="Arial" w:cs="Arial"/>
              </w:rPr>
              <w:t>the minimum Credit Rating Level for each entity in the FDE Group as set out in Annex 3 of this Schedule;</w:t>
            </w:r>
          </w:p>
        </w:tc>
      </w:tr>
      <w:tr w:rsidR="00B91140">
        <w:tc>
          <w:tcPr>
            <w:tcW w:w="2616" w:type="dxa"/>
          </w:tcPr>
          <w:p w:rsidR="00B91140" w:rsidRDefault="00EE1134">
            <w:pPr>
              <w:rPr>
                <w:rFonts w:ascii="Arial" w:eastAsia="Arial" w:hAnsi="Arial" w:cs="Arial"/>
                <w:b/>
              </w:rPr>
            </w:pPr>
            <w:r>
              <w:rPr>
                <w:rFonts w:ascii="Arial" w:eastAsia="Arial" w:hAnsi="Arial" w:cs="Arial"/>
                <w:b/>
              </w:rPr>
              <w:t>“Financial Distress Event” or “FDE”</w:t>
            </w:r>
          </w:p>
        </w:tc>
        <w:tc>
          <w:tcPr>
            <w:tcW w:w="5830" w:type="dxa"/>
          </w:tcPr>
          <w:p w:rsidR="00B91140" w:rsidRDefault="00EE1134">
            <w:pPr>
              <w:ind w:left="11"/>
              <w:rPr>
                <w:rFonts w:ascii="Arial" w:eastAsia="Arial" w:hAnsi="Arial" w:cs="Arial"/>
              </w:rPr>
            </w:pPr>
            <w:r>
              <w:rPr>
                <w:rFonts w:ascii="Arial" w:eastAsia="Arial" w:hAnsi="Arial" w:cs="Arial"/>
              </w:rPr>
              <w:t>means the occurrence of one or more events as listed in Paragraph 3.1 of this Schedule;</w:t>
            </w:r>
          </w:p>
        </w:tc>
      </w:tr>
      <w:tr w:rsidR="00B91140">
        <w:tc>
          <w:tcPr>
            <w:tcW w:w="2616" w:type="dxa"/>
          </w:tcPr>
          <w:p w:rsidR="00B91140" w:rsidRDefault="00EE1134">
            <w:pPr>
              <w:rPr>
                <w:rFonts w:ascii="Arial" w:eastAsia="Arial" w:hAnsi="Arial" w:cs="Arial"/>
                <w:b/>
              </w:rPr>
            </w:pPr>
            <w:r>
              <w:rPr>
                <w:rFonts w:ascii="Arial" w:eastAsia="Arial" w:hAnsi="Arial" w:cs="Arial"/>
                <w:b/>
              </w:rPr>
              <w:lastRenderedPageBreak/>
              <w:t>“Financial Distress Event</w:t>
            </w:r>
            <w:r>
              <w:rPr>
                <w:rFonts w:ascii="Arial" w:eastAsia="Arial" w:hAnsi="Arial" w:cs="Arial"/>
                <w:b/>
              </w:rPr>
              <w:t xml:space="preserve"> Group” or “FDE Group”</w:t>
            </w:r>
          </w:p>
        </w:tc>
        <w:tc>
          <w:tcPr>
            <w:tcW w:w="5830" w:type="dxa"/>
          </w:tcPr>
          <w:p w:rsidR="00B91140" w:rsidRDefault="00EE1134">
            <w:pPr>
              <w:ind w:left="11"/>
              <w:rPr>
                <w:rFonts w:ascii="Arial" w:eastAsia="Arial" w:hAnsi="Arial" w:cs="Arial"/>
              </w:rPr>
            </w:pPr>
            <w:r>
              <w:rPr>
                <w:rFonts w:ascii="Arial" w:eastAsia="Arial" w:hAnsi="Arial" w:cs="Arial"/>
              </w:rPr>
              <w:t>means the Supplier, Key Sub-contractors, the Guarantor, the Supplier’s ultimate parent undertaking, Key Sub-contractors’ ultimate parent undertakings, and the Monitored Suppliers;</w:t>
            </w:r>
          </w:p>
        </w:tc>
      </w:tr>
      <w:tr w:rsidR="00B91140">
        <w:tc>
          <w:tcPr>
            <w:tcW w:w="2616" w:type="dxa"/>
          </w:tcPr>
          <w:p w:rsidR="00B91140" w:rsidRDefault="00EE1134">
            <w:pPr>
              <w:rPr>
                <w:rFonts w:ascii="Arial" w:eastAsia="Arial" w:hAnsi="Arial" w:cs="Arial"/>
                <w:b/>
              </w:rPr>
            </w:pPr>
            <w:r>
              <w:rPr>
                <w:rFonts w:ascii="Arial" w:eastAsia="Arial" w:hAnsi="Arial" w:cs="Arial"/>
                <w:b/>
              </w:rPr>
              <w:t>"Financial Distress Service Continuity Plan"</w:t>
            </w:r>
          </w:p>
        </w:tc>
        <w:tc>
          <w:tcPr>
            <w:tcW w:w="5830" w:type="dxa"/>
          </w:tcPr>
          <w:p w:rsidR="00B91140" w:rsidRDefault="00EE1134">
            <w:pPr>
              <w:ind w:left="11"/>
              <w:rPr>
                <w:rFonts w:ascii="Arial" w:eastAsia="Arial" w:hAnsi="Arial" w:cs="Arial"/>
              </w:rPr>
            </w:pPr>
            <w:r>
              <w:rPr>
                <w:rFonts w:ascii="Arial" w:eastAsia="Arial" w:hAnsi="Arial" w:cs="Arial"/>
              </w:rPr>
              <w:t xml:space="preserve">a plan </w:t>
            </w:r>
            <w:r>
              <w:rPr>
                <w:rFonts w:ascii="Arial" w:eastAsia="Arial" w:hAnsi="Arial" w:cs="Arial"/>
              </w:rPr>
              <w:t>setting out how the Supplier will ensure the continued performance and delivery of the Deliverables in accordance with the Contract in the event that a Financial Distress Event occurs. This plan should include what CCS or the Buyer would need to put in pla</w:t>
            </w:r>
            <w:r>
              <w:rPr>
                <w:rFonts w:ascii="Arial" w:eastAsia="Arial" w:hAnsi="Arial" w:cs="Arial"/>
              </w:rPr>
              <w:t>ce to ensure performance and delivery of the Deliverables in accordance with this Contract up to and including any Insolvency Event in respect of the relevant FDE Group entity;</w:t>
            </w:r>
          </w:p>
        </w:tc>
      </w:tr>
      <w:tr w:rsidR="00B91140">
        <w:tc>
          <w:tcPr>
            <w:tcW w:w="2616" w:type="dxa"/>
          </w:tcPr>
          <w:p w:rsidR="00B91140" w:rsidRDefault="00EE1134">
            <w:pPr>
              <w:rPr>
                <w:rFonts w:ascii="Arial" w:eastAsia="Arial" w:hAnsi="Arial" w:cs="Arial"/>
                <w:b/>
              </w:rPr>
            </w:pPr>
            <w:r>
              <w:rPr>
                <w:rFonts w:ascii="Arial" w:eastAsia="Arial" w:hAnsi="Arial" w:cs="Arial"/>
                <w:b/>
              </w:rPr>
              <w:t>“Financial Indicators”</w:t>
            </w:r>
          </w:p>
        </w:tc>
        <w:tc>
          <w:tcPr>
            <w:tcW w:w="5830" w:type="dxa"/>
          </w:tcPr>
          <w:p w:rsidR="00B91140" w:rsidRDefault="00EE1134">
            <w:pPr>
              <w:ind w:left="11"/>
              <w:rPr>
                <w:rFonts w:ascii="Arial" w:eastAsia="Arial" w:hAnsi="Arial" w:cs="Arial"/>
              </w:rPr>
            </w:pPr>
            <w:r>
              <w:rPr>
                <w:rFonts w:ascii="Arial" w:eastAsia="Arial" w:hAnsi="Arial" w:cs="Arial"/>
              </w:rPr>
              <w:t>in respect of the Supplier, Key Sub-contractors, the Guarantor, the Supplier’s ultimate parent undertaking, the Key Sub-contractors’ ultimate parent undertakings, means each of the financial indicators set out at Paragraph 5.1 of this Schedule; and in resp</w:t>
            </w:r>
            <w:r>
              <w:rPr>
                <w:rFonts w:ascii="Arial" w:eastAsia="Arial" w:hAnsi="Arial" w:cs="Arial"/>
              </w:rPr>
              <w:t>ect of each Monitored Supplier, means those Applicable Financial Indicators;</w:t>
            </w:r>
          </w:p>
        </w:tc>
      </w:tr>
      <w:tr w:rsidR="00B91140">
        <w:tc>
          <w:tcPr>
            <w:tcW w:w="2616" w:type="dxa"/>
          </w:tcPr>
          <w:p w:rsidR="00B91140" w:rsidRDefault="00EE1134">
            <w:pPr>
              <w:rPr>
                <w:rFonts w:ascii="Arial" w:eastAsia="Arial" w:hAnsi="Arial" w:cs="Arial"/>
                <w:b/>
              </w:rPr>
            </w:pPr>
            <w:r>
              <w:rPr>
                <w:rFonts w:ascii="Arial" w:eastAsia="Arial" w:hAnsi="Arial" w:cs="Arial"/>
                <w:b/>
              </w:rPr>
              <w:t xml:space="preserve">“Financial Target Thresholds” </w:t>
            </w:r>
          </w:p>
        </w:tc>
        <w:tc>
          <w:tcPr>
            <w:tcW w:w="5830" w:type="dxa"/>
          </w:tcPr>
          <w:p w:rsidR="00B91140" w:rsidRDefault="00EE1134">
            <w:pPr>
              <w:ind w:left="11"/>
              <w:rPr>
                <w:rFonts w:ascii="Arial" w:eastAsia="Arial" w:hAnsi="Arial" w:cs="Arial"/>
              </w:rPr>
            </w:pPr>
            <w:r>
              <w:rPr>
                <w:rFonts w:ascii="Arial" w:eastAsia="Arial" w:hAnsi="Arial" w:cs="Arial"/>
              </w:rPr>
              <w:t>means the target thresholds for each of the Financial Indicators set out at Paragraph 5.1 of this Schedule;</w:t>
            </w:r>
          </w:p>
        </w:tc>
      </w:tr>
      <w:tr w:rsidR="00B91140">
        <w:tc>
          <w:tcPr>
            <w:tcW w:w="2616" w:type="dxa"/>
          </w:tcPr>
          <w:p w:rsidR="00B91140" w:rsidRDefault="00EE1134">
            <w:pPr>
              <w:rPr>
                <w:rFonts w:ascii="Arial" w:eastAsia="Arial" w:hAnsi="Arial" w:cs="Arial"/>
                <w:b/>
              </w:rPr>
            </w:pPr>
            <w:r>
              <w:rPr>
                <w:rFonts w:ascii="Arial" w:eastAsia="Arial" w:hAnsi="Arial" w:cs="Arial"/>
                <w:b/>
              </w:rPr>
              <w:t>“Monitored Suppliers”</w:t>
            </w:r>
          </w:p>
        </w:tc>
        <w:tc>
          <w:tcPr>
            <w:tcW w:w="5830" w:type="dxa"/>
          </w:tcPr>
          <w:p w:rsidR="00B91140" w:rsidRDefault="00EE1134">
            <w:pPr>
              <w:ind w:left="11"/>
              <w:rPr>
                <w:rFonts w:ascii="Arial" w:eastAsia="Arial" w:hAnsi="Arial" w:cs="Arial"/>
              </w:rPr>
            </w:pPr>
            <w:r>
              <w:rPr>
                <w:rFonts w:ascii="Arial" w:eastAsia="Arial" w:hAnsi="Arial" w:cs="Arial"/>
              </w:rPr>
              <w:t>means those enti</w:t>
            </w:r>
            <w:r>
              <w:rPr>
                <w:rFonts w:ascii="Arial" w:eastAsia="Arial" w:hAnsi="Arial" w:cs="Arial"/>
              </w:rPr>
              <w:t>ties specified at Paragraph 6 of this Schedule;</w:t>
            </w:r>
          </w:p>
        </w:tc>
      </w:tr>
      <w:tr w:rsidR="00B91140">
        <w:tc>
          <w:tcPr>
            <w:tcW w:w="2616" w:type="dxa"/>
          </w:tcPr>
          <w:p w:rsidR="00B91140" w:rsidRDefault="00EE1134">
            <w:pPr>
              <w:rPr>
                <w:rFonts w:ascii="Arial" w:eastAsia="Arial" w:hAnsi="Arial" w:cs="Arial"/>
                <w:b/>
              </w:rPr>
            </w:pPr>
            <w:bookmarkStart w:id="0" w:name="_heading=h.gjdgxs" w:colFirst="0" w:colLast="0"/>
            <w:bookmarkEnd w:id="0"/>
            <w:r>
              <w:rPr>
                <w:rFonts w:ascii="Arial" w:eastAsia="Arial" w:hAnsi="Arial" w:cs="Arial"/>
                <w:b/>
              </w:rPr>
              <w:t>“Primary Credit Ratings”</w:t>
            </w:r>
          </w:p>
        </w:tc>
        <w:tc>
          <w:tcPr>
            <w:tcW w:w="5830" w:type="dxa"/>
          </w:tcPr>
          <w:p w:rsidR="00B91140" w:rsidRDefault="00EE1134">
            <w:pPr>
              <w:ind w:left="11"/>
              <w:rPr>
                <w:rFonts w:ascii="Arial" w:eastAsia="Arial" w:hAnsi="Arial" w:cs="Arial"/>
                <w:b/>
              </w:rPr>
            </w:pPr>
            <w:r>
              <w:rPr>
                <w:rFonts w:ascii="Arial" w:eastAsia="Arial" w:hAnsi="Arial" w:cs="Arial"/>
              </w:rPr>
              <w:t xml:space="preserve">means </w:t>
            </w:r>
            <w:proofErr w:type="spellStart"/>
            <w:r>
              <w:rPr>
                <w:rFonts w:ascii="Arial" w:eastAsia="Arial" w:hAnsi="Arial" w:cs="Arial"/>
              </w:rPr>
              <w:t>Companywatch</w:t>
            </w:r>
            <w:proofErr w:type="spellEnd"/>
            <w:r>
              <w:rPr>
                <w:rFonts w:ascii="Arial" w:eastAsia="Arial" w:hAnsi="Arial" w:cs="Arial"/>
              </w:rPr>
              <w:t xml:space="preserve"> and</w:t>
            </w:r>
            <w:r>
              <w:t xml:space="preserve"> </w:t>
            </w:r>
            <w:r>
              <w:rPr>
                <w:rFonts w:ascii="Arial" w:eastAsia="Arial" w:hAnsi="Arial" w:cs="Arial"/>
              </w:rPr>
              <w:t xml:space="preserve">Dun and Bradstreet credit ratings; </w:t>
            </w:r>
          </w:p>
        </w:tc>
      </w:tr>
      <w:tr w:rsidR="00B91140">
        <w:tc>
          <w:tcPr>
            <w:tcW w:w="2616" w:type="dxa"/>
          </w:tcPr>
          <w:p w:rsidR="00B91140" w:rsidRDefault="00EE1134">
            <w:pPr>
              <w:rPr>
                <w:rFonts w:ascii="Arial" w:eastAsia="Arial" w:hAnsi="Arial" w:cs="Arial"/>
                <w:b/>
              </w:rPr>
            </w:pPr>
            <w:r>
              <w:rPr>
                <w:rFonts w:ascii="Arial" w:eastAsia="Arial" w:hAnsi="Arial" w:cs="Arial"/>
                <w:b/>
              </w:rPr>
              <w:t>“Primary Credit Ratings Agency”</w:t>
            </w:r>
          </w:p>
        </w:tc>
        <w:tc>
          <w:tcPr>
            <w:tcW w:w="5830" w:type="dxa"/>
          </w:tcPr>
          <w:p w:rsidR="00B91140" w:rsidRDefault="00EE1134">
            <w:pPr>
              <w:ind w:left="11"/>
              <w:rPr>
                <w:rFonts w:ascii="Arial" w:eastAsia="Arial" w:hAnsi="Arial" w:cs="Arial"/>
              </w:rPr>
            </w:pPr>
            <w:r>
              <w:rPr>
                <w:rFonts w:ascii="Arial" w:eastAsia="Arial" w:hAnsi="Arial" w:cs="Arial"/>
              </w:rPr>
              <w:t xml:space="preserve">means </w:t>
            </w:r>
            <w:proofErr w:type="spellStart"/>
            <w:r>
              <w:rPr>
                <w:rFonts w:ascii="Arial" w:eastAsia="Arial" w:hAnsi="Arial" w:cs="Arial"/>
              </w:rPr>
              <w:t>Companywatch</w:t>
            </w:r>
            <w:proofErr w:type="spellEnd"/>
            <w:r>
              <w:rPr>
                <w:rFonts w:ascii="Arial" w:eastAsia="Arial" w:hAnsi="Arial" w:cs="Arial"/>
              </w:rPr>
              <w:t xml:space="preserve"> and</w:t>
            </w:r>
            <w:r>
              <w:t xml:space="preserve"> </w:t>
            </w:r>
            <w:r>
              <w:rPr>
                <w:rFonts w:ascii="Arial" w:eastAsia="Arial" w:hAnsi="Arial" w:cs="Arial"/>
              </w:rPr>
              <w:t xml:space="preserve">Dun and </w:t>
            </w:r>
            <w:proofErr w:type="gramStart"/>
            <w:r>
              <w:rPr>
                <w:rFonts w:ascii="Arial" w:eastAsia="Arial" w:hAnsi="Arial" w:cs="Arial"/>
              </w:rPr>
              <w:t>Bradstreet ;</w:t>
            </w:r>
            <w:proofErr w:type="gramEnd"/>
            <w:r>
              <w:rPr>
                <w:rFonts w:ascii="Arial" w:eastAsia="Arial" w:hAnsi="Arial" w:cs="Arial"/>
              </w:rPr>
              <w:t xml:space="preserve"> </w:t>
            </w:r>
          </w:p>
        </w:tc>
      </w:tr>
      <w:tr w:rsidR="00B91140">
        <w:trPr>
          <w:trHeight w:val="652"/>
        </w:trPr>
        <w:tc>
          <w:tcPr>
            <w:tcW w:w="2616" w:type="dxa"/>
          </w:tcPr>
          <w:p w:rsidR="00B91140" w:rsidRDefault="00EE1134">
            <w:pPr>
              <w:rPr>
                <w:rFonts w:ascii="Arial" w:eastAsia="Arial" w:hAnsi="Arial" w:cs="Arial"/>
                <w:b/>
              </w:rPr>
            </w:pPr>
            <w:r>
              <w:rPr>
                <w:rFonts w:ascii="Arial" w:eastAsia="Arial" w:hAnsi="Arial" w:cs="Arial"/>
                <w:b/>
              </w:rPr>
              <w:t>“Rating Agencies”</w:t>
            </w:r>
          </w:p>
          <w:p w:rsidR="00B91140" w:rsidRDefault="00B91140">
            <w:pPr>
              <w:rPr>
                <w:rFonts w:ascii="Arial" w:eastAsia="Arial" w:hAnsi="Arial" w:cs="Arial"/>
              </w:rPr>
            </w:pPr>
          </w:p>
        </w:tc>
        <w:tc>
          <w:tcPr>
            <w:tcW w:w="5830" w:type="dxa"/>
          </w:tcPr>
          <w:p w:rsidR="00B91140" w:rsidRDefault="00EE1134">
            <w:pPr>
              <w:ind w:left="11"/>
              <w:rPr>
                <w:rFonts w:ascii="Arial" w:eastAsia="Arial" w:hAnsi="Arial" w:cs="Arial"/>
              </w:rPr>
            </w:pPr>
            <w:r>
              <w:rPr>
                <w:rFonts w:ascii="Arial" w:eastAsia="Arial" w:hAnsi="Arial" w:cs="Arial"/>
                <w:color w:val="000000"/>
              </w:rPr>
              <w:t xml:space="preserve">means </w:t>
            </w:r>
            <w:r>
              <w:rPr>
                <w:rFonts w:ascii="Arial" w:eastAsia="Arial" w:hAnsi="Arial" w:cs="Arial"/>
              </w:rPr>
              <w:t>the rating agencies listed in Annex 1 of this Schedule or such other rating agencies as CCS or the Buyer may decide to use;</w:t>
            </w:r>
          </w:p>
        </w:tc>
      </w:tr>
    </w:tbl>
    <w:p w:rsidR="00B91140" w:rsidRDefault="00EE1134">
      <w:pPr>
        <w:pStyle w:val="Heading2"/>
        <w:keepLines/>
        <w:spacing w:before="0" w:after="240"/>
        <w:rPr>
          <w:rFonts w:ascii="Arial" w:eastAsia="Arial" w:hAnsi="Arial" w:cs="Arial"/>
          <w:i w:val="0"/>
          <w:sz w:val="22"/>
          <w:szCs w:val="22"/>
        </w:rPr>
      </w:pPr>
      <w:r>
        <w:rPr>
          <w:rFonts w:ascii="Arial" w:eastAsia="Arial" w:hAnsi="Arial" w:cs="Arial"/>
          <w:i w:val="0"/>
          <w:sz w:val="22"/>
          <w:szCs w:val="22"/>
        </w:rPr>
        <w:t xml:space="preserve">1.1 When this Schedule applies </w:t>
      </w:r>
    </w:p>
    <w:p w:rsidR="00B91140" w:rsidRDefault="00EE1134">
      <w:pPr>
        <w:pStyle w:val="Heading3"/>
        <w:keepNext w:val="0"/>
        <w:keepLines/>
        <w:spacing w:before="0" w:after="240"/>
        <w:rPr>
          <w:rFonts w:ascii="Arial" w:eastAsia="Arial" w:hAnsi="Arial" w:cs="Arial"/>
          <w:b w:val="0"/>
          <w:sz w:val="22"/>
          <w:szCs w:val="22"/>
        </w:rPr>
      </w:pPr>
      <w:r>
        <w:rPr>
          <w:rFonts w:ascii="Arial" w:eastAsia="Arial" w:hAnsi="Arial" w:cs="Arial"/>
          <w:b w:val="0"/>
          <w:sz w:val="22"/>
          <w:szCs w:val="22"/>
        </w:rPr>
        <w:t xml:space="preserve">1.2 The Parties shall comply with the provisions of this Schedule in relation to the assessment of the financial standing of the Monitored Companies and the consequences of a change to that financial standing. </w:t>
      </w:r>
    </w:p>
    <w:p w:rsidR="00B91140" w:rsidRDefault="00EE1134">
      <w:pPr>
        <w:pStyle w:val="Heading3"/>
        <w:keepNext w:val="0"/>
        <w:keepLines/>
        <w:spacing w:before="0" w:after="240"/>
        <w:rPr>
          <w:rFonts w:ascii="Arial" w:eastAsia="Arial" w:hAnsi="Arial" w:cs="Arial"/>
          <w:b w:val="0"/>
          <w:sz w:val="22"/>
          <w:szCs w:val="22"/>
        </w:rPr>
      </w:pPr>
      <w:r>
        <w:rPr>
          <w:rFonts w:ascii="Arial" w:eastAsia="Arial" w:hAnsi="Arial" w:cs="Arial"/>
          <w:b w:val="0"/>
          <w:sz w:val="22"/>
          <w:szCs w:val="22"/>
        </w:rPr>
        <w:t xml:space="preserve">1.3 The terms of this Schedule shall survive </w:t>
      </w:r>
      <w:r>
        <w:rPr>
          <w:rFonts w:ascii="Arial" w:eastAsia="Arial" w:hAnsi="Arial" w:cs="Arial"/>
          <w:b w:val="0"/>
          <w:sz w:val="22"/>
          <w:szCs w:val="22"/>
        </w:rPr>
        <w:t xml:space="preserve">termination or expiry of this Contract: </w:t>
      </w:r>
    </w:p>
    <w:p w:rsidR="00B91140" w:rsidRDefault="00EE1134">
      <w:pPr>
        <w:pStyle w:val="Heading3"/>
        <w:keepNext w:val="0"/>
        <w:keepLines/>
        <w:spacing w:before="0" w:after="240"/>
        <w:rPr>
          <w:rFonts w:ascii="Arial" w:eastAsia="Arial" w:hAnsi="Arial" w:cs="Arial"/>
          <w:b w:val="0"/>
          <w:sz w:val="22"/>
          <w:szCs w:val="22"/>
        </w:rPr>
      </w:pPr>
      <w:r>
        <w:rPr>
          <w:rFonts w:ascii="Arial" w:eastAsia="Arial" w:hAnsi="Arial" w:cs="Arial"/>
          <w:b w:val="0"/>
          <w:sz w:val="22"/>
          <w:szCs w:val="22"/>
        </w:rPr>
        <w:lastRenderedPageBreak/>
        <w:t>1.3.1 under the CCCC21B23 Contract until the later of (a) the termination or expiry of the CCCC21B23 Contract or (b) the latest date of termination or expiry of any Order Contract entered into under the CCCC21B23 Co</w:t>
      </w:r>
      <w:r>
        <w:rPr>
          <w:rFonts w:ascii="Arial" w:eastAsia="Arial" w:hAnsi="Arial" w:cs="Arial"/>
          <w:b w:val="0"/>
          <w:sz w:val="22"/>
          <w:szCs w:val="22"/>
        </w:rPr>
        <w:t xml:space="preserve">ntract (which might be after the date of termination or expiry of the CCCC21B23 Contract); and </w:t>
      </w:r>
    </w:p>
    <w:p w:rsidR="00B91140" w:rsidRDefault="00EE1134">
      <w:pPr>
        <w:pStyle w:val="Heading3"/>
        <w:keepNext w:val="0"/>
        <w:keepLines/>
        <w:spacing w:before="0" w:after="240"/>
        <w:rPr>
          <w:rFonts w:ascii="Arial" w:eastAsia="Arial" w:hAnsi="Arial" w:cs="Arial"/>
          <w:b w:val="0"/>
          <w:sz w:val="22"/>
          <w:szCs w:val="22"/>
        </w:rPr>
      </w:pPr>
      <w:r>
        <w:rPr>
          <w:rFonts w:ascii="Arial" w:eastAsia="Arial" w:hAnsi="Arial" w:cs="Arial"/>
          <w:b w:val="0"/>
          <w:sz w:val="22"/>
          <w:szCs w:val="22"/>
        </w:rPr>
        <w:t xml:space="preserve">1.3.2 under the Order Contract until the termination or expiry of the Order Contract. </w:t>
      </w:r>
    </w:p>
    <w:p w:rsidR="00B91140" w:rsidRDefault="00EE1134">
      <w:pPr>
        <w:spacing w:after="136" w:line="259" w:lineRule="auto"/>
        <w:ind w:left="360"/>
        <w:rPr>
          <w:rFonts w:ascii="Arial" w:eastAsia="Arial" w:hAnsi="Arial" w:cs="Arial"/>
        </w:rPr>
      </w:pPr>
      <w:r>
        <w:t xml:space="preserve"> </w:t>
      </w:r>
    </w:p>
    <w:p w:rsidR="00B91140" w:rsidRDefault="00EE1134">
      <w:pPr>
        <w:pStyle w:val="Heading2"/>
        <w:keepLines/>
        <w:numPr>
          <w:ilvl w:val="1"/>
          <w:numId w:val="4"/>
        </w:numPr>
        <w:spacing w:before="0" w:after="240"/>
        <w:rPr>
          <w:rFonts w:ascii="Arial" w:eastAsia="Arial" w:hAnsi="Arial" w:cs="Arial"/>
          <w:i w:val="0"/>
          <w:sz w:val="22"/>
          <w:szCs w:val="22"/>
        </w:rPr>
      </w:pPr>
      <w:r>
        <w:rPr>
          <w:rFonts w:ascii="Arial" w:eastAsia="Arial" w:hAnsi="Arial" w:cs="Arial"/>
          <w:i w:val="0"/>
          <w:sz w:val="22"/>
          <w:szCs w:val="22"/>
        </w:rPr>
        <w:t>WARRANTIES AND DUTY TO NOTIFY</w:t>
      </w:r>
    </w:p>
    <w:p w:rsidR="00B91140" w:rsidRDefault="00EE1134">
      <w:pPr>
        <w:pStyle w:val="Heading3"/>
        <w:keepNext w:val="0"/>
        <w:keepLines/>
        <w:numPr>
          <w:ilvl w:val="2"/>
          <w:numId w:val="4"/>
        </w:numPr>
        <w:spacing w:before="0" w:after="240"/>
        <w:rPr>
          <w:rFonts w:ascii="Arial" w:eastAsia="Arial" w:hAnsi="Arial" w:cs="Arial"/>
          <w:b w:val="0"/>
          <w:sz w:val="22"/>
          <w:szCs w:val="22"/>
        </w:rPr>
      </w:pPr>
      <w:r>
        <w:rPr>
          <w:rFonts w:ascii="Arial" w:eastAsia="Arial" w:hAnsi="Arial" w:cs="Arial"/>
          <w:b w:val="0"/>
          <w:sz w:val="22"/>
          <w:szCs w:val="22"/>
        </w:rPr>
        <w:t>The Supplier warrants and represents to C</w:t>
      </w:r>
      <w:r>
        <w:rPr>
          <w:rFonts w:ascii="Arial" w:eastAsia="Arial" w:hAnsi="Arial" w:cs="Arial"/>
          <w:b w:val="0"/>
          <w:sz w:val="22"/>
          <w:szCs w:val="22"/>
        </w:rPr>
        <w:t>CS or</w:t>
      </w:r>
      <w:r>
        <w:rPr>
          <w:rFonts w:ascii="Arial" w:eastAsia="Arial" w:hAnsi="Arial" w:cs="Arial"/>
        </w:rPr>
        <w:t xml:space="preserve"> </w:t>
      </w:r>
      <w:r>
        <w:rPr>
          <w:rFonts w:ascii="Arial" w:eastAsia="Arial" w:hAnsi="Arial" w:cs="Arial"/>
          <w:b w:val="0"/>
          <w:sz w:val="22"/>
          <w:szCs w:val="22"/>
        </w:rPr>
        <w:t>the Buyer for the benefit of the Buyer that as at the Effective Date:</w:t>
      </w:r>
    </w:p>
    <w:p w:rsidR="00B91140" w:rsidRDefault="00EE1134">
      <w:pPr>
        <w:pStyle w:val="Heading4"/>
        <w:numPr>
          <w:ilvl w:val="3"/>
          <w:numId w:val="4"/>
        </w:numPr>
        <w:rPr>
          <w:rFonts w:ascii="Arial" w:eastAsia="Arial" w:hAnsi="Arial" w:cs="Arial"/>
        </w:rPr>
      </w:pPr>
      <w:r>
        <w:rPr>
          <w:rFonts w:ascii="Arial" w:eastAsia="Arial" w:hAnsi="Arial" w:cs="Arial"/>
        </w:rPr>
        <w:t>the long-term Primary Credit Ratings issued for each entity in the FDE Group by each of the Rating Agencies are as set out in Annex 3 of this Schedule; and</w:t>
      </w:r>
    </w:p>
    <w:p w:rsidR="00B91140" w:rsidRDefault="00EE1134">
      <w:pPr>
        <w:pStyle w:val="Heading4"/>
        <w:numPr>
          <w:ilvl w:val="3"/>
          <w:numId w:val="4"/>
        </w:numPr>
        <w:rPr>
          <w:rFonts w:ascii="Arial" w:eastAsia="Arial" w:hAnsi="Arial" w:cs="Arial"/>
        </w:rPr>
      </w:pPr>
      <w:r>
        <w:rPr>
          <w:rFonts w:ascii="Arial" w:eastAsia="Arial" w:hAnsi="Arial" w:cs="Arial"/>
        </w:rPr>
        <w:t>either:</w:t>
      </w:r>
    </w:p>
    <w:p w:rsidR="00B91140" w:rsidRDefault="00EE1134">
      <w:pPr>
        <w:pStyle w:val="Heading4"/>
        <w:numPr>
          <w:ilvl w:val="4"/>
          <w:numId w:val="13"/>
        </w:numPr>
        <w:spacing w:after="0"/>
        <w:ind w:hanging="707"/>
        <w:rPr>
          <w:rFonts w:ascii="Arial" w:eastAsia="Arial" w:hAnsi="Arial" w:cs="Arial"/>
        </w:rPr>
      </w:pPr>
      <w:r>
        <w:rPr>
          <w:rFonts w:ascii="Arial" w:eastAsia="Arial" w:hAnsi="Arial" w:cs="Arial"/>
        </w:rPr>
        <w:t>the financial po</w:t>
      </w:r>
      <w:r>
        <w:rPr>
          <w:rFonts w:ascii="Arial" w:eastAsia="Arial" w:hAnsi="Arial" w:cs="Arial"/>
        </w:rPr>
        <w:t xml:space="preserve">sition or, as appropriate, the financial performance of </w:t>
      </w:r>
    </w:p>
    <w:p w:rsidR="00B91140" w:rsidRDefault="00EE1134">
      <w:pPr>
        <w:ind w:left="2126" w:firstLine="10"/>
      </w:pPr>
      <w:r>
        <w:rPr>
          <w:rFonts w:ascii="Arial" w:eastAsia="Arial" w:hAnsi="Arial" w:cs="Arial"/>
        </w:rPr>
        <w:t xml:space="preserve">each of the Supplier, Guarantor, Supplier’s ultimate parent undertaking, Key Sub-contractors, and Key Subcontractors’ ultimate parent undertakings satisfies the Financial Target Thresholds, or </w:t>
      </w:r>
    </w:p>
    <w:p w:rsidR="00B91140" w:rsidRDefault="00EE1134">
      <w:pPr>
        <w:pStyle w:val="Heading4"/>
        <w:numPr>
          <w:ilvl w:val="4"/>
          <w:numId w:val="13"/>
        </w:numPr>
        <w:spacing w:after="0"/>
        <w:ind w:hanging="707"/>
        <w:rPr>
          <w:rFonts w:ascii="Arial" w:eastAsia="Arial" w:hAnsi="Arial" w:cs="Arial"/>
        </w:rPr>
      </w:pPr>
      <w:r>
        <w:rPr>
          <w:rFonts w:ascii="Arial" w:eastAsia="Arial" w:hAnsi="Arial" w:cs="Arial"/>
        </w:rPr>
        <w:t>the r</w:t>
      </w:r>
      <w:r>
        <w:rPr>
          <w:rFonts w:ascii="Arial" w:eastAsia="Arial" w:hAnsi="Arial" w:cs="Arial"/>
        </w:rPr>
        <w:t>elevant Appropriate Accepted Mitigations are in place.</w:t>
      </w:r>
    </w:p>
    <w:p w:rsidR="00B91140" w:rsidRDefault="00B91140"/>
    <w:p w:rsidR="00B91140" w:rsidRDefault="00EE1134">
      <w:pPr>
        <w:pStyle w:val="Heading3"/>
        <w:keepNext w:val="0"/>
        <w:keepLines/>
        <w:numPr>
          <w:ilvl w:val="2"/>
          <w:numId w:val="13"/>
        </w:numPr>
        <w:spacing w:before="0" w:after="240"/>
        <w:rPr>
          <w:rFonts w:ascii="Arial" w:eastAsia="Arial" w:hAnsi="Arial" w:cs="Arial"/>
          <w:b w:val="0"/>
          <w:sz w:val="22"/>
          <w:szCs w:val="22"/>
        </w:rPr>
      </w:pPr>
      <w:r>
        <w:rPr>
          <w:rFonts w:ascii="Arial" w:eastAsia="Arial" w:hAnsi="Arial" w:cs="Arial"/>
          <w:b w:val="0"/>
          <w:sz w:val="22"/>
          <w:szCs w:val="22"/>
        </w:rPr>
        <w:t>The Supplier shall promptly notify (or shall procure that its auditors promptly notify) CCS and</w:t>
      </w:r>
      <w:r>
        <w:rPr>
          <w:rFonts w:ascii="Arial" w:eastAsia="Arial" w:hAnsi="Arial" w:cs="Arial"/>
        </w:rPr>
        <w:t xml:space="preserve"> </w:t>
      </w:r>
      <w:r>
        <w:rPr>
          <w:rFonts w:ascii="Arial" w:eastAsia="Arial" w:hAnsi="Arial" w:cs="Arial"/>
          <w:b w:val="0"/>
          <w:sz w:val="22"/>
          <w:szCs w:val="22"/>
        </w:rPr>
        <w:t>the Buyer in writing if there is any downgrade in the credit rating issued by the Primary Credit Ratings</w:t>
      </w:r>
      <w:r>
        <w:rPr>
          <w:rFonts w:ascii="Arial" w:eastAsia="Arial" w:hAnsi="Arial" w:cs="Arial"/>
          <w:b w:val="0"/>
          <w:sz w:val="22"/>
          <w:szCs w:val="22"/>
        </w:rPr>
        <w:t xml:space="preserve"> Agency for any entity in the FDE Group, which results in the level of risk being assessed as high or greater than average (and in any event within 5 Working Days of the occurrence of the downgrade). The categorisation of credit ratings by risk level is de</w:t>
      </w:r>
      <w:r>
        <w:rPr>
          <w:rFonts w:ascii="Arial" w:eastAsia="Arial" w:hAnsi="Arial" w:cs="Arial"/>
          <w:b w:val="0"/>
          <w:sz w:val="22"/>
          <w:szCs w:val="22"/>
        </w:rPr>
        <w:t>fined in Annex 1.</w:t>
      </w:r>
    </w:p>
    <w:p w:rsidR="00B91140" w:rsidRDefault="00EE1134">
      <w:pPr>
        <w:pStyle w:val="Heading3"/>
        <w:keepNext w:val="0"/>
        <w:keepLines/>
        <w:numPr>
          <w:ilvl w:val="2"/>
          <w:numId w:val="13"/>
        </w:numPr>
        <w:spacing w:before="0" w:after="240"/>
        <w:rPr>
          <w:rFonts w:ascii="Arial" w:eastAsia="Arial" w:hAnsi="Arial" w:cs="Arial"/>
          <w:b w:val="0"/>
          <w:sz w:val="22"/>
          <w:szCs w:val="22"/>
        </w:rPr>
      </w:pPr>
      <w:bookmarkStart w:id="1" w:name="_heading=h.30j0zll" w:colFirst="0" w:colLast="0"/>
      <w:bookmarkEnd w:id="1"/>
      <w:r>
        <w:rPr>
          <w:rFonts w:ascii="Arial" w:eastAsia="Arial" w:hAnsi="Arial" w:cs="Arial"/>
          <w:b w:val="0"/>
          <w:sz w:val="22"/>
          <w:szCs w:val="22"/>
        </w:rPr>
        <w:t xml:space="preserve">The Supplier shall: </w:t>
      </w:r>
    </w:p>
    <w:p w:rsidR="00B91140" w:rsidRDefault="00EE1134">
      <w:pPr>
        <w:pStyle w:val="Heading4"/>
        <w:numPr>
          <w:ilvl w:val="3"/>
          <w:numId w:val="14"/>
        </w:numPr>
        <w:rPr>
          <w:rFonts w:ascii="Arial" w:eastAsia="Arial" w:hAnsi="Arial" w:cs="Arial"/>
        </w:rPr>
      </w:pPr>
      <w:bookmarkStart w:id="2" w:name="_heading=h.1fob9te" w:colFirst="0" w:colLast="0"/>
      <w:bookmarkEnd w:id="2"/>
      <w:r>
        <w:rPr>
          <w:rFonts w:ascii="Arial" w:eastAsia="Arial" w:hAnsi="Arial" w:cs="Arial"/>
        </w:rPr>
        <w:t>regularly monitor the credit ratings of each entity in the FDE Group with the Primary Credit Ratings Agency;</w:t>
      </w:r>
    </w:p>
    <w:p w:rsidR="00B91140" w:rsidRDefault="00EE1134">
      <w:pPr>
        <w:pStyle w:val="Heading4"/>
        <w:numPr>
          <w:ilvl w:val="3"/>
          <w:numId w:val="14"/>
        </w:numPr>
        <w:rPr>
          <w:rFonts w:ascii="Arial" w:eastAsia="Arial" w:hAnsi="Arial" w:cs="Arial"/>
        </w:rPr>
      </w:pPr>
      <w:r>
        <w:rPr>
          <w:rFonts w:ascii="Arial" w:eastAsia="Arial" w:hAnsi="Arial" w:cs="Arial"/>
        </w:rPr>
        <w:t>monitor and report on the Financial Indicators for each entity in the FDE Group against the Financial Target Thresholds at least quarterly from the effective date, and update the Financial Indicators when public information becomes available, and in any ev</w:t>
      </w:r>
      <w:r>
        <w:rPr>
          <w:rFonts w:ascii="Arial" w:eastAsia="Arial" w:hAnsi="Arial" w:cs="Arial"/>
        </w:rPr>
        <w:t xml:space="preserve">ent, no less than once a year within 285 days after the Accounting Reference Date; </w:t>
      </w:r>
    </w:p>
    <w:p w:rsidR="00B91140" w:rsidRDefault="00EE1134">
      <w:pPr>
        <w:pStyle w:val="Heading4"/>
        <w:numPr>
          <w:ilvl w:val="3"/>
          <w:numId w:val="14"/>
        </w:numPr>
        <w:rPr>
          <w:rFonts w:ascii="Arial" w:eastAsia="Arial" w:hAnsi="Arial" w:cs="Arial"/>
        </w:rPr>
      </w:pPr>
      <w:bookmarkStart w:id="3" w:name="_heading=h.3znysh7" w:colFirst="0" w:colLast="0"/>
      <w:bookmarkEnd w:id="3"/>
      <w:r>
        <w:rPr>
          <w:rFonts w:ascii="Arial" w:eastAsia="Arial" w:hAnsi="Arial" w:cs="Arial"/>
        </w:rPr>
        <w:t>provide regular updates to</w:t>
      </w:r>
      <w:r>
        <w:rPr>
          <w:rFonts w:ascii="Arial" w:eastAsia="Arial" w:hAnsi="Arial" w:cs="Arial"/>
          <w:b/>
        </w:rPr>
        <w:t xml:space="preserve"> </w:t>
      </w:r>
      <w:r>
        <w:rPr>
          <w:rFonts w:ascii="Arial" w:eastAsia="Arial" w:hAnsi="Arial" w:cs="Arial"/>
        </w:rPr>
        <w:t>CCS and the Buyer on, as a minimum, the Primary Credit Ratings for each entity in the FDE Group;</w:t>
      </w:r>
    </w:p>
    <w:p w:rsidR="00B91140" w:rsidRDefault="00EE1134">
      <w:pPr>
        <w:pStyle w:val="Heading4"/>
        <w:numPr>
          <w:ilvl w:val="3"/>
          <w:numId w:val="14"/>
        </w:numPr>
        <w:rPr>
          <w:rFonts w:ascii="Arial" w:eastAsia="Arial" w:hAnsi="Arial" w:cs="Arial"/>
        </w:rPr>
      </w:pPr>
      <w:bookmarkStart w:id="4" w:name="_heading=h.2et92p0" w:colFirst="0" w:colLast="0"/>
      <w:bookmarkEnd w:id="4"/>
      <w:r>
        <w:rPr>
          <w:rFonts w:ascii="Arial" w:eastAsia="Arial" w:hAnsi="Arial" w:cs="Arial"/>
        </w:rPr>
        <w:lastRenderedPageBreak/>
        <w:t>promptly notify (or shall procure that its auditors promptly notify) CCS and the Buyer in writing following the occurrence of a Financial Distress Event or any fact, circumstance or matter which could cause a Financial Distress Event (and in any event, ens</w:t>
      </w:r>
      <w:r>
        <w:rPr>
          <w:rFonts w:ascii="Arial" w:eastAsia="Arial" w:hAnsi="Arial" w:cs="Arial"/>
        </w:rPr>
        <w:t xml:space="preserve">ure that such notification is made within 10 Working Days of the date on which the Supplier first becomes aware of the Financial Distress Event or the fact, circumstance or matter which could cause a Financial Distress Event).; and </w:t>
      </w:r>
    </w:p>
    <w:p w:rsidR="00B91140" w:rsidRDefault="00EE1134">
      <w:pPr>
        <w:pStyle w:val="Heading4"/>
        <w:numPr>
          <w:ilvl w:val="3"/>
          <w:numId w:val="14"/>
        </w:numPr>
        <w:rPr>
          <w:rFonts w:ascii="Arial" w:eastAsia="Arial" w:hAnsi="Arial" w:cs="Arial"/>
        </w:rPr>
      </w:pPr>
      <w:r>
        <w:rPr>
          <w:rFonts w:ascii="Arial" w:eastAsia="Arial" w:hAnsi="Arial" w:cs="Arial"/>
        </w:rPr>
        <w:t>ensure when complying w</w:t>
      </w:r>
      <w:r>
        <w:rPr>
          <w:rFonts w:ascii="Arial" w:eastAsia="Arial" w:hAnsi="Arial" w:cs="Arial"/>
        </w:rPr>
        <w:t xml:space="preserve">ith this Paragraph 2.3 that it complies with the law of England and Wales, including all market regulations and local law that applies to England and Wales.        </w:t>
      </w:r>
    </w:p>
    <w:p w:rsidR="00B91140" w:rsidRDefault="00EE1134">
      <w:pPr>
        <w:pStyle w:val="Heading3"/>
        <w:keepNext w:val="0"/>
        <w:keepLines/>
        <w:numPr>
          <w:ilvl w:val="2"/>
          <w:numId w:val="14"/>
        </w:numPr>
        <w:spacing w:before="0" w:after="240"/>
        <w:rPr>
          <w:rFonts w:ascii="Arial" w:eastAsia="Arial" w:hAnsi="Arial" w:cs="Arial"/>
          <w:b w:val="0"/>
          <w:sz w:val="22"/>
          <w:szCs w:val="22"/>
        </w:rPr>
      </w:pPr>
      <w:r>
        <w:rPr>
          <w:rFonts w:ascii="Arial" w:eastAsia="Arial" w:hAnsi="Arial" w:cs="Arial"/>
          <w:b w:val="0"/>
          <w:sz w:val="22"/>
          <w:szCs w:val="22"/>
        </w:rPr>
        <w:t>For the purposes of determining whether a Financial Distress Event has occurred pursuant to</w:t>
      </w:r>
      <w:r>
        <w:rPr>
          <w:rFonts w:ascii="Arial" w:eastAsia="Arial" w:hAnsi="Arial" w:cs="Arial"/>
          <w:b w:val="0"/>
          <w:sz w:val="22"/>
          <w:szCs w:val="22"/>
        </w:rPr>
        <w:t xml:space="preserve"> the provisions of Paragraphs 3.1(a), the credit rating of an FDE Group entity shall be deemed to have dropped below the applicable Credit Rating Threshold if:</w:t>
      </w:r>
    </w:p>
    <w:p w:rsidR="00B91140" w:rsidRDefault="00EE1134">
      <w:pPr>
        <w:pStyle w:val="Heading4"/>
        <w:numPr>
          <w:ilvl w:val="3"/>
          <w:numId w:val="14"/>
        </w:numPr>
        <w:rPr>
          <w:rFonts w:ascii="Arial" w:eastAsia="Arial" w:hAnsi="Arial" w:cs="Arial"/>
        </w:rPr>
      </w:pPr>
      <w:r>
        <w:rPr>
          <w:rFonts w:ascii="Arial" w:eastAsia="Arial" w:hAnsi="Arial" w:cs="Arial"/>
        </w:rPr>
        <w:t>any of the Rating Agencies have given a Credit Rating Level for that entity which is below the a</w:t>
      </w:r>
      <w:r>
        <w:rPr>
          <w:rFonts w:ascii="Arial" w:eastAsia="Arial" w:hAnsi="Arial" w:cs="Arial"/>
        </w:rPr>
        <w:t>pplicable Credit Rating Threshold; or</w:t>
      </w:r>
    </w:p>
    <w:p w:rsidR="00B91140" w:rsidRDefault="00EE1134">
      <w:pPr>
        <w:pStyle w:val="Heading4"/>
        <w:numPr>
          <w:ilvl w:val="3"/>
          <w:numId w:val="14"/>
        </w:numPr>
        <w:rPr>
          <w:rFonts w:ascii="Arial" w:eastAsia="Arial" w:hAnsi="Arial" w:cs="Arial"/>
        </w:rPr>
      </w:pPr>
      <w:r>
        <w:rPr>
          <w:rFonts w:ascii="Arial" w:eastAsia="Arial" w:hAnsi="Arial" w:cs="Arial"/>
        </w:rPr>
        <w:t>a Rating Agency that is specified as holding a Credit Rating Level for an entity as set out at Annex 3 of this Schedule ceases to hold or is unable to provide a Credit Rating Level for that entity, and the Supplier fai</w:t>
      </w:r>
      <w:r>
        <w:rPr>
          <w:rFonts w:ascii="Arial" w:eastAsia="Arial" w:hAnsi="Arial" w:cs="Arial"/>
        </w:rPr>
        <w:t>ls to provide an acceptable explanation to the Buyer.</w:t>
      </w:r>
    </w:p>
    <w:p w:rsidR="00B91140" w:rsidRDefault="00EE1134">
      <w:pPr>
        <w:pStyle w:val="Heading3"/>
        <w:keepNext w:val="0"/>
        <w:keepLines/>
        <w:numPr>
          <w:ilvl w:val="2"/>
          <w:numId w:val="14"/>
        </w:numPr>
        <w:spacing w:before="0" w:after="240"/>
        <w:rPr>
          <w:rFonts w:ascii="Arial" w:eastAsia="Arial" w:hAnsi="Arial" w:cs="Arial"/>
          <w:b w:val="0"/>
          <w:sz w:val="22"/>
          <w:szCs w:val="22"/>
        </w:rPr>
      </w:pPr>
      <w:r>
        <w:rPr>
          <w:rFonts w:ascii="Arial" w:eastAsia="Arial" w:hAnsi="Arial" w:cs="Arial"/>
          <w:b w:val="0"/>
          <w:sz w:val="22"/>
          <w:szCs w:val="22"/>
        </w:rPr>
        <w:t>Each report submitted by the Supplier pursuant to Paragraph 2.3(b) shall:</w:t>
      </w:r>
    </w:p>
    <w:p w:rsidR="00B91140" w:rsidRDefault="00EE1134">
      <w:pPr>
        <w:pStyle w:val="Heading4"/>
        <w:numPr>
          <w:ilvl w:val="3"/>
          <w:numId w:val="14"/>
        </w:numPr>
        <w:rPr>
          <w:rFonts w:ascii="Arial" w:eastAsia="Arial" w:hAnsi="Arial" w:cs="Arial"/>
        </w:rPr>
      </w:pPr>
      <w:r>
        <w:rPr>
          <w:rFonts w:ascii="Arial" w:eastAsia="Arial" w:hAnsi="Arial" w:cs="Arial"/>
        </w:rPr>
        <w:t>be a single report with separate sections for each of the FDE Group entities;</w:t>
      </w:r>
    </w:p>
    <w:p w:rsidR="00B91140" w:rsidRDefault="00EE1134">
      <w:pPr>
        <w:pStyle w:val="Heading4"/>
        <w:numPr>
          <w:ilvl w:val="3"/>
          <w:numId w:val="14"/>
        </w:numPr>
        <w:rPr>
          <w:rFonts w:ascii="Arial" w:eastAsia="Arial" w:hAnsi="Arial" w:cs="Arial"/>
        </w:rPr>
      </w:pPr>
      <w:r>
        <w:rPr>
          <w:rFonts w:ascii="Arial" w:eastAsia="Arial" w:hAnsi="Arial" w:cs="Arial"/>
        </w:rPr>
        <w:t>contain a sufficient level of information to reaso</w:t>
      </w:r>
      <w:r>
        <w:rPr>
          <w:rFonts w:ascii="Arial" w:eastAsia="Arial" w:hAnsi="Arial" w:cs="Arial"/>
        </w:rPr>
        <w:t>nably enable the Buyer to verify the calculations that have been made in respect of the Financial Indicators;</w:t>
      </w:r>
    </w:p>
    <w:p w:rsidR="00B91140" w:rsidRDefault="00EE1134">
      <w:pPr>
        <w:pStyle w:val="Heading4"/>
        <w:numPr>
          <w:ilvl w:val="3"/>
          <w:numId w:val="14"/>
        </w:numPr>
        <w:rPr>
          <w:rFonts w:ascii="Arial" w:eastAsia="Arial" w:hAnsi="Arial" w:cs="Arial"/>
        </w:rPr>
      </w:pPr>
      <w:r>
        <w:rPr>
          <w:rFonts w:ascii="Arial" w:eastAsia="Arial" w:hAnsi="Arial" w:cs="Arial"/>
        </w:rPr>
        <w:t>include key financial, explanatory narrative, and other supporting information (including any accounts data that has been relied on) as separate a</w:t>
      </w:r>
      <w:r>
        <w:rPr>
          <w:rFonts w:ascii="Arial" w:eastAsia="Arial" w:hAnsi="Arial" w:cs="Arial"/>
        </w:rPr>
        <w:t>nnexes;</w:t>
      </w:r>
    </w:p>
    <w:p w:rsidR="00B91140" w:rsidRDefault="00EE1134">
      <w:pPr>
        <w:pStyle w:val="Heading4"/>
        <w:numPr>
          <w:ilvl w:val="3"/>
          <w:numId w:val="14"/>
        </w:numPr>
        <w:rPr>
          <w:rFonts w:ascii="Arial" w:eastAsia="Arial" w:hAnsi="Arial" w:cs="Arial"/>
        </w:rPr>
      </w:pPr>
      <w:r>
        <w:rPr>
          <w:rFonts w:ascii="Arial" w:eastAsia="Arial" w:hAnsi="Arial" w:cs="Arial"/>
        </w:rPr>
        <w:t>be based on the audited accounts or any other publicised financial information for the date or period on which the Financial Indicator is based or, where the Financial Indicator is not linked to an accounting period or an accounting reference date,</w:t>
      </w:r>
      <w:r>
        <w:rPr>
          <w:rFonts w:ascii="Arial" w:eastAsia="Arial" w:hAnsi="Arial" w:cs="Arial"/>
        </w:rPr>
        <w:t xml:space="preserve"> on unaudited management accounts prepared in accordance with their normal timetable; and</w:t>
      </w:r>
    </w:p>
    <w:p w:rsidR="00B91140" w:rsidRDefault="00EE1134">
      <w:pPr>
        <w:pStyle w:val="Heading4"/>
        <w:numPr>
          <w:ilvl w:val="3"/>
          <w:numId w:val="14"/>
        </w:numPr>
        <w:rPr>
          <w:rFonts w:ascii="Arial" w:eastAsia="Arial" w:hAnsi="Arial" w:cs="Arial"/>
        </w:rPr>
      </w:pPr>
      <w:r>
        <w:rPr>
          <w:rFonts w:ascii="Arial" w:eastAsia="Arial" w:hAnsi="Arial" w:cs="Arial"/>
        </w:rPr>
        <w:t>include a history of the Financial Indicators reported by the Supplier in graph form to enable the Buyer to easily analyse and assess the trends in financial performa</w:t>
      </w:r>
      <w:r>
        <w:rPr>
          <w:rFonts w:ascii="Arial" w:eastAsia="Arial" w:hAnsi="Arial" w:cs="Arial"/>
        </w:rPr>
        <w:t>nce</w:t>
      </w:r>
      <w:r>
        <w:rPr>
          <w:rFonts w:ascii="Arial" w:eastAsia="Arial" w:hAnsi="Arial" w:cs="Arial"/>
        </w:rPr>
        <w:br/>
        <w:t>.</w:t>
      </w:r>
    </w:p>
    <w:p w:rsidR="00B91140" w:rsidRDefault="00EE1134">
      <w:pPr>
        <w:pStyle w:val="Heading2"/>
        <w:keepLines/>
        <w:numPr>
          <w:ilvl w:val="1"/>
          <w:numId w:val="14"/>
        </w:numPr>
        <w:spacing w:before="0" w:after="240"/>
        <w:rPr>
          <w:rFonts w:ascii="Arial" w:eastAsia="Arial" w:hAnsi="Arial" w:cs="Arial"/>
          <w:i w:val="0"/>
          <w:sz w:val="22"/>
          <w:szCs w:val="22"/>
        </w:rPr>
      </w:pPr>
      <w:bookmarkStart w:id="5" w:name="_heading=h.tyjcwt" w:colFirst="0" w:colLast="0"/>
      <w:bookmarkEnd w:id="5"/>
      <w:r>
        <w:rPr>
          <w:rFonts w:ascii="Arial" w:eastAsia="Arial" w:hAnsi="Arial" w:cs="Arial"/>
          <w:i w:val="0"/>
          <w:sz w:val="22"/>
          <w:szCs w:val="22"/>
        </w:rPr>
        <w:lastRenderedPageBreak/>
        <w:t>FINANCIAL DISTRESS EVENTS AND APPROPRIATE ACCEPTED MITIGATIONS</w:t>
      </w:r>
    </w:p>
    <w:p w:rsidR="00B91140" w:rsidRDefault="00EE1134">
      <w:pPr>
        <w:pStyle w:val="Heading3"/>
        <w:keepNext w:val="0"/>
        <w:keepLines/>
        <w:numPr>
          <w:ilvl w:val="2"/>
          <w:numId w:val="7"/>
        </w:numPr>
        <w:spacing w:before="0" w:after="240"/>
        <w:rPr>
          <w:rFonts w:ascii="Arial" w:eastAsia="Arial" w:hAnsi="Arial" w:cs="Arial"/>
          <w:b w:val="0"/>
          <w:sz w:val="22"/>
          <w:szCs w:val="22"/>
        </w:rPr>
      </w:pPr>
      <w:bookmarkStart w:id="6" w:name="_heading=h.3dy6vkm" w:colFirst="0" w:colLast="0"/>
      <w:bookmarkEnd w:id="6"/>
      <w:r>
        <w:rPr>
          <w:rFonts w:ascii="Arial" w:eastAsia="Arial" w:hAnsi="Arial" w:cs="Arial"/>
          <w:b w:val="0"/>
          <w:sz w:val="22"/>
          <w:szCs w:val="22"/>
        </w:rPr>
        <w:t>The following shall be Financial Distress Events, unless an Appropriate Accepted Mitigation is in place:</w:t>
      </w:r>
    </w:p>
    <w:p w:rsidR="00B91140" w:rsidRDefault="00EE1134">
      <w:pPr>
        <w:pStyle w:val="Heading4"/>
        <w:numPr>
          <w:ilvl w:val="3"/>
          <w:numId w:val="12"/>
        </w:numPr>
        <w:rPr>
          <w:rFonts w:ascii="Arial" w:eastAsia="Arial" w:hAnsi="Arial" w:cs="Arial"/>
        </w:rPr>
      </w:pPr>
      <w:r>
        <w:rPr>
          <w:rFonts w:ascii="Arial" w:eastAsia="Arial" w:hAnsi="Arial" w:cs="Arial"/>
        </w:rPr>
        <w:t>the credit rating of an FDE Group entity dropping below the applicable Credit Rati</w:t>
      </w:r>
      <w:r>
        <w:rPr>
          <w:rFonts w:ascii="Arial" w:eastAsia="Arial" w:hAnsi="Arial" w:cs="Arial"/>
        </w:rPr>
        <w:t>ng Threshold;</w:t>
      </w:r>
    </w:p>
    <w:p w:rsidR="00B91140" w:rsidRDefault="00EE1134">
      <w:pPr>
        <w:pStyle w:val="Heading4"/>
        <w:numPr>
          <w:ilvl w:val="3"/>
          <w:numId w:val="12"/>
        </w:numPr>
        <w:rPr>
          <w:rFonts w:ascii="Arial" w:eastAsia="Arial" w:hAnsi="Arial" w:cs="Arial"/>
        </w:rPr>
      </w:pPr>
      <w:r>
        <w:rPr>
          <w:rFonts w:ascii="Arial" w:eastAsia="Arial" w:hAnsi="Arial" w:cs="Arial"/>
        </w:rPr>
        <w:t>an FDE Group entity issuing a profits warning to a stock exchange or making any other public announcement, in each case about a material deterioration in its financial position or prospects;</w:t>
      </w:r>
    </w:p>
    <w:p w:rsidR="00B91140" w:rsidRDefault="00EE1134">
      <w:pPr>
        <w:pStyle w:val="Heading4"/>
        <w:numPr>
          <w:ilvl w:val="3"/>
          <w:numId w:val="12"/>
        </w:numPr>
        <w:rPr>
          <w:rFonts w:ascii="Arial" w:eastAsia="Arial" w:hAnsi="Arial" w:cs="Arial"/>
        </w:rPr>
      </w:pPr>
      <w:r>
        <w:rPr>
          <w:rFonts w:ascii="Arial" w:eastAsia="Arial" w:hAnsi="Arial" w:cs="Arial"/>
        </w:rPr>
        <w:t>there being a public investigation into improper fi</w:t>
      </w:r>
      <w:r>
        <w:rPr>
          <w:rFonts w:ascii="Arial" w:eastAsia="Arial" w:hAnsi="Arial" w:cs="Arial"/>
        </w:rPr>
        <w:t xml:space="preserve">nancial accounting and reporting, suspected fraud or any other impropriety of an FDE Group entity; </w:t>
      </w:r>
    </w:p>
    <w:p w:rsidR="00B91140" w:rsidRDefault="00EE1134">
      <w:pPr>
        <w:pStyle w:val="Heading4"/>
        <w:numPr>
          <w:ilvl w:val="3"/>
          <w:numId w:val="12"/>
        </w:numPr>
        <w:rPr>
          <w:rFonts w:ascii="Arial" w:eastAsia="Arial" w:hAnsi="Arial" w:cs="Arial"/>
        </w:rPr>
      </w:pPr>
      <w:r>
        <w:rPr>
          <w:rFonts w:ascii="Arial" w:eastAsia="Arial" w:hAnsi="Arial" w:cs="Arial"/>
        </w:rPr>
        <w:t xml:space="preserve">an FDE Group entity committing a material breach of covenant to its lenders; </w:t>
      </w:r>
    </w:p>
    <w:p w:rsidR="00B91140" w:rsidRDefault="00EE1134">
      <w:pPr>
        <w:pStyle w:val="Heading4"/>
        <w:numPr>
          <w:ilvl w:val="3"/>
          <w:numId w:val="12"/>
        </w:numPr>
        <w:rPr>
          <w:rFonts w:ascii="Arial" w:eastAsia="Arial" w:hAnsi="Arial" w:cs="Arial"/>
        </w:rPr>
      </w:pPr>
      <w:bookmarkStart w:id="7" w:name="_heading=h.1t3h5sf" w:colFirst="0" w:colLast="0"/>
      <w:bookmarkEnd w:id="7"/>
      <w:r>
        <w:rPr>
          <w:rFonts w:ascii="Arial" w:eastAsia="Arial" w:hAnsi="Arial" w:cs="Arial"/>
        </w:rPr>
        <w:t>a Key Sub-contractor notifying CCS or the Buyer that the Supplier has not sati</w:t>
      </w:r>
      <w:r>
        <w:rPr>
          <w:rFonts w:ascii="Arial" w:eastAsia="Arial" w:hAnsi="Arial" w:cs="Arial"/>
        </w:rPr>
        <w:t xml:space="preserve">sfied any material sums properly due under a specified invoice and not subject to a genuine dispute; </w:t>
      </w:r>
    </w:p>
    <w:p w:rsidR="00B91140" w:rsidRDefault="00EE1134">
      <w:pPr>
        <w:pStyle w:val="Heading4"/>
        <w:numPr>
          <w:ilvl w:val="3"/>
          <w:numId w:val="12"/>
        </w:numPr>
        <w:rPr>
          <w:rFonts w:ascii="Arial" w:eastAsia="Arial" w:hAnsi="Arial" w:cs="Arial"/>
        </w:rPr>
      </w:pPr>
      <w:r>
        <w:rPr>
          <w:rFonts w:ascii="Arial" w:eastAsia="Arial" w:hAnsi="Arial" w:cs="Arial"/>
        </w:rPr>
        <w:t>any FDE Group entity extends the filing period for filing its accounts with the Registrar of Companies so that the filing period ends more than 9 months a</w:t>
      </w:r>
      <w:r>
        <w:rPr>
          <w:rFonts w:ascii="Arial" w:eastAsia="Arial" w:hAnsi="Arial" w:cs="Arial"/>
        </w:rPr>
        <w:t xml:space="preserve">fter its accounting reference date without an explanation to CCS or the Buyer which CCS or the Buyer (acting reasonably) consider to be adequate; </w:t>
      </w:r>
    </w:p>
    <w:p w:rsidR="00B91140" w:rsidRDefault="00EE1134">
      <w:pPr>
        <w:pStyle w:val="Heading4"/>
        <w:numPr>
          <w:ilvl w:val="3"/>
          <w:numId w:val="12"/>
        </w:numPr>
        <w:rPr>
          <w:rFonts w:ascii="Arial" w:eastAsia="Arial" w:hAnsi="Arial" w:cs="Arial"/>
        </w:rPr>
      </w:pPr>
      <w:r>
        <w:rPr>
          <w:rFonts w:ascii="Arial" w:eastAsia="Arial" w:hAnsi="Arial" w:cs="Arial"/>
        </w:rPr>
        <w:t>any FDE Group entity is late to file its annual accounts without a public notification or an explanation to C</w:t>
      </w:r>
      <w:r>
        <w:rPr>
          <w:rFonts w:ascii="Arial" w:eastAsia="Arial" w:hAnsi="Arial" w:cs="Arial"/>
        </w:rPr>
        <w:t xml:space="preserve">CS or the Buyer which CCS or the Buyer acting reasonably considers to be adequate; </w:t>
      </w:r>
    </w:p>
    <w:p w:rsidR="00B91140" w:rsidRDefault="00EE1134">
      <w:pPr>
        <w:pStyle w:val="Heading4"/>
        <w:numPr>
          <w:ilvl w:val="3"/>
          <w:numId w:val="12"/>
        </w:numPr>
        <w:rPr>
          <w:rFonts w:ascii="Arial" w:eastAsia="Arial" w:hAnsi="Arial" w:cs="Arial"/>
        </w:rPr>
      </w:pPr>
      <w:r>
        <w:rPr>
          <w:rFonts w:ascii="Arial" w:eastAsia="Arial" w:hAnsi="Arial" w:cs="Arial"/>
        </w:rPr>
        <w:t>the directors and/or external auditors of any FDE Group entity conclude that a material uncertainty exists in relation to that FDE Group entity’s going concern in the annua</w:t>
      </w:r>
      <w:r>
        <w:rPr>
          <w:rFonts w:ascii="Arial" w:eastAsia="Arial" w:hAnsi="Arial" w:cs="Arial"/>
        </w:rPr>
        <w:t>l report including a reasonable but plausible downside scenario. This includes, but is not limited to, commentary about liquidity and trading prospects in the reports from directors or external auditors;</w:t>
      </w:r>
    </w:p>
    <w:p w:rsidR="00B91140" w:rsidRDefault="00EE1134">
      <w:pPr>
        <w:pStyle w:val="Heading4"/>
        <w:numPr>
          <w:ilvl w:val="3"/>
          <w:numId w:val="12"/>
        </w:numPr>
        <w:rPr>
          <w:rFonts w:ascii="Arial" w:eastAsia="Arial" w:hAnsi="Arial" w:cs="Arial"/>
        </w:rPr>
      </w:pPr>
      <w:r>
        <w:rPr>
          <w:rFonts w:ascii="Arial" w:eastAsia="Arial" w:hAnsi="Arial" w:cs="Arial"/>
        </w:rPr>
        <w:t>any of the following:</w:t>
      </w:r>
    </w:p>
    <w:p w:rsidR="00B91140" w:rsidRDefault="00EE1134">
      <w:pPr>
        <w:numPr>
          <w:ilvl w:val="4"/>
          <w:numId w:val="7"/>
        </w:numPr>
        <w:pBdr>
          <w:top w:val="nil"/>
          <w:left w:val="nil"/>
          <w:bottom w:val="nil"/>
          <w:right w:val="nil"/>
          <w:between w:val="nil"/>
        </w:pBdr>
        <w:ind w:hanging="707"/>
        <w:rPr>
          <w:rFonts w:ascii="Arial" w:eastAsia="Arial" w:hAnsi="Arial" w:cs="Arial"/>
          <w:color w:val="000000"/>
        </w:rPr>
      </w:pPr>
      <w:r>
        <w:rPr>
          <w:rFonts w:ascii="Arial" w:eastAsia="Arial" w:hAnsi="Arial" w:cs="Arial"/>
          <w:color w:val="000000"/>
        </w:rPr>
        <w:t>any FDE Group entity makes a public announcement which contains adverse commentary with regards to that FDE Group entity’s liquidity and trading and trading prospects, such as but not limited to, a profit warning or ability to trade as a going concern;</w:t>
      </w:r>
    </w:p>
    <w:p w:rsidR="00B91140" w:rsidRDefault="00EE1134">
      <w:pPr>
        <w:pStyle w:val="Heading5"/>
        <w:numPr>
          <w:ilvl w:val="4"/>
          <w:numId w:val="7"/>
        </w:numPr>
        <w:ind w:hanging="707"/>
        <w:rPr>
          <w:rFonts w:ascii="Arial" w:eastAsia="Arial" w:hAnsi="Arial" w:cs="Arial"/>
        </w:rPr>
      </w:pPr>
      <w:r>
        <w:rPr>
          <w:rFonts w:ascii="Arial" w:eastAsia="Arial" w:hAnsi="Arial" w:cs="Arial"/>
        </w:rPr>
        <w:t xml:space="preserve">commencement of any litigation against an FDE Group entity with respect to financial indebtedness greater than £5m or obligations under a service contract with a total contract value greater than £5m; </w:t>
      </w:r>
    </w:p>
    <w:p w:rsidR="00B91140" w:rsidRDefault="00EE1134">
      <w:pPr>
        <w:pStyle w:val="Heading5"/>
        <w:numPr>
          <w:ilvl w:val="4"/>
          <w:numId w:val="7"/>
        </w:numPr>
        <w:ind w:hanging="707"/>
        <w:rPr>
          <w:rFonts w:ascii="Arial" w:eastAsia="Arial" w:hAnsi="Arial" w:cs="Arial"/>
        </w:rPr>
      </w:pPr>
      <w:r>
        <w:rPr>
          <w:rFonts w:ascii="Arial" w:eastAsia="Arial" w:hAnsi="Arial" w:cs="Arial"/>
        </w:rPr>
        <w:t>non-payment by an FDE Group entity of any financial in</w:t>
      </w:r>
      <w:r>
        <w:rPr>
          <w:rFonts w:ascii="Arial" w:eastAsia="Arial" w:hAnsi="Arial" w:cs="Arial"/>
        </w:rPr>
        <w:t>debtedness;</w:t>
      </w:r>
    </w:p>
    <w:p w:rsidR="00B91140" w:rsidRDefault="00EE1134">
      <w:pPr>
        <w:pStyle w:val="Heading5"/>
        <w:numPr>
          <w:ilvl w:val="4"/>
          <w:numId w:val="7"/>
        </w:numPr>
        <w:ind w:hanging="707"/>
        <w:rPr>
          <w:rFonts w:ascii="Arial" w:eastAsia="Arial" w:hAnsi="Arial" w:cs="Arial"/>
        </w:rPr>
      </w:pPr>
      <w:r>
        <w:rPr>
          <w:rFonts w:ascii="Arial" w:eastAsia="Arial" w:hAnsi="Arial" w:cs="Arial"/>
        </w:rPr>
        <w:lastRenderedPageBreak/>
        <w:t>any financial indebtedness of an FDE Group entity becoming due as a result of an event of default;</w:t>
      </w:r>
    </w:p>
    <w:p w:rsidR="00B91140" w:rsidRDefault="00EE1134">
      <w:pPr>
        <w:pStyle w:val="Heading5"/>
        <w:numPr>
          <w:ilvl w:val="4"/>
          <w:numId w:val="7"/>
        </w:numPr>
        <w:ind w:hanging="707"/>
        <w:rPr>
          <w:rFonts w:ascii="Arial" w:eastAsia="Arial" w:hAnsi="Arial" w:cs="Arial"/>
        </w:rPr>
      </w:pPr>
      <w:r>
        <w:rPr>
          <w:rFonts w:ascii="Arial" w:eastAsia="Arial" w:hAnsi="Arial" w:cs="Arial"/>
        </w:rPr>
        <w:t>the cancellation or suspension of any financial indebtedness in respect of an FDE Group entity; or</w:t>
      </w:r>
    </w:p>
    <w:p w:rsidR="00B91140" w:rsidRDefault="00EE1134">
      <w:pPr>
        <w:pStyle w:val="Heading5"/>
        <w:numPr>
          <w:ilvl w:val="4"/>
          <w:numId w:val="7"/>
        </w:numPr>
        <w:ind w:hanging="707"/>
        <w:rPr>
          <w:rFonts w:ascii="Arial" w:eastAsia="Arial" w:hAnsi="Arial" w:cs="Arial"/>
        </w:rPr>
      </w:pPr>
      <w:r>
        <w:rPr>
          <w:rFonts w:ascii="Arial" w:eastAsia="Arial" w:hAnsi="Arial" w:cs="Arial"/>
        </w:rPr>
        <w:t>the external auditor of an FDE Group entity ex</w:t>
      </w:r>
      <w:r>
        <w:rPr>
          <w:rFonts w:ascii="Arial" w:eastAsia="Arial" w:hAnsi="Arial" w:cs="Arial"/>
        </w:rPr>
        <w:t>pressing a qualified opinion on, or including an emphasis of matter in, its opinion on the statutory accounts of that FDE entity,</w:t>
      </w:r>
    </w:p>
    <w:p w:rsidR="00B91140" w:rsidRDefault="00EE1134">
      <w:pPr>
        <w:ind w:left="1417"/>
        <w:rPr>
          <w:rFonts w:ascii="Arial" w:eastAsia="Arial" w:hAnsi="Arial" w:cs="Arial"/>
        </w:rPr>
      </w:pPr>
      <w:r>
        <w:rPr>
          <w:rFonts w:ascii="Arial" w:eastAsia="Arial" w:hAnsi="Arial" w:cs="Arial"/>
        </w:rPr>
        <w:t>in each case which CCS or the Buyer reasonably believes (or would be likely reasonably to believe) could directly impact on th</w:t>
      </w:r>
      <w:r>
        <w:rPr>
          <w:rFonts w:ascii="Arial" w:eastAsia="Arial" w:hAnsi="Arial" w:cs="Arial"/>
        </w:rPr>
        <w:t>e continued performance and delivery of the Deliverables in accordance with this Contract;</w:t>
      </w:r>
    </w:p>
    <w:p w:rsidR="00B91140" w:rsidRDefault="00EE1134">
      <w:pPr>
        <w:pStyle w:val="Heading4"/>
        <w:numPr>
          <w:ilvl w:val="3"/>
          <w:numId w:val="12"/>
        </w:numPr>
        <w:rPr>
          <w:rFonts w:ascii="Arial" w:eastAsia="Arial" w:hAnsi="Arial" w:cs="Arial"/>
        </w:rPr>
      </w:pPr>
      <w:bookmarkStart w:id="8" w:name="_heading=h.4d34og8" w:colFirst="0" w:colLast="0"/>
      <w:bookmarkEnd w:id="8"/>
      <w:r>
        <w:rPr>
          <w:rFonts w:ascii="Arial" w:eastAsia="Arial" w:hAnsi="Arial" w:cs="Arial"/>
        </w:rPr>
        <w:t>any one of the Financial Indicators set out at Paragraph 5 for any of the FDE Group entities failing to meet the required Financial Target Threshold; or</w:t>
      </w:r>
    </w:p>
    <w:p w:rsidR="00B91140" w:rsidRDefault="00EE1134">
      <w:pPr>
        <w:pStyle w:val="Heading4"/>
        <w:numPr>
          <w:ilvl w:val="3"/>
          <w:numId w:val="12"/>
        </w:numPr>
        <w:rPr>
          <w:rFonts w:ascii="Arial" w:eastAsia="Arial" w:hAnsi="Arial" w:cs="Arial"/>
        </w:rPr>
      </w:pPr>
      <w:r>
        <w:rPr>
          <w:rFonts w:ascii="Arial" w:eastAsia="Arial" w:hAnsi="Arial" w:cs="Arial"/>
        </w:rPr>
        <w:t>if a previou</w:t>
      </w:r>
      <w:r>
        <w:rPr>
          <w:rFonts w:ascii="Arial" w:eastAsia="Arial" w:hAnsi="Arial" w:cs="Arial"/>
        </w:rPr>
        <w:t xml:space="preserve">sly Appropriate Accepted Mitigation is no longer available for a particular FDE or is no longer sufficient to constitute an Appropriate Accepted Mitigation. </w:t>
      </w:r>
    </w:p>
    <w:p w:rsidR="00B91140" w:rsidRDefault="00EE1134">
      <w:pPr>
        <w:pStyle w:val="Heading3"/>
        <w:keepNext w:val="0"/>
        <w:keepLines/>
        <w:numPr>
          <w:ilvl w:val="2"/>
          <w:numId w:val="7"/>
        </w:numPr>
        <w:spacing w:before="0" w:after="240"/>
        <w:rPr>
          <w:rFonts w:ascii="Arial" w:eastAsia="Arial" w:hAnsi="Arial" w:cs="Arial"/>
          <w:b w:val="0"/>
          <w:sz w:val="22"/>
          <w:szCs w:val="22"/>
        </w:rPr>
      </w:pPr>
      <w:r>
        <w:rPr>
          <w:rFonts w:ascii="Arial" w:eastAsia="Arial" w:hAnsi="Arial" w:cs="Arial"/>
          <w:b w:val="0"/>
          <w:sz w:val="22"/>
          <w:szCs w:val="22"/>
        </w:rPr>
        <w:t>On the occurrence of an FDE pursuant to Paragraph 3.1(a) to (k):</w:t>
      </w:r>
    </w:p>
    <w:p w:rsidR="00B91140" w:rsidRDefault="00EE1134">
      <w:pPr>
        <w:pStyle w:val="Heading4"/>
        <w:numPr>
          <w:ilvl w:val="3"/>
          <w:numId w:val="1"/>
        </w:numPr>
        <w:rPr>
          <w:rFonts w:ascii="Arial" w:eastAsia="Arial" w:hAnsi="Arial" w:cs="Arial"/>
        </w:rPr>
      </w:pPr>
      <w:r>
        <w:rPr>
          <w:rFonts w:ascii="Arial" w:eastAsia="Arial" w:hAnsi="Arial" w:cs="Arial"/>
        </w:rPr>
        <w:t>the Supplier shall:</w:t>
      </w:r>
    </w:p>
    <w:p w:rsidR="00B91140" w:rsidRDefault="00EE1134">
      <w:pPr>
        <w:pStyle w:val="Heading5"/>
        <w:numPr>
          <w:ilvl w:val="4"/>
          <w:numId w:val="1"/>
        </w:numPr>
        <w:ind w:hanging="707"/>
        <w:rPr>
          <w:rFonts w:ascii="Arial" w:eastAsia="Arial" w:hAnsi="Arial" w:cs="Arial"/>
        </w:rPr>
      </w:pPr>
      <w:r>
        <w:rPr>
          <w:rFonts w:ascii="Arial" w:eastAsia="Arial" w:hAnsi="Arial" w:cs="Arial"/>
        </w:rPr>
        <w:t>notify CCS an</w:t>
      </w:r>
      <w:r>
        <w:rPr>
          <w:rFonts w:ascii="Arial" w:eastAsia="Arial" w:hAnsi="Arial" w:cs="Arial"/>
        </w:rPr>
        <w:t>d the Buyer in accordance with Paragraph 2.3(d) above; and</w:t>
      </w:r>
    </w:p>
    <w:p w:rsidR="00B91140" w:rsidRDefault="00EE1134">
      <w:pPr>
        <w:pStyle w:val="Heading5"/>
        <w:numPr>
          <w:ilvl w:val="4"/>
          <w:numId w:val="1"/>
        </w:numPr>
        <w:ind w:hanging="707"/>
        <w:rPr>
          <w:rFonts w:ascii="Arial" w:eastAsia="Arial" w:hAnsi="Arial" w:cs="Arial"/>
        </w:rPr>
      </w:pPr>
      <w:r>
        <w:rPr>
          <w:rFonts w:ascii="Arial" w:eastAsia="Arial" w:hAnsi="Arial" w:cs="Arial"/>
        </w:rPr>
        <w:t>provide to CCS and the Buyer in writing within 10 Working Days or as otherwise agreed between the Parties of the date on which the Supplier first becomes aware of the FDE or of the date on which CC</w:t>
      </w:r>
      <w:r>
        <w:rPr>
          <w:rFonts w:ascii="Arial" w:eastAsia="Arial" w:hAnsi="Arial" w:cs="Arial"/>
        </w:rPr>
        <w:t xml:space="preserve">S or the Buyer has brought the FDE to the Supplier’s attention, its proposed mitigation; and </w:t>
      </w:r>
    </w:p>
    <w:p w:rsidR="00B91140" w:rsidRDefault="00EE1134">
      <w:pPr>
        <w:pStyle w:val="Heading4"/>
        <w:numPr>
          <w:ilvl w:val="3"/>
          <w:numId w:val="1"/>
        </w:numPr>
        <w:rPr>
          <w:rFonts w:ascii="Arial" w:eastAsia="Arial" w:hAnsi="Arial" w:cs="Arial"/>
        </w:rPr>
      </w:pPr>
      <w:r>
        <w:rPr>
          <w:rFonts w:ascii="Arial" w:eastAsia="Arial" w:hAnsi="Arial" w:cs="Arial"/>
        </w:rPr>
        <w:t>the Parties shall then discuss the proposed mitigation in good faith and CCS or the Buyer shall, as soon as practicable, either:</w:t>
      </w:r>
    </w:p>
    <w:p w:rsidR="00B91140" w:rsidRDefault="00EE1134">
      <w:pPr>
        <w:pStyle w:val="Heading5"/>
        <w:numPr>
          <w:ilvl w:val="4"/>
          <w:numId w:val="1"/>
        </w:numPr>
        <w:ind w:hanging="707"/>
        <w:rPr>
          <w:rFonts w:ascii="Arial" w:eastAsia="Arial" w:hAnsi="Arial" w:cs="Arial"/>
        </w:rPr>
      </w:pPr>
      <w:r>
        <w:rPr>
          <w:rFonts w:ascii="Arial" w:eastAsia="Arial" w:hAnsi="Arial" w:cs="Arial"/>
        </w:rPr>
        <w:t>agree that the proposed mitigatio</w:t>
      </w:r>
      <w:r>
        <w:rPr>
          <w:rFonts w:ascii="Arial" w:eastAsia="Arial" w:hAnsi="Arial" w:cs="Arial"/>
        </w:rPr>
        <w:t>n constitutes an Appropriate Accepted Mitigation; or</w:t>
      </w:r>
    </w:p>
    <w:p w:rsidR="00B91140" w:rsidRDefault="00EE1134">
      <w:pPr>
        <w:pStyle w:val="Heading5"/>
        <w:numPr>
          <w:ilvl w:val="4"/>
          <w:numId w:val="1"/>
        </w:numPr>
        <w:ind w:hanging="707"/>
        <w:rPr>
          <w:rFonts w:ascii="Arial" w:eastAsia="Arial" w:hAnsi="Arial" w:cs="Arial"/>
        </w:rPr>
      </w:pPr>
      <w:r>
        <w:rPr>
          <w:rFonts w:ascii="Arial" w:eastAsia="Arial" w:hAnsi="Arial" w:cs="Arial"/>
        </w:rPr>
        <w:t>exercise its rights under Paragraph 4 of this Schedule.</w:t>
      </w:r>
    </w:p>
    <w:p w:rsidR="00B91140" w:rsidRDefault="00EE1134">
      <w:pPr>
        <w:pStyle w:val="Heading3"/>
        <w:keepNext w:val="0"/>
        <w:keepLines/>
        <w:numPr>
          <w:ilvl w:val="2"/>
          <w:numId w:val="1"/>
        </w:numPr>
        <w:spacing w:before="0" w:after="240"/>
        <w:rPr>
          <w:rFonts w:ascii="Arial" w:eastAsia="Arial" w:hAnsi="Arial" w:cs="Arial"/>
          <w:b w:val="0"/>
          <w:sz w:val="22"/>
          <w:szCs w:val="22"/>
        </w:rPr>
      </w:pPr>
      <w:bookmarkStart w:id="9" w:name="_heading=h.2s8eyo1" w:colFirst="0" w:colLast="0"/>
      <w:bookmarkEnd w:id="9"/>
      <w:r>
        <w:rPr>
          <w:rFonts w:ascii="Arial" w:eastAsia="Arial" w:hAnsi="Arial" w:cs="Arial"/>
          <w:b w:val="0"/>
          <w:sz w:val="22"/>
          <w:szCs w:val="22"/>
        </w:rPr>
        <w:t>Failure by CCS or the Buyer to exercise its rights under Paragraph 4 of this Schedule shall constitute acceptance of the Appropriate Accepted Mitigation, unless such failure was due to an act or omission of the Supplier.</w:t>
      </w:r>
    </w:p>
    <w:p w:rsidR="00B91140" w:rsidRDefault="00EE1134">
      <w:pPr>
        <w:pStyle w:val="Heading3"/>
        <w:keepNext w:val="0"/>
        <w:keepLines/>
        <w:numPr>
          <w:ilvl w:val="2"/>
          <w:numId w:val="1"/>
        </w:numPr>
        <w:spacing w:before="0" w:after="240"/>
        <w:rPr>
          <w:rFonts w:ascii="Arial" w:eastAsia="Arial" w:hAnsi="Arial" w:cs="Arial"/>
          <w:b w:val="0"/>
          <w:sz w:val="22"/>
          <w:szCs w:val="22"/>
        </w:rPr>
      </w:pPr>
      <w:bookmarkStart w:id="10" w:name="_heading=h.17dp8vu" w:colFirst="0" w:colLast="0"/>
      <w:bookmarkEnd w:id="10"/>
      <w:r>
        <w:rPr>
          <w:rFonts w:ascii="Arial" w:eastAsia="Arial" w:hAnsi="Arial" w:cs="Arial"/>
          <w:b w:val="0"/>
          <w:sz w:val="22"/>
          <w:szCs w:val="22"/>
        </w:rPr>
        <w:t xml:space="preserve">For the purposes of this Paragraph </w:t>
      </w:r>
      <w:r>
        <w:rPr>
          <w:rFonts w:ascii="Arial" w:eastAsia="Arial" w:hAnsi="Arial" w:cs="Arial"/>
          <w:b w:val="0"/>
          <w:sz w:val="22"/>
          <w:szCs w:val="22"/>
        </w:rPr>
        <w:t>3 Appropriate Accepted Mitigations include:</w:t>
      </w:r>
    </w:p>
    <w:p w:rsidR="00B91140" w:rsidRDefault="00EE1134">
      <w:pPr>
        <w:pStyle w:val="Heading4"/>
        <w:numPr>
          <w:ilvl w:val="3"/>
          <w:numId w:val="1"/>
        </w:numPr>
        <w:rPr>
          <w:rFonts w:ascii="Arial" w:eastAsia="Arial" w:hAnsi="Arial" w:cs="Arial"/>
          <w:color w:val="000000"/>
        </w:rPr>
      </w:pPr>
      <w:r>
        <w:rPr>
          <w:rFonts w:ascii="Arial" w:eastAsia="Arial" w:hAnsi="Arial" w:cs="Arial"/>
          <w:color w:val="000000"/>
        </w:rPr>
        <w:t>for the Supplier:</w:t>
      </w:r>
    </w:p>
    <w:p w:rsidR="00B91140" w:rsidRDefault="00EE1134">
      <w:pPr>
        <w:pStyle w:val="Heading5"/>
        <w:numPr>
          <w:ilvl w:val="4"/>
          <w:numId w:val="1"/>
        </w:numPr>
        <w:ind w:hanging="707"/>
        <w:rPr>
          <w:rFonts w:ascii="Arial" w:eastAsia="Arial" w:hAnsi="Arial" w:cs="Arial"/>
          <w:color w:val="000000"/>
        </w:rPr>
      </w:pPr>
      <w:r>
        <w:rPr>
          <w:rFonts w:ascii="Arial" w:eastAsia="Arial" w:hAnsi="Arial" w:cs="Arial"/>
          <w:color w:val="000000"/>
        </w:rPr>
        <w:lastRenderedPageBreak/>
        <w:t>the existence of a valid Guarantee provided by a Parent Undertaking as Guarantor: and</w:t>
      </w:r>
    </w:p>
    <w:p w:rsidR="00B91140" w:rsidRDefault="00EE1134">
      <w:pPr>
        <w:pStyle w:val="Heading5"/>
        <w:numPr>
          <w:ilvl w:val="4"/>
          <w:numId w:val="1"/>
        </w:numPr>
        <w:ind w:hanging="707"/>
        <w:rPr>
          <w:rFonts w:ascii="Arial" w:eastAsia="Arial" w:hAnsi="Arial" w:cs="Arial"/>
          <w:color w:val="000000"/>
        </w:rPr>
      </w:pPr>
      <w:r>
        <w:rPr>
          <w:rFonts w:ascii="Arial" w:eastAsia="Arial" w:hAnsi="Arial" w:cs="Arial"/>
          <w:color w:val="000000"/>
        </w:rPr>
        <w:t>the Guarantor is not subject to an FDE for which there is no Appropriate Accepted Mitigation; and</w:t>
      </w:r>
    </w:p>
    <w:p w:rsidR="00B91140" w:rsidRDefault="00EE1134">
      <w:pPr>
        <w:pStyle w:val="Heading5"/>
        <w:numPr>
          <w:ilvl w:val="4"/>
          <w:numId w:val="1"/>
        </w:numPr>
        <w:ind w:hanging="707"/>
        <w:rPr>
          <w:rFonts w:ascii="Arial" w:eastAsia="Arial" w:hAnsi="Arial" w:cs="Arial"/>
          <w:color w:val="000000"/>
        </w:rPr>
      </w:pPr>
      <w:r>
        <w:rPr>
          <w:rFonts w:ascii="Arial" w:eastAsia="Arial" w:hAnsi="Arial" w:cs="Arial"/>
          <w:color w:val="000000"/>
        </w:rPr>
        <w:t>the Suppli</w:t>
      </w:r>
      <w:r>
        <w:rPr>
          <w:rFonts w:ascii="Arial" w:eastAsia="Arial" w:hAnsi="Arial" w:cs="Arial"/>
          <w:color w:val="000000"/>
        </w:rPr>
        <w:t>er’s ultimate parent undertaking is not subject to an FDE for which there is no Appropriate Accepted Mitigation; and</w:t>
      </w:r>
    </w:p>
    <w:p w:rsidR="00B91140" w:rsidRDefault="00EE1134">
      <w:pPr>
        <w:pStyle w:val="Heading4"/>
        <w:numPr>
          <w:ilvl w:val="3"/>
          <w:numId w:val="1"/>
        </w:numPr>
        <w:rPr>
          <w:rFonts w:ascii="Arial" w:eastAsia="Arial" w:hAnsi="Arial" w:cs="Arial"/>
          <w:color w:val="000000"/>
        </w:rPr>
      </w:pPr>
      <w:r>
        <w:rPr>
          <w:rFonts w:ascii="Arial" w:eastAsia="Arial" w:hAnsi="Arial" w:cs="Arial"/>
          <w:color w:val="000000"/>
        </w:rPr>
        <w:t>for Sub-contractors:</w:t>
      </w:r>
    </w:p>
    <w:p w:rsidR="00B91140" w:rsidRDefault="00EE1134">
      <w:pPr>
        <w:pStyle w:val="Heading5"/>
        <w:numPr>
          <w:ilvl w:val="4"/>
          <w:numId w:val="1"/>
        </w:numPr>
        <w:ind w:hanging="707"/>
        <w:rPr>
          <w:rFonts w:ascii="Arial" w:eastAsia="Arial" w:hAnsi="Arial" w:cs="Arial"/>
          <w:color w:val="000000"/>
        </w:rPr>
      </w:pPr>
      <w:r>
        <w:rPr>
          <w:rFonts w:ascii="Arial" w:eastAsia="Arial" w:hAnsi="Arial" w:cs="Arial"/>
          <w:color w:val="000000"/>
        </w:rPr>
        <w:t>The existence of a valid Guarantee provided by a Parent Undertaking as Guarantor: and</w:t>
      </w:r>
    </w:p>
    <w:p w:rsidR="00B91140" w:rsidRDefault="00EE1134">
      <w:pPr>
        <w:pStyle w:val="Heading5"/>
        <w:numPr>
          <w:ilvl w:val="4"/>
          <w:numId w:val="1"/>
        </w:numPr>
        <w:ind w:hanging="707"/>
        <w:rPr>
          <w:rFonts w:ascii="Arial" w:eastAsia="Arial" w:hAnsi="Arial" w:cs="Arial"/>
          <w:color w:val="000000"/>
        </w:rPr>
      </w:pPr>
      <w:r>
        <w:rPr>
          <w:rFonts w:ascii="Arial" w:eastAsia="Arial" w:hAnsi="Arial" w:cs="Arial"/>
          <w:color w:val="000000"/>
        </w:rPr>
        <w:t xml:space="preserve">the Guarantor is not subject to </w:t>
      </w:r>
      <w:r>
        <w:rPr>
          <w:rFonts w:ascii="Arial" w:eastAsia="Arial" w:hAnsi="Arial" w:cs="Arial"/>
          <w:color w:val="000000"/>
        </w:rPr>
        <w:t>an FDE for which there is no Appropriate Accepted Mitigation; and</w:t>
      </w:r>
    </w:p>
    <w:p w:rsidR="00B91140" w:rsidRDefault="00EE1134">
      <w:pPr>
        <w:pStyle w:val="Heading5"/>
        <w:numPr>
          <w:ilvl w:val="4"/>
          <w:numId w:val="1"/>
        </w:numPr>
        <w:ind w:hanging="707"/>
        <w:rPr>
          <w:rFonts w:ascii="Arial" w:eastAsia="Arial" w:hAnsi="Arial" w:cs="Arial"/>
          <w:color w:val="000000"/>
        </w:rPr>
      </w:pPr>
      <w:r>
        <w:rPr>
          <w:rFonts w:ascii="Arial" w:eastAsia="Arial" w:hAnsi="Arial" w:cs="Arial"/>
          <w:color w:val="000000"/>
        </w:rPr>
        <w:t>the Sub-contractor’s ultimate parent undertaking is not subject to an FDE for which there is no Appropriate Accepted Mitigation; and</w:t>
      </w:r>
    </w:p>
    <w:p w:rsidR="00B91140" w:rsidRDefault="00EE1134">
      <w:pPr>
        <w:pStyle w:val="Heading4"/>
        <w:numPr>
          <w:ilvl w:val="3"/>
          <w:numId w:val="1"/>
        </w:numPr>
        <w:rPr>
          <w:rFonts w:ascii="Arial" w:eastAsia="Arial" w:hAnsi="Arial" w:cs="Arial"/>
        </w:rPr>
      </w:pPr>
      <w:r>
        <w:rPr>
          <w:rFonts w:ascii="Arial" w:eastAsia="Arial" w:hAnsi="Arial" w:cs="Arial"/>
        </w:rPr>
        <w:t>for all entities within the FDE Group:</w:t>
      </w:r>
    </w:p>
    <w:p w:rsidR="00B91140" w:rsidRDefault="00EE1134">
      <w:pPr>
        <w:ind w:left="1418"/>
      </w:pPr>
      <w:r>
        <w:rPr>
          <w:rFonts w:ascii="Arial" w:eastAsia="Arial" w:hAnsi="Arial" w:cs="Arial"/>
        </w:rPr>
        <w:t xml:space="preserve">a mitigation that reduces the level of risk of the FDE to a level acceptable to CCS or the Buyer. This may include access to sufficient unused credit facilities or other risk mitigations, as listed in the Outsourcing Playbook </w:t>
      </w:r>
      <w:r>
        <w:rPr>
          <w:rFonts w:ascii="Arial" w:eastAsia="Arial" w:hAnsi="Arial" w:cs="Arial"/>
          <w:i/>
        </w:rPr>
        <w:t xml:space="preserve">‘Assessing and Monitoring the </w:t>
      </w:r>
      <w:r>
        <w:rPr>
          <w:rFonts w:ascii="Arial" w:eastAsia="Arial" w:hAnsi="Arial" w:cs="Arial"/>
          <w:i/>
        </w:rPr>
        <w:t>Economic and Financial Standing of Suppliers’</w:t>
      </w:r>
      <w:r>
        <w:rPr>
          <w:rFonts w:ascii="Arial" w:eastAsia="Arial" w:hAnsi="Arial" w:cs="Arial"/>
        </w:rPr>
        <w:t xml:space="preserve"> Guidance note available at:</w:t>
      </w:r>
      <w:r>
        <w:t xml:space="preserve"> </w:t>
      </w:r>
      <w:hyperlink r:id="rId8">
        <w:r>
          <w:rPr>
            <w:color w:val="0000FF"/>
            <w:u w:val="single"/>
          </w:rPr>
          <w:t>Assessing_and_monitoring_the_economic_and_financial_standing_of_supplier</w:t>
        </w:r>
        <w:r>
          <w:rPr>
            <w:color w:val="0000FF"/>
            <w:u w:val="single"/>
          </w:rPr>
          <w:t>s_guidance_note_May_2021.pdf (publishing.service.gov.uk)</w:t>
        </w:r>
      </w:hyperlink>
      <w:r>
        <w:t>.</w:t>
      </w:r>
    </w:p>
    <w:p w:rsidR="00B91140" w:rsidRDefault="00EE1134">
      <w:pPr>
        <w:pStyle w:val="Heading3"/>
        <w:keepNext w:val="0"/>
        <w:keepLines/>
        <w:numPr>
          <w:ilvl w:val="2"/>
          <w:numId w:val="1"/>
        </w:numPr>
        <w:spacing w:before="0" w:after="240"/>
        <w:rPr>
          <w:rFonts w:ascii="Arial" w:eastAsia="Arial" w:hAnsi="Arial" w:cs="Arial"/>
          <w:b w:val="0"/>
          <w:sz w:val="22"/>
          <w:szCs w:val="22"/>
        </w:rPr>
      </w:pPr>
      <w:r>
        <w:rPr>
          <w:rFonts w:ascii="Arial" w:eastAsia="Arial" w:hAnsi="Arial" w:cs="Arial"/>
          <w:b w:val="0"/>
          <w:sz w:val="22"/>
          <w:szCs w:val="22"/>
        </w:rPr>
        <w:t>All Appropriate Accepted Mitigations including any new or amended Appropriate Accepted Mitigations will be documented and recorded in a format and location agreed between the Parties (for example in</w:t>
      </w:r>
      <w:r>
        <w:rPr>
          <w:rFonts w:ascii="Arial" w:eastAsia="Arial" w:hAnsi="Arial" w:cs="Arial"/>
          <w:b w:val="0"/>
          <w:sz w:val="22"/>
          <w:szCs w:val="22"/>
        </w:rPr>
        <w:t xml:space="preserve"> a dedicated and access-controlled area of the Virtual Library).</w:t>
      </w:r>
    </w:p>
    <w:p w:rsidR="00B91140" w:rsidRDefault="00EE1134">
      <w:pPr>
        <w:pStyle w:val="Heading2"/>
        <w:keepLines/>
        <w:numPr>
          <w:ilvl w:val="1"/>
          <w:numId w:val="1"/>
        </w:numPr>
        <w:spacing w:before="0" w:after="240"/>
        <w:rPr>
          <w:rFonts w:ascii="Arial" w:eastAsia="Arial" w:hAnsi="Arial" w:cs="Arial"/>
          <w:i w:val="0"/>
          <w:sz w:val="22"/>
          <w:szCs w:val="22"/>
        </w:rPr>
      </w:pPr>
      <w:bookmarkStart w:id="11" w:name="_heading=h.3rdcrjn" w:colFirst="0" w:colLast="0"/>
      <w:bookmarkEnd w:id="11"/>
      <w:r>
        <w:rPr>
          <w:rFonts w:ascii="Arial" w:eastAsia="Arial" w:hAnsi="Arial" w:cs="Arial"/>
          <w:i w:val="0"/>
          <w:sz w:val="22"/>
          <w:szCs w:val="22"/>
        </w:rPr>
        <w:t>CONSEQUENCES OF FINANCIAL DISTRESS EVENTS</w:t>
      </w:r>
    </w:p>
    <w:p w:rsidR="00B91140" w:rsidRDefault="00EE1134">
      <w:pPr>
        <w:pStyle w:val="Heading3"/>
        <w:keepNext w:val="0"/>
        <w:keepLines/>
        <w:numPr>
          <w:ilvl w:val="2"/>
          <w:numId w:val="2"/>
        </w:numPr>
        <w:spacing w:before="0" w:after="240"/>
        <w:rPr>
          <w:rFonts w:ascii="Arial" w:eastAsia="Arial" w:hAnsi="Arial" w:cs="Arial"/>
          <w:b w:val="0"/>
          <w:sz w:val="22"/>
          <w:szCs w:val="22"/>
        </w:rPr>
      </w:pPr>
      <w:r>
        <w:rPr>
          <w:rFonts w:ascii="Arial" w:eastAsia="Arial" w:hAnsi="Arial" w:cs="Arial"/>
          <w:b w:val="0"/>
          <w:sz w:val="22"/>
          <w:szCs w:val="22"/>
        </w:rPr>
        <w:t>Immediately upon notification by the Supplier of a Financial Distress Event in accordance with Paragraph 2.3(d) (or if CCS or the Buyer becomes aware</w:t>
      </w:r>
      <w:r>
        <w:rPr>
          <w:rFonts w:ascii="Arial" w:eastAsia="Arial" w:hAnsi="Arial" w:cs="Arial"/>
          <w:b w:val="0"/>
          <w:sz w:val="22"/>
          <w:szCs w:val="22"/>
        </w:rPr>
        <w:t xml:space="preserve"> of a Financial Distress Event without notification and brings the event to the attention of the Supplier) and subject to Paragraph 3, the Supplier shall have the obligations and CCS and the Buyer shall have the rights and remedies as set out in Paragraphs</w:t>
      </w:r>
      <w:r>
        <w:rPr>
          <w:rFonts w:ascii="Arial" w:eastAsia="Arial" w:hAnsi="Arial" w:cs="Arial"/>
          <w:b w:val="0"/>
          <w:sz w:val="22"/>
          <w:szCs w:val="22"/>
        </w:rPr>
        <w:t> 4.3 to 4.6.</w:t>
      </w:r>
    </w:p>
    <w:p w:rsidR="00B91140" w:rsidRDefault="00EE1134">
      <w:pPr>
        <w:pStyle w:val="Heading3"/>
        <w:keepNext w:val="0"/>
        <w:keepLines/>
        <w:numPr>
          <w:ilvl w:val="2"/>
          <w:numId w:val="2"/>
        </w:numPr>
        <w:spacing w:before="0" w:after="240"/>
        <w:rPr>
          <w:rFonts w:ascii="Arial" w:eastAsia="Arial" w:hAnsi="Arial" w:cs="Arial"/>
          <w:b w:val="0"/>
          <w:sz w:val="22"/>
          <w:szCs w:val="22"/>
        </w:rPr>
      </w:pPr>
      <w:r>
        <w:rPr>
          <w:rFonts w:ascii="Arial" w:eastAsia="Arial" w:hAnsi="Arial" w:cs="Arial"/>
          <w:b w:val="0"/>
          <w:sz w:val="22"/>
          <w:szCs w:val="22"/>
        </w:rPr>
        <w:t>In the event of the first instance within a rolling 3-month period, of a late or non-payment of a Key Sub-contractor pursuant to Paragraph 3.1, CCS and the Buyer shall not exercise any of its rights or remedies under Paragraph 4.3 without firs</w:t>
      </w:r>
      <w:r>
        <w:rPr>
          <w:rFonts w:ascii="Arial" w:eastAsia="Arial" w:hAnsi="Arial" w:cs="Arial"/>
          <w:b w:val="0"/>
          <w:sz w:val="22"/>
          <w:szCs w:val="22"/>
        </w:rPr>
        <w:t>t giving the Supplier 10 Working Days to:</w:t>
      </w:r>
    </w:p>
    <w:p w:rsidR="00B91140" w:rsidRDefault="00EE1134">
      <w:pPr>
        <w:pStyle w:val="Heading4"/>
        <w:numPr>
          <w:ilvl w:val="3"/>
          <w:numId w:val="2"/>
        </w:numPr>
        <w:rPr>
          <w:rFonts w:ascii="Arial" w:eastAsia="Arial" w:hAnsi="Arial" w:cs="Arial"/>
        </w:rPr>
      </w:pPr>
      <w:r>
        <w:rPr>
          <w:rFonts w:ascii="Arial" w:eastAsia="Arial" w:hAnsi="Arial" w:cs="Arial"/>
        </w:rPr>
        <w:lastRenderedPageBreak/>
        <w:t xml:space="preserve">rectify such late or non-payment; or </w:t>
      </w:r>
    </w:p>
    <w:p w:rsidR="00B91140" w:rsidRDefault="00EE1134">
      <w:pPr>
        <w:pStyle w:val="Heading4"/>
        <w:numPr>
          <w:ilvl w:val="3"/>
          <w:numId w:val="2"/>
        </w:numPr>
        <w:rPr>
          <w:rFonts w:ascii="Arial" w:eastAsia="Arial" w:hAnsi="Arial" w:cs="Arial"/>
        </w:rPr>
      </w:pPr>
      <w:r>
        <w:rPr>
          <w:rFonts w:ascii="Arial" w:eastAsia="Arial" w:hAnsi="Arial" w:cs="Arial"/>
        </w:rPr>
        <w:t>demonstrate to CCS and the Buyer's reasonable satisfaction that there is a valid reason for late or non-payment.</w:t>
      </w:r>
    </w:p>
    <w:p w:rsidR="00B91140" w:rsidRDefault="00EE1134">
      <w:pPr>
        <w:pStyle w:val="Heading3"/>
        <w:keepNext w:val="0"/>
        <w:keepLines/>
        <w:numPr>
          <w:ilvl w:val="2"/>
          <w:numId w:val="2"/>
        </w:numPr>
        <w:spacing w:before="0" w:after="240"/>
        <w:rPr>
          <w:rFonts w:ascii="Arial" w:eastAsia="Arial" w:hAnsi="Arial" w:cs="Arial"/>
          <w:b w:val="0"/>
          <w:sz w:val="22"/>
          <w:szCs w:val="22"/>
        </w:rPr>
      </w:pPr>
      <w:r>
        <w:rPr>
          <w:rFonts w:ascii="Arial" w:eastAsia="Arial" w:hAnsi="Arial" w:cs="Arial"/>
          <w:b w:val="0"/>
          <w:sz w:val="22"/>
          <w:szCs w:val="22"/>
        </w:rPr>
        <w:t>The Supplier shall (and shall procure that any Guarantor, Key S</w:t>
      </w:r>
      <w:r>
        <w:rPr>
          <w:rFonts w:ascii="Arial" w:eastAsia="Arial" w:hAnsi="Arial" w:cs="Arial"/>
          <w:b w:val="0"/>
          <w:sz w:val="22"/>
          <w:szCs w:val="22"/>
        </w:rPr>
        <w:t>ub-contractor, Monitored Supplier, and any relevant Parent Undertaking (for the Supplier or a Key Sub-contractor) shall):</w:t>
      </w:r>
    </w:p>
    <w:p w:rsidR="00B91140" w:rsidRDefault="00EE1134">
      <w:pPr>
        <w:pStyle w:val="Heading4"/>
        <w:numPr>
          <w:ilvl w:val="3"/>
          <w:numId w:val="2"/>
        </w:numPr>
        <w:rPr>
          <w:rFonts w:ascii="Arial" w:eastAsia="Arial" w:hAnsi="Arial" w:cs="Arial"/>
        </w:rPr>
      </w:pPr>
      <w:bookmarkStart w:id="12" w:name="_heading=h.26in1rg" w:colFirst="0" w:colLast="0"/>
      <w:bookmarkEnd w:id="12"/>
      <w:r>
        <w:rPr>
          <w:rFonts w:ascii="Arial" w:eastAsia="Arial" w:hAnsi="Arial" w:cs="Arial"/>
        </w:rPr>
        <w:t>at the reasonable request of CCS or the Buyer, meet CCS or the Buyer as soon as reasonably practicable (and in any event within 3 Work</w:t>
      </w:r>
      <w:r>
        <w:rPr>
          <w:rFonts w:ascii="Arial" w:eastAsia="Arial" w:hAnsi="Arial" w:cs="Arial"/>
        </w:rPr>
        <w:t>ing Days of the initial notification (or awareness) of the Financial Distress Event or such other period as CCS or the Buyer may permit and notify to the Supplier in writing) to review the effect of the Financial Distress Event on the continued performance</w:t>
      </w:r>
      <w:r>
        <w:rPr>
          <w:rFonts w:ascii="Arial" w:eastAsia="Arial" w:hAnsi="Arial" w:cs="Arial"/>
        </w:rPr>
        <w:t xml:space="preserve"> and delivery of the Deliverables in accordance with this Contract; and</w:t>
      </w:r>
    </w:p>
    <w:p w:rsidR="00B91140" w:rsidRDefault="00EE1134">
      <w:pPr>
        <w:pStyle w:val="Heading4"/>
        <w:numPr>
          <w:ilvl w:val="3"/>
          <w:numId w:val="2"/>
        </w:numPr>
        <w:rPr>
          <w:rFonts w:ascii="Arial" w:eastAsia="Arial" w:hAnsi="Arial" w:cs="Arial"/>
        </w:rPr>
      </w:pPr>
      <w:r>
        <w:rPr>
          <w:rFonts w:ascii="Arial" w:eastAsia="Arial" w:hAnsi="Arial" w:cs="Arial"/>
        </w:rPr>
        <w:t>where CCS or the Buyer reasonably believes (</w:t>
      </w:r>
      <w:proofErr w:type="gramStart"/>
      <w:r>
        <w:rPr>
          <w:rFonts w:ascii="Arial" w:eastAsia="Arial" w:hAnsi="Arial" w:cs="Arial"/>
        </w:rPr>
        <w:t>taking into account</w:t>
      </w:r>
      <w:proofErr w:type="gramEnd"/>
      <w:r>
        <w:rPr>
          <w:rFonts w:ascii="Arial" w:eastAsia="Arial" w:hAnsi="Arial" w:cs="Arial"/>
        </w:rPr>
        <w:t xml:space="preserve"> the discussions and any representations made under Paragraph 4.3(a)) that the Financial Distress Event could impact on t</w:t>
      </w:r>
      <w:r>
        <w:rPr>
          <w:rFonts w:ascii="Arial" w:eastAsia="Arial" w:hAnsi="Arial" w:cs="Arial"/>
        </w:rPr>
        <w:t xml:space="preserve">he continued performance and delivery of the Deliverables in accordance with this Contract: </w:t>
      </w:r>
    </w:p>
    <w:p w:rsidR="00B91140" w:rsidRDefault="00EE1134">
      <w:pPr>
        <w:pStyle w:val="Heading5"/>
        <w:numPr>
          <w:ilvl w:val="4"/>
          <w:numId w:val="2"/>
        </w:numPr>
        <w:ind w:hanging="707"/>
        <w:rPr>
          <w:rFonts w:ascii="Arial" w:eastAsia="Arial" w:hAnsi="Arial" w:cs="Arial"/>
        </w:rPr>
      </w:pPr>
      <w:r>
        <w:rPr>
          <w:rFonts w:ascii="Arial" w:eastAsia="Arial" w:hAnsi="Arial" w:cs="Arial"/>
        </w:rPr>
        <w:t>submit to CCS or the Buyer for its approval, a draft Financial Distress Service Continuity Plan as soon as reasonably practicable (and in any event, within 10 Working Days of the initial notification (or awareness) of the Financial Distress Event or such o</w:t>
      </w:r>
      <w:r>
        <w:rPr>
          <w:rFonts w:ascii="Arial" w:eastAsia="Arial" w:hAnsi="Arial" w:cs="Arial"/>
        </w:rPr>
        <w:t>ther period as CCS or the Buyer may permit and notify to the Supplier in writing); and</w:t>
      </w:r>
    </w:p>
    <w:p w:rsidR="00B91140" w:rsidRDefault="00EE1134">
      <w:pPr>
        <w:pStyle w:val="Heading5"/>
        <w:numPr>
          <w:ilvl w:val="4"/>
          <w:numId w:val="2"/>
        </w:numPr>
        <w:ind w:hanging="707"/>
        <w:rPr>
          <w:rFonts w:ascii="Arial" w:eastAsia="Arial" w:hAnsi="Arial" w:cs="Arial"/>
        </w:rPr>
      </w:pPr>
      <w:r>
        <w:rPr>
          <w:rFonts w:ascii="Arial" w:eastAsia="Arial" w:hAnsi="Arial" w:cs="Arial"/>
        </w:rPr>
        <w:t>to the extent that it is legally permitted to do so and subject to Paragraph 4.8, provide such information relating to the Supplier, Guarantor, Key Sub-contractor, Monit</w:t>
      </w:r>
      <w:r>
        <w:rPr>
          <w:rFonts w:ascii="Arial" w:eastAsia="Arial" w:hAnsi="Arial" w:cs="Arial"/>
        </w:rPr>
        <w:t>ored Supplier, and any relevant Parent Undertaking (for the Supplier or a Key Sub-contractor), as CCS or the Buyer may reasonably require in order to understand the risk to the Deliverables, which may include without limitation  forecasts in relation to ca</w:t>
      </w:r>
      <w:r>
        <w:rPr>
          <w:rFonts w:ascii="Arial" w:eastAsia="Arial" w:hAnsi="Arial" w:cs="Arial"/>
        </w:rPr>
        <w:t xml:space="preserve">sh flow, orders and profits and details of financial measures being considered to mitigate the impact of the Financial Distress Event and other information that might be price sensitive.  </w:t>
      </w:r>
    </w:p>
    <w:p w:rsidR="00B91140" w:rsidRDefault="00EE1134">
      <w:pPr>
        <w:pStyle w:val="Heading3"/>
        <w:keepNext w:val="0"/>
        <w:keepLines/>
        <w:numPr>
          <w:ilvl w:val="2"/>
          <w:numId w:val="2"/>
        </w:numPr>
        <w:spacing w:before="0" w:after="240"/>
        <w:rPr>
          <w:rFonts w:ascii="Arial" w:eastAsia="Arial" w:hAnsi="Arial" w:cs="Arial"/>
          <w:b w:val="0"/>
          <w:sz w:val="22"/>
          <w:szCs w:val="22"/>
        </w:rPr>
      </w:pPr>
      <w:r>
        <w:rPr>
          <w:rFonts w:ascii="Arial" w:eastAsia="Arial" w:hAnsi="Arial" w:cs="Arial"/>
          <w:b w:val="0"/>
          <w:sz w:val="22"/>
          <w:szCs w:val="22"/>
        </w:rPr>
        <w:t>CCS or the Buyer shall not withhold its approval of a draft Financi</w:t>
      </w:r>
      <w:r>
        <w:rPr>
          <w:rFonts w:ascii="Arial" w:eastAsia="Arial" w:hAnsi="Arial" w:cs="Arial"/>
          <w:b w:val="0"/>
          <w:sz w:val="22"/>
          <w:szCs w:val="22"/>
        </w:rPr>
        <w:t>al Distress Service Continuity Plan unreasonably. If CCS or the Buyer does not approve the draft Financial Distress Service Continuity Plan, it shall inform the Supplier of its reasons and the Supplier shall take those reasons into account in the preparati</w:t>
      </w:r>
      <w:r>
        <w:rPr>
          <w:rFonts w:ascii="Arial" w:eastAsia="Arial" w:hAnsi="Arial" w:cs="Arial"/>
          <w:b w:val="0"/>
          <w:sz w:val="22"/>
          <w:szCs w:val="22"/>
        </w:rPr>
        <w:t xml:space="preserve">on of a further draft Financial Distress Service Continuity Plan, which shall be resubmitted to </w:t>
      </w:r>
      <w:r>
        <w:rPr>
          <w:rFonts w:ascii="Arial" w:eastAsia="Arial" w:hAnsi="Arial" w:cs="Arial"/>
          <w:b w:val="0"/>
        </w:rPr>
        <w:t>CCS or</w:t>
      </w:r>
      <w:r>
        <w:rPr>
          <w:rFonts w:ascii="Arial" w:eastAsia="Arial" w:hAnsi="Arial" w:cs="Arial"/>
        </w:rPr>
        <w:t xml:space="preserve"> </w:t>
      </w:r>
      <w:r>
        <w:rPr>
          <w:rFonts w:ascii="Arial" w:eastAsia="Arial" w:hAnsi="Arial" w:cs="Arial"/>
          <w:b w:val="0"/>
          <w:sz w:val="22"/>
          <w:szCs w:val="22"/>
        </w:rPr>
        <w:t xml:space="preserve">the Buyer within 5 Working Days of the rejection of the first draft. This process shall be repeated until the Financial Distress Service Continuity Plan </w:t>
      </w:r>
      <w:r>
        <w:rPr>
          <w:rFonts w:ascii="Arial" w:eastAsia="Arial" w:hAnsi="Arial" w:cs="Arial"/>
          <w:b w:val="0"/>
          <w:sz w:val="22"/>
          <w:szCs w:val="22"/>
        </w:rPr>
        <w:t>is either:</w:t>
      </w:r>
    </w:p>
    <w:p w:rsidR="00B91140" w:rsidRDefault="00EE1134">
      <w:pPr>
        <w:pStyle w:val="Heading4"/>
        <w:numPr>
          <w:ilvl w:val="3"/>
          <w:numId w:val="2"/>
        </w:numPr>
        <w:rPr>
          <w:rFonts w:ascii="Arial" w:eastAsia="Arial" w:hAnsi="Arial" w:cs="Arial"/>
        </w:rPr>
      </w:pPr>
      <w:r>
        <w:rPr>
          <w:rFonts w:ascii="Arial" w:eastAsia="Arial" w:hAnsi="Arial" w:cs="Arial"/>
        </w:rPr>
        <w:t>approved by CCS or the Buyer;</w:t>
      </w:r>
    </w:p>
    <w:p w:rsidR="00B91140" w:rsidRDefault="00EE1134">
      <w:pPr>
        <w:pStyle w:val="Heading4"/>
        <w:numPr>
          <w:ilvl w:val="3"/>
          <w:numId w:val="2"/>
        </w:numPr>
        <w:rPr>
          <w:rFonts w:ascii="Arial" w:eastAsia="Arial" w:hAnsi="Arial" w:cs="Arial"/>
        </w:rPr>
      </w:pPr>
      <w:r>
        <w:rPr>
          <w:rFonts w:ascii="Arial" w:eastAsia="Arial" w:hAnsi="Arial" w:cs="Arial"/>
        </w:rPr>
        <w:lastRenderedPageBreak/>
        <w:t xml:space="preserve">referred, by notice sent by either Party to the other Party explaining why it thinks the Financial Distress Service Continuity Plan has not been approved, to commercial negotiation led by senior representatives who </w:t>
      </w:r>
      <w:r>
        <w:rPr>
          <w:rFonts w:ascii="Arial" w:eastAsia="Arial" w:hAnsi="Arial" w:cs="Arial"/>
        </w:rPr>
        <w:t>have Buyer to agree the Financial Distress Service Continuity Plan to be held within 28 days of the date of the notice; or</w:t>
      </w:r>
    </w:p>
    <w:p w:rsidR="00B91140" w:rsidRDefault="00EE1134">
      <w:pPr>
        <w:pStyle w:val="Heading4"/>
        <w:numPr>
          <w:ilvl w:val="3"/>
          <w:numId w:val="2"/>
        </w:numPr>
        <w:rPr>
          <w:rFonts w:ascii="Arial" w:eastAsia="Arial" w:hAnsi="Arial" w:cs="Arial"/>
        </w:rPr>
      </w:pPr>
      <w:r>
        <w:rPr>
          <w:rFonts w:ascii="Arial" w:eastAsia="Arial" w:hAnsi="Arial" w:cs="Arial"/>
        </w:rPr>
        <w:t>finally rejected by CCS or the Buyer.</w:t>
      </w:r>
    </w:p>
    <w:p w:rsidR="00B91140" w:rsidRDefault="00EE1134">
      <w:pPr>
        <w:pStyle w:val="Heading3"/>
        <w:keepNext w:val="0"/>
        <w:keepLines/>
        <w:numPr>
          <w:ilvl w:val="2"/>
          <w:numId w:val="2"/>
        </w:numPr>
        <w:spacing w:before="0" w:after="240"/>
        <w:rPr>
          <w:rFonts w:ascii="Arial" w:eastAsia="Arial" w:hAnsi="Arial" w:cs="Arial"/>
          <w:b w:val="0"/>
          <w:sz w:val="22"/>
          <w:szCs w:val="22"/>
        </w:rPr>
      </w:pPr>
      <w:r>
        <w:rPr>
          <w:rFonts w:ascii="Arial" w:eastAsia="Arial" w:hAnsi="Arial" w:cs="Arial"/>
          <w:b w:val="0"/>
          <w:sz w:val="22"/>
          <w:szCs w:val="22"/>
        </w:rPr>
        <w:t xml:space="preserve">If </w:t>
      </w:r>
      <w:r>
        <w:rPr>
          <w:rFonts w:ascii="Arial" w:eastAsia="Arial" w:hAnsi="Arial" w:cs="Arial"/>
          <w:b w:val="0"/>
        </w:rPr>
        <w:t>CCS or</w:t>
      </w:r>
      <w:r>
        <w:rPr>
          <w:rFonts w:ascii="Arial" w:eastAsia="Arial" w:hAnsi="Arial" w:cs="Arial"/>
          <w:b w:val="0"/>
          <w:sz w:val="22"/>
          <w:szCs w:val="22"/>
        </w:rPr>
        <w:t xml:space="preserve"> the Buyer considers that the draft Financial Distress Service Continuity Plan is insu</w:t>
      </w:r>
      <w:r>
        <w:rPr>
          <w:rFonts w:ascii="Arial" w:eastAsia="Arial" w:hAnsi="Arial" w:cs="Arial"/>
          <w:b w:val="0"/>
          <w:sz w:val="22"/>
          <w:szCs w:val="22"/>
        </w:rPr>
        <w:t xml:space="preserve">fficiently detailed to be properly evaluated, will take too long to complete or will not ensure the continued performance of the Supplier’s obligations in accordance with the Contract, then it may either agree a further time period for the development and </w:t>
      </w:r>
      <w:r>
        <w:rPr>
          <w:rFonts w:ascii="Arial" w:eastAsia="Arial" w:hAnsi="Arial" w:cs="Arial"/>
          <w:b w:val="0"/>
          <w:sz w:val="22"/>
          <w:szCs w:val="22"/>
        </w:rPr>
        <w:t xml:space="preserve">agreement of the Financial Distress Service Continuity Plan or escalate any issues with the draft Financial Distress Service Continuity Plan using the Dispute Resolution Procedure. </w:t>
      </w:r>
    </w:p>
    <w:p w:rsidR="00B91140" w:rsidRDefault="00EE1134">
      <w:pPr>
        <w:pStyle w:val="Heading3"/>
        <w:keepNext w:val="0"/>
        <w:keepLines/>
        <w:numPr>
          <w:ilvl w:val="2"/>
          <w:numId w:val="2"/>
        </w:numPr>
        <w:spacing w:before="0" w:after="240"/>
        <w:rPr>
          <w:rFonts w:ascii="Arial" w:eastAsia="Arial" w:hAnsi="Arial" w:cs="Arial"/>
          <w:b w:val="0"/>
          <w:sz w:val="22"/>
          <w:szCs w:val="22"/>
        </w:rPr>
      </w:pPr>
      <w:r>
        <w:rPr>
          <w:rFonts w:ascii="Arial" w:eastAsia="Arial" w:hAnsi="Arial" w:cs="Arial"/>
          <w:b w:val="0"/>
          <w:sz w:val="22"/>
          <w:szCs w:val="22"/>
        </w:rPr>
        <w:t>Following approval of the Financial Distress Service Continuity Plan by th</w:t>
      </w:r>
      <w:r>
        <w:rPr>
          <w:rFonts w:ascii="Arial" w:eastAsia="Arial" w:hAnsi="Arial" w:cs="Arial"/>
          <w:b w:val="0"/>
          <w:sz w:val="22"/>
          <w:szCs w:val="22"/>
        </w:rPr>
        <w:t xml:space="preserve">e </w:t>
      </w:r>
      <w:r>
        <w:rPr>
          <w:rFonts w:ascii="Arial" w:eastAsia="Arial" w:hAnsi="Arial" w:cs="Arial"/>
          <w:b w:val="0"/>
        </w:rPr>
        <w:t>CCS or</w:t>
      </w:r>
      <w:r>
        <w:rPr>
          <w:rFonts w:ascii="Arial" w:eastAsia="Arial" w:hAnsi="Arial" w:cs="Arial"/>
          <w:b w:val="0"/>
          <w:sz w:val="22"/>
          <w:szCs w:val="22"/>
        </w:rPr>
        <w:t xml:space="preserve"> Buyer, the Supplier shall:</w:t>
      </w:r>
    </w:p>
    <w:p w:rsidR="00B91140" w:rsidRDefault="00EE1134">
      <w:pPr>
        <w:pStyle w:val="Heading4"/>
        <w:numPr>
          <w:ilvl w:val="3"/>
          <w:numId w:val="2"/>
        </w:numPr>
        <w:rPr>
          <w:rFonts w:ascii="Arial" w:eastAsia="Arial" w:hAnsi="Arial" w:cs="Arial"/>
        </w:rPr>
      </w:pPr>
      <w:r>
        <w:rPr>
          <w:rFonts w:ascii="Arial" w:eastAsia="Arial" w:hAnsi="Arial" w:cs="Arial"/>
        </w:rPr>
        <w:t>on a regular basis (which shall not be less than fortnightly):</w:t>
      </w:r>
    </w:p>
    <w:p w:rsidR="00B91140" w:rsidRDefault="00EE1134">
      <w:pPr>
        <w:pStyle w:val="Heading5"/>
        <w:numPr>
          <w:ilvl w:val="4"/>
          <w:numId w:val="5"/>
        </w:numPr>
        <w:ind w:hanging="707"/>
        <w:rPr>
          <w:rFonts w:ascii="Arial" w:eastAsia="Arial" w:hAnsi="Arial" w:cs="Arial"/>
        </w:rPr>
      </w:pPr>
      <w:r>
        <w:rPr>
          <w:rFonts w:ascii="Arial" w:eastAsia="Arial" w:hAnsi="Arial" w:cs="Arial"/>
        </w:rPr>
        <w:t>review and make any updates to the Financial Distress Service Continuity Plan as the Supplier may deem reasonably necessary and/or as may be reasonably requested by CCS or the Buyer, so that the plan remains adequate, up to date and ensures the continued p</w:t>
      </w:r>
      <w:r>
        <w:rPr>
          <w:rFonts w:ascii="Arial" w:eastAsia="Arial" w:hAnsi="Arial" w:cs="Arial"/>
        </w:rPr>
        <w:t>erformance and delivery of the Deliverables in accordance with this Contract; and</w:t>
      </w:r>
    </w:p>
    <w:p w:rsidR="00B91140" w:rsidRDefault="00EE1134">
      <w:pPr>
        <w:pStyle w:val="Heading5"/>
        <w:numPr>
          <w:ilvl w:val="4"/>
          <w:numId w:val="5"/>
        </w:numPr>
        <w:ind w:hanging="707"/>
        <w:rPr>
          <w:rFonts w:ascii="Arial" w:eastAsia="Arial" w:hAnsi="Arial" w:cs="Arial"/>
        </w:rPr>
      </w:pPr>
      <w:r>
        <w:rPr>
          <w:rFonts w:ascii="Arial" w:eastAsia="Arial" w:hAnsi="Arial" w:cs="Arial"/>
        </w:rPr>
        <w:t>provide a written report to CCS or the Buyer setting out its progress against the Financial Distress Service Continuity Plan, the reasons for any changes made to the Financia</w:t>
      </w:r>
      <w:r>
        <w:rPr>
          <w:rFonts w:ascii="Arial" w:eastAsia="Arial" w:hAnsi="Arial" w:cs="Arial"/>
        </w:rPr>
        <w:t>l Distress Service Continuity Plan by the Supplier and/or the reasons why the Supplier may have decided not to make any changes;</w:t>
      </w:r>
    </w:p>
    <w:p w:rsidR="00B91140" w:rsidRDefault="00EE1134">
      <w:pPr>
        <w:pStyle w:val="Heading4"/>
        <w:numPr>
          <w:ilvl w:val="3"/>
          <w:numId w:val="5"/>
        </w:numPr>
        <w:rPr>
          <w:rFonts w:ascii="Arial" w:eastAsia="Arial" w:hAnsi="Arial" w:cs="Arial"/>
        </w:rPr>
      </w:pPr>
      <w:r>
        <w:rPr>
          <w:rFonts w:ascii="Arial" w:eastAsia="Arial" w:hAnsi="Arial" w:cs="Arial"/>
        </w:rPr>
        <w:t>where updates are made to the Financial Distress Service Continuity Plan in accordance with Paragraph 4.6(a), submit an updated</w:t>
      </w:r>
      <w:r>
        <w:rPr>
          <w:rFonts w:ascii="Arial" w:eastAsia="Arial" w:hAnsi="Arial" w:cs="Arial"/>
        </w:rPr>
        <w:t xml:space="preserve"> Financial Distress Service Continuity Plan to CCS and the Buyer for its approval, and the provisions of Paragraphs 4.4 and 4.5 shall apply to the review and approval process for the updated Financial Distress Service Continuity Plan; and </w:t>
      </w:r>
    </w:p>
    <w:p w:rsidR="00B91140" w:rsidRDefault="00EE1134">
      <w:pPr>
        <w:pStyle w:val="Heading4"/>
        <w:numPr>
          <w:ilvl w:val="3"/>
          <w:numId w:val="5"/>
        </w:numPr>
        <w:rPr>
          <w:rFonts w:ascii="Arial" w:eastAsia="Arial" w:hAnsi="Arial" w:cs="Arial"/>
        </w:rPr>
      </w:pPr>
      <w:r>
        <w:rPr>
          <w:rFonts w:ascii="Arial" w:eastAsia="Arial" w:hAnsi="Arial" w:cs="Arial"/>
        </w:rPr>
        <w:t xml:space="preserve">comply with the </w:t>
      </w:r>
      <w:r>
        <w:rPr>
          <w:rFonts w:ascii="Arial" w:eastAsia="Arial" w:hAnsi="Arial" w:cs="Arial"/>
        </w:rPr>
        <w:t xml:space="preserve">Financial Distress Service Continuity Plan (including any updated Financial Distress Service Continuity Plan). </w:t>
      </w:r>
    </w:p>
    <w:p w:rsidR="00B91140" w:rsidRDefault="00EE1134">
      <w:pPr>
        <w:pStyle w:val="Heading3"/>
        <w:keepNext w:val="0"/>
        <w:keepLines/>
        <w:numPr>
          <w:ilvl w:val="2"/>
          <w:numId w:val="5"/>
        </w:numPr>
        <w:spacing w:before="0" w:after="240"/>
        <w:rPr>
          <w:rFonts w:ascii="Arial" w:eastAsia="Arial" w:hAnsi="Arial" w:cs="Arial"/>
          <w:b w:val="0"/>
          <w:sz w:val="22"/>
          <w:szCs w:val="22"/>
        </w:rPr>
      </w:pPr>
      <w:r>
        <w:rPr>
          <w:rFonts w:ascii="Arial" w:eastAsia="Arial" w:hAnsi="Arial" w:cs="Arial"/>
          <w:b w:val="0"/>
          <w:sz w:val="22"/>
          <w:szCs w:val="22"/>
        </w:rPr>
        <w:t>Where the Supplier reasonably believes that the relevant Financial Distress Event under Paragraph 4.1 (or the circumstance or matter which has c</w:t>
      </w:r>
      <w:r>
        <w:rPr>
          <w:rFonts w:ascii="Arial" w:eastAsia="Arial" w:hAnsi="Arial" w:cs="Arial"/>
          <w:b w:val="0"/>
          <w:sz w:val="22"/>
          <w:szCs w:val="22"/>
        </w:rPr>
        <w:t>aused or otherwise led to it) no longer exists, it shall notify CCS and</w:t>
      </w:r>
      <w:r>
        <w:rPr>
          <w:rFonts w:ascii="Arial" w:eastAsia="Arial" w:hAnsi="Arial" w:cs="Arial"/>
        </w:rPr>
        <w:t xml:space="preserve"> </w:t>
      </w:r>
      <w:r>
        <w:rPr>
          <w:rFonts w:ascii="Arial" w:eastAsia="Arial" w:hAnsi="Arial" w:cs="Arial"/>
          <w:b w:val="0"/>
          <w:sz w:val="22"/>
          <w:szCs w:val="22"/>
        </w:rPr>
        <w:t xml:space="preserve">the Buyer and the Parties may agree that the Supplier shall be relieved of its obligations under Paragraph 4.6. </w:t>
      </w:r>
    </w:p>
    <w:p w:rsidR="00B91140" w:rsidRDefault="00EE1134">
      <w:pPr>
        <w:pStyle w:val="Heading3"/>
        <w:keepNext w:val="0"/>
        <w:keepLines/>
        <w:numPr>
          <w:ilvl w:val="2"/>
          <w:numId w:val="5"/>
        </w:numPr>
        <w:spacing w:before="0" w:after="240"/>
        <w:rPr>
          <w:rFonts w:ascii="Arial" w:eastAsia="Arial" w:hAnsi="Arial" w:cs="Arial"/>
          <w:b w:val="0"/>
          <w:sz w:val="22"/>
          <w:szCs w:val="22"/>
        </w:rPr>
      </w:pPr>
      <w:bookmarkStart w:id="13" w:name="_heading=h.lnxbz9" w:colFirst="0" w:colLast="0"/>
      <w:bookmarkEnd w:id="13"/>
      <w:r>
        <w:rPr>
          <w:rFonts w:ascii="Arial" w:eastAsia="Arial" w:hAnsi="Arial" w:cs="Arial"/>
          <w:b w:val="0"/>
          <w:sz w:val="22"/>
          <w:szCs w:val="22"/>
        </w:rPr>
        <w:lastRenderedPageBreak/>
        <w:t>The Supplier shall use reasonable endeavours to put in place the necess</w:t>
      </w:r>
      <w:r>
        <w:rPr>
          <w:rFonts w:ascii="Arial" w:eastAsia="Arial" w:hAnsi="Arial" w:cs="Arial"/>
          <w:b w:val="0"/>
          <w:sz w:val="22"/>
          <w:szCs w:val="22"/>
        </w:rPr>
        <w:t>ary measures to ensure that the information specified at Paragraph 4.3(b)(ii) is available when required and on request from CCS and the Buyer and within reasonable timescales. Such measures may include:</w:t>
      </w:r>
    </w:p>
    <w:p w:rsidR="00B91140" w:rsidRDefault="00EE1134">
      <w:pPr>
        <w:pStyle w:val="Heading4"/>
        <w:numPr>
          <w:ilvl w:val="3"/>
          <w:numId w:val="5"/>
        </w:numPr>
        <w:rPr>
          <w:rFonts w:ascii="Arial" w:eastAsia="Arial" w:hAnsi="Arial" w:cs="Arial"/>
        </w:rPr>
      </w:pPr>
      <w:r>
        <w:rPr>
          <w:rFonts w:ascii="Arial" w:eastAsia="Arial" w:hAnsi="Arial" w:cs="Arial"/>
        </w:rPr>
        <w:t>obtaining in advance written confirmation from Key S</w:t>
      </w:r>
      <w:r>
        <w:rPr>
          <w:rFonts w:ascii="Arial" w:eastAsia="Arial" w:hAnsi="Arial" w:cs="Arial"/>
        </w:rPr>
        <w:t>ub-contractors, the Guarantor, Monitored Suppliers, and any relevant Parent Undertaking (for the Supplier or a Key Sub-contractor) authorising the disclosure of the information to the CCS and Buyer and/or entering into confidentiality agreements which perm</w:t>
      </w:r>
      <w:r>
        <w:rPr>
          <w:rFonts w:ascii="Arial" w:eastAsia="Arial" w:hAnsi="Arial" w:cs="Arial"/>
        </w:rPr>
        <w:t>it disclosure;</w:t>
      </w:r>
    </w:p>
    <w:p w:rsidR="00B91140" w:rsidRDefault="00EE1134">
      <w:pPr>
        <w:pStyle w:val="Heading4"/>
        <w:numPr>
          <w:ilvl w:val="3"/>
          <w:numId w:val="5"/>
        </w:numPr>
        <w:rPr>
          <w:rFonts w:ascii="Arial" w:eastAsia="Arial" w:hAnsi="Arial" w:cs="Arial"/>
        </w:rPr>
      </w:pPr>
      <w:bookmarkStart w:id="14" w:name="_heading=h.35nkun2" w:colFirst="0" w:colLast="0"/>
      <w:bookmarkEnd w:id="14"/>
      <w:r>
        <w:rPr>
          <w:rFonts w:ascii="Arial" w:eastAsia="Arial" w:hAnsi="Arial" w:cs="Arial"/>
        </w:rPr>
        <w:t>agreeing in advance with CCS and the Buyer, the Key Sub-contractors, the Guarantor Monitored Suppliers, and any relevant Parent Undertaking (for the Supplier or a Key Sub-contractor) a form of confidentiality agreement to be entered by the r</w:t>
      </w:r>
      <w:r>
        <w:rPr>
          <w:rFonts w:ascii="Arial" w:eastAsia="Arial" w:hAnsi="Arial" w:cs="Arial"/>
        </w:rPr>
        <w:t>elevant parties to enable the disclosure of the information to the CCS and the Buyer;</w:t>
      </w:r>
    </w:p>
    <w:p w:rsidR="00B91140" w:rsidRDefault="00EE1134">
      <w:pPr>
        <w:pStyle w:val="Heading4"/>
        <w:numPr>
          <w:ilvl w:val="3"/>
          <w:numId w:val="5"/>
        </w:numPr>
        <w:rPr>
          <w:rFonts w:ascii="Arial" w:eastAsia="Arial" w:hAnsi="Arial" w:cs="Arial"/>
        </w:rPr>
      </w:pPr>
      <w:bookmarkStart w:id="15" w:name="_heading=h.1ksv4uv" w:colFirst="0" w:colLast="0"/>
      <w:bookmarkEnd w:id="15"/>
      <w:r>
        <w:rPr>
          <w:rFonts w:ascii="Arial" w:eastAsia="Arial" w:hAnsi="Arial" w:cs="Arial"/>
        </w:rPr>
        <w:t>putting in place any other reasonable arrangements to enable the information to be lawfully disclosed to the CCS and the Buyer (which may include (without limitation) mak</w:t>
      </w:r>
      <w:r>
        <w:rPr>
          <w:rFonts w:ascii="Arial" w:eastAsia="Arial" w:hAnsi="Arial" w:cs="Arial"/>
        </w:rPr>
        <w:t>ing information available to nominated CCS and Buyer personnel through confidential arrangements, subject to their consent); and</w:t>
      </w:r>
    </w:p>
    <w:p w:rsidR="00B91140" w:rsidRDefault="00EE1134">
      <w:pPr>
        <w:pStyle w:val="Heading4"/>
        <w:numPr>
          <w:ilvl w:val="3"/>
          <w:numId w:val="5"/>
        </w:numPr>
        <w:rPr>
          <w:rFonts w:ascii="Arial" w:eastAsia="Arial" w:hAnsi="Arial" w:cs="Arial"/>
        </w:rPr>
      </w:pPr>
      <w:r>
        <w:rPr>
          <w:rFonts w:ascii="Arial" w:eastAsia="Arial" w:hAnsi="Arial" w:cs="Arial"/>
        </w:rPr>
        <w:t>disclosing the information to the fullest extent that it is lawfully entitled to do so, including through the use of redaction,</w:t>
      </w:r>
      <w:r>
        <w:rPr>
          <w:rFonts w:ascii="Arial" w:eastAsia="Arial" w:hAnsi="Arial" w:cs="Arial"/>
        </w:rPr>
        <w:t xml:space="preserve"> anonymisation and any other techniques to permit disclosure of the information without breaching a duty of confidentiality.</w:t>
      </w:r>
    </w:p>
    <w:p w:rsidR="00B91140" w:rsidRDefault="00EE1134">
      <w:pPr>
        <w:pStyle w:val="Heading2"/>
        <w:keepLines/>
        <w:numPr>
          <w:ilvl w:val="1"/>
          <w:numId w:val="5"/>
        </w:numPr>
        <w:spacing w:before="0" w:after="240"/>
        <w:rPr>
          <w:rFonts w:ascii="Arial" w:eastAsia="Arial" w:hAnsi="Arial" w:cs="Arial"/>
          <w:i w:val="0"/>
          <w:sz w:val="22"/>
          <w:szCs w:val="22"/>
        </w:rPr>
      </w:pPr>
      <w:r>
        <w:rPr>
          <w:rFonts w:ascii="Arial" w:eastAsia="Arial" w:hAnsi="Arial" w:cs="Arial"/>
          <w:i w:val="0"/>
          <w:sz w:val="22"/>
          <w:szCs w:val="22"/>
        </w:rPr>
        <w:t>FINANCIAL INDICATORS</w:t>
      </w:r>
    </w:p>
    <w:p w:rsidR="00B91140" w:rsidRDefault="00EE1134">
      <w:pPr>
        <w:pStyle w:val="Heading3"/>
        <w:keepNext w:val="0"/>
        <w:keepLines/>
        <w:numPr>
          <w:ilvl w:val="2"/>
          <w:numId w:val="9"/>
        </w:numPr>
        <w:spacing w:before="0" w:after="240"/>
        <w:rPr>
          <w:rFonts w:ascii="Arial" w:eastAsia="Arial" w:hAnsi="Arial" w:cs="Arial"/>
          <w:b w:val="0"/>
          <w:sz w:val="22"/>
          <w:szCs w:val="22"/>
        </w:rPr>
      </w:pPr>
      <w:r>
        <w:rPr>
          <w:rFonts w:ascii="Arial" w:eastAsia="Arial" w:hAnsi="Arial" w:cs="Arial"/>
          <w:b w:val="0"/>
          <w:sz w:val="22"/>
          <w:szCs w:val="22"/>
        </w:rPr>
        <w:t>Subject to the calculation methodology set out at Annex 4 of this Schedule, the Financial Indicators and the corresponding calculations and thresholds used to determine whether a Financial Distress Event has occurred in respect of those Financial Indicator</w:t>
      </w:r>
      <w:r>
        <w:rPr>
          <w:rFonts w:ascii="Arial" w:eastAsia="Arial" w:hAnsi="Arial" w:cs="Arial"/>
          <w:b w:val="0"/>
          <w:sz w:val="22"/>
          <w:szCs w:val="22"/>
        </w:rPr>
        <w:t>s, shall be as follows:</w:t>
      </w:r>
    </w:p>
    <w:p w:rsidR="00B91140" w:rsidRDefault="00B91140">
      <w:pPr>
        <w:rPr>
          <w:rFonts w:ascii="Arial" w:eastAsia="Arial" w:hAnsi="Arial" w:cs="Arial"/>
        </w:rPr>
      </w:pPr>
    </w:p>
    <w:tbl>
      <w:tblPr>
        <w:tblStyle w:val="a0"/>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1512"/>
        <w:gridCol w:w="2393"/>
        <w:gridCol w:w="3654"/>
      </w:tblGrid>
      <w:tr w:rsidR="00B91140">
        <w:tc>
          <w:tcPr>
            <w:tcW w:w="2790" w:type="dxa"/>
            <w:shd w:val="clear" w:color="auto" w:fill="BFBFBF"/>
          </w:tcPr>
          <w:p w:rsidR="00B91140" w:rsidRDefault="00EE1134">
            <w:pPr>
              <w:pStyle w:val="Heading3"/>
              <w:ind w:left="34"/>
              <w:jc w:val="center"/>
              <w:outlineLvl w:val="2"/>
              <w:rPr>
                <w:rFonts w:ascii="Arial" w:eastAsia="Arial" w:hAnsi="Arial" w:cs="Arial"/>
                <w:b w:val="0"/>
                <w:sz w:val="22"/>
                <w:szCs w:val="22"/>
              </w:rPr>
            </w:pPr>
            <w:r>
              <w:rPr>
                <w:rFonts w:ascii="Arial" w:eastAsia="Arial" w:hAnsi="Arial" w:cs="Arial"/>
                <w:sz w:val="22"/>
                <w:szCs w:val="22"/>
              </w:rPr>
              <w:lastRenderedPageBreak/>
              <w:t>Financial Indicator</w:t>
            </w:r>
          </w:p>
        </w:tc>
        <w:tc>
          <w:tcPr>
            <w:tcW w:w="1512" w:type="dxa"/>
            <w:shd w:val="clear" w:color="auto" w:fill="BFBFBF"/>
          </w:tcPr>
          <w:p w:rsidR="00B91140" w:rsidRDefault="00EE1134">
            <w:pPr>
              <w:pStyle w:val="Heading3"/>
              <w:jc w:val="left"/>
              <w:outlineLvl w:val="2"/>
              <w:rPr>
                <w:rFonts w:ascii="Arial" w:eastAsia="Arial" w:hAnsi="Arial" w:cs="Arial"/>
                <w:b w:val="0"/>
                <w:sz w:val="22"/>
                <w:szCs w:val="22"/>
              </w:rPr>
            </w:pPr>
            <w:r>
              <w:rPr>
                <w:rFonts w:ascii="Arial" w:eastAsia="Arial" w:hAnsi="Arial" w:cs="Arial"/>
                <w:sz w:val="22"/>
                <w:szCs w:val="22"/>
              </w:rPr>
              <w:t xml:space="preserve">Calculation </w:t>
            </w:r>
            <w:r>
              <w:rPr>
                <w:rFonts w:ascii="Arial" w:eastAsia="Arial" w:hAnsi="Arial" w:cs="Arial"/>
                <w:sz w:val="22"/>
                <w:szCs w:val="22"/>
                <w:vertAlign w:val="superscript"/>
              </w:rPr>
              <w:t>1</w:t>
            </w:r>
          </w:p>
        </w:tc>
        <w:tc>
          <w:tcPr>
            <w:tcW w:w="2393" w:type="dxa"/>
            <w:shd w:val="clear" w:color="auto" w:fill="BFBFBF"/>
          </w:tcPr>
          <w:p w:rsidR="00B91140" w:rsidRDefault="00EE1134">
            <w:pPr>
              <w:pStyle w:val="Heading3"/>
              <w:jc w:val="center"/>
              <w:outlineLvl w:val="2"/>
              <w:rPr>
                <w:rFonts w:ascii="Arial" w:eastAsia="Arial" w:hAnsi="Arial" w:cs="Arial"/>
                <w:b w:val="0"/>
                <w:sz w:val="22"/>
                <w:szCs w:val="22"/>
              </w:rPr>
            </w:pPr>
            <w:r>
              <w:rPr>
                <w:rFonts w:ascii="Arial" w:eastAsia="Arial" w:hAnsi="Arial" w:cs="Arial"/>
                <w:sz w:val="22"/>
                <w:szCs w:val="22"/>
              </w:rPr>
              <w:t>Financial Target Threshold:</w:t>
            </w:r>
          </w:p>
        </w:tc>
        <w:tc>
          <w:tcPr>
            <w:tcW w:w="3654" w:type="dxa"/>
            <w:shd w:val="clear" w:color="auto" w:fill="BFBFBF"/>
          </w:tcPr>
          <w:p w:rsidR="00B91140" w:rsidRDefault="00EE1134">
            <w:pPr>
              <w:pStyle w:val="Heading3"/>
              <w:jc w:val="center"/>
              <w:outlineLvl w:val="2"/>
              <w:rPr>
                <w:rFonts w:ascii="Arial" w:eastAsia="Arial" w:hAnsi="Arial" w:cs="Arial"/>
                <w:b w:val="0"/>
                <w:sz w:val="22"/>
                <w:szCs w:val="22"/>
              </w:rPr>
            </w:pPr>
            <w:r>
              <w:rPr>
                <w:rFonts w:ascii="Arial" w:eastAsia="Arial" w:hAnsi="Arial" w:cs="Arial"/>
                <w:sz w:val="22"/>
                <w:szCs w:val="22"/>
              </w:rPr>
              <w:t>Monitoring and Reporting Frequency (if different from the default position set out in Paragraph 2.3(b))</w:t>
            </w:r>
          </w:p>
        </w:tc>
      </w:tr>
      <w:tr w:rsidR="00B91140">
        <w:trPr>
          <w:trHeight w:val="3246"/>
        </w:trPr>
        <w:tc>
          <w:tcPr>
            <w:tcW w:w="2790" w:type="dxa"/>
            <w:vAlign w:val="center"/>
          </w:tcPr>
          <w:p w:rsidR="00B91140" w:rsidRDefault="00EE1134">
            <w:pPr>
              <w:pStyle w:val="Heading3"/>
              <w:ind w:left="34"/>
              <w:outlineLvl w:val="2"/>
              <w:rPr>
                <w:rFonts w:ascii="Arial" w:eastAsia="Arial" w:hAnsi="Arial" w:cs="Arial"/>
                <w:b w:val="0"/>
                <w:sz w:val="22"/>
                <w:szCs w:val="22"/>
              </w:rPr>
            </w:pPr>
            <w:r>
              <w:rPr>
                <w:rFonts w:ascii="Arial" w:eastAsia="Arial" w:hAnsi="Arial" w:cs="Arial"/>
                <w:sz w:val="22"/>
                <w:szCs w:val="22"/>
              </w:rPr>
              <w:t>1</w:t>
            </w:r>
          </w:p>
          <w:p w:rsidR="00B91140" w:rsidRDefault="00EE1134">
            <w:pPr>
              <w:rPr>
                <w:rFonts w:ascii="Arial" w:eastAsia="Arial" w:hAnsi="Arial" w:cs="Arial"/>
                <w:b/>
                <w:sz w:val="22"/>
                <w:szCs w:val="22"/>
              </w:rPr>
            </w:pPr>
            <w:r>
              <w:rPr>
                <w:rFonts w:ascii="Arial" w:eastAsia="Arial" w:hAnsi="Arial" w:cs="Arial"/>
                <w:b/>
                <w:sz w:val="22"/>
                <w:szCs w:val="22"/>
              </w:rPr>
              <w:t>The higher of (a) the Operating Margin for the most recent 12-month period and (b) the average Operating Margin for the last two 12-month periods</w:t>
            </w:r>
          </w:p>
        </w:tc>
        <w:tc>
          <w:tcPr>
            <w:tcW w:w="1512" w:type="dxa"/>
            <w:vAlign w:val="center"/>
          </w:tcPr>
          <w:p w:rsidR="00B91140" w:rsidRDefault="00EE1134">
            <w:pPr>
              <w:pStyle w:val="Heading3"/>
              <w:jc w:val="left"/>
              <w:outlineLvl w:val="2"/>
              <w:rPr>
                <w:rFonts w:ascii="Arial" w:eastAsia="Arial" w:hAnsi="Arial" w:cs="Arial"/>
                <w:i/>
                <w:sz w:val="22"/>
                <w:szCs w:val="22"/>
              </w:rPr>
            </w:pPr>
            <w:r>
              <w:rPr>
                <w:rFonts w:ascii="Arial" w:eastAsia="Arial" w:hAnsi="Arial" w:cs="Arial"/>
                <w:i/>
                <w:sz w:val="22"/>
                <w:szCs w:val="22"/>
              </w:rPr>
              <w:t>Operating Margin = Operating Profit / Revenue</w:t>
            </w:r>
          </w:p>
        </w:tc>
        <w:tc>
          <w:tcPr>
            <w:tcW w:w="2393" w:type="dxa"/>
            <w:vAlign w:val="center"/>
          </w:tcPr>
          <w:p w:rsidR="00B91140" w:rsidRDefault="00EE1134">
            <w:pPr>
              <w:jc w:val="center"/>
              <w:rPr>
                <w:rFonts w:ascii="Arial" w:eastAsia="Arial" w:hAnsi="Arial" w:cs="Arial"/>
                <w:b/>
                <w:sz w:val="22"/>
                <w:szCs w:val="22"/>
              </w:rPr>
            </w:pPr>
            <w:r>
              <w:rPr>
                <w:rFonts w:ascii="Arial" w:eastAsia="Arial" w:hAnsi="Arial" w:cs="Arial"/>
                <w:b/>
                <w:sz w:val="22"/>
                <w:szCs w:val="22"/>
              </w:rPr>
              <w:t>&gt; 5%</w:t>
            </w:r>
          </w:p>
        </w:tc>
        <w:tc>
          <w:tcPr>
            <w:tcW w:w="3654" w:type="dxa"/>
            <w:vAlign w:val="center"/>
          </w:tcPr>
          <w:p w:rsidR="00B91140" w:rsidRDefault="00EE1134">
            <w:pPr>
              <w:pStyle w:val="Heading3"/>
              <w:jc w:val="left"/>
              <w:outlineLvl w:val="2"/>
              <w:rPr>
                <w:rFonts w:ascii="Arial" w:eastAsia="Arial" w:hAnsi="Arial" w:cs="Arial"/>
                <w:sz w:val="22"/>
                <w:szCs w:val="22"/>
              </w:rPr>
            </w:pPr>
            <w:r>
              <w:rPr>
                <w:rFonts w:ascii="Arial" w:eastAsia="Arial" w:hAnsi="Arial" w:cs="Arial"/>
                <w:sz w:val="22"/>
                <w:szCs w:val="22"/>
              </w:rPr>
              <w:t>Tested and reported at least quarterly in arrears based on the latest publicly available information. Calculation as a minimum should be updated within 285 days of each Accounting Reference Date based upon figures for the 12 months ending on the relevant a</w:t>
            </w:r>
            <w:r>
              <w:rPr>
                <w:rFonts w:ascii="Arial" w:eastAsia="Arial" w:hAnsi="Arial" w:cs="Arial"/>
                <w:sz w:val="22"/>
                <w:szCs w:val="22"/>
              </w:rPr>
              <w:t>ccounting reference date.</w:t>
            </w:r>
          </w:p>
        </w:tc>
      </w:tr>
      <w:tr w:rsidR="00B91140">
        <w:tc>
          <w:tcPr>
            <w:tcW w:w="2790" w:type="dxa"/>
            <w:vAlign w:val="center"/>
          </w:tcPr>
          <w:p w:rsidR="00B91140" w:rsidRDefault="00EE1134">
            <w:pPr>
              <w:pStyle w:val="Heading3"/>
              <w:jc w:val="left"/>
              <w:outlineLvl w:val="2"/>
              <w:rPr>
                <w:rFonts w:ascii="Arial" w:eastAsia="Arial" w:hAnsi="Arial" w:cs="Arial"/>
                <w:b w:val="0"/>
                <w:sz w:val="22"/>
                <w:szCs w:val="22"/>
              </w:rPr>
            </w:pPr>
            <w:r>
              <w:rPr>
                <w:rFonts w:ascii="Arial" w:eastAsia="Arial" w:hAnsi="Arial" w:cs="Arial"/>
                <w:sz w:val="22"/>
                <w:szCs w:val="22"/>
              </w:rPr>
              <w:t>2</w:t>
            </w:r>
          </w:p>
          <w:p w:rsidR="00B91140" w:rsidRDefault="00EE1134">
            <w:pPr>
              <w:jc w:val="left"/>
              <w:rPr>
                <w:rFonts w:ascii="Arial" w:eastAsia="Arial" w:hAnsi="Arial" w:cs="Arial"/>
                <w:sz w:val="22"/>
                <w:szCs w:val="22"/>
              </w:rPr>
            </w:pPr>
            <w:r>
              <w:rPr>
                <w:rFonts w:ascii="Arial" w:eastAsia="Arial" w:hAnsi="Arial" w:cs="Arial"/>
                <w:b/>
                <w:sz w:val="22"/>
                <w:szCs w:val="22"/>
              </w:rPr>
              <w:t xml:space="preserve"> Net Debt to EBITDA Ratio</w:t>
            </w:r>
          </w:p>
        </w:tc>
        <w:tc>
          <w:tcPr>
            <w:tcW w:w="1512" w:type="dxa"/>
            <w:vAlign w:val="center"/>
          </w:tcPr>
          <w:p w:rsidR="00B91140" w:rsidRDefault="00EE1134">
            <w:pPr>
              <w:pStyle w:val="Heading3"/>
              <w:jc w:val="left"/>
              <w:outlineLvl w:val="2"/>
              <w:rPr>
                <w:rFonts w:ascii="Arial" w:eastAsia="Arial" w:hAnsi="Arial" w:cs="Arial"/>
                <w:i/>
                <w:sz w:val="22"/>
                <w:szCs w:val="22"/>
              </w:rPr>
            </w:pPr>
            <w:r>
              <w:rPr>
                <w:rFonts w:ascii="Arial" w:eastAsia="Arial" w:hAnsi="Arial" w:cs="Arial"/>
                <w:i/>
                <w:sz w:val="22"/>
                <w:szCs w:val="22"/>
              </w:rPr>
              <w:t>Net Debt to EBITDA ratio = Net Debt / EBITDA</w:t>
            </w:r>
          </w:p>
        </w:tc>
        <w:tc>
          <w:tcPr>
            <w:tcW w:w="2393" w:type="dxa"/>
            <w:vAlign w:val="center"/>
          </w:tcPr>
          <w:p w:rsidR="00B91140" w:rsidRDefault="00EE1134">
            <w:pPr>
              <w:jc w:val="center"/>
              <w:rPr>
                <w:rFonts w:ascii="Arial" w:eastAsia="Arial" w:hAnsi="Arial" w:cs="Arial"/>
                <w:b/>
                <w:sz w:val="22"/>
                <w:szCs w:val="22"/>
              </w:rPr>
            </w:pPr>
            <w:r>
              <w:rPr>
                <w:rFonts w:ascii="Arial" w:eastAsia="Arial" w:hAnsi="Arial" w:cs="Arial"/>
                <w:b/>
                <w:sz w:val="22"/>
                <w:szCs w:val="22"/>
              </w:rPr>
              <w:t>&lt; 3.5 times</w:t>
            </w:r>
          </w:p>
        </w:tc>
        <w:tc>
          <w:tcPr>
            <w:tcW w:w="3654" w:type="dxa"/>
            <w:vAlign w:val="center"/>
          </w:tcPr>
          <w:p w:rsidR="00B91140" w:rsidRDefault="00EE1134">
            <w:pPr>
              <w:pStyle w:val="Heading3"/>
              <w:ind w:left="31"/>
              <w:jc w:val="left"/>
              <w:outlineLvl w:val="2"/>
              <w:rPr>
                <w:rFonts w:ascii="Arial" w:eastAsia="Arial" w:hAnsi="Arial" w:cs="Arial"/>
                <w:sz w:val="22"/>
                <w:szCs w:val="22"/>
              </w:rPr>
            </w:pPr>
            <w:r>
              <w:rPr>
                <w:rFonts w:ascii="Arial" w:eastAsia="Arial" w:hAnsi="Arial" w:cs="Arial"/>
                <w:sz w:val="22"/>
                <w:szCs w:val="22"/>
              </w:rPr>
              <w:t>Tested and reported at least quarterly in arrears based on latest publicly available information. Calculation as a minimum should be updated wit</w:t>
            </w:r>
            <w:r>
              <w:rPr>
                <w:rFonts w:ascii="Arial" w:eastAsia="Arial" w:hAnsi="Arial" w:cs="Arial"/>
                <w:sz w:val="22"/>
                <w:szCs w:val="22"/>
              </w:rPr>
              <w:t>hin 285 days of each accounting reference date based upon EBITDA for the 12 months ending on, and Net Debt at, the relevant accounting reference date</w:t>
            </w:r>
          </w:p>
        </w:tc>
      </w:tr>
      <w:tr w:rsidR="00B91140">
        <w:tc>
          <w:tcPr>
            <w:tcW w:w="2790" w:type="dxa"/>
            <w:vAlign w:val="center"/>
          </w:tcPr>
          <w:p w:rsidR="00B91140" w:rsidRDefault="00EE1134">
            <w:pPr>
              <w:pStyle w:val="Heading3"/>
              <w:ind w:left="34"/>
              <w:outlineLvl w:val="2"/>
              <w:rPr>
                <w:rFonts w:ascii="Arial" w:eastAsia="Arial" w:hAnsi="Arial" w:cs="Arial"/>
                <w:b w:val="0"/>
                <w:sz w:val="22"/>
                <w:szCs w:val="22"/>
              </w:rPr>
            </w:pPr>
            <w:r>
              <w:rPr>
                <w:rFonts w:ascii="Arial" w:eastAsia="Arial" w:hAnsi="Arial" w:cs="Arial"/>
                <w:sz w:val="22"/>
                <w:szCs w:val="22"/>
              </w:rPr>
              <w:lastRenderedPageBreak/>
              <w:t>3</w:t>
            </w:r>
          </w:p>
          <w:p w:rsidR="00B91140" w:rsidRDefault="00EE1134">
            <w:pPr>
              <w:rPr>
                <w:rFonts w:ascii="Arial" w:eastAsia="Arial" w:hAnsi="Arial" w:cs="Arial"/>
                <w:b/>
                <w:sz w:val="22"/>
                <w:szCs w:val="22"/>
              </w:rPr>
            </w:pPr>
            <w:r>
              <w:rPr>
                <w:rFonts w:ascii="Arial" w:eastAsia="Arial" w:hAnsi="Arial" w:cs="Arial"/>
                <w:b/>
                <w:sz w:val="22"/>
                <w:szCs w:val="22"/>
              </w:rPr>
              <w:t>Net Debt + Net Pension Deficit to EBITDA ratio</w:t>
            </w:r>
          </w:p>
        </w:tc>
        <w:tc>
          <w:tcPr>
            <w:tcW w:w="1512" w:type="dxa"/>
            <w:vAlign w:val="center"/>
          </w:tcPr>
          <w:p w:rsidR="00B91140" w:rsidRDefault="00EE1134">
            <w:pPr>
              <w:pStyle w:val="Heading3"/>
              <w:jc w:val="left"/>
              <w:outlineLvl w:val="2"/>
              <w:rPr>
                <w:rFonts w:ascii="Arial" w:eastAsia="Arial" w:hAnsi="Arial" w:cs="Arial"/>
                <w:sz w:val="22"/>
                <w:szCs w:val="22"/>
              </w:rPr>
            </w:pPr>
            <w:r>
              <w:rPr>
                <w:rFonts w:ascii="Arial" w:eastAsia="Arial" w:hAnsi="Arial" w:cs="Arial"/>
                <w:sz w:val="22"/>
                <w:szCs w:val="22"/>
              </w:rPr>
              <w:t>Net Debt + Net Pension Deficit to EBITDA Ratio = (Net Debt + Net Pension Deficit) / EBITDA</w:t>
            </w:r>
          </w:p>
        </w:tc>
        <w:tc>
          <w:tcPr>
            <w:tcW w:w="2393" w:type="dxa"/>
            <w:vAlign w:val="center"/>
          </w:tcPr>
          <w:p w:rsidR="00B91140" w:rsidRDefault="00EE1134">
            <w:pPr>
              <w:pStyle w:val="Heading3"/>
              <w:ind w:left="30" w:right="280"/>
              <w:jc w:val="center"/>
              <w:outlineLvl w:val="2"/>
              <w:rPr>
                <w:rFonts w:ascii="Arial" w:eastAsia="Arial" w:hAnsi="Arial" w:cs="Arial"/>
                <w:sz w:val="22"/>
                <w:szCs w:val="22"/>
              </w:rPr>
            </w:pPr>
            <w:r>
              <w:rPr>
                <w:rFonts w:ascii="Arial" w:eastAsia="Arial" w:hAnsi="Arial" w:cs="Arial"/>
                <w:sz w:val="22"/>
                <w:szCs w:val="22"/>
              </w:rPr>
              <w:t>&lt; 5 times</w:t>
            </w:r>
          </w:p>
        </w:tc>
        <w:tc>
          <w:tcPr>
            <w:tcW w:w="3654" w:type="dxa"/>
            <w:vAlign w:val="center"/>
          </w:tcPr>
          <w:p w:rsidR="00B91140" w:rsidRDefault="00EE1134">
            <w:pPr>
              <w:pStyle w:val="Heading3"/>
              <w:jc w:val="left"/>
              <w:outlineLvl w:val="2"/>
              <w:rPr>
                <w:rFonts w:ascii="Arial" w:eastAsia="Arial" w:hAnsi="Arial" w:cs="Arial"/>
                <w:sz w:val="22"/>
                <w:szCs w:val="22"/>
              </w:rPr>
            </w:pPr>
            <w:r>
              <w:rPr>
                <w:rFonts w:ascii="Arial" w:eastAsia="Arial" w:hAnsi="Arial" w:cs="Arial"/>
                <w:sz w:val="22"/>
                <w:szCs w:val="22"/>
              </w:rPr>
              <w:t>Tested and reported quarterly in arrears based on latest publicly available information. Calculation as a minimum should be updated within 285 days of each</w:t>
            </w:r>
            <w:r>
              <w:rPr>
                <w:rFonts w:ascii="Arial" w:eastAsia="Arial" w:hAnsi="Arial" w:cs="Arial"/>
                <w:sz w:val="22"/>
                <w:szCs w:val="22"/>
              </w:rPr>
              <w:t xml:space="preserve"> accounting reference date based upon EBITDA for the 12 months ending on, and the Net Debt and Net Pension Deficit at, the relevant accounting reference date.</w:t>
            </w:r>
          </w:p>
        </w:tc>
      </w:tr>
      <w:tr w:rsidR="00B91140">
        <w:tc>
          <w:tcPr>
            <w:tcW w:w="2790" w:type="dxa"/>
            <w:vAlign w:val="center"/>
          </w:tcPr>
          <w:p w:rsidR="00B91140" w:rsidRDefault="00EE1134">
            <w:pPr>
              <w:pStyle w:val="Heading3"/>
              <w:outlineLvl w:val="2"/>
              <w:rPr>
                <w:rFonts w:ascii="Arial" w:eastAsia="Arial" w:hAnsi="Arial" w:cs="Arial"/>
                <w:b w:val="0"/>
                <w:sz w:val="22"/>
                <w:szCs w:val="22"/>
              </w:rPr>
            </w:pPr>
            <w:r>
              <w:rPr>
                <w:rFonts w:ascii="Arial" w:eastAsia="Arial" w:hAnsi="Arial" w:cs="Arial"/>
                <w:sz w:val="22"/>
                <w:szCs w:val="22"/>
              </w:rPr>
              <w:t>4</w:t>
            </w:r>
          </w:p>
          <w:p w:rsidR="00B91140" w:rsidRDefault="00EE1134">
            <w:pPr>
              <w:rPr>
                <w:rFonts w:ascii="Arial" w:eastAsia="Arial" w:hAnsi="Arial" w:cs="Arial"/>
                <w:b/>
                <w:sz w:val="22"/>
                <w:szCs w:val="22"/>
              </w:rPr>
            </w:pPr>
            <w:r>
              <w:rPr>
                <w:rFonts w:ascii="Arial" w:eastAsia="Arial" w:hAnsi="Arial" w:cs="Arial"/>
                <w:b/>
                <w:sz w:val="22"/>
                <w:szCs w:val="22"/>
              </w:rPr>
              <w:t>Net Interest Cover</w:t>
            </w:r>
          </w:p>
        </w:tc>
        <w:tc>
          <w:tcPr>
            <w:tcW w:w="1512" w:type="dxa"/>
            <w:vAlign w:val="center"/>
          </w:tcPr>
          <w:p w:rsidR="00B91140" w:rsidRDefault="00EE1134">
            <w:pPr>
              <w:pStyle w:val="Heading3"/>
              <w:jc w:val="left"/>
              <w:outlineLvl w:val="2"/>
              <w:rPr>
                <w:rFonts w:ascii="Arial" w:eastAsia="Arial" w:hAnsi="Arial" w:cs="Arial"/>
                <w:i/>
                <w:sz w:val="22"/>
                <w:szCs w:val="22"/>
              </w:rPr>
            </w:pPr>
            <w:r>
              <w:rPr>
                <w:rFonts w:ascii="Arial" w:eastAsia="Arial" w:hAnsi="Arial" w:cs="Arial"/>
                <w:i/>
                <w:sz w:val="22"/>
                <w:szCs w:val="22"/>
              </w:rPr>
              <w:t>Net Interest Payable Cover = Earnings Before Interest and Tax / Net Interes</w:t>
            </w:r>
            <w:r>
              <w:rPr>
                <w:rFonts w:ascii="Arial" w:eastAsia="Arial" w:hAnsi="Arial" w:cs="Arial"/>
                <w:i/>
                <w:sz w:val="22"/>
                <w:szCs w:val="22"/>
              </w:rPr>
              <w:t>t Payable</w:t>
            </w:r>
          </w:p>
        </w:tc>
        <w:tc>
          <w:tcPr>
            <w:tcW w:w="2393" w:type="dxa"/>
            <w:vAlign w:val="center"/>
          </w:tcPr>
          <w:p w:rsidR="00B91140" w:rsidRDefault="00EE1134">
            <w:pPr>
              <w:pStyle w:val="Heading3"/>
              <w:ind w:right="280"/>
              <w:jc w:val="center"/>
              <w:outlineLvl w:val="2"/>
              <w:rPr>
                <w:rFonts w:ascii="Arial" w:eastAsia="Arial" w:hAnsi="Arial" w:cs="Arial"/>
                <w:sz w:val="22"/>
                <w:szCs w:val="22"/>
              </w:rPr>
            </w:pPr>
            <w:r>
              <w:rPr>
                <w:rFonts w:ascii="Arial" w:eastAsia="Arial" w:hAnsi="Arial" w:cs="Arial"/>
                <w:sz w:val="22"/>
                <w:szCs w:val="22"/>
              </w:rPr>
              <w:t>&gt; 3 times</w:t>
            </w:r>
          </w:p>
        </w:tc>
        <w:tc>
          <w:tcPr>
            <w:tcW w:w="3654" w:type="dxa"/>
            <w:vAlign w:val="center"/>
          </w:tcPr>
          <w:p w:rsidR="00B91140" w:rsidRDefault="00EE1134">
            <w:pPr>
              <w:pStyle w:val="Heading3"/>
              <w:ind w:left="31"/>
              <w:jc w:val="left"/>
              <w:outlineLvl w:val="2"/>
              <w:rPr>
                <w:rFonts w:ascii="Arial" w:eastAsia="Arial" w:hAnsi="Arial" w:cs="Arial"/>
                <w:sz w:val="22"/>
                <w:szCs w:val="22"/>
              </w:rPr>
            </w:pPr>
            <w:r>
              <w:rPr>
                <w:rFonts w:ascii="Arial" w:eastAsia="Arial" w:hAnsi="Arial" w:cs="Arial"/>
                <w:sz w:val="22"/>
                <w:szCs w:val="22"/>
              </w:rPr>
              <w:t>Tested and reported at least quarterly in arrears based on latest publicly available information. Calculation as a minimum should be updated within 285 days of each accounting reference date based upon figures for the 12 months ending on the relevant accou</w:t>
            </w:r>
            <w:r>
              <w:rPr>
                <w:rFonts w:ascii="Arial" w:eastAsia="Arial" w:hAnsi="Arial" w:cs="Arial"/>
                <w:sz w:val="22"/>
                <w:szCs w:val="22"/>
              </w:rPr>
              <w:t>nting reference date.</w:t>
            </w:r>
          </w:p>
        </w:tc>
      </w:tr>
      <w:tr w:rsidR="00B91140">
        <w:trPr>
          <w:trHeight w:val="3534"/>
        </w:trPr>
        <w:tc>
          <w:tcPr>
            <w:tcW w:w="2790" w:type="dxa"/>
            <w:vAlign w:val="center"/>
          </w:tcPr>
          <w:p w:rsidR="00B91140" w:rsidRDefault="00EE1134">
            <w:pPr>
              <w:pStyle w:val="Heading3"/>
              <w:outlineLvl w:val="2"/>
              <w:rPr>
                <w:rFonts w:ascii="Arial" w:eastAsia="Arial" w:hAnsi="Arial" w:cs="Arial"/>
                <w:b w:val="0"/>
                <w:sz w:val="22"/>
                <w:szCs w:val="22"/>
              </w:rPr>
            </w:pPr>
            <w:r>
              <w:rPr>
                <w:rFonts w:ascii="Arial" w:eastAsia="Arial" w:hAnsi="Arial" w:cs="Arial"/>
                <w:sz w:val="22"/>
                <w:szCs w:val="22"/>
              </w:rPr>
              <w:t>5</w:t>
            </w:r>
          </w:p>
          <w:p w:rsidR="00B91140" w:rsidRDefault="00EE1134">
            <w:pPr>
              <w:rPr>
                <w:rFonts w:ascii="Arial" w:eastAsia="Arial" w:hAnsi="Arial" w:cs="Arial"/>
                <w:b/>
                <w:sz w:val="22"/>
                <w:szCs w:val="22"/>
              </w:rPr>
            </w:pPr>
            <w:r>
              <w:rPr>
                <w:rFonts w:ascii="Arial" w:eastAsia="Arial" w:hAnsi="Arial" w:cs="Arial"/>
                <w:b/>
                <w:sz w:val="22"/>
                <w:szCs w:val="22"/>
              </w:rPr>
              <w:t>Current Ratio</w:t>
            </w:r>
          </w:p>
        </w:tc>
        <w:tc>
          <w:tcPr>
            <w:tcW w:w="1512" w:type="dxa"/>
            <w:vAlign w:val="center"/>
          </w:tcPr>
          <w:p w:rsidR="00B91140" w:rsidRDefault="00EE1134">
            <w:pPr>
              <w:jc w:val="left"/>
              <w:rPr>
                <w:rFonts w:ascii="Arial" w:eastAsia="Arial" w:hAnsi="Arial" w:cs="Arial"/>
                <w:b/>
                <w:i/>
                <w:sz w:val="22"/>
                <w:szCs w:val="22"/>
              </w:rPr>
            </w:pPr>
            <w:r>
              <w:rPr>
                <w:rFonts w:ascii="Arial" w:eastAsia="Arial" w:hAnsi="Arial" w:cs="Arial"/>
                <w:b/>
                <w:i/>
                <w:sz w:val="22"/>
                <w:szCs w:val="22"/>
              </w:rPr>
              <w:t>Current Ratio = Current Assets / Current Liabilities</w:t>
            </w:r>
          </w:p>
        </w:tc>
        <w:tc>
          <w:tcPr>
            <w:tcW w:w="2393" w:type="dxa"/>
            <w:vAlign w:val="center"/>
          </w:tcPr>
          <w:p w:rsidR="00B91140" w:rsidRDefault="00EE1134">
            <w:pPr>
              <w:pStyle w:val="Heading3"/>
              <w:jc w:val="center"/>
              <w:outlineLvl w:val="2"/>
              <w:rPr>
                <w:rFonts w:ascii="Arial" w:eastAsia="Arial" w:hAnsi="Arial" w:cs="Arial"/>
                <w:sz w:val="22"/>
                <w:szCs w:val="22"/>
              </w:rPr>
            </w:pPr>
            <w:r>
              <w:rPr>
                <w:rFonts w:ascii="Arial" w:eastAsia="Arial" w:hAnsi="Arial" w:cs="Arial"/>
                <w:sz w:val="22"/>
                <w:szCs w:val="22"/>
              </w:rPr>
              <w:t xml:space="preserve">&gt; 1 </w:t>
            </w:r>
            <w:proofErr w:type="gramStart"/>
            <w:r>
              <w:rPr>
                <w:rFonts w:ascii="Arial" w:eastAsia="Arial" w:hAnsi="Arial" w:cs="Arial"/>
                <w:sz w:val="22"/>
                <w:szCs w:val="22"/>
              </w:rPr>
              <w:t>times</w:t>
            </w:r>
            <w:proofErr w:type="gramEnd"/>
          </w:p>
        </w:tc>
        <w:tc>
          <w:tcPr>
            <w:tcW w:w="3654" w:type="dxa"/>
            <w:vAlign w:val="center"/>
          </w:tcPr>
          <w:p w:rsidR="00B91140" w:rsidRDefault="00EE1134">
            <w:pPr>
              <w:pStyle w:val="Heading3"/>
              <w:ind w:left="31"/>
              <w:jc w:val="left"/>
              <w:outlineLvl w:val="2"/>
              <w:rPr>
                <w:rFonts w:ascii="Arial" w:eastAsia="Arial" w:hAnsi="Arial" w:cs="Arial"/>
                <w:sz w:val="22"/>
                <w:szCs w:val="22"/>
              </w:rPr>
            </w:pPr>
            <w:r>
              <w:rPr>
                <w:rFonts w:ascii="Arial" w:eastAsia="Arial" w:hAnsi="Arial" w:cs="Arial"/>
                <w:sz w:val="22"/>
                <w:szCs w:val="22"/>
              </w:rPr>
              <w:t xml:space="preserve">Tested and reported quarterly in arrears based on latest publicly available information. Calculation as a minimum should be updated within 285 days of each accounting reference date based upon figures at the relevant accounting reference date. </w:t>
            </w:r>
          </w:p>
        </w:tc>
      </w:tr>
      <w:tr w:rsidR="00B91140">
        <w:tc>
          <w:tcPr>
            <w:tcW w:w="2790" w:type="dxa"/>
            <w:vAlign w:val="center"/>
          </w:tcPr>
          <w:p w:rsidR="00B91140" w:rsidRDefault="00EE1134">
            <w:pPr>
              <w:pStyle w:val="Heading3"/>
              <w:outlineLvl w:val="2"/>
              <w:rPr>
                <w:rFonts w:ascii="Arial" w:eastAsia="Arial" w:hAnsi="Arial" w:cs="Arial"/>
                <w:b w:val="0"/>
                <w:sz w:val="22"/>
                <w:szCs w:val="22"/>
              </w:rPr>
            </w:pPr>
            <w:r>
              <w:rPr>
                <w:rFonts w:ascii="Arial" w:eastAsia="Arial" w:hAnsi="Arial" w:cs="Arial"/>
                <w:sz w:val="22"/>
                <w:szCs w:val="22"/>
              </w:rPr>
              <w:lastRenderedPageBreak/>
              <w:t>6</w:t>
            </w:r>
          </w:p>
          <w:p w:rsidR="00B91140" w:rsidRDefault="00EE1134">
            <w:pPr>
              <w:rPr>
                <w:rFonts w:ascii="Arial" w:eastAsia="Arial" w:hAnsi="Arial" w:cs="Arial"/>
                <w:b/>
                <w:sz w:val="22"/>
                <w:szCs w:val="22"/>
              </w:rPr>
            </w:pPr>
            <w:r>
              <w:rPr>
                <w:rFonts w:ascii="Arial" w:eastAsia="Arial" w:hAnsi="Arial" w:cs="Arial"/>
                <w:b/>
                <w:sz w:val="22"/>
                <w:szCs w:val="22"/>
              </w:rPr>
              <w:t>Net Asset value</w:t>
            </w:r>
          </w:p>
        </w:tc>
        <w:tc>
          <w:tcPr>
            <w:tcW w:w="1512" w:type="dxa"/>
            <w:vAlign w:val="center"/>
          </w:tcPr>
          <w:p w:rsidR="00B91140" w:rsidRDefault="00EE1134">
            <w:pPr>
              <w:pStyle w:val="Heading3"/>
              <w:jc w:val="left"/>
              <w:outlineLvl w:val="2"/>
              <w:rPr>
                <w:rFonts w:ascii="Arial" w:eastAsia="Arial" w:hAnsi="Arial" w:cs="Arial"/>
                <w:i/>
                <w:sz w:val="22"/>
                <w:szCs w:val="22"/>
              </w:rPr>
            </w:pPr>
            <w:r>
              <w:rPr>
                <w:rFonts w:ascii="Arial" w:eastAsia="Arial" w:hAnsi="Arial" w:cs="Arial"/>
                <w:i/>
                <w:sz w:val="22"/>
                <w:szCs w:val="22"/>
              </w:rPr>
              <w:t>Net Asset Value = Net Assets</w:t>
            </w:r>
          </w:p>
        </w:tc>
        <w:tc>
          <w:tcPr>
            <w:tcW w:w="2393" w:type="dxa"/>
            <w:vAlign w:val="center"/>
          </w:tcPr>
          <w:p w:rsidR="00B91140" w:rsidRDefault="00EE1134">
            <w:pPr>
              <w:pStyle w:val="Heading3"/>
              <w:ind w:right="138"/>
              <w:jc w:val="center"/>
              <w:outlineLvl w:val="2"/>
              <w:rPr>
                <w:rFonts w:ascii="Arial" w:eastAsia="Arial" w:hAnsi="Arial" w:cs="Arial"/>
                <w:sz w:val="22"/>
                <w:szCs w:val="22"/>
              </w:rPr>
            </w:pPr>
            <w:r>
              <w:rPr>
                <w:rFonts w:ascii="Arial" w:eastAsia="Arial" w:hAnsi="Arial" w:cs="Arial"/>
                <w:sz w:val="22"/>
                <w:szCs w:val="22"/>
              </w:rPr>
              <w:t>&gt; £0</w:t>
            </w:r>
          </w:p>
        </w:tc>
        <w:tc>
          <w:tcPr>
            <w:tcW w:w="3654" w:type="dxa"/>
            <w:vAlign w:val="center"/>
          </w:tcPr>
          <w:p w:rsidR="00B91140" w:rsidRDefault="00EE1134">
            <w:pPr>
              <w:pStyle w:val="Heading3"/>
              <w:jc w:val="left"/>
              <w:outlineLvl w:val="2"/>
              <w:rPr>
                <w:rFonts w:ascii="Arial" w:eastAsia="Arial" w:hAnsi="Arial" w:cs="Arial"/>
                <w:sz w:val="22"/>
                <w:szCs w:val="22"/>
              </w:rPr>
            </w:pPr>
            <w:r>
              <w:rPr>
                <w:rFonts w:ascii="Arial" w:eastAsia="Arial" w:hAnsi="Arial" w:cs="Arial"/>
                <w:sz w:val="22"/>
                <w:szCs w:val="22"/>
              </w:rPr>
              <w:t>Tested and reported quarterly in arrears based on latest publicly available information. Calculation as a minimum should be updated within 285 days of each accounting reference date based upon figures at th</w:t>
            </w:r>
            <w:r>
              <w:rPr>
                <w:rFonts w:ascii="Arial" w:eastAsia="Arial" w:hAnsi="Arial" w:cs="Arial"/>
                <w:sz w:val="22"/>
                <w:szCs w:val="22"/>
              </w:rPr>
              <w:t>e relevant accounting reference date.</w:t>
            </w:r>
          </w:p>
        </w:tc>
      </w:tr>
      <w:tr w:rsidR="00B91140">
        <w:tc>
          <w:tcPr>
            <w:tcW w:w="2790" w:type="dxa"/>
            <w:vAlign w:val="center"/>
          </w:tcPr>
          <w:p w:rsidR="00B91140" w:rsidRDefault="00EE1134">
            <w:pPr>
              <w:pStyle w:val="Heading3"/>
              <w:ind w:right="171" w:firstLine="34"/>
              <w:jc w:val="left"/>
              <w:outlineLvl w:val="2"/>
              <w:rPr>
                <w:rFonts w:ascii="Arial" w:eastAsia="Arial" w:hAnsi="Arial" w:cs="Arial"/>
                <w:b w:val="0"/>
                <w:sz w:val="22"/>
                <w:szCs w:val="22"/>
              </w:rPr>
            </w:pPr>
            <w:r>
              <w:rPr>
                <w:rFonts w:ascii="Arial" w:eastAsia="Arial" w:hAnsi="Arial" w:cs="Arial"/>
                <w:sz w:val="22"/>
                <w:szCs w:val="22"/>
              </w:rPr>
              <w:t>7</w:t>
            </w:r>
          </w:p>
          <w:p w:rsidR="00B91140" w:rsidRDefault="00EE1134">
            <w:pPr>
              <w:pStyle w:val="Heading3"/>
              <w:keepNext w:val="0"/>
              <w:keepLines/>
              <w:numPr>
                <w:ilvl w:val="2"/>
                <w:numId w:val="9"/>
              </w:numPr>
              <w:spacing w:before="0" w:after="240"/>
              <w:ind w:left="0"/>
              <w:jc w:val="left"/>
              <w:outlineLvl w:val="2"/>
              <w:rPr>
                <w:rFonts w:ascii="Arial" w:eastAsia="Arial" w:hAnsi="Arial" w:cs="Arial"/>
                <w:b w:val="0"/>
                <w:sz w:val="22"/>
                <w:szCs w:val="22"/>
              </w:rPr>
            </w:pPr>
            <w:r>
              <w:rPr>
                <w:rFonts w:ascii="Arial" w:eastAsia="Arial" w:hAnsi="Arial" w:cs="Arial"/>
                <w:sz w:val="22"/>
                <w:szCs w:val="22"/>
              </w:rPr>
              <w:t>Group Exposure Ratio</w:t>
            </w:r>
          </w:p>
        </w:tc>
        <w:tc>
          <w:tcPr>
            <w:tcW w:w="1512" w:type="dxa"/>
            <w:vAlign w:val="center"/>
          </w:tcPr>
          <w:p w:rsidR="00B91140" w:rsidRDefault="00EE1134">
            <w:pPr>
              <w:pStyle w:val="Heading3"/>
              <w:jc w:val="left"/>
              <w:outlineLvl w:val="2"/>
              <w:rPr>
                <w:rFonts w:ascii="Arial" w:eastAsia="Arial" w:hAnsi="Arial" w:cs="Arial"/>
                <w:i/>
                <w:sz w:val="22"/>
                <w:szCs w:val="22"/>
              </w:rPr>
            </w:pPr>
            <w:r>
              <w:rPr>
                <w:rFonts w:ascii="Arial" w:eastAsia="Arial" w:hAnsi="Arial" w:cs="Arial"/>
                <w:i/>
                <w:sz w:val="22"/>
                <w:szCs w:val="22"/>
              </w:rPr>
              <w:t>Group Exposure Ratio = Current Assets – Group Assets – Current Liabilities</w:t>
            </w:r>
          </w:p>
        </w:tc>
        <w:tc>
          <w:tcPr>
            <w:tcW w:w="2393" w:type="dxa"/>
            <w:vAlign w:val="center"/>
          </w:tcPr>
          <w:p w:rsidR="00B91140" w:rsidRDefault="00EE1134">
            <w:pPr>
              <w:pStyle w:val="Heading3"/>
              <w:ind w:right="138"/>
              <w:jc w:val="center"/>
              <w:outlineLvl w:val="2"/>
              <w:rPr>
                <w:rFonts w:ascii="Arial" w:eastAsia="Arial" w:hAnsi="Arial" w:cs="Arial"/>
              </w:rPr>
            </w:pPr>
            <w:r>
              <w:rPr>
                <w:rFonts w:ascii="Arial" w:eastAsia="Arial" w:hAnsi="Arial" w:cs="Arial"/>
                <w:sz w:val="22"/>
                <w:szCs w:val="22"/>
              </w:rPr>
              <w:t>&gt; £0</w:t>
            </w:r>
          </w:p>
          <w:p w:rsidR="00B91140" w:rsidRDefault="00EE1134">
            <w:pPr>
              <w:jc w:val="center"/>
              <w:rPr>
                <w:rFonts w:ascii="Arial" w:eastAsia="Arial" w:hAnsi="Arial" w:cs="Arial"/>
                <w:b/>
                <w:sz w:val="22"/>
                <w:szCs w:val="22"/>
              </w:rPr>
            </w:pPr>
            <w:r>
              <w:rPr>
                <w:rFonts w:ascii="Arial" w:eastAsia="Arial" w:hAnsi="Arial" w:cs="Arial"/>
                <w:b/>
                <w:sz w:val="22"/>
                <w:szCs w:val="22"/>
              </w:rPr>
              <w:t>If lower a PCG may be required</w:t>
            </w:r>
          </w:p>
        </w:tc>
        <w:tc>
          <w:tcPr>
            <w:tcW w:w="3654" w:type="dxa"/>
            <w:vAlign w:val="center"/>
          </w:tcPr>
          <w:p w:rsidR="00B91140" w:rsidRDefault="00EE1134">
            <w:pPr>
              <w:pStyle w:val="Heading3"/>
              <w:ind w:left="31"/>
              <w:jc w:val="left"/>
              <w:outlineLvl w:val="2"/>
              <w:rPr>
                <w:rFonts w:ascii="Arial" w:eastAsia="Arial" w:hAnsi="Arial" w:cs="Arial"/>
                <w:sz w:val="22"/>
                <w:szCs w:val="22"/>
              </w:rPr>
            </w:pPr>
            <w:r>
              <w:rPr>
                <w:rFonts w:ascii="Arial" w:eastAsia="Arial" w:hAnsi="Arial" w:cs="Arial"/>
                <w:sz w:val="22"/>
                <w:szCs w:val="22"/>
              </w:rPr>
              <w:t xml:space="preserve">Tested and reported quarterly in arrears based on the latest publicly available information. Calculation as a minimum should be updated within 285 days of each accounting reference date based upon figures at the relevant accounting reference date. </w:t>
            </w:r>
          </w:p>
        </w:tc>
      </w:tr>
    </w:tbl>
    <w:p w:rsidR="00B91140" w:rsidRDefault="00B91140">
      <w:pPr>
        <w:rPr>
          <w:rFonts w:ascii="Arial" w:eastAsia="Arial" w:hAnsi="Arial" w:cs="Arial"/>
        </w:rPr>
      </w:pPr>
    </w:p>
    <w:p w:rsidR="00B91140" w:rsidRDefault="00EE1134">
      <w:pPr>
        <w:pStyle w:val="Heading3"/>
        <w:rPr>
          <w:rFonts w:ascii="Arial" w:eastAsia="Arial" w:hAnsi="Arial" w:cs="Arial"/>
          <w:sz w:val="22"/>
          <w:szCs w:val="22"/>
        </w:rPr>
      </w:pPr>
      <w:r>
        <w:rPr>
          <w:rFonts w:ascii="Arial" w:eastAsia="Arial" w:hAnsi="Arial" w:cs="Arial"/>
          <w:sz w:val="22"/>
          <w:szCs w:val="22"/>
        </w:rPr>
        <w:t xml:space="preserve">Key: </w:t>
      </w:r>
      <w:r>
        <w:rPr>
          <w:rFonts w:ascii="Arial" w:eastAsia="Arial" w:hAnsi="Arial" w:cs="Arial"/>
          <w:sz w:val="22"/>
          <w:szCs w:val="22"/>
          <w:vertAlign w:val="superscript"/>
        </w:rPr>
        <w:t>1</w:t>
      </w:r>
      <w:r>
        <w:rPr>
          <w:rFonts w:ascii="Arial" w:eastAsia="Arial" w:hAnsi="Arial" w:cs="Arial"/>
          <w:sz w:val="22"/>
          <w:szCs w:val="22"/>
        </w:rPr>
        <w:t xml:space="preserve"> – See Annex 4 of this Schedule which sets out the calculation methodology to be used in the calculation of each Financial Indicator.</w:t>
      </w:r>
    </w:p>
    <w:p w:rsidR="00B91140" w:rsidRDefault="00B91140">
      <w:pPr>
        <w:rPr>
          <w:rFonts w:ascii="Arial" w:eastAsia="Arial" w:hAnsi="Arial" w:cs="Arial"/>
        </w:rPr>
      </w:pPr>
    </w:p>
    <w:p w:rsidR="00B91140" w:rsidRDefault="00EE1134">
      <w:pPr>
        <w:pStyle w:val="Heading2"/>
        <w:keepLines/>
        <w:numPr>
          <w:ilvl w:val="1"/>
          <w:numId w:val="9"/>
        </w:numPr>
        <w:spacing w:before="0" w:after="240"/>
        <w:rPr>
          <w:rFonts w:ascii="Arial" w:eastAsia="Arial" w:hAnsi="Arial" w:cs="Arial"/>
          <w:i w:val="0"/>
          <w:sz w:val="22"/>
          <w:szCs w:val="22"/>
        </w:rPr>
      </w:pPr>
      <w:r>
        <w:rPr>
          <w:rFonts w:ascii="Arial" w:eastAsia="Arial" w:hAnsi="Arial" w:cs="Arial"/>
          <w:i w:val="0"/>
          <w:sz w:val="22"/>
          <w:szCs w:val="22"/>
        </w:rPr>
        <w:t xml:space="preserve">MONITORED SUPPLIERS – NOT APPLICABLE </w:t>
      </w:r>
    </w:p>
    <w:p w:rsidR="00B91140" w:rsidRDefault="00EE1134">
      <w:pPr>
        <w:pStyle w:val="Heading3"/>
        <w:keepNext w:val="0"/>
        <w:keepLines/>
        <w:numPr>
          <w:ilvl w:val="2"/>
          <w:numId w:val="9"/>
        </w:numPr>
        <w:spacing w:before="0" w:after="240"/>
        <w:rPr>
          <w:rFonts w:ascii="Arial" w:eastAsia="Arial" w:hAnsi="Arial" w:cs="Arial"/>
          <w:b w:val="0"/>
          <w:sz w:val="22"/>
          <w:szCs w:val="22"/>
        </w:rPr>
      </w:pPr>
      <w:r>
        <w:rPr>
          <w:rFonts w:ascii="Arial" w:eastAsia="Arial" w:hAnsi="Arial" w:cs="Arial"/>
          <w:b w:val="0"/>
          <w:sz w:val="22"/>
          <w:szCs w:val="22"/>
        </w:rPr>
        <w:t>Monitored Suppliers shall be designated at contract signature.</w:t>
      </w:r>
    </w:p>
    <w:p w:rsidR="00B91140" w:rsidRDefault="00EE1134">
      <w:pPr>
        <w:pStyle w:val="Heading3"/>
        <w:keepNext w:val="0"/>
        <w:keepLines/>
        <w:numPr>
          <w:ilvl w:val="2"/>
          <w:numId w:val="9"/>
        </w:numPr>
        <w:spacing w:before="0" w:after="240"/>
        <w:rPr>
          <w:rFonts w:ascii="Arial" w:eastAsia="Arial" w:hAnsi="Arial" w:cs="Arial"/>
          <w:b w:val="0"/>
          <w:sz w:val="22"/>
          <w:szCs w:val="22"/>
        </w:rPr>
      </w:pPr>
      <w:r>
        <w:rPr>
          <w:rFonts w:ascii="Arial" w:eastAsia="Arial" w:hAnsi="Arial" w:cs="Arial"/>
          <w:b w:val="0"/>
          <w:sz w:val="22"/>
          <w:szCs w:val="22"/>
        </w:rPr>
        <w:t xml:space="preserve">A Monitored Supplier could include </w:t>
      </w:r>
      <w:r>
        <w:rPr>
          <w:rFonts w:ascii="Arial" w:eastAsia="Arial" w:hAnsi="Arial" w:cs="Arial"/>
          <w:b w:val="0"/>
          <w:color w:val="000000"/>
          <w:sz w:val="22"/>
          <w:szCs w:val="22"/>
        </w:rPr>
        <w:t xml:space="preserve">any </w:t>
      </w:r>
      <w:r>
        <w:rPr>
          <w:rFonts w:ascii="Arial" w:eastAsia="Arial" w:hAnsi="Arial" w:cs="Arial"/>
          <w:b w:val="0"/>
          <w:sz w:val="22"/>
          <w:szCs w:val="22"/>
        </w:rPr>
        <w:t>Sub</w:t>
      </w:r>
      <w:r>
        <w:rPr>
          <w:rFonts w:ascii="Arial" w:eastAsia="Arial" w:hAnsi="Arial" w:cs="Arial"/>
          <w:b w:val="0"/>
          <w:color w:val="000000"/>
          <w:sz w:val="22"/>
          <w:szCs w:val="22"/>
        </w:rPr>
        <w:t xml:space="preserve">-contractor that is not a Key Subcontractor, which </w:t>
      </w:r>
      <w:r>
        <w:rPr>
          <w:rFonts w:ascii="Arial" w:eastAsia="Arial" w:hAnsi="Arial" w:cs="Arial"/>
          <w:b w:val="0"/>
          <w:sz w:val="22"/>
          <w:szCs w:val="22"/>
        </w:rPr>
        <w:t>in the opinion of CCS or the Buyer, performs (or would perform if appointed) a role</w:t>
      </w:r>
      <w:r>
        <w:rPr>
          <w:rFonts w:ascii="Arial" w:eastAsia="Arial" w:hAnsi="Arial" w:cs="Arial"/>
          <w:b w:val="0"/>
          <w:color w:val="000000"/>
          <w:sz w:val="22"/>
          <w:szCs w:val="22"/>
        </w:rPr>
        <w:t>:</w:t>
      </w:r>
    </w:p>
    <w:p w:rsidR="00B91140" w:rsidRDefault="00EE1134">
      <w:pPr>
        <w:numPr>
          <w:ilvl w:val="0"/>
          <w:numId w:val="16"/>
        </w:numPr>
        <w:pBdr>
          <w:top w:val="nil"/>
          <w:left w:val="nil"/>
          <w:bottom w:val="nil"/>
          <w:right w:val="nil"/>
          <w:between w:val="nil"/>
        </w:pBdr>
        <w:spacing w:after="240"/>
        <w:ind w:left="1923" w:hanging="505"/>
        <w:rPr>
          <w:rFonts w:ascii="Arial" w:eastAsia="Arial" w:hAnsi="Arial" w:cs="Arial"/>
          <w:color w:val="000000"/>
        </w:rPr>
      </w:pPr>
      <w:r>
        <w:rPr>
          <w:rFonts w:ascii="Arial" w:eastAsia="Arial" w:hAnsi="Arial" w:cs="Arial"/>
          <w:color w:val="000000"/>
        </w:rPr>
        <w:t xml:space="preserve">in the provision of all or any part of the Deliverables that is such that the </w:t>
      </w:r>
      <w:r>
        <w:rPr>
          <w:rFonts w:ascii="Arial" w:eastAsia="Arial" w:hAnsi="Arial" w:cs="Arial"/>
          <w:color w:val="000000"/>
        </w:rPr>
        <w:t xml:space="preserve">discontinued provision of that role would be detrimental to the ability of the Supplier to deliver the Deliverables to its established performance standards; and/or </w:t>
      </w:r>
    </w:p>
    <w:p w:rsidR="00B91140" w:rsidRDefault="00EE1134">
      <w:pPr>
        <w:numPr>
          <w:ilvl w:val="0"/>
          <w:numId w:val="16"/>
        </w:numPr>
        <w:pBdr>
          <w:top w:val="nil"/>
          <w:left w:val="nil"/>
          <w:bottom w:val="nil"/>
          <w:right w:val="nil"/>
          <w:between w:val="nil"/>
        </w:pBdr>
        <w:spacing w:after="240"/>
        <w:ind w:left="1923" w:hanging="505"/>
        <w:rPr>
          <w:rFonts w:ascii="Arial" w:eastAsia="Arial" w:hAnsi="Arial" w:cs="Arial"/>
          <w:color w:val="000000"/>
        </w:rPr>
      </w:pPr>
      <w:r>
        <w:rPr>
          <w:rFonts w:ascii="Arial" w:eastAsia="Arial" w:hAnsi="Arial" w:cs="Arial"/>
          <w:color w:val="000000"/>
        </w:rPr>
        <w:lastRenderedPageBreak/>
        <w:t>in the provision of all or any part of the deliverables that is such that the discontinued</w:t>
      </w:r>
      <w:r>
        <w:rPr>
          <w:rFonts w:ascii="Arial" w:eastAsia="Arial" w:hAnsi="Arial" w:cs="Arial"/>
          <w:color w:val="000000"/>
        </w:rPr>
        <w:t xml:space="preserve"> provision of that role may affect the Supplier’s financial stability; and/or</w:t>
      </w:r>
    </w:p>
    <w:p w:rsidR="00B91140" w:rsidRDefault="00EE1134">
      <w:pPr>
        <w:numPr>
          <w:ilvl w:val="0"/>
          <w:numId w:val="16"/>
        </w:numPr>
        <w:pBdr>
          <w:top w:val="nil"/>
          <w:left w:val="nil"/>
          <w:bottom w:val="nil"/>
          <w:right w:val="nil"/>
          <w:between w:val="nil"/>
        </w:pBdr>
        <w:spacing w:after="480"/>
        <w:ind w:left="1849" w:hanging="430"/>
      </w:pPr>
      <w:r>
        <w:rPr>
          <w:rFonts w:ascii="Arial" w:eastAsia="Arial" w:hAnsi="Arial" w:cs="Arial"/>
          <w:color w:val="000000"/>
        </w:rPr>
        <w:t>for which it would be difficult for the Supplier to find a replacement Sub-contractor within a reasonable time.</w:t>
      </w:r>
    </w:p>
    <w:tbl>
      <w:tblPr>
        <w:tblStyle w:val="a1"/>
        <w:tblW w:w="830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2"/>
        <w:gridCol w:w="4245"/>
      </w:tblGrid>
      <w:tr w:rsidR="00B91140">
        <w:tc>
          <w:tcPr>
            <w:tcW w:w="4062" w:type="dxa"/>
            <w:shd w:val="clear" w:color="auto" w:fill="D9D9D9"/>
          </w:tcPr>
          <w:p w:rsidR="00B91140" w:rsidRDefault="00EE1134">
            <w:pPr>
              <w:rPr>
                <w:rFonts w:ascii="Arial" w:eastAsia="Arial" w:hAnsi="Arial" w:cs="Arial"/>
                <w:b/>
                <w:sz w:val="22"/>
                <w:szCs w:val="22"/>
              </w:rPr>
            </w:pPr>
            <w:r>
              <w:rPr>
                <w:rFonts w:ascii="Arial" w:eastAsia="Arial" w:hAnsi="Arial" w:cs="Arial"/>
                <w:b/>
                <w:sz w:val="22"/>
                <w:szCs w:val="22"/>
              </w:rPr>
              <w:t>Monitored Supplier</w:t>
            </w:r>
          </w:p>
        </w:tc>
        <w:tc>
          <w:tcPr>
            <w:tcW w:w="4245" w:type="dxa"/>
            <w:shd w:val="clear" w:color="auto" w:fill="D9D9D9"/>
          </w:tcPr>
          <w:p w:rsidR="00B91140" w:rsidRDefault="00EE1134">
            <w:pPr>
              <w:rPr>
                <w:rFonts w:ascii="Arial" w:eastAsia="Arial" w:hAnsi="Arial" w:cs="Arial"/>
                <w:b/>
                <w:sz w:val="22"/>
                <w:szCs w:val="22"/>
              </w:rPr>
            </w:pPr>
            <w:r>
              <w:rPr>
                <w:rFonts w:ascii="Arial" w:eastAsia="Arial" w:hAnsi="Arial" w:cs="Arial"/>
                <w:b/>
                <w:sz w:val="22"/>
                <w:szCs w:val="22"/>
              </w:rPr>
              <w:t>Applicable Financial Indicators</w:t>
            </w:r>
          </w:p>
          <w:p w:rsidR="00B91140" w:rsidRDefault="00EE1134">
            <w:pPr>
              <w:rPr>
                <w:rFonts w:ascii="Arial" w:eastAsia="Arial" w:hAnsi="Arial" w:cs="Arial"/>
                <w:sz w:val="22"/>
                <w:szCs w:val="22"/>
              </w:rPr>
            </w:pPr>
            <w:r>
              <w:rPr>
                <w:rFonts w:ascii="Arial" w:eastAsia="Arial" w:hAnsi="Arial" w:cs="Arial"/>
                <w:sz w:val="22"/>
                <w:szCs w:val="22"/>
              </w:rPr>
              <w:t>(these are the Financial Indicators from the table in Paragraph 5.1 which are to apply to the Monitored Suppliers)</w:t>
            </w:r>
          </w:p>
        </w:tc>
      </w:tr>
      <w:tr w:rsidR="00B91140">
        <w:tc>
          <w:tcPr>
            <w:tcW w:w="4062" w:type="dxa"/>
          </w:tcPr>
          <w:p w:rsidR="00B91140" w:rsidRDefault="00EE1134">
            <w:pPr>
              <w:spacing w:before="240"/>
              <w:jc w:val="center"/>
              <w:rPr>
                <w:rFonts w:ascii="Arial" w:eastAsia="Arial" w:hAnsi="Arial" w:cs="Arial"/>
                <w:sz w:val="22"/>
                <w:szCs w:val="22"/>
              </w:rPr>
            </w:pPr>
            <w:r>
              <w:rPr>
                <w:rFonts w:ascii="Arial" w:eastAsia="Arial" w:hAnsi="Arial" w:cs="Arial"/>
                <w:sz w:val="22"/>
                <w:szCs w:val="22"/>
              </w:rPr>
              <w:t xml:space="preserve">NOT APPLICABLE </w:t>
            </w:r>
          </w:p>
        </w:tc>
        <w:tc>
          <w:tcPr>
            <w:tcW w:w="4245" w:type="dxa"/>
          </w:tcPr>
          <w:p w:rsidR="00B91140" w:rsidRDefault="00EE1134">
            <w:pPr>
              <w:spacing w:before="240"/>
              <w:jc w:val="center"/>
              <w:rPr>
                <w:rFonts w:ascii="Arial" w:eastAsia="Arial" w:hAnsi="Arial" w:cs="Arial"/>
                <w:sz w:val="22"/>
                <w:szCs w:val="22"/>
              </w:rPr>
            </w:pPr>
            <w:r>
              <w:rPr>
                <w:rFonts w:ascii="Arial" w:eastAsia="Arial" w:hAnsi="Arial" w:cs="Arial"/>
                <w:sz w:val="22"/>
                <w:szCs w:val="22"/>
              </w:rPr>
              <w:t>NOT APPLICABLE</w:t>
            </w:r>
          </w:p>
        </w:tc>
      </w:tr>
    </w:tbl>
    <w:p w:rsidR="00B91140" w:rsidRDefault="00B91140">
      <w:pPr>
        <w:pStyle w:val="Heading2"/>
        <w:rPr>
          <w:rFonts w:ascii="Arial" w:eastAsia="Arial" w:hAnsi="Arial" w:cs="Arial"/>
          <w:i w:val="0"/>
          <w:sz w:val="22"/>
          <w:szCs w:val="22"/>
        </w:rPr>
      </w:pPr>
    </w:p>
    <w:p w:rsidR="00B91140" w:rsidRDefault="00EE1134">
      <w:pPr>
        <w:pStyle w:val="Heading2"/>
        <w:keepLines/>
        <w:numPr>
          <w:ilvl w:val="1"/>
          <w:numId w:val="9"/>
        </w:numPr>
        <w:spacing w:before="0" w:after="240"/>
        <w:rPr>
          <w:rFonts w:ascii="Arial" w:eastAsia="Arial" w:hAnsi="Arial" w:cs="Arial"/>
          <w:i w:val="0"/>
          <w:sz w:val="22"/>
          <w:szCs w:val="22"/>
        </w:rPr>
      </w:pPr>
      <w:r>
        <w:rPr>
          <w:rFonts w:ascii="Arial" w:eastAsia="Arial" w:hAnsi="Arial" w:cs="Arial"/>
          <w:i w:val="0"/>
          <w:sz w:val="22"/>
          <w:szCs w:val="22"/>
        </w:rPr>
        <w:t>TERMINATION RIGHTS</w:t>
      </w:r>
    </w:p>
    <w:p w:rsidR="00B91140" w:rsidRDefault="00EE1134">
      <w:pPr>
        <w:numPr>
          <w:ilvl w:val="2"/>
          <w:numId w:val="9"/>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CCS shall be entitled to terminate this Contract and Buyers shall be entitled to terminate their Order Contracts for material Default if under Clause 14.4.2 if: </w:t>
      </w:r>
    </w:p>
    <w:p w:rsidR="00B91140" w:rsidRDefault="00EE1134">
      <w:pPr>
        <w:pStyle w:val="Heading4"/>
        <w:numPr>
          <w:ilvl w:val="3"/>
          <w:numId w:val="9"/>
        </w:numPr>
        <w:rPr>
          <w:rFonts w:ascii="Arial" w:eastAsia="Arial" w:hAnsi="Arial" w:cs="Arial"/>
        </w:rPr>
      </w:pPr>
      <w:r>
        <w:rPr>
          <w:rFonts w:ascii="Arial" w:eastAsia="Arial" w:hAnsi="Arial" w:cs="Arial"/>
        </w:rPr>
        <w:t>the Supplier fails to notify the Buyer of a Financial Distress Event in accordance with Paragr</w:t>
      </w:r>
      <w:r>
        <w:rPr>
          <w:rFonts w:ascii="Arial" w:eastAsia="Arial" w:hAnsi="Arial" w:cs="Arial"/>
        </w:rPr>
        <w:t xml:space="preserve">aph 2.3(c); </w:t>
      </w:r>
    </w:p>
    <w:p w:rsidR="00B91140" w:rsidRDefault="00EE1134">
      <w:pPr>
        <w:pStyle w:val="Heading4"/>
        <w:numPr>
          <w:ilvl w:val="3"/>
          <w:numId w:val="9"/>
        </w:numPr>
        <w:rPr>
          <w:rFonts w:ascii="Arial" w:eastAsia="Arial" w:hAnsi="Arial" w:cs="Arial"/>
        </w:rPr>
      </w:pPr>
      <w:r>
        <w:rPr>
          <w:rFonts w:ascii="Arial" w:eastAsia="Arial" w:hAnsi="Arial" w:cs="Arial"/>
        </w:rPr>
        <w:t>the supplier fails to comply with any part of Paragraph 4.3;</w:t>
      </w:r>
    </w:p>
    <w:p w:rsidR="00B91140" w:rsidRDefault="00EE1134">
      <w:pPr>
        <w:pStyle w:val="Heading4"/>
        <w:numPr>
          <w:ilvl w:val="3"/>
          <w:numId w:val="9"/>
        </w:numPr>
        <w:rPr>
          <w:rFonts w:ascii="Arial" w:eastAsia="Arial" w:hAnsi="Arial" w:cs="Arial"/>
        </w:rPr>
      </w:pPr>
      <w:r>
        <w:rPr>
          <w:rFonts w:ascii="Arial" w:eastAsia="Arial" w:hAnsi="Arial" w:cs="Arial"/>
        </w:rPr>
        <w:t>the Buyer finally rejects a Financial Distress Service Continuity Plan (or any updated Financial Distress Service Continuity Plan) in accordance with Paragraphs 4.4 to 4.5; and/or</w:t>
      </w:r>
    </w:p>
    <w:p w:rsidR="00B91140" w:rsidRDefault="00EE1134">
      <w:pPr>
        <w:pStyle w:val="Heading4"/>
        <w:numPr>
          <w:ilvl w:val="3"/>
          <w:numId w:val="9"/>
        </w:numPr>
        <w:rPr>
          <w:rFonts w:ascii="Arial" w:eastAsia="Arial" w:hAnsi="Arial" w:cs="Arial"/>
        </w:rPr>
      </w:pPr>
      <w:r>
        <w:rPr>
          <w:rFonts w:ascii="Arial" w:eastAsia="Arial" w:hAnsi="Arial" w:cs="Arial"/>
        </w:rPr>
        <w:t>th</w:t>
      </w:r>
      <w:r>
        <w:rPr>
          <w:rFonts w:ascii="Arial" w:eastAsia="Arial" w:hAnsi="Arial" w:cs="Arial"/>
        </w:rPr>
        <w:t>e Supplier fails to comply with the terms of the Financial Distress Service Continuity Plan (or any updated Financial Distress Service Continuity Plan) in accordance with Paragraph 4.6(c).</w:t>
      </w:r>
    </w:p>
    <w:p w:rsidR="00B91140" w:rsidRDefault="00EE1134">
      <w:pPr>
        <w:pStyle w:val="Heading4"/>
        <w:ind w:left="709" w:firstLine="0"/>
        <w:rPr>
          <w:rFonts w:ascii="Arial" w:eastAsia="Arial" w:hAnsi="Arial" w:cs="Arial"/>
        </w:rPr>
      </w:pPr>
      <w:r>
        <w:rPr>
          <w:rFonts w:ascii="Arial" w:eastAsia="Arial" w:hAnsi="Arial" w:cs="Arial"/>
        </w:rPr>
        <w:t>If the Contract is terminated in accordance with Paragraph 5.1, Cla</w:t>
      </w:r>
      <w:r>
        <w:rPr>
          <w:rFonts w:ascii="Arial" w:eastAsia="Arial" w:hAnsi="Arial" w:cs="Arial"/>
        </w:rPr>
        <w:t xml:space="preserve">uses 10.6.1 and 10.6.2 of the Core Terms shall apply as if the Contract had been terminated under Clause 10.4.1. </w:t>
      </w:r>
    </w:p>
    <w:p w:rsidR="00B91140" w:rsidRDefault="00B91140"/>
    <w:p w:rsidR="00B91140" w:rsidRDefault="00EE1134">
      <w:pPr>
        <w:pStyle w:val="Heading2"/>
        <w:keepLines/>
        <w:numPr>
          <w:ilvl w:val="1"/>
          <w:numId w:val="9"/>
        </w:numPr>
        <w:spacing w:before="0" w:after="240"/>
        <w:rPr>
          <w:rFonts w:ascii="Arial" w:eastAsia="Arial" w:hAnsi="Arial" w:cs="Arial"/>
          <w:i w:val="0"/>
          <w:sz w:val="22"/>
          <w:szCs w:val="22"/>
        </w:rPr>
      </w:pPr>
      <w:r>
        <w:rPr>
          <w:rFonts w:ascii="Arial" w:eastAsia="Arial" w:hAnsi="Arial" w:cs="Arial"/>
          <w:i w:val="0"/>
          <w:sz w:val="22"/>
          <w:szCs w:val="22"/>
        </w:rPr>
        <w:lastRenderedPageBreak/>
        <w:t>BOARD CONFIRMATION</w:t>
      </w:r>
    </w:p>
    <w:p w:rsidR="00B91140" w:rsidRDefault="00EE1134">
      <w:pPr>
        <w:pStyle w:val="Heading3"/>
        <w:keepNext w:val="0"/>
        <w:keepLines/>
        <w:numPr>
          <w:ilvl w:val="2"/>
          <w:numId w:val="9"/>
        </w:numPr>
        <w:spacing w:before="0" w:after="240"/>
        <w:rPr>
          <w:rFonts w:ascii="Arial" w:eastAsia="Arial" w:hAnsi="Arial" w:cs="Arial"/>
          <w:b w:val="0"/>
          <w:sz w:val="22"/>
          <w:szCs w:val="22"/>
        </w:rPr>
      </w:pPr>
      <w:r>
        <w:rPr>
          <w:rFonts w:ascii="Arial" w:eastAsia="Arial" w:hAnsi="Arial" w:cs="Arial"/>
          <w:b w:val="0"/>
          <w:sz w:val="22"/>
          <w:szCs w:val="22"/>
        </w:rPr>
        <w:t>The Supplier, subject to Paragraph 8.4 of this Schedule, shall within 120 days after each Accounting Reference Date or wit</w:t>
      </w:r>
      <w:r>
        <w:rPr>
          <w:rFonts w:ascii="Arial" w:eastAsia="Arial" w:hAnsi="Arial" w:cs="Arial"/>
          <w:b w:val="0"/>
          <w:sz w:val="22"/>
          <w:szCs w:val="22"/>
        </w:rPr>
        <w:t>hin 15 months of the previous Board Confirmation (whichever is the earlier) provide a Board Confirmation to the Buyer in the form set out at Annex 5 of this Schedule, confirming that to the best of the Board’s knowledge and belief, it is not aware of and h</w:t>
      </w:r>
      <w:r>
        <w:rPr>
          <w:rFonts w:ascii="Arial" w:eastAsia="Arial" w:hAnsi="Arial" w:cs="Arial"/>
          <w:b w:val="0"/>
          <w:sz w:val="22"/>
          <w:szCs w:val="22"/>
        </w:rPr>
        <w:t>as no knowledge:</w:t>
      </w:r>
    </w:p>
    <w:p w:rsidR="00B91140" w:rsidRDefault="00EE1134">
      <w:pPr>
        <w:pStyle w:val="Heading4"/>
        <w:numPr>
          <w:ilvl w:val="3"/>
          <w:numId w:val="9"/>
        </w:numPr>
        <w:rPr>
          <w:rFonts w:ascii="Arial" w:eastAsia="Arial" w:hAnsi="Arial" w:cs="Arial"/>
        </w:rPr>
      </w:pPr>
      <w:r>
        <w:rPr>
          <w:rFonts w:ascii="Arial" w:eastAsia="Arial" w:hAnsi="Arial" w:cs="Arial"/>
        </w:rPr>
        <w:t>that a Financial Distress Event has occurred since the later of the Effective Date or the previous Board Confirmation or is subsisting; or</w:t>
      </w:r>
    </w:p>
    <w:p w:rsidR="00B91140" w:rsidRDefault="00EE1134">
      <w:pPr>
        <w:pStyle w:val="Heading4"/>
        <w:numPr>
          <w:ilvl w:val="3"/>
          <w:numId w:val="9"/>
        </w:numPr>
        <w:rPr>
          <w:rFonts w:ascii="Arial" w:eastAsia="Arial" w:hAnsi="Arial" w:cs="Arial"/>
        </w:rPr>
      </w:pPr>
      <w:r>
        <w:rPr>
          <w:rFonts w:ascii="Arial" w:eastAsia="Arial" w:hAnsi="Arial" w:cs="Arial"/>
        </w:rPr>
        <w:t>of any matters which have occurred or are subsisting that could reasonably be expected to cause a Financial Distress Event.</w:t>
      </w:r>
    </w:p>
    <w:p w:rsidR="00B91140" w:rsidRDefault="00EE1134">
      <w:pPr>
        <w:pStyle w:val="Heading3"/>
        <w:keepNext w:val="0"/>
        <w:keepLines/>
        <w:numPr>
          <w:ilvl w:val="2"/>
          <w:numId w:val="9"/>
        </w:numPr>
        <w:spacing w:before="0" w:after="240"/>
        <w:rPr>
          <w:rFonts w:ascii="Arial" w:eastAsia="Arial" w:hAnsi="Arial" w:cs="Arial"/>
          <w:b w:val="0"/>
          <w:sz w:val="22"/>
          <w:szCs w:val="22"/>
        </w:rPr>
      </w:pPr>
      <w:r>
        <w:rPr>
          <w:rFonts w:ascii="Arial" w:eastAsia="Arial" w:hAnsi="Arial" w:cs="Arial"/>
          <w:b w:val="0"/>
          <w:sz w:val="22"/>
          <w:szCs w:val="22"/>
        </w:rPr>
        <w:t>The Supplier shall ensure that in its preparation of the Board Confirmation it exercises due care and diligence and has made reasona</w:t>
      </w:r>
      <w:r>
        <w:rPr>
          <w:rFonts w:ascii="Arial" w:eastAsia="Arial" w:hAnsi="Arial" w:cs="Arial"/>
          <w:b w:val="0"/>
          <w:sz w:val="22"/>
          <w:szCs w:val="22"/>
        </w:rPr>
        <w:t>ble enquiry of all relevant Supplier Personnel and other persons as is reasonably necessary to understand and confirm the position.</w:t>
      </w:r>
    </w:p>
    <w:p w:rsidR="00B91140" w:rsidRDefault="00EE1134">
      <w:pPr>
        <w:pStyle w:val="Heading3"/>
        <w:keepNext w:val="0"/>
        <w:keepLines/>
        <w:numPr>
          <w:ilvl w:val="2"/>
          <w:numId w:val="9"/>
        </w:numPr>
        <w:spacing w:before="0" w:after="240"/>
        <w:rPr>
          <w:rFonts w:ascii="Arial" w:eastAsia="Arial" w:hAnsi="Arial" w:cs="Arial"/>
          <w:b w:val="0"/>
          <w:sz w:val="22"/>
          <w:szCs w:val="22"/>
        </w:rPr>
      </w:pPr>
      <w:r>
        <w:rPr>
          <w:rFonts w:ascii="Arial" w:eastAsia="Arial" w:hAnsi="Arial" w:cs="Arial"/>
          <w:b w:val="0"/>
          <w:sz w:val="22"/>
          <w:szCs w:val="22"/>
        </w:rPr>
        <w:t>In respect of the first Board Confirmation to be provided under this Contract, the Supplier shall provide the Board Confirma</w:t>
      </w:r>
      <w:r>
        <w:rPr>
          <w:rFonts w:ascii="Arial" w:eastAsia="Arial" w:hAnsi="Arial" w:cs="Arial"/>
          <w:b w:val="0"/>
          <w:sz w:val="22"/>
          <w:szCs w:val="22"/>
        </w:rPr>
        <w:t xml:space="preserve">tion within 15 months of the Effective Date if earlier than the timescale for submission set out in Paragraph 8.1 of this Schedule.  </w:t>
      </w:r>
    </w:p>
    <w:p w:rsidR="00B91140" w:rsidRDefault="00EE1134">
      <w:pPr>
        <w:pStyle w:val="Heading3"/>
        <w:keepNext w:val="0"/>
        <w:keepLines/>
        <w:numPr>
          <w:ilvl w:val="2"/>
          <w:numId w:val="9"/>
        </w:numPr>
        <w:spacing w:before="0" w:after="240"/>
        <w:rPr>
          <w:rFonts w:ascii="Arial" w:eastAsia="Arial" w:hAnsi="Arial" w:cs="Arial"/>
          <w:b w:val="0"/>
          <w:sz w:val="22"/>
          <w:szCs w:val="22"/>
        </w:rPr>
      </w:pPr>
      <w:r>
        <w:rPr>
          <w:rFonts w:ascii="Arial" w:eastAsia="Arial" w:hAnsi="Arial" w:cs="Arial"/>
          <w:b w:val="0"/>
          <w:sz w:val="22"/>
          <w:szCs w:val="22"/>
        </w:rPr>
        <w:t>Where the Supplier is unable to provide a Board Confirmation in accordance with Paragraphs 8.1 to 8.3 of this Schedule due</w:t>
      </w:r>
      <w:r>
        <w:rPr>
          <w:rFonts w:ascii="Arial" w:eastAsia="Arial" w:hAnsi="Arial" w:cs="Arial"/>
          <w:b w:val="0"/>
          <w:sz w:val="22"/>
          <w:szCs w:val="22"/>
        </w:rPr>
        <w:t xml:space="preserve"> to the occurrence of a Financial Distress Event or knowledge of subsisting matters which could reasonably be expected to cause a Financial Distress Event, it will be sufficient for the Supplier to submit in place of the Board Confirmation, a statement fro</w:t>
      </w:r>
      <w:r>
        <w:rPr>
          <w:rFonts w:ascii="Arial" w:eastAsia="Arial" w:hAnsi="Arial" w:cs="Arial"/>
          <w:b w:val="0"/>
          <w:sz w:val="22"/>
          <w:szCs w:val="22"/>
        </w:rPr>
        <w:t>m the Board of Directors to the Buyer (and where the Supplier is a Strategic Supplier, the Supplier shall send a copy of the statement to the Cabinet Office Markets and Suppliers Team) setting out full details of any Financial Distress Events that have occ</w:t>
      </w:r>
      <w:r>
        <w:rPr>
          <w:rFonts w:ascii="Arial" w:eastAsia="Arial" w:hAnsi="Arial" w:cs="Arial"/>
          <w:b w:val="0"/>
          <w:sz w:val="22"/>
          <w:szCs w:val="22"/>
        </w:rPr>
        <w:t>urred and/or the matters which could reasonably be expected to cause a Financial Distress Event.</w:t>
      </w:r>
    </w:p>
    <w:p w:rsidR="00B91140" w:rsidRDefault="00B91140">
      <w:pPr>
        <w:rPr>
          <w:rFonts w:ascii="Arial" w:eastAsia="Arial" w:hAnsi="Arial" w:cs="Arial"/>
        </w:rPr>
      </w:pPr>
    </w:p>
    <w:p w:rsidR="00B91140" w:rsidRDefault="00EE1134">
      <w:pPr>
        <w:jc w:val="center"/>
        <w:rPr>
          <w:rFonts w:ascii="Arial" w:eastAsia="Arial" w:hAnsi="Arial" w:cs="Arial"/>
          <w:u w:val="single"/>
        </w:rPr>
      </w:pPr>
      <w:r>
        <w:br w:type="page"/>
      </w:r>
      <w:r>
        <w:rPr>
          <w:rFonts w:ascii="Arial" w:eastAsia="Arial" w:hAnsi="Arial" w:cs="Arial"/>
          <w:b/>
          <w:u w:val="single"/>
        </w:rPr>
        <w:lastRenderedPageBreak/>
        <w:t>ANNEX 1: RATING AGENCIES AND THEIR STANDAR RATING SYSYTEM</w:t>
      </w:r>
    </w:p>
    <w:p w:rsidR="00B91140" w:rsidRDefault="00EE1134">
      <w:pPr>
        <w:spacing w:after="0"/>
        <w:rPr>
          <w:rFonts w:ascii="Arial" w:eastAsia="Arial" w:hAnsi="Arial" w:cs="Arial"/>
          <w:b/>
        </w:rPr>
      </w:pPr>
      <w:r>
        <w:rPr>
          <w:rFonts w:ascii="Arial" w:eastAsia="Arial" w:hAnsi="Arial" w:cs="Arial"/>
        </w:rPr>
        <w:t>This Annex sets out the standard rating scales for each of the Rating Agencies selected. CCS and the Buyer reserves the right to use other rating scales from other Rating Agencies that are not listed in this Annex.</w:t>
      </w:r>
      <w:r>
        <w:rPr>
          <w:rFonts w:ascii="Arial" w:eastAsia="Arial" w:hAnsi="Arial" w:cs="Arial"/>
          <w:b/>
        </w:rPr>
        <w:t xml:space="preserve">  </w:t>
      </w:r>
    </w:p>
    <w:p w:rsidR="00B91140" w:rsidRDefault="00B91140">
      <w:pPr>
        <w:spacing w:after="0"/>
        <w:rPr>
          <w:rFonts w:ascii="Arial" w:eastAsia="Arial" w:hAnsi="Arial" w:cs="Arial"/>
          <w:b/>
          <w:i/>
        </w:rPr>
      </w:pP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6"/>
      </w:tblGrid>
      <w:tr w:rsidR="00B91140">
        <w:trPr>
          <w:trHeight w:val="465"/>
        </w:trPr>
        <w:tc>
          <w:tcPr>
            <w:tcW w:w="3005" w:type="dxa"/>
            <w:shd w:val="clear" w:color="auto" w:fill="D9D9D9"/>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b/>
                <w:color w:val="000000"/>
                <w:sz w:val="22"/>
                <w:szCs w:val="22"/>
              </w:rPr>
            </w:pPr>
            <w:r>
              <w:rPr>
                <w:rFonts w:ascii="Arial" w:eastAsia="Arial" w:hAnsi="Arial" w:cs="Arial"/>
                <w:b/>
                <w:i/>
                <w:color w:val="000000"/>
                <w:sz w:val="22"/>
                <w:szCs w:val="22"/>
              </w:rPr>
              <w:t xml:space="preserve"> </w:t>
            </w:r>
            <w:r>
              <w:rPr>
                <w:rFonts w:ascii="Arial" w:eastAsia="Arial" w:hAnsi="Arial" w:cs="Arial"/>
                <w:b/>
                <w:color w:val="000000"/>
                <w:sz w:val="22"/>
                <w:szCs w:val="22"/>
              </w:rPr>
              <w:t>Rating Agency</w:t>
            </w:r>
          </w:p>
        </w:tc>
        <w:tc>
          <w:tcPr>
            <w:tcW w:w="3005" w:type="dxa"/>
            <w:shd w:val="clear" w:color="auto" w:fill="D9D9D9"/>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b/>
                <w:color w:val="000000"/>
                <w:sz w:val="22"/>
                <w:szCs w:val="22"/>
              </w:rPr>
            </w:pPr>
            <w:r>
              <w:rPr>
                <w:rFonts w:ascii="Arial" w:eastAsia="Arial" w:hAnsi="Arial" w:cs="Arial"/>
                <w:b/>
                <w:color w:val="000000"/>
                <w:sz w:val="22"/>
                <w:szCs w:val="22"/>
              </w:rPr>
              <w:t>Credit Rating Level</w:t>
            </w:r>
          </w:p>
        </w:tc>
        <w:tc>
          <w:tcPr>
            <w:tcW w:w="3006" w:type="dxa"/>
            <w:shd w:val="clear" w:color="auto" w:fill="D9D9D9"/>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b/>
                <w:color w:val="000000"/>
                <w:sz w:val="22"/>
                <w:szCs w:val="22"/>
              </w:rPr>
            </w:pPr>
            <w:r>
              <w:rPr>
                <w:rFonts w:ascii="Arial" w:eastAsia="Arial" w:hAnsi="Arial" w:cs="Arial"/>
                <w:b/>
                <w:color w:val="000000"/>
                <w:sz w:val="22"/>
                <w:szCs w:val="22"/>
              </w:rPr>
              <w:t>Ris</w:t>
            </w:r>
            <w:r>
              <w:rPr>
                <w:rFonts w:ascii="Arial" w:eastAsia="Arial" w:hAnsi="Arial" w:cs="Arial"/>
                <w:b/>
                <w:color w:val="000000"/>
                <w:sz w:val="22"/>
                <w:szCs w:val="22"/>
              </w:rPr>
              <w:t>k level</w:t>
            </w:r>
          </w:p>
        </w:tc>
      </w:tr>
      <w:tr w:rsidR="00B91140">
        <w:tc>
          <w:tcPr>
            <w:tcW w:w="3005"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Standard and Poor’s</w:t>
            </w:r>
          </w:p>
        </w:tc>
        <w:tc>
          <w:tcPr>
            <w:tcW w:w="3005"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 xml:space="preserve">Credit Rating Level 1 </w:t>
            </w:r>
          </w:p>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 [AAA] [AA+] [AA] [AA-] [A+] [A] [A-]</w:t>
            </w:r>
          </w:p>
        </w:tc>
        <w:tc>
          <w:tcPr>
            <w:tcW w:w="3006"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Low Risk</w:t>
            </w:r>
          </w:p>
        </w:tc>
      </w:tr>
      <w:tr w:rsidR="00B91140">
        <w:tc>
          <w:tcPr>
            <w:tcW w:w="3005" w:type="dxa"/>
          </w:tcPr>
          <w:p w:rsidR="00B91140" w:rsidRDefault="00B91140">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p>
        </w:tc>
        <w:tc>
          <w:tcPr>
            <w:tcW w:w="3005"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Credit Rating Level 2</w:t>
            </w:r>
          </w:p>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 [BBB+] [BBB] [BBB-] [BB+] [BB] [BB-] [B+] [B] [B-]</w:t>
            </w:r>
          </w:p>
        </w:tc>
        <w:tc>
          <w:tcPr>
            <w:tcW w:w="3006"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Greater Than Average Risk</w:t>
            </w:r>
          </w:p>
        </w:tc>
      </w:tr>
      <w:tr w:rsidR="00B91140">
        <w:tc>
          <w:tcPr>
            <w:tcW w:w="3005" w:type="dxa"/>
          </w:tcPr>
          <w:p w:rsidR="00B91140" w:rsidRDefault="00B91140">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p>
        </w:tc>
        <w:tc>
          <w:tcPr>
            <w:tcW w:w="3005"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 xml:space="preserve">Credit Rating Level 3 </w:t>
            </w:r>
          </w:p>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 xml:space="preserve">= [CCC] [CC] [C] [D] [NR] </w:t>
            </w:r>
          </w:p>
        </w:tc>
        <w:tc>
          <w:tcPr>
            <w:tcW w:w="3006"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High Risk</w:t>
            </w:r>
          </w:p>
        </w:tc>
      </w:tr>
      <w:tr w:rsidR="00B91140">
        <w:tc>
          <w:tcPr>
            <w:tcW w:w="3005"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proofErr w:type="spellStart"/>
            <w:r>
              <w:rPr>
                <w:rFonts w:ascii="Arial" w:eastAsia="Arial" w:hAnsi="Arial" w:cs="Arial"/>
                <w:color w:val="000000"/>
                <w:sz w:val="22"/>
                <w:szCs w:val="22"/>
              </w:rPr>
              <w:t>Moodys</w:t>
            </w:r>
            <w:proofErr w:type="spellEnd"/>
          </w:p>
        </w:tc>
        <w:tc>
          <w:tcPr>
            <w:tcW w:w="3005"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 xml:space="preserve">Credit Rating Level 1 </w:t>
            </w:r>
          </w:p>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 [</w:t>
            </w:r>
            <w:proofErr w:type="spellStart"/>
            <w:r>
              <w:rPr>
                <w:rFonts w:ascii="Arial" w:eastAsia="Arial" w:hAnsi="Arial" w:cs="Arial"/>
                <w:color w:val="000000"/>
                <w:sz w:val="22"/>
                <w:szCs w:val="22"/>
              </w:rPr>
              <w:t>Aaa</w:t>
            </w:r>
            <w:proofErr w:type="spellEnd"/>
            <w:r>
              <w:rPr>
                <w:rFonts w:ascii="Arial" w:eastAsia="Arial" w:hAnsi="Arial" w:cs="Arial"/>
                <w:color w:val="000000"/>
                <w:sz w:val="22"/>
                <w:szCs w:val="22"/>
              </w:rPr>
              <w:t xml:space="preserve">] [Aa] [A] </w:t>
            </w:r>
          </w:p>
        </w:tc>
        <w:tc>
          <w:tcPr>
            <w:tcW w:w="3006"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Low Risk</w:t>
            </w:r>
          </w:p>
        </w:tc>
      </w:tr>
      <w:tr w:rsidR="00B91140">
        <w:tc>
          <w:tcPr>
            <w:tcW w:w="3005" w:type="dxa"/>
          </w:tcPr>
          <w:p w:rsidR="00B91140" w:rsidRDefault="00B91140">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p>
        </w:tc>
        <w:tc>
          <w:tcPr>
            <w:tcW w:w="3005"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Credit Rating Level 2</w:t>
            </w:r>
          </w:p>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 xml:space="preserve">= [Baa] [Ba] [B] </w:t>
            </w:r>
          </w:p>
        </w:tc>
        <w:tc>
          <w:tcPr>
            <w:tcW w:w="3006"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Greater Than Average Risk</w:t>
            </w:r>
          </w:p>
        </w:tc>
      </w:tr>
      <w:tr w:rsidR="00B91140">
        <w:tc>
          <w:tcPr>
            <w:tcW w:w="3005" w:type="dxa"/>
          </w:tcPr>
          <w:p w:rsidR="00B91140" w:rsidRDefault="00B91140">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p>
        </w:tc>
        <w:tc>
          <w:tcPr>
            <w:tcW w:w="3005"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 xml:space="preserve">Credit Rating Level 3 </w:t>
            </w:r>
          </w:p>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 [</w:t>
            </w:r>
            <w:proofErr w:type="spellStart"/>
            <w:r>
              <w:rPr>
                <w:rFonts w:ascii="Arial" w:eastAsia="Arial" w:hAnsi="Arial" w:cs="Arial"/>
                <w:color w:val="000000"/>
                <w:sz w:val="22"/>
                <w:szCs w:val="22"/>
              </w:rPr>
              <w:t>Caa</w:t>
            </w:r>
            <w:proofErr w:type="spellEnd"/>
            <w:r>
              <w:rPr>
                <w:rFonts w:ascii="Arial" w:eastAsia="Arial" w:hAnsi="Arial" w:cs="Arial"/>
                <w:color w:val="000000"/>
                <w:sz w:val="22"/>
                <w:szCs w:val="22"/>
              </w:rPr>
              <w:t xml:space="preserve">] [Ca] [C] </w:t>
            </w:r>
          </w:p>
        </w:tc>
        <w:tc>
          <w:tcPr>
            <w:tcW w:w="3006"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High Risk</w:t>
            </w:r>
          </w:p>
        </w:tc>
      </w:tr>
      <w:tr w:rsidR="00B91140">
        <w:tc>
          <w:tcPr>
            <w:tcW w:w="3005"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Dun and Bradstreet</w:t>
            </w:r>
          </w:p>
        </w:tc>
        <w:tc>
          <w:tcPr>
            <w:tcW w:w="3005"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Credit Rating Level 1</w:t>
            </w:r>
          </w:p>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 Failure Score of 51 or above</w:t>
            </w:r>
          </w:p>
        </w:tc>
        <w:tc>
          <w:tcPr>
            <w:tcW w:w="3006"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Low Risk</w:t>
            </w:r>
          </w:p>
        </w:tc>
      </w:tr>
      <w:tr w:rsidR="00B91140">
        <w:tc>
          <w:tcPr>
            <w:tcW w:w="3005" w:type="dxa"/>
          </w:tcPr>
          <w:p w:rsidR="00B91140" w:rsidRDefault="00B91140">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p>
        </w:tc>
        <w:tc>
          <w:tcPr>
            <w:tcW w:w="3005"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Credit Rating Level 2</w:t>
            </w:r>
          </w:p>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 Failure Score of 11 to 50</w:t>
            </w:r>
          </w:p>
        </w:tc>
        <w:tc>
          <w:tcPr>
            <w:tcW w:w="3006"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Greater Than Average Risk</w:t>
            </w:r>
          </w:p>
        </w:tc>
      </w:tr>
      <w:tr w:rsidR="00B91140">
        <w:tc>
          <w:tcPr>
            <w:tcW w:w="3005" w:type="dxa"/>
          </w:tcPr>
          <w:p w:rsidR="00B91140" w:rsidRDefault="00B91140">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p>
        </w:tc>
        <w:tc>
          <w:tcPr>
            <w:tcW w:w="3005"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Credit Rating Level 3</w:t>
            </w:r>
          </w:p>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 Failure Score of 10 or below</w:t>
            </w:r>
          </w:p>
        </w:tc>
        <w:tc>
          <w:tcPr>
            <w:tcW w:w="3006"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High Risk</w:t>
            </w:r>
          </w:p>
        </w:tc>
      </w:tr>
      <w:tr w:rsidR="00B91140">
        <w:tc>
          <w:tcPr>
            <w:tcW w:w="3005"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Experian</w:t>
            </w:r>
          </w:p>
        </w:tc>
        <w:tc>
          <w:tcPr>
            <w:tcW w:w="3005"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 xml:space="preserve">Credit Rating Level 1 </w:t>
            </w:r>
          </w:p>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 51 or above</w:t>
            </w:r>
          </w:p>
        </w:tc>
        <w:tc>
          <w:tcPr>
            <w:tcW w:w="3006"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Low Risk</w:t>
            </w:r>
          </w:p>
        </w:tc>
      </w:tr>
      <w:tr w:rsidR="00B91140">
        <w:tc>
          <w:tcPr>
            <w:tcW w:w="3005" w:type="dxa"/>
          </w:tcPr>
          <w:p w:rsidR="00B91140" w:rsidRDefault="00B91140">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p>
        </w:tc>
        <w:tc>
          <w:tcPr>
            <w:tcW w:w="3005"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Credit Rating Level 2</w:t>
            </w:r>
          </w:p>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 26 to 50</w:t>
            </w:r>
          </w:p>
        </w:tc>
        <w:tc>
          <w:tcPr>
            <w:tcW w:w="3006"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Greater Than Average Risk</w:t>
            </w:r>
          </w:p>
        </w:tc>
      </w:tr>
      <w:tr w:rsidR="00B91140">
        <w:tc>
          <w:tcPr>
            <w:tcW w:w="3005" w:type="dxa"/>
          </w:tcPr>
          <w:p w:rsidR="00B91140" w:rsidRDefault="00B91140">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p>
        </w:tc>
        <w:tc>
          <w:tcPr>
            <w:tcW w:w="3005"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Credit Rating Level 3</w:t>
            </w:r>
          </w:p>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lastRenderedPageBreak/>
              <w:t>= 25 or below</w:t>
            </w:r>
          </w:p>
        </w:tc>
        <w:tc>
          <w:tcPr>
            <w:tcW w:w="3006"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lastRenderedPageBreak/>
              <w:t>High Risk</w:t>
            </w:r>
          </w:p>
        </w:tc>
      </w:tr>
      <w:tr w:rsidR="00B91140">
        <w:tc>
          <w:tcPr>
            <w:tcW w:w="3005"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proofErr w:type="spellStart"/>
            <w:r>
              <w:rPr>
                <w:rFonts w:ascii="Arial" w:eastAsia="Arial" w:hAnsi="Arial" w:cs="Arial"/>
                <w:color w:val="000000"/>
                <w:sz w:val="22"/>
                <w:szCs w:val="22"/>
              </w:rPr>
              <w:t>Companywatch</w:t>
            </w:r>
            <w:proofErr w:type="spellEnd"/>
          </w:p>
        </w:tc>
        <w:tc>
          <w:tcPr>
            <w:tcW w:w="3005"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Credit Rating Level 1</w:t>
            </w:r>
          </w:p>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 36 and above</w:t>
            </w:r>
          </w:p>
        </w:tc>
        <w:tc>
          <w:tcPr>
            <w:tcW w:w="3006"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Low Risk</w:t>
            </w:r>
          </w:p>
        </w:tc>
      </w:tr>
      <w:tr w:rsidR="00B91140">
        <w:tc>
          <w:tcPr>
            <w:tcW w:w="3005" w:type="dxa"/>
          </w:tcPr>
          <w:p w:rsidR="00B91140" w:rsidRDefault="00B91140">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p>
        </w:tc>
        <w:tc>
          <w:tcPr>
            <w:tcW w:w="3005"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Credit Rating Level 2</w:t>
            </w:r>
          </w:p>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 26 to 35</w:t>
            </w:r>
          </w:p>
        </w:tc>
        <w:tc>
          <w:tcPr>
            <w:tcW w:w="3006"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Greater Than Average Risk</w:t>
            </w:r>
          </w:p>
        </w:tc>
      </w:tr>
      <w:tr w:rsidR="00B91140">
        <w:tc>
          <w:tcPr>
            <w:tcW w:w="3005" w:type="dxa"/>
          </w:tcPr>
          <w:p w:rsidR="00B91140" w:rsidRDefault="00B91140">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p>
        </w:tc>
        <w:tc>
          <w:tcPr>
            <w:tcW w:w="3005"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Credit Rating Level 3</w:t>
            </w:r>
          </w:p>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 25 or below</w:t>
            </w:r>
          </w:p>
        </w:tc>
        <w:tc>
          <w:tcPr>
            <w:tcW w:w="3006" w:type="dxa"/>
          </w:tcPr>
          <w:p w:rsidR="00B91140" w:rsidRDefault="00EE1134">
            <w:pPr>
              <w:pBdr>
                <w:top w:val="nil"/>
                <w:left w:val="nil"/>
                <w:bottom w:val="nil"/>
                <w:right w:val="nil"/>
                <w:between w:val="nil"/>
              </w:pBdr>
              <w:spacing w:after="120" w:line="276" w:lineRule="auto"/>
              <w:ind w:left="720" w:hanging="720"/>
              <w:jc w:val="left"/>
              <w:rPr>
                <w:rFonts w:ascii="Arial" w:eastAsia="Arial" w:hAnsi="Arial" w:cs="Arial"/>
                <w:color w:val="000000"/>
                <w:sz w:val="22"/>
                <w:szCs w:val="22"/>
              </w:rPr>
            </w:pPr>
            <w:r>
              <w:rPr>
                <w:rFonts w:ascii="Arial" w:eastAsia="Arial" w:hAnsi="Arial" w:cs="Arial"/>
                <w:color w:val="000000"/>
                <w:sz w:val="22"/>
                <w:szCs w:val="22"/>
              </w:rPr>
              <w:t>High Risk</w:t>
            </w:r>
          </w:p>
        </w:tc>
      </w:tr>
    </w:tbl>
    <w:p w:rsidR="00B91140" w:rsidRDefault="00B91140">
      <w:pPr>
        <w:pBdr>
          <w:top w:val="nil"/>
          <w:left w:val="nil"/>
          <w:bottom w:val="nil"/>
          <w:right w:val="nil"/>
          <w:between w:val="nil"/>
        </w:pBdr>
        <w:spacing w:after="120"/>
        <w:ind w:left="720" w:hanging="720"/>
        <w:rPr>
          <w:rFonts w:ascii="Arial" w:eastAsia="Arial" w:hAnsi="Arial" w:cs="Arial"/>
          <w:color w:val="000000"/>
        </w:rPr>
      </w:pPr>
    </w:p>
    <w:p w:rsidR="00B91140" w:rsidRDefault="00EE1134">
      <w:pPr>
        <w:numPr>
          <w:ilvl w:val="1"/>
          <w:numId w:val="3"/>
        </w:numPr>
        <w:pBdr>
          <w:top w:val="nil"/>
          <w:left w:val="nil"/>
          <w:bottom w:val="nil"/>
          <w:right w:val="nil"/>
          <w:between w:val="nil"/>
        </w:pBdr>
        <w:rPr>
          <w:rFonts w:ascii="Arial" w:eastAsia="Arial" w:hAnsi="Arial" w:cs="Arial"/>
          <w:color w:val="000000"/>
        </w:rPr>
      </w:pPr>
      <w:r>
        <w:br w:type="page"/>
      </w:r>
    </w:p>
    <w:p w:rsidR="00B91140" w:rsidRDefault="00EE1134">
      <w:pPr>
        <w:spacing w:after="0"/>
        <w:jc w:val="center"/>
        <w:rPr>
          <w:rFonts w:ascii="Arial" w:eastAsia="Arial" w:hAnsi="Arial" w:cs="Arial"/>
          <w:b/>
        </w:rPr>
      </w:pPr>
      <w:bookmarkStart w:id="16" w:name="_heading=h.44sinio" w:colFirst="0" w:colLast="0"/>
      <w:bookmarkEnd w:id="16"/>
      <w:r>
        <w:rPr>
          <w:rFonts w:ascii="Arial" w:eastAsia="Arial" w:hAnsi="Arial" w:cs="Arial"/>
          <w:b/>
        </w:rPr>
        <w:lastRenderedPageBreak/>
        <w:t>ANNEX 2:  APPROPRIATE ACCEPTED MITIGATIONS</w:t>
      </w:r>
    </w:p>
    <w:p w:rsidR="00B91140" w:rsidRDefault="00B91140">
      <w:pPr>
        <w:spacing w:after="0"/>
        <w:rPr>
          <w:rFonts w:ascii="Arial" w:eastAsia="Arial" w:hAnsi="Arial" w:cs="Arial"/>
          <w:b/>
        </w:rPr>
      </w:pPr>
    </w:p>
    <w:p w:rsidR="00B91140" w:rsidRDefault="00EE1134">
      <w:pPr>
        <w:numPr>
          <w:ilvl w:val="0"/>
          <w:numId w:val="1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As at the Effective Date, the Parties agree that the Appropriate Accepted Mitigation:</w:t>
      </w:r>
    </w:p>
    <w:p w:rsidR="00B91140" w:rsidRDefault="00B91140">
      <w:pPr>
        <w:rPr>
          <w:rFonts w:ascii="Arial" w:eastAsia="Arial" w:hAnsi="Arial" w:cs="Arial"/>
        </w:rPr>
      </w:pPr>
    </w:p>
    <w:p w:rsidR="00B91140" w:rsidRDefault="00EE1134">
      <w:pPr>
        <w:rPr>
          <w:rFonts w:ascii="Arial" w:eastAsia="Arial" w:hAnsi="Arial" w:cs="Arial"/>
        </w:rPr>
      </w:pPr>
      <w:r>
        <w:rPr>
          <w:rFonts w:ascii="Arial" w:eastAsia="Arial" w:hAnsi="Arial" w:cs="Arial"/>
        </w:rPr>
        <w:t xml:space="preserve">For the Supplier is the existence of a valid Guarantee provided by a Parent Undertaking as Guarantor and the Guarantor is not subject to an FDE for which there is no Appropriate Accepted Mitigation.  A completed Joint Schedule 8 signed by </w:t>
      </w:r>
      <w:proofErr w:type="spellStart"/>
      <w:r>
        <w:rPr>
          <w:rFonts w:ascii="Arial" w:eastAsia="Arial" w:hAnsi="Arial" w:cs="Arial"/>
        </w:rPr>
        <w:t>Seera</w:t>
      </w:r>
      <w:proofErr w:type="spellEnd"/>
      <w:r>
        <w:rPr>
          <w:rFonts w:ascii="Arial" w:eastAsia="Arial" w:hAnsi="Arial" w:cs="Arial"/>
        </w:rPr>
        <w:t xml:space="preserve"> Holding Gro</w:t>
      </w:r>
      <w:r>
        <w:rPr>
          <w:rFonts w:ascii="Arial" w:eastAsia="Arial" w:hAnsi="Arial" w:cs="Arial"/>
        </w:rPr>
        <w:t>up.</w:t>
      </w:r>
    </w:p>
    <w:p w:rsidR="00B91140" w:rsidRDefault="00B91140">
      <w:pPr>
        <w:spacing w:after="0"/>
        <w:rPr>
          <w:rFonts w:ascii="Arial" w:eastAsia="Arial" w:hAnsi="Arial" w:cs="Arial"/>
          <w:color w:val="FF0000"/>
        </w:rPr>
      </w:pPr>
    </w:p>
    <w:p w:rsidR="00B91140" w:rsidRDefault="00B91140">
      <w:pPr>
        <w:rPr>
          <w:highlight w:val="lightGray"/>
        </w:rPr>
      </w:pPr>
    </w:p>
    <w:p w:rsidR="00B91140" w:rsidRDefault="00B91140">
      <w:pPr>
        <w:rPr>
          <w:rFonts w:ascii="Arial" w:eastAsia="Arial" w:hAnsi="Arial" w:cs="Arial"/>
        </w:rPr>
      </w:pPr>
    </w:p>
    <w:p w:rsidR="00B91140" w:rsidRDefault="00EE1134">
      <w:pPr>
        <w:rPr>
          <w:rFonts w:ascii="Arial" w:eastAsia="Arial" w:hAnsi="Arial" w:cs="Arial"/>
        </w:rPr>
      </w:pPr>
      <w:r>
        <w:br w:type="page"/>
      </w:r>
    </w:p>
    <w:p w:rsidR="00B91140" w:rsidRDefault="00B91140">
      <w:pPr>
        <w:spacing w:after="0"/>
        <w:rPr>
          <w:rFonts w:ascii="Arial" w:eastAsia="Arial" w:hAnsi="Arial" w:cs="Arial"/>
        </w:rPr>
      </w:pPr>
    </w:p>
    <w:p w:rsidR="00B91140" w:rsidRDefault="00EE1134">
      <w:pPr>
        <w:spacing w:after="0"/>
        <w:jc w:val="center"/>
        <w:rPr>
          <w:rFonts w:ascii="Arial" w:eastAsia="Arial" w:hAnsi="Arial" w:cs="Arial"/>
          <w:b/>
          <w:sz w:val="24"/>
          <w:szCs w:val="24"/>
          <w:u w:val="single"/>
        </w:rPr>
      </w:pPr>
      <w:r>
        <w:rPr>
          <w:rFonts w:ascii="Arial" w:eastAsia="Arial" w:hAnsi="Arial" w:cs="Arial"/>
          <w:b/>
          <w:sz w:val="24"/>
          <w:szCs w:val="24"/>
          <w:u w:val="single"/>
        </w:rPr>
        <w:t xml:space="preserve">ANNEX 3: Credit Ratings </w:t>
      </w:r>
      <w:proofErr w:type="gramStart"/>
      <w:r>
        <w:rPr>
          <w:rFonts w:ascii="Arial" w:eastAsia="Arial" w:hAnsi="Arial" w:cs="Arial"/>
          <w:b/>
          <w:sz w:val="24"/>
          <w:szCs w:val="24"/>
          <w:u w:val="single"/>
        </w:rPr>
        <w:t>And</w:t>
      </w:r>
      <w:proofErr w:type="gramEnd"/>
      <w:r>
        <w:rPr>
          <w:rFonts w:ascii="Arial" w:eastAsia="Arial" w:hAnsi="Arial" w:cs="Arial"/>
          <w:b/>
          <w:sz w:val="24"/>
          <w:szCs w:val="24"/>
          <w:u w:val="single"/>
        </w:rPr>
        <w:t xml:space="preserve"> Credit Rating Thresholds</w:t>
      </w:r>
    </w:p>
    <w:p w:rsidR="00B91140" w:rsidRDefault="00B91140">
      <w:pPr>
        <w:rPr>
          <w:rFonts w:ascii="Arial" w:eastAsia="Arial" w:hAnsi="Arial" w:cs="Arial"/>
          <w:b/>
          <w:i/>
          <w:sz w:val="24"/>
          <w:szCs w:val="24"/>
        </w:rPr>
      </w:pPr>
    </w:p>
    <w:tbl>
      <w:tblPr>
        <w:tblStyle w:val="a3"/>
        <w:tblW w:w="9016" w:type="dxa"/>
        <w:tblLayout w:type="fixed"/>
        <w:tblLook w:val="0400" w:firstRow="0" w:lastRow="0" w:firstColumn="0" w:lastColumn="0" w:noHBand="0" w:noVBand="1"/>
      </w:tblPr>
      <w:tblGrid>
        <w:gridCol w:w="3010"/>
        <w:gridCol w:w="2995"/>
        <w:gridCol w:w="3011"/>
      </w:tblGrid>
      <w:tr w:rsidR="00B91140">
        <w:tc>
          <w:tcPr>
            <w:tcW w:w="3010" w:type="dxa"/>
            <w:tcBorders>
              <w:top w:val="single" w:sz="4" w:space="0" w:color="000000"/>
              <w:left w:val="single" w:sz="4" w:space="0" w:color="000000"/>
              <w:bottom w:val="single" w:sz="4" w:space="0" w:color="000000"/>
              <w:right w:val="single" w:sz="4" w:space="0" w:color="000000"/>
            </w:tcBorders>
            <w:shd w:val="clear" w:color="auto" w:fill="D9D9D9"/>
          </w:tcPr>
          <w:p w:rsidR="00B91140" w:rsidRDefault="00EE1134">
            <w:pPr>
              <w:pBdr>
                <w:top w:val="nil"/>
                <w:left w:val="nil"/>
                <w:bottom w:val="nil"/>
                <w:right w:val="nil"/>
                <w:between w:val="nil"/>
              </w:pBdr>
              <w:spacing w:before="120" w:after="120"/>
              <w:ind w:left="34"/>
              <w:rPr>
                <w:rFonts w:ascii="Arial" w:eastAsia="Arial" w:hAnsi="Arial" w:cs="Arial"/>
                <w:b/>
                <w:color w:val="000000"/>
              </w:rPr>
            </w:pPr>
            <w:r>
              <w:rPr>
                <w:rFonts w:ascii="Arial" w:eastAsia="Arial" w:hAnsi="Arial" w:cs="Arial"/>
                <w:b/>
                <w:color w:val="000000"/>
              </w:rPr>
              <w:t>Entity</w:t>
            </w:r>
          </w:p>
        </w:tc>
        <w:tc>
          <w:tcPr>
            <w:tcW w:w="2995" w:type="dxa"/>
            <w:tcBorders>
              <w:top w:val="single" w:sz="4" w:space="0" w:color="000000"/>
              <w:left w:val="single" w:sz="4" w:space="0" w:color="000000"/>
              <w:bottom w:val="single" w:sz="4" w:space="0" w:color="000000"/>
              <w:right w:val="single" w:sz="4" w:space="0" w:color="000000"/>
            </w:tcBorders>
            <w:shd w:val="clear" w:color="auto" w:fill="D9D9D9"/>
          </w:tcPr>
          <w:p w:rsidR="00B91140" w:rsidRDefault="00EE1134">
            <w:pPr>
              <w:pBdr>
                <w:top w:val="nil"/>
                <w:left w:val="nil"/>
                <w:bottom w:val="nil"/>
                <w:right w:val="nil"/>
                <w:between w:val="nil"/>
              </w:pBdr>
              <w:spacing w:before="120" w:after="120"/>
              <w:ind w:left="34"/>
              <w:rPr>
                <w:rFonts w:ascii="Arial" w:eastAsia="Arial" w:hAnsi="Arial" w:cs="Arial"/>
                <w:b/>
                <w:color w:val="000000"/>
              </w:rPr>
            </w:pPr>
            <w:r>
              <w:rPr>
                <w:rFonts w:ascii="Arial" w:eastAsia="Arial" w:hAnsi="Arial" w:cs="Arial"/>
                <w:b/>
                <w:color w:val="000000"/>
              </w:rPr>
              <w:t>Credit Rating (long term)</w:t>
            </w:r>
          </w:p>
          <w:p w:rsidR="00B91140" w:rsidRDefault="00EE1134">
            <w:pPr>
              <w:pBdr>
                <w:top w:val="nil"/>
                <w:left w:val="nil"/>
                <w:bottom w:val="nil"/>
                <w:right w:val="nil"/>
                <w:between w:val="nil"/>
              </w:pBdr>
              <w:spacing w:before="120" w:after="120"/>
              <w:ind w:left="34"/>
              <w:rPr>
                <w:rFonts w:ascii="Arial" w:eastAsia="Arial" w:hAnsi="Arial" w:cs="Arial"/>
                <w:b/>
                <w:color w:val="000000"/>
              </w:rPr>
            </w:pPr>
            <w:r>
              <w:rPr>
                <w:rFonts w:ascii="Arial" w:eastAsia="Arial" w:hAnsi="Arial" w:cs="Arial"/>
                <w:i/>
                <w:color w:val="000000"/>
              </w:rPr>
              <w:t>(insert the actual credit rating issued for the entity at the Effective Date)</w:t>
            </w:r>
          </w:p>
        </w:tc>
        <w:tc>
          <w:tcPr>
            <w:tcW w:w="3011" w:type="dxa"/>
            <w:tcBorders>
              <w:top w:val="single" w:sz="4" w:space="0" w:color="000000"/>
              <w:left w:val="single" w:sz="4" w:space="0" w:color="000000"/>
              <w:bottom w:val="single" w:sz="4" w:space="0" w:color="000000"/>
              <w:right w:val="single" w:sz="4" w:space="0" w:color="000000"/>
            </w:tcBorders>
            <w:shd w:val="clear" w:color="auto" w:fill="D9D9D9"/>
          </w:tcPr>
          <w:p w:rsidR="00B91140" w:rsidRDefault="00EE1134">
            <w:pPr>
              <w:pBdr>
                <w:top w:val="nil"/>
                <w:left w:val="nil"/>
                <w:bottom w:val="nil"/>
                <w:right w:val="nil"/>
                <w:between w:val="nil"/>
              </w:pBdr>
              <w:spacing w:before="120" w:after="120"/>
              <w:ind w:left="34"/>
              <w:rPr>
                <w:rFonts w:ascii="Arial" w:eastAsia="Arial" w:hAnsi="Arial" w:cs="Arial"/>
                <w:b/>
                <w:color w:val="000000"/>
              </w:rPr>
            </w:pPr>
            <w:r>
              <w:rPr>
                <w:rFonts w:ascii="Arial" w:eastAsia="Arial" w:hAnsi="Arial" w:cs="Arial"/>
                <w:b/>
                <w:color w:val="000000"/>
              </w:rPr>
              <w:t>Credit Rating Threshold</w:t>
            </w:r>
          </w:p>
          <w:p w:rsidR="00B91140" w:rsidRDefault="00EE1134">
            <w:pPr>
              <w:pBdr>
                <w:top w:val="nil"/>
                <w:left w:val="nil"/>
                <w:bottom w:val="nil"/>
                <w:right w:val="nil"/>
                <w:between w:val="nil"/>
              </w:pBdr>
              <w:spacing w:before="120" w:after="120"/>
              <w:ind w:left="34"/>
              <w:rPr>
                <w:rFonts w:ascii="Arial" w:eastAsia="Arial" w:hAnsi="Arial" w:cs="Arial"/>
                <w:i/>
                <w:color w:val="000000"/>
              </w:rPr>
            </w:pPr>
            <w:r>
              <w:rPr>
                <w:rFonts w:ascii="Arial" w:eastAsia="Arial" w:hAnsi="Arial" w:cs="Arial"/>
                <w:i/>
                <w:color w:val="000000"/>
              </w:rPr>
              <w:t>(insert the minimum actual rating (e.g. AA-) or the minimum Credit Rating Level (e.g. Credit Rating Level 3)</w:t>
            </w:r>
          </w:p>
        </w:tc>
      </w:tr>
      <w:tr w:rsidR="00B91140">
        <w:tc>
          <w:tcPr>
            <w:tcW w:w="3010" w:type="dxa"/>
            <w:tcBorders>
              <w:top w:val="single" w:sz="4" w:space="0" w:color="000000"/>
              <w:left w:val="single" w:sz="4" w:space="0" w:color="000000"/>
              <w:right w:val="single" w:sz="4" w:space="0" w:color="000000"/>
            </w:tcBorders>
          </w:tcPr>
          <w:p w:rsidR="00B91140" w:rsidRDefault="00B91140">
            <w:pPr>
              <w:pBdr>
                <w:top w:val="nil"/>
                <w:left w:val="nil"/>
                <w:bottom w:val="nil"/>
                <w:right w:val="nil"/>
                <w:between w:val="nil"/>
              </w:pBdr>
              <w:spacing w:before="120" w:after="120"/>
              <w:ind w:left="34"/>
              <w:rPr>
                <w:rFonts w:ascii="Arial" w:eastAsia="Arial" w:hAnsi="Arial" w:cs="Arial"/>
                <w:b/>
                <w:i/>
                <w:color w:val="000000"/>
              </w:rPr>
            </w:pPr>
          </w:p>
          <w:p w:rsidR="00B91140" w:rsidRDefault="00EE1134">
            <w:pPr>
              <w:pBdr>
                <w:top w:val="nil"/>
                <w:left w:val="nil"/>
                <w:bottom w:val="nil"/>
                <w:right w:val="nil"/>
                <w:between w:val="nil"/>
              </w:pBdr>
              <w:spacing w:before="120" w:after="120"/>
              <w:ind w:left="34"/>
              <w:rPr>
                <w:rFonts w:ascii="Arial" w:eastAsia="Arial" w:hAnsi="Arial" w:cs="Arial"/>
                <w:b/>
                <w:i/>
                <w:color w:val="000000"/>
              </w:rPr>
            </w:pPr>
            <w:r>
              <w:rPr>
                <w:rFonts w:ascii="Arial" w:eastAsia="Arial" w:hAnsi="Arial" w:cs="Arial"/>
                <w:b/>
                <w:i/>
                <w:color w:val="000000"/>
              </w:rPr>
              <w:t>(Supplier)</w:t>
            </w:r>
          </w:p>
        </w:tc>
        <w:tc>
          <w:tcPr>
            <w:tcW w:w="2995" w:type="dxa"/>
            <w:tcBorders>
              <w:top w:val="single" w:sz="4" w:space="0" w:color="000000"/>
              <w:left w:val="single" w:sz="4" w:space="0" w:color="000000"/>
              <w:bottom w:val="single" w:sz="4" w:space="0" w:color="000000"/>
              <w:right w:val="single" w:sz="4" w:space="0" w:color="000000"/>
            </w:tcBorders>
          </w:tcPr>
          <w:p w:rsidR="00B91140" w:rsidRDefault="00D97B2B">
            <w:pPr>
              <w:pBdr>
                <w:top w:val="nil"/>
                <w:left w:val="nil"/>
                <w:bottom w:val="nil"/>
                <w:right w:val="nil"/>
                <w:between w:val="nil"/>
              </w:pBdr>
              <w:spacing w:before="120" w:after="120"/>
              <w:ind w:left="34"/>
              <w:rPr>
                <w:rFonts w:ascii="Arial" w:eastAsia="Arial" w:hAnsi="Arial" w:cs="Arial"/>
                <w:strike/>
                <w:color w:val="000000"/>
              </w:rPr>
            </w:pPr>
            <w:r>
              <w:rPr>
                <w:rFonts w:ascii="Arial" w:eastAsia="Arial" w:hAnsi="Arial" w:cs="Arial"/>
                <w:sz w:val="24"/>
                <w:szCs w:val="24"/>
                <w:highlight w:val="yellow"/>
              </w:rPr>
              <w:t xml:space="preserve">Redacted Text </w:t>
            </w:r>
            <w:r>
              <w:rPr>
                <w:rFonts w:ascii="Arial" w:eastAsia="Arial" w:hAnsi="Arial" w:cs="Arial"/>
                <w:color w:val="FFFFFF"/>
                <w:sz w:val="24"/>
                <w:szCs w:val="24"/>
                <w:highlight w:val="black"/>
              </w:rPr>
              <w:t>Under FOIA, Section 43, Commercial Interests</w:t>
            </w:r>
            <w:r>
              <w:rPr>
                <w:rFonts w:ascii="Arial" w:eastAsia="Arial" w:hAnsi="Arial" w:cs="Arial"/>
              </w:rPr>
              <w:t xml:space="preserve">  </w:t>
            </w:r>
          </w:p>
        </w:tc>
        <w:tc>
          <w:tcPr>
            <w:tcW w:w="3011" w:type="dxa"/>
            <w:tcBorders>
              <w:top w:val="single" w:sz="4" w:space="0" w:color="000000"/>
              <w:left w:val="single" w:sz="4" w:space="0" w:color="000000"/>
              <w:bottom w:val="single" w:sz="4" w:space="0" w:color="000000"/>
              <w:right w:val="single" w:sz="4" w:space="0" w:color="000000"/>
            </w:tcBorders>
          </w:tcPr>
          <w:p w:rsidR="00B91140" w:rsidRDefault="00D97B2B">
            <w:pPr>
              <w:pBdr>
                <w:top w:val="nil"/>
                <w:left w:val="nil"/>
                <w:bottom w:val="nil"/>
                <w:right w:val="nil"/>
                <w:between w:val="nil"/>
              </w:pBdr>
              <w:spacing w:before="120" w:after="120"/>
              <w:ind w:left="34"/>
              <w:rPr>
                <w:rFonts w:ascii="Arial" w:eastAsia="Arial" w:hAnsi="Arial" w:cs="Arial"/>
                <w:strike/>
                <w:color w:val="000000"/>
              </w:rPr>
            </w:pPr>
            <w:r>
              <w:rPr>
                <w:rFonts w:ascii="Arial" w:eastAsia="Arial" w:hAnsi="Arial" w:cs="Arial"/>
                <w:sz w:val="24"/>
                <w:szCs w:val="24"/>
                <w:highlight w:val="yellow"/>
              </w:rPr>
              <w:t xml:space="preserve">Redacted Text </w:t>
            </w:r>
            <w:r>
              <w:rPr>
                <w:rFonts w:ascii="Arial" w:eastAsia="Arial" w:hAnsi="Arial" w:cs="Arial"/>
                <w:color w:val="FFFFFF"/>
                <w:sz w:val="24"/>
                <w:szCs w:val="24"/>
                <w:highlight w:val="black"/>
              </w:rPr>
              <w:t>Under FOIA, Section 43, Commercial Interests</w:t>
            </w:r>
            <w:r>
              <w:rPr>
                <w:rFonts w:ascii="Arial" w:eastAsia="Arial" w:hAnsi="Arial" w:cs="Arial"/>
              </w:rPr>
              <w:t xml:space="preserve">  </w:t>
            </w:r>
          </w:p>
        </w:tc>
      </w:tr>
      <w:tr w:rsidR="00B91140">
        <w:tc>
          <w:tcPr>
            <w:tcW w:w="3010" w:type="dxa"/>
            <w:tcBorders>
              <w:top w:val="single" w:sz="4" w:space="0" w:color="000000"/>
              <w:left w:val="single" w:sz="4" w:space="0" w:color="000000"/>
              <w:right w:val="single" w:sz="4" w:space="0" w:color="000000"/>
            </w:tcBorders>
          </w:tcPr>
          <w:p w:rsidR="00B91140" w:rsidRDefault="00B91140">
            <w:pPr>
              <w:pBdr>
                <w:top w:val="nil"/>
                <w:left w:val="nil"/>
                <w:bottom w:val="nil"/>
                <w:right w:val="nil"/>
                <w:between w:val="nil"/>
              </w:pBdr>
              <w:spacing w:before="120" w:after="120"/>
              <w:ind w:left="34"/>
              <w:rPr>
                <w:rFonts w:ascii="Arial" w:eastAsia="Arial" w:hAnsi="Arial" w:cs="Arial"/>
                <w:b/>
                <w:i/>
                <w:color w:val="000000"/>
              </w:rPr>
            </w:pPr>
          </w:p>
          <w:p w:rsidR="00B91140" w:rsidRDefault="00EE1134">
            <w:pPr>
              <w:pBdr>
                <w:top w:val="nil"/>
                <w:left w:val="nil"/>
                <w:bottom w:val="nil"/>
                <w:right w:val="nil"/>
                <w:between w:val="nil"/>
              </w:pBdr>
              <w:spacing w:before="120" w:after="120"/>
              <w:ind w:left="34"/>
              <w:rPr>
                <w:rFonts w:ascii="Arial" w:eastAsia="Arial" w:hAnsi="Arial" w:cs="Arial"/>
                <w:b/>
                <w:i/>
                <w:color w:val="000000"/>
              </w:rPr>
            </w:pPr>
            <w:r>
              <w:rPr>
                <w:rFonts w:ascii="Arial" w:eastAsia="Arial" w:hAnsi="Arial" w:cs="Arial"/>
                <w:b/>
                <w:i/>
                <w:color w:val="000000"/>
              </w:rPr>
              <w:t xml:space="preserve"> (Guarantor)</w:t>
            </w:r>
          </w:p>
        </w:tc>
        <w:tc>
          <w:tcPr>
            <w:tcW w:w="2995" w:type="dxa"/>
            <w:tcBorders>
              <w:top w:val="single" w:sz="4" w:space="0" w:color="000000"/>
              <w:left w:val="single" w:sz="4" w:space="0" w:color="000000"/>
              <w:bottom w:val="single" w:sz="4" w:space="0" w:color="000000"/>
              <w:right w:val="single" w:sz="4" w:space="0" w:color="000000"/>
            </w:tcBorders>
          </w:tcPr>
          <w:p w:rsidR="00B91140" w:rsidRDefault="00D97B2B">
            <w:pPr>
              <w:pBdr>
                <w:top w:val="nil"/>
                <w:left w:val="nil"/>
                <w:bottom w:val="nil"/>
                <w:right w:val="nil"/>
                <w:between w:val="nil"/>
              </w:pBdr>
              <w:spacing w:before="120" w:after="120"/>
              <w:rPr>
                <w:rFonts w:ascii="Arial" w:eastAsia="Arial" w:hAnsi="Arial" w:cs="Arial"/>
                <w:color w:val="000000"/>
              </w:rPr>
            </w:pPr>
            <w:r>
              <w:rPr>
                <w:rFonts w:ascii="Arial" w:eastAsia="Arial" w:hAnsi="Arial" w:cs="Arial"/>
                <w:sz w:val="24"/>
                <w:szCs w:val="24"/>
                <w:highlight w:val="yellow"/>
              </w:rPr>
              <w:t xml:space="preserve">Redacted Text </w:t>
            </w:r>
            <w:r>
              <w:rPr>
                <w:rFonts w:ascii="Arial" w:eastAsia="Arial" w:hAnsi="Arial" w:cs="Arial"/>
                <w:color w:val="FFFFFF"/>
                <w:sz w:val="24"/>
                <w:szCs w:val="24"/>
                <w:highlight w:val="black"/>
              </w:rPr>
              <w:t>Under FOIA, Section 43, Commercial Interests</w:t>
            </w:r>
            <w:r>
              <w:rPr>
                <w:rFonts w:ascii="Arial" w:eastAsia="Arial" w:hAnsi="Arial" w:cs="Arial"/>
              </w:rPr>
              <w:t xml:space="preserve">  </w:t>
            </w:r>
          </w:p>
        </w:tc>
        <w:tc>
          <w:tcPr>
            <w:tcW w:w="3011" w:type="dxa"/>
            <w:tcBorders>
              <w:top w:val="single" w:sz="4" w:space="0" w:color="000000"/>
              <w:left w:val="single" w:sz="4" w:space="0" w:color="000000"/>
              <w:bottom w:val="single" w:sz="4" w:space="0" w:color="000000"/>
              <w:right w:val="single" w:sz="4" w:space="0" w:color="000000"/>
            </w:tcBorders>
          </w:tcPr>
          <w:p w:rsidR="00B91140" w:rsidRDefault="00D97B2B">
            <w:pPr>
              <w:pBdr>
                <w:top w:val="nil"/>
                <w:left w:val="nil"/>
                <w:bottom w:val="nil"/>
                <w:right w:val="nil"/>
                <w:between w:val="nil"/>
              </w:pBdr>
              <w:spacing w:before="120" w:after="120"/>
              <w:ind w:left="34"/>
              <w:rPr>
                <w:rFonts w:ascii="Arial" w:eastAsia="Arial" w:hAnsi="Arial" w:cs="Arial"/>
                <w:color w:val="000000"/>
              </w:rPr>
            </w:pPr>
            <w:r>
              <w:rPr>
                <w:rFonts w:ascii="Arial" w:eastAsia="Arial" w:hAnsi="Arial" w:cs="Arial"/>
                <w:sz w:val="24"/>
                <w:szCs w:val="24"/>
                <w:highlight w:val="yellow"/>
              </w:rPr>
              <w:t xml:space="preserve">Redacted Text </w:t>
            </w:r>
            <w:r>
              <w:rPr>
                <w:rFonts w:ascii="Arial" w:eastAsia="Arial" w:hAnsi="Arial" w:cs="Arial"/>
                <w:color w:val="FFFFFF"/>
                <w:sz w:val="24"/>
                <w:szCs w:val="24"/>
                <w:highlight w:val="black"/>
              </w:rPr>
              <w:t>Under FOIA, Section 43, Commercial Interests</w:t>
            </w:r>
            <w:r>
              <w:rPr>
                <w:rFonts w:ascii="Arial" w:eastAsia="Arial" w:hAnsi="Arial" w:cs="Arial"/>
              </w:rPr>
              <w:t xml:space="preserve">  </w:t>
            </w:r>
            <w:bookmarkStart w:id="17" w:name="_GoBack"/>
            <w:bookmarkEnd w:id="17"/>
          </w:p>
        </w:tc>
      </w:tr>
      <w:tr w:rsidR="00B91140">
        <w:tc>
          <w:tcPr>
            <w:tcW w:w="3010" w:type="dxa"/>
            <w:tcBorders>
              <w:top w:val="single" w:sz="4" w:space="0" w:color="000000"/>
            </w:tcBorders>
          </w:tcPr>
          <w:p w:rsidR="00B91140" w:rsidRDefault="00B91140">
            <w:pPr>
              <w:pBdr>
                <w:top w:val="nil"/>
                <w:left w:val="nil"/>
                <w:bottom w:val="nil"/>
                <w:right w:val="nil"/>
                <w:between w:val="nil"/>
              </w:pBdr>
              <w:spacing w:before="120" w:after="120"/>
              <w:ind w:left="34"/>
              <w:rPr>
                <w:rFonts w:ascii="Arial" w:eastAsia="Arial" w:hAnsi="Arial" w:cs="Arial"/>
                <w:b/>
                <w:i/>
                <w:color w:val="000000"/>
              </w:rPr>
            </w:pPr>
          </w:p>
        </w:tc>
        <w:tc>
          <w:tcPr>
            <w:tcW w:w="2995" w:type="dxa"/>
            <w:tcBorders>
              <w:top w:val="single" w:sz="4" w:space="0" w:color="000000"/>
            </w:tcBorders>
          </w:tcPr>
          <w:p w:rsidR="00B91140" w:rsidRDefault="00B91140">
            <w:pPr>
              <w:pBdr>
                <w:top w:val="nil"/>
                <w:left w:val="nil"/>
                <w:bottom w:val="nil"/>
                <w:right w:val="nil"/>
                <w:between w:val="nil"/>
              </w:pBdr>
              <w:spacing w:before="120" w:after="120"/>
              <w:ind w:left="34"/>
              <w:rPr>
                <w:rFonts w:ascii="Arial" w:eastAsia="Arial" w:hAnsi="Arial" w:cs="Arial"/>
                <w:color w:val="000000"/>
              </w:rPr>
            </w:pPr>
          </w:p>
        </w:tc>
        <w:tc>
          <w:tcPr>
            <w:tcW w:w="3011" w:type="dxa"/>
            <w:tcBorders>
              <w:top w:val="single" w:sz="4" w:space="0" w:color="000000"/>
            </w:tcBorders>
          </w:tcPr>
          <w:p w:rsidR="00B91140" w:rsidRDefault="00B91140">
            <w:pPr>
              <w:pBdr>
                <w:top w:val="nil"/>
                <w:left w:val="nil"/>
                <w:bottom w:val="nil"/>
                <w:right w:val="nil"/>
                <w:between w:val="nil"/>
              </w:pBdr>
              <w:spacing w:before="120" w:after="120"/>
              <w:ind w:left="34"/>
              <w:rPr>
                <w:rFonts w:ascii="Arial" w:eastAsia="Arial" w:hAnsi="Arial" w:cs="Arial"/>
                <w:color w:val="000000"/>
              </w:rPr>
            </w:pPr>
          </w:p>
        </w:tc>
      </w:tr>
      <w:tr w:rsidR="00B91140">
        <w:tc>
          <w:tcPr>
            <w:tcW w:w="3010" w:type="dxa"/>
            <w:tcBorders>
              <w:top w:val="single" w:sz="4" w:space="0" w:color="000000"/>
            </w:tcBorders>
          </w:tcPr>
          <w:p w:rsidR="00B91140" w:rsidRDefault="00B91140">
            <w:pPr>
              <w:pBdr>
                <w:top w:val="nil"/>
                <w:left w:val="nil"/>
                <w:bottom w:val="nil"/>
                <w:right w:val="nil"/>
                <w:between w:val="nil"/>
              </w:pBdr>
              <w:spacing w:before="120" w:after="120"/>
              <w:rPr>
                <w:rFonts w:ascii="Arial" w:eastAsia="Arial" w:hAnsi="Arial" w:cs="Arial"/>
                <w:color w:val="000000"/>
              </w:rPr>
            </w:pPr>
          </w:p>
        </w:tc>
        <w:tc>
          <w:tcPr>
            <w:tcW w:w="2995" w:type="dxa"/>
            <w:tcBorders>
              <w:top w:val="single" w:sz="4" w:space="0" w:color="000000"/>
            </w:tcBorders>
          </w:tcPr>
          <w:p w:rsidR="00B91140" w:rsidRDefault="00B91140">
            <w:pPr>
              <w:pBdr>
                <w:top w:val="nil"/>
                <w:left w:val="nil"/>
                <w:bottom w:val="nil"/>
                <w:right w:val="nil"/>
                <w:between w:val="nil"/>
              </w:pBdr>
              <w:spacing w:before="120" w:after="120"/>
              <w:ind w:left="34"/>
              <w:rPr>
                <w:rFonts w:ascii="Arial" w:eastAsia="Arial" w:hAnsi="Arial" w:cs="Arial"/>
                <w:color w:val="000000"/>
              </w:rPr>
            </w:pPr>
          </w:p>
        </w:tc>
        <w:tc>
          <w:tcPr>
            <w:tcW w:w="3011" w:type="dxa"/>
            <w:tcBorders>
              <w:top w:val="single" w:sz="4" w:space="0" w:color="000000"/>
            </w:tcBorders>
          </w:tcPr>
          <w:p w:rsidR="00B91140" w:rsidRDefault="00B91140">
            <w:pPr>
              <w:pBdr>
                <w:top w:val="nil"/>
                <w:left w:val="nil"/>
                <w:bottom w:val="nil"/>
                <w:right w:val="nil"/>
                <w:between w:val="nil"/>
              </w:pBdr>
              <w:spacing w:before="120" w:after="120"/>
              <w:ind w:left="34"/>
              <w:rPr>
                <w:rFonts w:ascii="Arial" w:eastAsia="Arial" w:hAnsi="Arial" w:cs="Arial"/>
                <w:color w:val="000000"/>
              </w:rPr>
            </w:pPr>
          </w:p>
        </w:tc>
      </w:tr>
    </w:tbl>
    <w:p w:rsidR="00B91140" w:rsidRDefault="00EE1134">
      <w:pPr>
        <w:tabs>
          <w:tab w:val="left" w:pos="8184"/>
        </w:tabs>
        <w:spacing w:after="0"/>
        <w:rPr>
          <w:rFonts w:ascii="Arial" w:eastAsia="Arial" w:hAnsi="Arial" w:cs="Arial"/>
          <w:sz w:val="24"/>
          <w:szCs w:val="24"/>
        </w:rPr>
      </w:pPr>
      <w:r>
        <w:rPr>
          <w:rFonts w:ascii="Arial" w:eastAsia="Arial" w:hAnsi="Arial" w:cs="Arial"/>
          <w:sz w:val="24"/>
          <w:szCs w:val="24"/>
        </w:rPr>
        <w:tab/>
      </w:r>
    </w:p>
    <w:p w:rsidR="00B91140" w:rsidRDefault="00B91140">
      <w:pPr>
        <w:jc w:val="center"/>
        <w:rPr>
          <w:rFonts w:ascii="Arial" w:eastAsia="Arial" w:hAnsi="Arial" w:cs="Arial"/>
          <w:b/>
          <w:sz w:val="24"/>
          <w:szCs w:val="24"/>
          <w:u w:val="single"/>
        </w:rPr>
      </w:pPr>
    </w:p>
    <w:p w:rsidR="00B91140" w:rsidRDefault="00B91140">
      <w:pPr>
        <w:jc w:val="center"/>
        <w:rPr>
          <w:rFonts w:ascii="Arial" w:eastAsia="Arial" w:hAnsi="Arial" w:cs="Arial"/>
          <w:b/>
          <w:sz w:val="24"/>
          <w:szCs w:val="24"/>
          <w:u w:val="single"/>
        </w:rPr>
      </w:pPr>
    </w:p>
    <w:p w:rsidR="00B91140" w:rsidRDefault="00B91140">
      <w:pPr>
        <w:jc w:val="center"/>
        <w:rPr>
          <w:rFonts w:ascii="Arial" w:eastAsia="Arial" w:hAnsi="Arial" w:cs="Arial"/>
          <w:b/>
          <w:sz w:val="24"/>
          <w:szCs w:val="24"/>
          <w:u w:val="single"/>
        </w:rPr>
      </w:pPr>
    </w:p>
    <w:p w:rsidR="00B91140" w:rsidRDefault="00B91140">
      <w:pPr>
        <w:jc w:val="center"/>
        <w:rPr>
          <w:rFonts w:ascii="Arial" w:eastAsia="Arial" w:hAnsi="Arial" w:cs="Arial"/>
          <w:b/>
          <w:sz w:val="24"/>
          <w:szCs w:val="24"/>
          <w:u w:val="single"/>
        </w:rPr>
      </w:pPr>
    </w:p>
    <w:p w:rsidR="00B91140" w:rsidRDefault="00B91140">
      <w:pPr>
        <w:jc w:val="center"/>
        <w:rPr>
          <w:rFonts w:ascii="Arial" w:eastAsia="Arial" w:hAnsi="Arial" w:cs="Arial"/>
          <w:b/>
          <w:sz w:val="24"/>
          <w:szCs w:val="24"/>
          <w:u w:val="single"/>
        </w:rPr>
      </w:pPr>
    </w:p>
    <w:p w:rsidR="00B91140" w:rsidRDefault="00B91140">
      <w:pPr>
        <w:jc w:val="center"/>
        <w:rPr>
          <w:rFonts w:ascii="Arial" w:eastAsia="Arial" w:hAnsi="Arial" w:cs="Arial"/>
          <w:b/>
          <w:sz w:val="24"/>
          <w:szCs w:val="24"/>
          <w:u w:val="single"/>
        </w:rPr>
      </w:pPr>
    </w:p>
    <w:p w:rsidR="00B91140" w:rsidRDefault="00B91140">
      <w:pPr>
        <w:jc w:val="center"/>
        <w:rPr>
          <w:rFonts w:ascii="Arial" w:eastAsia="Arial" w:hAnsi="Arial" w:cs="Arial"/>
          <w:b/>
          <w:sz w:val="24"/>
          <w:szCs w:val="24"/>
          <w:u w:val="single"/>
        </w:rPr>
      </w:pPr>
    </w:p>
    <w:p w:rsidR="00B91140" w:rsidRDefault="00B91140">
      <w:pPr>
        <w:jc w:val="center"/>
        <w:rPr>
          <w:rFonts w:ascii="Arial" w:eastAsia="Arial" w:hAnsi="Arial" w:cs="Arial"/>
          <w:b/>
          <w:sz w:val="24"/>
          <w:szCs w:val="24"/>
          <w:u w:val="single"/>
        </w:rPr>
      </w:pPr>
    </w:p>
    <w:p w:rsidR="00B91140" w:rsidRDefault="00B91140">
      <w:pPr>
        <w:jc w:val="center"/>
        <w:rPr>
          <w:rFonts w:ascii="Arial" w:eastAsia="Arial" w:hAnsi="Arial" w:cs="Arial"/>
          <w:b/>
          <w:sz w:val="24"/>
          <w:szCs w:val="24"/>
          <w:u w:val="single"/>
        </w:rPr>
      </w:pPr>
    </w:p>
    <w:p w:rsidR="00B91140" w:rsidRDefault="00B91140">
      <w:pPr>
        <w:jc w:val="center"/>
        <w:rPr>
          <w:rFonts w:ascii="Arial" w:eastAsia="Arial" w:hAnsi="Arial" w:cs="Arial"/>
          <w:b/>
          <w:sz w:val="24"/>
          <w:szCs w:val="24"/>
          <w:u w:val="single"/>
        </w:rPr>
      </w:pPr>
    </w:p>
    <w:p w:rsidR="00B91140" w:rsidRDefault="00B91140">
      <w:pPr>
        <w:jc w:val="center"/>
        <w:rPr>
          <w:rFonts w:ascii="Arial" w:eastAsia="Arial" w:hAnsi="Arial" w:cs="Arial"/>
          <w:b/>
          <w:sz w:val="24"/>
          <w:szCs w:val="24"/>
          <w:u w:val="single"/>
        </w:rPr>
      </w:pPr>
    </w:p>
    <w:p w:rsidR="00B91140" w:rsidRDefault="00EE1134">
      <w:pPr>
        <w:jc w:val="center"/>
        <w:rPr>
          <w:rFonts w:ascii="Arial" w:eastAsia="Arial" w:hAnsi="Arial" w:cs="Arial"/>
          <w:b/>
          <w:sz w:val="24"/>
          <w:szCs w:val="24"/>
          <w:u w:val="single"/>
        </w:rPr>
      </w:pPr>
      <w:r>
        <w:rPr>
          <w:rFonts w:ascii="Arial" w:eastAsia="Arial" w:hAnsi="Arial" w:cs="Arial"/>
          <w:b/>
          <w:sz w:val="24"/>
          <w:szCs w:val="24"/>
          <w:u w:val="single"/>
        </w:rPr>
        <w:t>ANNEX 4: Calculation Methodology for Financial Indicators</w:t>
      </w:r>
    </w:p>
    <w:p w:rsidR="00B91140" w:rsidRDefault="00EE1134">
      <w:pPr>
        <w:pStyle w:val="Heading3"/>
        <w:keepNext w:val="0"/>
        <w:keepLines/>
        <w:spacing w:before="0" w:after="240"/>
        <w:ind w:left="720"/>
      </w:pPr>
      <w:r>
        <w:rPr>
          <w:rFonts w:ascii="Arial" w:eastAsia="Arial" w:hAnsi="Arial" w:cs="Arial"/>
          <w:b w:val="0"/>
          <w:sz w:val="22"/>
          <w:szCs w:val="22"/>
        </w:rPr>
        <w:lastRenderedPageBreak/>
        <w:t>The Supplier shall ensure that it uses the following general and specific methodologies for calculating the Financial Indicators against the Financial Target Thresholds:</w:t>
      </w:r>
    </w:p>
    <w:p w:rsidR="00B91140" w:rsidRDefault="00EE1134">
      <w:pPr>
        <w:rPr>
          <w:rFonts w:ascii="Arial" w:eastAsia="Arial" w:hAnsi="Arial" w:cs="Arial"/>
          <w:b/>
          <w:u w:val="single"/>
        </w:rPr>
      </w:pPr>
      <w:r>
        <w:rPr>
          <w:rFonts w:ascii="Arial" w:eastAsia="Arial" w:hAnsi="Arial" w:cs="Arial"/>
          <w:b/>
          <w:u w:val="single"/>
        </w:rPr>
        <w:t>General methodology</w:t>
      </w:r>
    </w:p>
    <w:p w:rsidR="00B91140" w:rsidRDefault="00EE1134">
      <w:pPr>
        <w:numPr>
          <w:ilvl w:val="0"/>
          <w:numId w:val="8"/>
        </w:numPr>
        <w:pBdr>
          <w:top w:val="nil"/>
          <w:left w:val="nil"/>
          <w:bottom w:val="nil"/>
          <w:right w:val="nil"/>
          <w:between w:val="nil"/>
        </w:pBdr>
        <w:spacing w:after="160" w:line="259" w:lineRule="auto"/>
        <w:ind w:left="1134" w:hanging="425"/>
        <w:rPr>
          <w:rFonts w:ascii="Arial" w:eastAsia="Arial" w:hAnsi="Arial" w:cs="Arial"/>
        </w:rPr>
      </w:pPr>
      <w:r>
        <w:rPr>
          <w:rFonts w:ascii="Arial" w:eastAsia="Arial" w:hAnsi="Arial" w:cs="Arial"/>
          <w:b/>
          <w:i/>
        </w:rPr>
        <w:t>Terminology</w:t>
      </w:r>
      <w:r>
        <w:rPr>
          <w:rFonts w:ascii="Arial" w:eastAsia="Arial" w:hAnsi="Arial" w:cs="Arial"/>
        </w:rPr>
        <w:t>: The terms referred to in this Annex are those used by</w:t>
      </w:r>
      <w:r>
        <w:rPr>
          <w:rFonts w:ascii="Arial" w:eastAsia="Arial" w:hAnsi="Arial" w:cs="Arial"/>
        </w:rPr>
        <w:t xml:space="preserve"> UK companies in their financial statements. Where the entity is not a UK company, the corresponding items should be used even if the terminology is slightly different (for example a charity would refer to a surplus or deficit rather than a profit or loss)</w:t>
      </w:r>
      <w:r>
        <w:rPr>
          <w:rFonts w:ascii="Arial" w:eastAsia="Arial" w:hAnsi="Arial" w:cs="Arial"/>
        </w:rPr>
        <w:t>.</w:t>
      </w:r>
    </w:p>
    <w:p w:rsidR="00B91140" w:rsidRDefault="00EE1134">
      <w:pPr>
        <w:numPr>
          <w:ilvl w:val="0"/>
          <w:numId w:val="8"/>
        </w:numPr>
        <w:pBdr>
          <w:top w:val="nil"/>
          <w:left w:val="nil"/>
          <w:bottom w:val="nil"/>
          <w:right w:val="nil"/>
          <w:between w:val="nil"/>
        </w:pBdr>
        <w:spacing w:after="160" w:line="259" w:lineRule="auto"/>
        <w:ind w:left="1134" w:hanging="425"/>
        <w:rPr>
          <w:rFonts w:ascii="Arial" w:eastAsia="Arial" w:hAnsi="Arial" w:cs="Arial"/>
        </w:rPr>
      </w:pPr>
      <w:r>
        <w:rPr>
          <w:rFonts w:ascii="Arial" w:eastAsia="Arial" w:hAnsi="Arial" w:cs="Arial"/>
          <w:b/>
          <w:i/>
        </w:rPr>
        <w:t>Groups</w:t>
      </w:r>
      <w:r>
        <w:rPr>
          <w:rFonts w:ascii="Arial" w:eastAsia="Arial" w:hAnsi="Arial" w:cs="Arial"/>
        </w:rPr>
        <w:t>: Where the entity is the holding company of a group and prepares consolidated financial statements, the consolidated figures should be used.</w:t>
      </w:r>
    </w:p>
    <w:p w:rsidR="00B91140" w:rsidRDefault="00EE1134">
      <w:pPr>
        <w:numPr>
          <w:ilvl w:val="0"/>
          <w:numId w:val="8"/>
        </w:numPr>
        <w:pBdr>
          <w:top w:val="nil"/>
          <w:left w:val="nil"/>
          <w:bottom w:val="nil"/>
          <w:right w:val="nil"/>
          <w:between w:val="nil"/>
        </w:pBdr>
        <w:spacing w:after="160" w:line="259" w:lineRule="auto"/>
        <w:ind w:left="1134" w:hanging="425"/>
        <w:rPr>
          <w:rFonts w:ascii="Arial" w:eastAsia="Arial" w:hAnsi="Arial" w:cs="Arial"/>
        </w:rPr>
      </w:pPr>
      <w:r>
        <w:rPr>
          <w:rFonts w:ascii="Arial" w:eastAsia="Arial" w:hAnsi="Arial" w:cs="Arial"/>
          <w:b/>
          <w:i/>
        </w:rPr>
        <w:t>Foreign currency conversion</w:t>
      </w:r>
      <w:r>
        <w:rPr>
          <w:rFonts w:ascii="Arial" w:eastAsia="Arial" w:hAnsi="Arial" w:cs="Arial"/>
        </w:rPr>
        <w:t>: Figures denominated in foreign currencies should be converted at the exchange</w:t>
      </w:r>
      <w:r>
        <w:rPr>
          <w:rFonts w:ascii="Arial" w:eastAsia="Arial" w:hAnsi="Arial" w:cs="Arial"/>
        </w:rPr>
        <w:t xml:space="preserve"> rate in force at the relevant date for which the Financial Indicator is being calculated.</w:t>
      </w:r>
    </w:p>
    <w:p w:rsidR="00B91140" w:rsidRDefault="00EE1134">
      <w:pPr>
        <w:numPr>
          <w:ilvl w:val="0"/>
          <w:numId w:val="8"/>
        </w:numPr>
        <w:pBdr>
          <w:top w:val="nil"/>
          <w:left w:val="nil"/>
          <w:bottom w:val="nil"/>
          <w:right w:val="nil"/>
          <w:between w:val="nil"/>
        </w:pBdr>
        <w:spacing w:after="160" w:line="259" w:lineRule="auto"/>
        <w:ind w:left="1134" w:hanging="425"/>
        <w:rPr>
          <w:rFonts w:ascii="Arial" w:eastAsia="Arial" w:hAnsi="Arial" w:cs="Arial"/>
        </w:rPr>
      </w:pPr>
      <w:r>
        <w:rPr>
          <w:rFonts w:ascii="Arial" w:eastAsia="Arial" w:hAnsi="Arial" w:cs="Arial"/>
          <w:b/>
          <w:i/>
        </w:rPr>
        <w:t>Treatment of non-underlying items</w:t>
      </w:r>
      <w:r>
        <w:rPr>
          <w:rFonts w:ascii="Arial" w:eastAsia="Arial" w:hAnsi="Arial" w:cs="Arial"/>
        </w:rPr>
        <w:t>: Financial Indicators should be based on the figures in the financial statements before adjusting for non-underlying items.</w:t>
      </w:r>
    </w:p>
    <w:p w:rsidR="00B91140" w:rsidRDefault="00B91140">
      <w:pPr>
        <w:pBdr>
          <w:top w:val="nil"/>
          <w:left w:val="nil"/>
          <w:bottom w:val="nil"/>
          <w:right w:val="nil"/>
          <w:between w:val="nil"/>
        </w:pBdr>
        <w:spacing w:after="160" w:line="259" w:lineRule="auto"/>
        <w:ind w:left="1134"/>
        <w:rPr>
          <w:rFonts w:ascii="Arial" w:eastAsia="Arial" w:hAnsi="Arial" w:cs="Arial"/>
        </w:rPr>
      </w:pPr>
    </w:p>
    <w:p w:rsidR="00B91140" w:rsidRDefault="00EE1134">
      <w:pPr>
        <w:widowControl w:val="0"/>
        <w:rPr>
          <w:rFonts w:ascii="Arial" w:eastAsia="Arial" w:hAnsi="Arial" w:cs="Arial"/>
          <w:b/>
          <w:u w:val="single"/>
        </w:rPr>
      </w:pPr>
      <w:bookmarkStart w:id="18" w:name="_heading=h.2jxsxqh" w:colFirst="0" w:colLast="0"/>
      <w:bookmarkEnd w:id="18"/>
      <w:r>
        <w:rPr>
          <w:rFonts w:ascii="Arial" w:eastAsia="Arial" w:hAnsi="Arial" w:cs="Arial"/>
          <w:b/>
          <w:u w:val="single"/>
        </w:rPr>
        <w:t>Specific Methodology</w:t>
      </w:r>
    </w:p>
    <w:p w:rsidR="00B91140" w:rsidRDefault="00B91140">
      <w:pPr>
        <w:widowControl w:val="0"/>
        <w:rPr>
          <w:rFonts w:ascii="Arial" w:eastAsia="Arial" w:hAnsi="Arial" w:cs="Arial"/>
          <w:b/>
          <w:u w:val="single"/>
        </w:rPr>
      </w:pPr>
    </w:p>
    <w:tbl>
      <w:tblPr>
        <w:tblStyle w:val="a4"/>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103"/>
      </w:tblGrid>
      <w:tr w:rsidR="00B91140">
        <w:trPr>
          <w:tblHeader/>
        </w:trPr>
        <w:tc>
          <w:tcPr>
            <w:tcW w:w="3681" w:type="dxa"/>
            <w:shd w:val="clear" w:color="auto" w:fill="D9D9D9"/>
            <w:vAlign w:val="center"/>
          </w:tcPr>
          <w:p w:rsidR="00B91140" w:rsidRDefault="00EE1134">
            <w:pPr>
              <w:spacing w:after="200" w:line="276" w:lineRule="auto"/>
              <w:jc w:val="left"/>
              <w:rPr>
                <w:rFonts w:ascii="Arial" w:eastAsia="Arial" w:hAnsi="Arial" w:cs="Arial"/>
                <w:b/>
                <w:sz w:val="22"/>
                <w:szCs w:val="22"/>
                <w:u w:val="single"/>
              </w:rPr>
            </w:pPr>
            <w:r>
              <w:rPr>
                <w:rFonts w:ascii="Arial" w:eastAsia="Arial" w:hAnsi="Arial" w:cs="Arial"/>
                <w:b/>
                <w:sz w:val="22"/>
                <w:szCs w:val="22"/>
              </w:rPr>
              <w:t>Financial Indicator</w:t>
            </w:r>
          </w:p>
        </w:tc>
        <w:tc>
          <w:tcPr>
            <w:tcW w:w="5103" w:type="dxa"/>
            <w:shd w:val="clear" w:color="auto" w:fill="D9D9D9"/>
          </w:tcPr>
          <w:p w:rsidR="00B91140" w:rsidRDefault="00EE1134">
            <w:pPr>
              <w:spacing w:after="200" w:line="276" w:lineRule="auto"/>
              <w:jc w:val="left"/>
              <w:rPr>
                <w:rFonts w:ascii="Arial" w:eastAsia="Arial" w:hAnsi="Arial" w:cs="Arial"/>
                <w:b/>
                <w:sz w:val="22"/>
                <w:szCs w:val="22"/>
                <w:u w:val="single"/>
              </w:rPr>
            </w:pPr>
            <w:r>
              <w:rPr>
                <w:rFonts w:ascii="Arial" w:eastAsia="Arial" w:hAnsi="Arial" w:cs="Arial"/>
                <w:b/>
                <w:sz w:val="22"/>
                <w:szCs w:val="22"/>
              </w:rPr>
              <w:t>Specific Methodology</w:t>
            </w:r>
          </w:p>
        </w:tc>
      </w:tr>
      <w:tr w:rsidR="00B91140">
        <w:tc>
          <w:tcPr>
            <w:tcW w:w="3681" w:type="dxa"/>
            <w:vAlign w:val="center"/>
          </w:tcPr>
          <w:p w:rsidR="00B91140" w:rsidRDefault="00EE1134">
            <w:pPr>
              <w:pStyle w:val="Heading3"/>
              <w:keepNext w:val="0"/>
              <w:keepLines/>
              <w:numPr>
                <w:ilvl w:val="2"/>
                <w:numId w:val="16"/>
              </w:numPr>
              <w:spacing w:before="0" w:after="240"/>
              <w:ind w:left="0"/>
              <w:jc w:val="left"/>
              <w:outlineLvl w:val="2"/>
              <w:rPr>
                <w:rFonts w:ascii="Arial" w:eastAsia="Arial" w:hAnsi="Arial" w:cs="Arial"/>
                <w:b w:val="0"/>
                <w:sz w:val="22"/>
                <w:szCs w:val="22"/>
              </w:rPr>
            </w:pPr>
            <w:r>
              <w:rPr>
                <w:rFonts w:ascii="Arial" w:eastAsia="Arial" w:hAnsi="Arial" w:cs="Arial"/>
                <w:sz w:val="22"/>
                <w:szCs w:val="22"/>
              </w:rPr>
              <w:t>1</w:t>
            </w:r>
          </w:p>
          <w:p w:rsidR="00B91140" w:rsidRDefault="00EE1134">
            <w:pPr>
              <w:spacing w:after="200" w:line="276" w:lineRule="auto"/>
              <w:jc w:val="left"/>
              <w:rPr>
                <w:rFonts w:ascii="Arial" w:eastAsia="Arial" w:hAnsi="Arial" w:cs="Arial"/>
                <w:b/>
                <w:sz w:val="22"/>
                <w:szCs w:val="22"/>
                <w:u w:val="single"/>
              </w:rPr>
            </w:pPr>
            <w:r>
              <w:rPr>
                <w:rFonts w:ascii="Arial" w:eastAsia="Arial" w:hAnsi="Arial" w:cs="Arial"/>
                <w:b/>
                <w:sz w:val="22"/>
                <w:szCs w:val="22"/>
                <w:u w:val="single"/>
              </w:rPr>
              <w:t>Operating Margin</w:t>
            </w:r>
          </w:p>
        </w:tc>
        <w:tc>
          <w:tcPr>
            <w:tcW w:w="5103" w:type="dxa"/>
          </w:tcPr>
          <w:p w:rsidR="00B91140" w:rsidRDefault="00EE1134">
            <w:pPr>
              <w:spacing w:before="120" w:after="120"/>
              <w:ind w:left="141"/>
              <w:rPr>
                <w:rFonts w:ascii="Arial" w:eastAsia="Arial" w:hAnsi="Arial" w:cs="Arial"/>
                <w:sz w:val="22"/>
                <w:szCs w:val="22"/>
              </w:rPr>
            </w:pPr>
            <w:r>
              <w:rPr>
                <w:rFonts w:ascii="Arial" w:eastAsia="Arial" w:hAnsi="Arial" w:cs="Arial"/>
                <w:sz w:val="22"/>
                <w:szCs w:val="22"/>
              </w:rPr>
              <w:t xml:space="preserve">The elements used to calculate the Operating Margin should be shown on the face of the Income Statement (or Statement of Financial Activities) in a standard set of financial statements. </w:t>
            </w:r>
          </w:p>
          <w:p w:rsidR="00B91140" w:rsidRDefault="00EE1134">
            <w:pPr>
              <w:spacing w:before="120" w:after="120"/>
              <w:ind w:left="141"/>
              <w:rPr>
                <w:rFonts w:ascii="Arial" w:eastAsia="Arial" w:hAnsi="Arial" w:cs="Arial"/>
                <w:sz w:val="22"/>
                <w:szCs w:val="22"/>
              </w:rPr>
            </w:pPr>
            <w:r>
              <w:rPr>
                <w:rFonts w:ascii="Arial" w:eastAsia="Arial" w:hAnsi="Arial" w:cs="Arial"/>
                <w:sz w:val="22"/>
                <w:szCs w:val="22"/>
              </w:rPr>
              <w:t>Operating Profit is to exclude exceptional items, such as restructuri</w:t>
            </w:r>
            <w:r>
              <w:rPr>
                <w:rFonts w:ascii="Arial" w:eastAsia="Arial" w:hAnsi="Arial" w:cs="Arial"/>
                <w:sz w:val="22"/>
                <w:szCs w:val="22"/>
              </w:rPr>
              <w:t>ng costs or impairments, and to include any share of Subsidiaries’ Operating Profit.</w:t>
            </w:r>
          </w:p>
          <w:p w:rsidR="00B91140" w:rsidRDefault="00EE1134">
            <w:pPr>
              <w:spacing w:after="120"/>
              <w:ind w:left="141"/>
              <w:rPr>
                <w:rFonts w:ascii="Arial" w:eastAsia="Arial" w:hAnsi="Arial" w:cs="Arial"/>
                <w:sz w:val="22"/>
                <w:szCs w:val="22"/>
              </w:rPr>
            </w:pPr>
            <w:r>
              <w:rPr>
                <w:rFonts w:ascii="Arial" w:eastAsia="Arial" w:hAnsi="Arial" w:cs="Arial"/>
                <w:sz w:val="22"/>
                <w:szCs w:val="22"/>
              </w:rPr>
              <w:t>Where an entity has an operating loss (i.e. where the operating profit is negative), Operating Profit should be taken to be zero.</w:t>
            </w:r>
          </w:p>
          <w:p w:rsidR="00B91140" w:rsidRDefault="00EE1134">
            <w:pPr>
              <w:spacing w:after="120"/>
              <w:ind w:left="141"/>
              <w:rPr>
                <w:rFonts w:ascii="Arial" w:eastAsia="Arial" w:hAnsi="Arial" w:cs="Arial"/>
                <w:sz w:val="22"/>
                <w:szCs w:val="22"/>
              </w:rPr>
            </w:pPr>
            <w:r>
              <w:rPr>
                <w:rFonts w:ascii="Arial" w:eastAsia="Arial" w:hAnsi="Arial" w:cs="Arial"/>
                <w:sz w:val="22"/>
                <w:szCs w:val="22"/>
              </w:rPr>
              <w:lastRenderedPageBreak/>
              <w:t>For Charities Operating Profit would be N</w:t>
            </w:r>
            <w:r>
              <w:rPr>
                <w:rFonts w:ascii="Arial" w:eastAsia="Arial" w:hAnsi="Arial" w:cs="Arial"/>
                <w:sz w:val="22"/>
                <w:szCs w:val="22"/>
              </w:rPr>
              <w:t>et Income or Expenditure after Charitable Activities / Income</w:t>
            </w:r>
          </w:p>
        </w:tc>
      </w:tr>
      <w:tr w:rsidR="00B91140">
        <w:tc>
          <w:tcPr>
            <w:tcW w:w="3681" w:type="dxa"/>
            <w:vAlign w:val="center"/>
          </w:tcPr>
          <w:p w:rsidR="00B91140" w:rsidRDefault="00EE1134">
            <w:pPr>
              <w:pStyle w:val="Heading3"/>
              <w:keepNext w:val="0"/>
              <w:keepLines/>
              <w:numPr>
                <w:ilvl w:val="2"/>
                <w:numId w:val="16"/>
              </w:numPr>
              <w:spacing w:before="0" w:after="240"/>
              <w:ind w:left="0"/>
              <w:jc w:val="left"/>
              <w:outlineLvl w:val="2"/>
              <w:rPr>
                <w:rFonts w:ascii="Arial" w:eastAsia="Arial" w:hAnsi="Arial" w:cs="Arial"/>
                <w:b w:val="0"/>
                <w:sz w:val="22"/>
                <w:szCs w:val="22"/>
              </w:rPr>
            </w:pPr>
            <w:r>
              <w:rPr>
                <w:rFonts w:ascii="Arial" w:eastAsia="Arial" w:hAnsi="Arial" w:cs="Arial"/>
                <w:sz w:val="22"/>
                <w:szCs w:val="22"/>
              </w:rPr>
              <w:lastRenderedPageBreak/>
              <w:t>2</w:t>
            </w:r>
          </w:p>
          <w:p w:rsidR="00B91140" w:rsidRDefault="00EE1134">
            <w:pPr>
              <w:jc w:val="left"/>
              <w:rPr>
                <w:rFonts w:ascii="Arial" w:eastAsia="Arial" w:hAnsi="Arial" w:cs="Arial"/>
                <w:b/>
                <w:sz w:val="22"/>
                <w:szCs w:val="22"/>
                <w:u w:val="single"/>
              </w:rPr>
            </w:pPr>
            <w:r>
              <w:rPr>
                <w:rFonts w:ascii="Arial" w:eastAsia="Arial" w:hAnsi="Arial" w:cs="Arial"/>
                <w:b/>
                <w:sz w:val="22"/>
                <w:szCs w:val="22"/>
                <w:u w:val="single"/>
              </w:rPr>
              <w:t>Net Debt to EBITDA Ratio</w:t>
            </w:r>
          </w:p>
        </w:tc>
        <w:tc>
          <w:tcPr>
            <w:tcW w:w="5103" w:type="dxa"/>
          </w:tcPr>
          <w:p w:rsidR="00B91140" w:rsidRDefault="00EE1134">
            <w:pPr>
              <w:spacing w:line="276" w:lineRule="auto"/>
              <w:ind w:left="141"/>
              <w:rPr>
                <w:rFonts w:ascii="Arial" w:eastAsia="Arial" w:hAnsi="Arial" w:cs="Arial"/>
                <w:i/>
                <w:sz w:val="22"/>
                <w:szCs w:val="22"/>
              </w:rPr>
            </w:pPr>
            <w:r>
              <w:rPr>
                <w:rFonts w:ascii="Arial" w:eastAsia="Arial" w:hAnsi="Arial" w:cs="Arial"/>
                <w:i/>
                <w:sz w:val="22"/>
                <w:szCs w:val="22"/>
              </w:rPr>
              <w:t>“</w:t>
            </w:r>
            <w:r>
              <w:rPr>
                <w:rFonts w:ascii="Arial" w:eastAsia="Arial" w:hAnsi="Arial" w:cs="Arial"/>
                <w:b/>
                <w:i/>
                <w:sz w:val="22"/>
                <w:szCs w:val="22"/>
              </w:rPr>
              <w:t>Net Debt</w:t>
            </w:r>
            <w:r>
              <w:rPr>
                <w:rFonts w:ascii="Arial" w:eastAsia="Arial" w:hAnsi="Arial" w:cs="Arial"/>
                <w:i/>
                <w:sz w:val="22"/>
                <w:szCs w:val="22"/>
              </w:rPr>
              <w:t>” = Bank overdrafts + Loans and borrowings + Finance leases + Deferred consideration payable – Cash and cash equivalents</w:t>
            </w:r>
          </w:p>
          <w:p w:rsidR="00B91140" w:rsidRDefault="00EE1134">
            <w:pPr>
              <w:spacing w:line="276" w:lineRule="auto"/>
              <w:ind w:left="141"/>
              <w:rPr>
                <w:rFonts w:ascii="Arial" w:eastAsia="Arial" w:hAnsi="Arial" w:cs="Arial"/>
                <w:i/>
                <w:sz w:val="22"/>
                <w:szCs w:val="22"/>
              </w:rPr>
            </w:pPr>
            <w:r>
              <w:rPr>
                <w:rFonts w:ascii="Arial" w:eastAsia="Arial" w:hAnsi="Arial" w:cs="Arial"/>
                <w:i/>
                <w:sz w:val="22"/>
                <w:szCs w:val="22"/>
              </w:rPr>
              <w:t>“</w:t>
            </w:r>
            <w:r>
              <w:rPr>
                <w:rFonts w:ascii="Arial" w:eastAsia="Arial" w:hAnsi="Arial" w:cs="Arial"/>
                <w:b/>
                <w:i/>
                <w:sz w:val="22"/>
                <w:szCs w:val="22"/>
              </w:rPr>
              <w:t>EBITDA</w:t>
            </w:r>
            <w:r>
              <w:rPr>
                <w:rFonts w:ascii="Arial" w:eastAsia="Arial" w:hAnsi="Arial" w:cs="Arial"/>
                <w:i/>
                <w:sz w:val="22"/>
                <w:szCs w:val="22"/>
              </w:rPr>
              <w:t>” = Operating profit + Deprec</w:t>
            </w:r>
            <w:r>
              <w:rPr>
                <w:rFonts w:ascii="Arial" w:eastAsia="Arial" w:hAnsi="Arial" w:cs="Arial"/>
                <w:i/>
                <w:sz w:val="22"/>
                <w:szCs w:val="22"/>
              </w:rPr>
              <w:t>iation charge + Amortisation charge. EBITDA is to exclude exceptional items, such as restructuring costs or impairments, and to include any share of Subsidiaries’ EBITDA.</w:t>
            </w:r>
          </w:p>
          <w:p w:rsidR="00B91140" w:rsidRDefault="00EE1134">
            <w:pPr>
              <w:spacing w:after="120" w:line="276" w:lineRule="auto"/>
              <w:ind w:left="141"/>
              <w:rPr>
                <w:rFonts w:ascii="Arial" w:eastAsia="Arial" w:hAnsi="Arial" w:cs="Arial"/>
                <w:sz w:val="22"/>
                <w:szCs w:val="22"/>
              </w:rPr>
            </w:pPr>
            <w:r>
              <w:rPr>
                <w:rFonts w:ascii="Arial" w:eastAsia="Arial" w:hAnsi="Arial" w:cs="Arial"/>
                <w:sz w:val="22"/>
                <w:szCs w:val="22"/>
              </w:rPr>
              <w:t xml:space="preserve">The majority of the elements used to calculate the Net Debt to EBITDA Ratio should be shown on the face of the Balance sheet, Income statement (or Statement of Financial Activities) and Statement of Cash Flows in a standard set of financial statements but </w:t>
            </w:r>
            <w:r>
              <w:rPr>
                <w:rFonts w:ascii="Arial" w:eastAsia="Arial" w:hAnsi="Arial" w:cs="Arial"/>
                <w:sz w:val="22"/>
                <w:szCs w:val="22"/>
              </w:rPr>
              <w:t>will otherwise be found in the notes to the financial statements.</w:t>
            </w:r>
          </w:p>
          <w:p w:rsidR="00B91140" w:rsidRDefault="00EE1134">
            <w:pPr>
              <w:numPr>
                <w:ilvl w:val="0"/>
                <w:numId w:val="6"/>
              </w:numPr>
              <w:pBdr>
                <w:top w:val="nil"/>
                <w:left w:val="nil"/>
                <w:bottom w:val="nil"/>
                <w:right w:val="nil"/>
                <w:between w:val="nil"/>
              </w:pBdr>
              <w:spacing w:after="120" w:line="276" w:lineRule="auto"/>
              <w:ind w:left="567" w:hanging="284"/>
              <w:jc w:val="left"/>
              <w:rPr>
                <w:rFonts w:ascii="Arial" w:eastAsia="Arial" w:hAnsi="Arial" w:cs="Arial"/>
                <w:color w:val="000000"/>
                <w:sz w:val="22"/>
                <w:szCs w:val="22"/>
              </w:rPr>
            </w:pPr>
            <w:r>
              <w:rPr>
                <w:rFonts w:ascii="Arial" w:eastAsia="Arial" w:hAnsi="Arial" w:cs="Arial"/>
                <w:i/>
                <w:color w:val="000000"/>
                <w:sz w:val="22"/>
                <w:szCs w:val="22"/>
                <w:u w:val="single"/>
              </w:rPr>
              <w:t>Net Debt</w:t>
            </w:r>
            <w:r>
              <w:rPr>
                <w:rFonts w:ascii="Arial" w:eastAsia="Arial" w:hAnsi="Arial" w:cs="Arial"/>
                <w:color w:val="000000"/>
                <w:sz w:val="22"/>
                <w:szCs w:val="22"/>
              </w:rPr>
              <w:t>: The elements of Net Debt may be described slightly differently and should be found either on the face of the Balance Sheet or in the relevant note to the financial statements. All interest-bearing liabilities (other than retirement benefit obligations) s</w:t>
            </w:r>
            <w:r>
              <w:rPr>
                <w:rFonts w:ascii="Arial" w:eastAsia="Arial" w:hAnsi="Arial" w:cs="Arial"/>
                <w:color w:val="000000"/>
                <w:sz w:val="22"/>
                <w:szCs w:val="22"/>
              </w:rPr>
              <w:t>hould be included as borrowings as should, where disclosed, any liabilities (less any assets) in respect of any hedges designated as linked to borrowings (but not non-designated hedges). Borrowings should also include balances owed to other group members.</w:t>
            </w:r>
          </w:p>
          <w:p w:rsidR="00B91140" w:rsidRDefault="00EE1134">
            <w:pPr>
              <w:spacing w:after="120" w:line="276" w:lineRule="auto"/>
              <w:ind w:left="599"/>
              <w:rPr>
                <w:rFonts w:ascii="Arial" w:eastAsia="Arial" w:hAnsi="Arial" w:cs="Arial"/>
                <w:sz w:val="22"/>
                <w:szCs w:val="22"/>
              </w:rPr>
            </w:pPr>
            <w:r>
              <w:rPr>
                <w:rFonts w:ascii="Arial" w:eastAsia="Arial" w:hAnsi="Arial" w:cs="Arial"/>
                <w:sz w:val="22"/>
                <w:szCs w:val="22"/>
              </w:rPr>
              <w:t>Deferred consideration payable should be included in Net Debt despite typically being non-interest bearing.</w:t>
            </w:r>
          </w:p>
          <w:p w:rsidR="00B91140" w:rsidRDefault="00EE1134">
            <w:pPr>
              <w:spacing w:after="120" w:line="276" w:lineRule="auto"/>
              <w:ind w:left="599"/>
              <w:rPr>
                <w:rFonts w:ascii="Arial" w:eastAsia="Arial" w:hAnsi="Arial" w:cs="Arial"/>
                <w:sz w:val="22"/>
                <w:szCs w:val="22"/>
              </w:rPr>
            </w:pPr>
            <w:r>
              <w:rPr>
                <w:rFonts w:ascii="Arial" w:eastAsia="Arial" w:hAnsi="Arial" w:cs="Arial"/>
                <w:sz w:val="22"/>
                <w:szCs w:val="22"/>
              </w:rPr>
              <w:t>Cash and cash equivalents should include short-term financial investments shown in current assets.</w:t>
            </w:r>
          </w:p>
          <w:p w:rsidR="00B91140" w:rsidRDefault="00EE1134">
            <w:pPr>
              <w:pBdr>
                <w:top w:val="nil"/>
                <w:left w:val="nil"/>
                <w:bottom w:val="nil"/>
                <w:right w:val="nil"/>
                <w:between w:val="nil"/>
              </w:pBdr>
              <w:spacing w:after="0" w:line="276" w:lineRule="auto"/>
              <w:ind w:left="567"/>
              <w:jc w:val="left"/>
              <w:rPr>
                <w:rFonts w:ascii="Arial" w:eastAsia="Arial" w:hAnsi="Arial" w:cs="Arial"/>
                <w:color w:val="000000"/>
                <w:sz w:val="22"/>
                <w:szCs w:val="22"/>
              </w:rPr>
            </w:pPr>
            <w:r>
              <w:rPr>
                <w:rFonts w:ascii="Arial" w:eastAsia="Arial" w:hAnsi="Arial" w:cs="Arial"/>
                <w:color w:val="000000"/>
                <w:sz w:val="22"/>
                <w:szCs w:val="22"/>
              </w:rPr>
              <w:lastRenderedPageBreak/>
              <w:t>Where Net debt is negative (i.e. an entity has ne</w:t>
            </w:r>
            <w:r>
              <w:rPr>
                <w:rFonts w:ascii="Arial" w:eastAsia="Arial" w:hAnsi="Arial" w:cs="Arial"/>
                <w:color w:val="000000"/>
                <w:sz w:val="22"/>
                <w:szCs w:val="22"/>
              </w:rPr>
              <w:t xml:space="preserve">t cash), the relevant Financial Target Threshold should be treated as having been met. </w:t>
            </w:r>
          </w:p>
          <w:p w:rsidR="00B91140" w:rsidRDefault="00B91140">
            <w:pPr>
              <w:pBdr>
                <w:top w:val="nil"/>
                <w:left w:val="nil"/>
                <w:bottom w:val="nil"/>
                <w:right w:val="nil"/>
                <w:between w:val="nil"/>
              </w:pBdr>
              <w:spacing w:after="120" w:line="276" w:lineRule="auto"/>
              <w:ind w:left="567"/>
              <w:jc w:val="left"/>
              <w:rPr>
                <w:rFonts w:ascii="Arial" w:eastAsia="Arial" w:hAnsi="Arial" w:cs="Arial"/>
                <w:color w:val="000000"/>
                <w:sz w:val="22"/>
                <w:szCs w:val="22"/>
              </w:rPr>
            </w:pPr>
          </w:p>
          <w:p w:rsidR="00B91140" w:rsidRDefault="00EE1134">
            <w:pPr>
              <w:spacing w:after="200" w:line="276" w:lineRule="auto"/>
              <w:rPr>
                <w:rFonts w:ascii="Arial" w:eastAsia="Arial" w:hAnsi="Arial" w:cs="Arial"/>
                <w:i/>
                <w:sz w:val="22"/>
                <w:szCs w:val="22"/>
              </w:rPr>
            </w:pPr>
            <w:r>
              <w:rPr>
                <w:rFonts w:ascii="Arial" w:eastAsia="Arial" w:hAnsi="Arial" w:cs="Arial"/>
                <w:i/>
                <w:sz w:val="22"/>
                <w:szCs w:val="22"/>
                <w:u w:val="single"/>
              </w:rPr>
              <w:t>EBITDA</w:t>
            </w:r>
            <w:r>
              <w:rPr>
                <w:rFonts w:ascii="Arial" w:eastAsia="Arial" w:hAnsi="Arial" w:cs="Arial"/>
                <w:sz w:val="22"/>
                <w:szCs w:val="22"/>
              </w:rPr>
              <w:t xml:space="preserve">: Operating profit should be shown on the face of the Income Statement (or Statement of Financial Activities) and, for the purposes of calculating this Financial Indicator. </w:t>
            </w:r>
            <w:r>
              <w:rPr>
                <w:rFonts w:ascii="Arial" w:eastAsia="Arial" w:hAnsi="Arial" w:cs="Arial"/>
                <w:i/>
                <w:sz w:val="22"/>
                <w:szCs w:val="22"/>
              </w:rPr>
              <w:t>The depreciation and amortisation charges for the period may be found on the face o</w:t>
            </w:r>
            <w:r>
              <w:rPr>
                <w:rFonts w:ascii="Arial" w:eastAsia="Arial" w:hAnsi="Arial" w:cs="Arial"/>
                <w:i/>
                <w:sz w:val="22"/>
                <w:szCs w:val="22"/>
              </w:rPr>
              <w:t xml:space="preserve">f the Statement of Cash Flows or in a Note to the Accounts. Where EBITDA is negative, the relevant Financial Target Threshold should be treated as not having been met (unless Net Debt is also negative, in which case the relevant Financial Target Threshold </w:t>
            </w:r>
            <w:r>
              <w:rPr>
                <w:rFonts w:ascii="Arial" w:eastAsia="Arial" w:hAnsi="Arial" w:cs="Arial"/>
                <w:i/>
                <w:sz w:val="22"/>
                <w:szCs w:val="22"/>
              </w:rPr>
              <w:t>should be treated as having been met).</w:t>
            </w:r>
          </w:p>
          <w:p w:rsidR="00B91140" w:rsidRDefault="00EE1134">
            <w:pPr>
              <w:spacing w:after="200" w:line="276" w:lineRule="auto"/>
              <w:rPr>
                <w:rFonts w:ascii="Arial" w:eastAsia="Arial" w:hAnsi="Arial" w:cs="Arial"/>
                <w:sz w:val="22"/>
                <w:szCs w:val="22"/>
              </w:rPr>
            </w:pPr>
            <w:r>
              <w:rPr>
                <w:rFonts w:ascii="Arial" w:eastAsia="Arial" w:hAnsi="Arial" w:cs="Arial"/>
                <w:sz w:val="22"/>
                <w:szCs w:val="22"/>
              </w:rPr>
              <w:t>For Charities Operating Profit would be Net Income or Expenditure after Charitable Activities / Income</w:t>
            </w:r>
          </w:p>
        </w:tc>
      </w:tr>
      <w:tr w:rsidR="00B91140">
        <w:tc>
          <w:tcPr>
            <w:tcW w:w="3681" w:type="dxa"/>
            <w:vAlign w:val="center"/>
          </w:tcPr>
          <w:p w:rsidR="00B91140" w:rsidRDefault="00EE1134">
            <w:pPr>
              <w:pStyle w:val="Heading3"/>
              <w:keepNext w:val="0"/>
              <w:keepLines/>
              <w:numPr>
                <w:ilvl w:val="2"/>
                <w:numId w:val="16"/>
              </w:numPr>
              <w:spacing w:before="0" w:after="240"/>
              <w:ind w:left="0"/>
              <w:outlineLvl w:val="2"/>
              <w:rPr>
                <w:rFonts w:ascii="Arial" w:eastAsia="Arial" w:hAnsi="Arial" w:cs="Arial"/>
                <w:b w:val="0"/>
                <w:sz w:val="22"/>
                <w:szCs w:val="22"/>
              </w:rPr>
            </w:pPr>
            <w:r>
              <w:rPr>
                <w:rFonts w:ascii="Arial" w:eastAsia="Arial" w:hAnsi="Arial" w:cs="Arial"/>
                <w:sz w:val="22"/>
                <w:szCs w:val="22"/>
              </w:rPr>
              <w:lastRenderedPageBreak/>
              <w:t xml:space="preserve">3 </w:t>
            </w:r>
          </w:p>
          <w:p w:rsidR="00B91140" w:rsidRDefault="00EE1134">
            <w:pPr>
              <w:spacing w:after="200" w:line="276" w:lineRule="auto"/>
              <w:jc w:val="left"/>
              <w:rPr>
                <w:rFonts w:ascii="Arial" w:eastAsia="Arial" w:hAnsi="Arial" w:cs="Arial"/>
                <w:b/>
                <w:sz w:val="22"/>
                <w:szCs w:val="22"/>
                <w:u w:val="single"/>
              </w:rPr>
            </w:pPr>
            <w:r>
              <w:rPr>
                <w:rFonts w:ascii="Arial" w:eastAsia="Arial" w:hAnsi="Arial" w:cs="Arial"/>
                <w:b/>
                <w:sz w:val="22"/>
                <w:szCs w:val="22"/>
              </w:rPr>
              <w:t>[Net Debt + Net Pension Deficit to EBITDA ratio]</w:t>
            </w:r>
          </w:p>
        </w:tc>
        <w:tc>
          <w:tcPr>
            <w:tcW w:w="5103" w:type="dxa"/>
          </w:tcPr>
          <w:p w:rsidR="00B91140" w:rsidRDefault="00EE1134">
            <w:pPr>
              <w:spacing w:after="0" w:line="276" w:lineRule="auto"/>
              <w:ind w:left="141"/>
              <w:rPr>
                <w:rFonts w:ascii="Arial" w:eastAsia="Arial" w:hAnsi="Arial" w:cs="Arial"/>
                <w:i/>
                <w:sz w:val="22"/>
                <w:szCs w:val="22"/>
              </w:rPr>
            </w:pPr>
            <w:r>
              <w:rPr>
                <w:rFonts w:ascii="Arial" w:eastAsia="Arial" w:hAnsi="Arial" w:cs="Arial"/>
                <w:i/>
                <w:sz w:val="22"/>
                <w:szCs w:val="22"/>
              </w:rPr>
              <w:t>“</w:t>
            </w:r>
            <w:r>
              <w:rPr>
                <w:rFonts w:ascii="Arial" w:eastAsia="Arial" w:hAnsi="Arial" w:cs="Arial"/>
                <w:b/>
                <w:i/>
                <w:sz w:val="22"/>
                <w:szCs w:val="22"/>
              </w:rPr>
              <w:t>Net Debt</w:t>
            </w:r>
            <w:r>
              <w:rPr>
                <w:rFonts w:ascii="Arial" w:eastAsia="Arial" w:hAnsi="Arial" w:cs="Arial"/>
                <w:i/>
                <w:sz w:val="22"/>
                <w:szCs w:val="22"/>
              </w:rPr>
              <w:t>” = Bank overdrafts + Loans and borrowings + Finance leases + Deferred consideration payable – Cash and cash equivalents</w:t>
            </w:r>
          </w:p>
          <w:p w:rsidR="00B91140" w:rsidRDefault="00B91140">
            <w:pPr>
              <w:spacing w:after="0" w:line="276" w:lineRule="auto"/>
              <w:ind w:left="141"/>
              <w:rPr>
                <w:rFonts w:ascii="Arial" w:eastAsia="Arial" w:hAnsi="Arial" w:cs="Arial"/>
                <w:i/>
                <w:sz w:val="22"/>
                <w:szCs w:val="22"/>
              </w:rPr>
            </w:pPr>
          </w:p>
          <w:p w:rsidR="00B91140" w:rsidRDefault="00EE1134">
            <w:pPr>
              <w:spacing w:after="0" w:line="276" w:lineRule="auto"/>
              <w:ind w:left="141"/>
              <w:rPr>
                <w:rFonts w:ascii="Arial" w:eastAsia="Arial" w:hAnsi="Arial" w:cs="Arial"/>
                <w:i/>
                <w:sz w:val="22"/>
                <w:szCs w:val="22"/>
              </w:rPr>
            </w:pPr>
            <w:r>
              <w:rPr>
                <w:rFonts w:ascii="Arial" w:eastAsia="Arial" w:hAnsi="Arial" w:cs="Arial"/>
                <w:i/>
                <w:sz w:val="22"/>
                <w:szCs w:val="22"/>
              </w:rPr>
              <w:t>“</w:t>
            </w:r>
            <w:r>
              <w:rPr>
                <w:rFonts w:ascii="Arial" w:eastAsia="Arial" w:hAnsi="Arial" w:cs="Arial"/>
                <w:b/>
                <w:i/>
                <w:sz w:val="22"/>
                <w:szCs w:val="22"/>
              </w:rPr>
              <w:t>Net Pension Deficit</w:t>
            </w:r>
            <w:r>
              <w:rPr>
                <w:rFonts w:ascii="Arial" w:eastAsia="Arial" w:hAnsi="Arial" w:cs="Arial"/>
                <w:i/>
                <w:sz w:val="22"/>
                <w:szCs w:val="22"/>
              </w:rPr>
              <w:t>” = Retirement Benefit Obligations – Retirement Benefit Assets</w:t>
            </w:r>
          </w:p>
          <w:p w:rsidR="00B91140" w:rsidRDefault="00B91140">
            <w:pPr>
              <w:spacing w:after="0" w:line="276" w:lineRule="auto"/>
              <w:ind w:left="426"/>
              <w:rPr>
                <w:rFonts w:ascii="Arial" w:eastAsia="Arial" w:hAnsi="Arial" w:cs="Arial"/>
                <w:sz w:val="22"/>
                <w:szCs w:val="22"/>
              </w:rPr>
            </w:pPr>
          </w:p>
          <w:p w:rsidR="00B91140" w:rsidRDefault="00EE1134">
            <w:pPr>
              <w:spacing w:line="276" w:lineRule="auto"/>
              <w:ind w:left="141"/>
              <w:rPr>
                <w:rFonts w:ascii="Arial" w:eastAsia="Arial" w:hAnsi="Arial" w:cs="Arial"/>
                <w:i/>
                <w:sz w:val="22"/>
                <w:szCs w:val="22"/>
              </w:rPr>
            </w:pPr>
            <w:r>
              <w:rPr>
                <w:rFonts w:ascii="Arial" w:eastAsia="Arial" w:hAnsi="Arial" w:cs="Arial"/>
                <w:i/>
                <w:sz w:val="22"/>
                <w:szCs w:val="22"/>
              </w:rPr>
              <w:t>“</w:t>
            </w:r>
            <w:r>
              <w:rPr>
                <w:rFonts w:ascii="Arial" w:eastAsia="Arial" w:hAnsi="Arial" w:cs="Arial"/>
                <w:b/>
                <w:i/>
                <w:sz w:val="22"/>
                <w:szCs w:val="22"/>
              </w:rPr>
              <w:t>EBITDA</w:t>
            </w:r>
            <w:r>
              <w:rPr>
                <w:rFonts w:ascii="Arial" w:eastAsia="Arial" w:hAnsi="Arial" w:cs="Arial"/>
                <w:i/>
                <w:sz w:val="22"/>
                <w:szCs w:val="22"/>
              </w:rPr>
              <w:t xml:space="preserve">” = Operating profit + Depreciation charge </w:t>
            </w:r>
            <w:r>
              <w:rPr>
                <w:rFonts w:ascii="Arial" w:eastAsia="Arial" w:hAnsi="Arial" w:cs="Arial"/>
                <w:i/>
                <w:sz w:val="22"/>
                <w:szCs w:val="22"/>
              </w:rPr>
              <w:t>+ Amortisation charge. EBITDA is to exclude exceptional items, such as restructuring costs or impairments, and to include any share of Subsidiaries’ EBITDA.</w:t>
            </w:r>
          </w:p>
          <w:p w:rsidR="00B91140" w:rsidRDefault="00EE1134">
            <w:pPr>
              <w:spacing w:after="120" w:line="276" w:lineRule="auto"/>
              <w:ind w:left="141"/>
              <w:rPr>
                <w:rFonts w:ascii="Arial" w:eastAsia="Arial" w:hAnsi="Arial" w:cs="Arial"/>
                <w:sz w:val="22"/>
                <w:szCs w:val="22"/>
              </w:rPr>
            </w:pPr>
            <w:r>
              <w:rPr>
                <w:rFonts w:ascii="Arial" w:eastAsia="Arial" w:hAnsi="Arial" w:cs="Arial"/>
                <w:sz w:val="22"/>
                <w:szCs w:val="22"/>
              </w:rPr>
              <w:t>The majority of the elements used to calculate the Net Debt + Net Pension Deficit to EBITDA Ratio s</w:t>
            </w:r>
            <w:r>
              <w:rPr>
                <w:rFonts w:ascii="Arial" w:eastAsia="Arial" w:hAnsi="Arial" w:cs="Arial"/>
                <w:sz w:val="22"/>
                <w:szCs w:val="22"/>
              </w:rPr>
              <w:t>hould be shown on the face of the Balance sheet, Income statement (or Statement of Financial Activities) and Statement of Cash Flows in a standard set of financial statements but will otherwise be found in the notes to the financial statements.</w:t>
            </w:r>
          </w:p>
          <w:p w:rsidR="00B91140" w:rsidRDefault="00EE1134">
            <w:pPr>
              <w:numPr>
                <w:ilvl w:val="0"/>
                <w:numId w:val="6"/>
              </w:numPr>
              <w:pBdr>
                <w:top w:val="nil"/>
                <w:left w:val="nil"/>
                <w:bottom w:val="nil"/>
                <w:right w:val="nil"/>
                <w:between w:val="nil"/>
              </w:pBdr>
              <w:spacing w:after="120" w:line="276" w:lineRule="auto"/>
              <w:ind w:left="567" w:hanging="284"/>
              <w:jc w:val="left"/>
              <w:rPr>
                <w:rFonts w:ascii="Arial" w:eastAsia="Arial" w:hAnsi="Arial" w:cs="Arial"/>
                <w:color w:val="000000"/>
                <w:sz w:val="22"/>
                <w:szCs w:val="22"/>
              </w:rPr>
            </w:pPr>
            <w:r>
              <w:rPr>
                <w:rFonts w:ascii="Arial" w:eastAsia="Arial" w:hAnsi="Arial" w:cs="Arial"/>
                <w:color w:val="000000"/>
                <w:sz w:val="22"/>
                <w:szCs w:val="22"/>
                <w:u w:val="single"/>
              </w:rPr>
              <w:lastRenderedPageBreak/>
              <w:t>Net Debt</w:t>
            </w:r>
            <w:r>
              <w:rPr>
                <w:rFonts w:ascii="Arial" w:eastAsia="Arial" w:hAnsi="Arial" w:cs="Arial"/>
                <w:color w:val="000000"/>
                <w:sz w:val="22"/>
                <w:szCs w:val="22"/>
              </w:rPr>
              <w:t>: T</w:t>
            </w:r>
            <w:r>
              <w:rPr>
                <w:rFonts w:ascii="Arial" w:eastAsia="Arial" w:hAnsi="Arial" w:cs="Arial"/>
                <w:color w:val="000000"/>
                <w:sz w:val="22"/>
                <w:szCs w:val="22"/>
              </w:rPr>
              <w:t>he elements of Net Debt may be described slightly differently and should be found either on the face of the Balance Sheet or in the relevant note to the financial statements. All interest-bearing liabilities (other than retirement benefit obligations) shou</w:t>
            </w:r>
            <w:r>
              <w:rPr>
                <w:rFonts w:ascii="Arial" w:eastAsia="Arial" w:hAnsi="Arial" w:cs="Arial"/>
                <w:color w:val="000000"/>
                <w:sz w:val="22"/>
                <w:szCs w:val="22"/>
              </w:rPr>
              <w:t xml:space="preserve">ld be included as borrowings as should, where disclosed, any liabilities (less any assets) in respect of any hedges designated as linked to borrowings (but </w:t>
            </w:r>
            <w:r>
              <w:rPr>
                <w:rFonts w:ascii="Arial" w:eastAsia="Arial" w:hAnsi="Arial" w:cs="Arial"/>
                <w:i/>
                <w:color w:val="000000"/>
                <w:sz w:val="22"/>
                <w:szCs w:val="22"/>
              </w:rPr>
              <w:t>not</w:t>
            </w:r>
            <w:r>
              <w:rPr>
                <w:rFonts w:ascii="Arial" w:eastAsia="Arial" w:hAnsi="Arial" w:cs="Arial"/>
                <w:color w:val="000000"/>
                <w:sz w:val="22"/>
                <w:szCs w:val="22"/>
              </w:rPr>
              <w:t xml:space="preserve"> non-designated hedges). Borrowings should also include balances owed to other group members.</w:t>
            </w:r>
          </w:p>
          <w:p w:rsidR="00B91140" w:rsidRDefault="00EE1134">
            <w:pPr>
              <w:spacing w:after="120" w:line="276" w:lineRule="auto"/>
              <w:ind w:left="599"/>
              <w:rPr>
                <w:rFonts w:ascii="Arial" w:eastAsia="Arial" w:hAnsi="Arial" w:cs="Arial"/>
                <w:sz w:val="22"/>
                <w:szCs w:val="22"/>
              </w:rPr>
            </w:pPr>
            <w:r>
              <w:rPr>
                <w:rFonts w:ascii="Arial" w:eastAsia="Arial" w:hAnsi="Arial" w:cs="Arial"/>
                <w:sz w:val="22"/>
                <w:szCs w:val="22"/>
              </w:rPr>
              <w:t>Deferred consideration payable should be included in Net Debt despite typically being non-interest bearing.</w:t>
            </w:r>
          </w:p>
          <w:p w:rsidR="00B91140" w:rsidRDefault="00EE1134">
            <w:pPr>
              <w:spacing w:after="120" w:line="276" w:lineRule="auto"/>
              <w:ind w:left="599"/>
              <w:rPr>
                <w:rFonts w:ascii="Arial" w:eastAsia="Arial" w:hAnsi="Arial" w:cs="Arial"/>
                <w:sz w:val="22"/>
                <w:szCs w:val="22"/>
              </w:rPr>
            </w:pPr>
            <w:r>
              <w:rPr>
                <w:rFonts w:ascii="Arial" w:eastAsia="Arial" w:hAnsi="Arial" w:cs="Arial"/>
                <w:sz w:val="22"/>
                <w:szCs w:val="22"/>
              </w:rPr>
              <w:t>Cash and cash equivalents should include short-term financial investments shown in current assets.</w:t>
            </w:r>
          </w:p>
          <w:p w:rsidR="00B91140" w:rsidRDefault="00EE1134">
            <w:pPr>
              <w:numPr>
                <w:ilvl w:val="0"/>
                <w:numId w:val="6"/>
              </w:numPr>
              <w:pBdr>
                <w:top w:val="nil"/>
                <w:left w:val="nil"/>
                <w:bottom w:val="nil"/>
                <w:right w:val="nil"/>
                <w:between w:val="nil"/>
              </w:pBdr>
              <w:spacing w:after="120" w:line="276" w:lineRule="auto"/>
              <w:ind w:left="599"/>
              <w:jc w:val="left"/>
              <w:rPr>
                <w:rFonts w:ascii="Arial" w:eastAsia="Arial" w:hAnsi="Arial" w:cs="Arial"/>
                <w:color w:val="000000"/>
                <w:sz w:val="22"/>
                <w:szCs w:val="22"/>
              </w:rPr>
            </w:pPr>
            <w:r>
              <w:rPr>
                <w:rFonts w:ascii="Arial" w:eastAsia="Arial" w:hAnsi="Arial" w:cs="Arial"/>
                <w:i/>
                <w:color w:val="000000"/>
                <w:sz w:val="22"/>
                <w:szCs w:val="22"/>
                <w:u w:val="single"/>
              </w:rPr>
              <w:t>Net Pension Deficit</w:t>
            </w:r>
            <w:r>
              <w:rPr>
                <w:rFonts w:ascii="Arial" w:eastAsia="Arial" w:hAnsi="Arial" w:cs="Arial"/>
                <w:color w:val="000000"/>
                <w:sz w:val="22"/>
                <w:szCs w:val="22"/>
              </w:rPr>
              <w:t>: Retirement Benefit Obligations and Retirement Benefit Assets may be shown on the face of the Balance Sheet or in the notes to the financial statements. They may also be described as pension benefits / obligations, post-employment obligations or other sim</w:t>
            </w:r>
            <w:r>
              <w:rPr>
                <w:rFonts w:ascii="Arial" w:eastAsia="Arial" w:hAnsi="Arial" w:cs="Arial"/>
                <w:color w:val="000000"/>
                <w:sz w:val="22"/>
                <w:szCs w:val="22"/>
              </w:rPr>
              <w:t xml:space="preserve">ilar terms. </w:t>
            </w:r>
          </w:p>
          <w:p w:rsidR="00B91140" w:rsidRDefault="00EE1134">
            <w:pPr>
              <w:spacing w:after="120" w:line="276" w:lineRule="auto"/>
              <w:ind w:left="599"/>
              <w:rPr>
                <w:rFonts w:ascii="Arial" w:eastAsia="Arial" w:hAnsi="Arial" w:cs="Arial"/>
                <w:sz w:val="22"/>
                <w:szCs w:val="22"/>
              </w:rPr>
            </w:pPr>
            <w:r>
              <w:rPr>
                <w:rFonts w:ascii="Arial" w:eastAsia="Arial" w:hAnsi="Arial" w:cs="Arial"/>
                <w:sz w:val="22"/>
                <w:szCs w:val="22"/>
              </w:rPr>
              <w:t>Where ‘Net Debt + Net Pension Deficit’ is negative, the relevant Financial Target Threshold should be treated as having been met.</w:t>
            </w:r>
          </w:p>
          <w:p w:rsidR="00B91140" w:rsidRDefault="00EE1134">
            <w:pPr>
              <w:numPr>
                <w:ilvl w:val="0"/>
                <w:numId w:val="6"/>
              </w:numPr>
              <w:pBdr>
                <w:top w:val="nil"/>
                <w:left w:val="nil"/>
                <w:bottom w:val="nil"/>
                <w:right w:val="nil"/>
                <w:between w:val="nil"/>
              </w:pBdr>
              <w:spacing w:after="120" w:line="276" w:lineRule="auto"/>
              <w:ind w:left="599"/>
              <w:jc w:val="left"/>
              <w:rPr>
                <w:rFonts w:ascii="Arial" w:eastAsia="Arial" w:hAnsi="Arial" w:cs="Arial"/>
                <w:color w:val="000000"/>
                <w:sz w:val="22"/>
                <w:szCs w:val="22"/>
              </w:rPr>
            </w:pPr>
            <w:r>
              <w:rPr>
                <w:rFonts w:ascii="Arial" w:eastAsia="Arial" w:hAnsi="Arial" w:cs="Arial"/>
                <w:i/>
                <w:color w:val="000000"/>
                <w:sz w:val="22"/>
                <w:szCs w:val="22"/>
                <w:u w:val="single"/>
              </w:rPr>
              <w:t>EBITDA</w:t>
            </w:r>
            <w:r>
              <w:rPr>
                <w:rFonts w:ascii="Arial" w:eastAsia="Arial" w:hAnsi="Arial" w:cs="Arial"/>
                <w:color w:val="000000"/>
                <w:sz w:val="22"/>
                <w:szCs w:val="22"/>
              </w:rPr>
              <w:t>: Operating profit should be shown on the face of the Income Statement (or Statement of Financial Activitie</w:t>
            </w:r>
            <w:r>
              <w:rPr>
                <w:rFonts w:ascii="Arial" w:eastAsia="Arial" w:hAnsi="Arial" w:cs="Arial"/>
                <w:color w:val="000000"/>
                <w:sz w:val="22"/>
                <w:szCs w:val="22"/>
              </w:rPr>
              <w:t xml:space="preserve">s) and, for the purposes of calculating this Financial Indicator. </w:t>
            </w:r>
          </w:p>
          <w:p w:rsidR="00B91140" w:rsidRDefault="00EE1134">
            <w:pPr>
              <w:spacing w:after="120" w:line="276" w:lineRule="auto"/>
              <w:ind w:left="599"/>
              <w:rPr>
                <w:rFonts w:ascii="Arial" w:eastAsia="Arial" w:hAnsi="Arial" w:cs="Arial"/>
                <w:sz w:val="22"/>
                <w:szCs w:val="22"/>
              </w:rPr>
            </w:pPr>
            <w:r>
              <w:rPr>
                <w:rFonts w:ascii="Arial" w:eastAsia="Arial" w:hAnsi="Arial" w:cs="Arial"/>
                <w:sz w:val="22"/>
                <w:szCs w:val="22"/>
              </w:rPr>
              <w:t xml:space="preserve">The depreciation and amortisation charges for the period may be found on the face of the Statement of Cash Flows or in a Note to the Accounts. </w:t>
            </w:r>
          </w:p>
          <w:p w:rsidR="00B91140" w:rsidRDefault="00EE1134">
            <w:pPr>
              <w:spacing w:after="200" w:line="276" w:lineRule="auto"/>
              <w:rPr>
                <w:rFonts w:ascii="Arial" w:eastAsia="Arial" w:hAnsi="Arial" w:cs="Arial"/>
                <w:sz w:val="22"/>
                <w:szCs w:val="22"/>
              </w:rPr>
            </w:pPr>
            <w:r>
              <w:rPr>
                <w:rFonts w:ascii="Arial" w:eastAsia="Arial" w:hAnsi="Arial" w:cs="Arial"/>
                <w:sz w:val="22"/>
                <w:szCs w:val="22"/>
              </w:rPr>
              <w:lastRenderedPageBreak/>
              <w:t>Where EBITDA is negative, the relevant Financ</w:t>
            </w:r>
            <w:r>
              <w:rPr>
                <w:rFonts w:ascii="Arial" w:eastAsia="Arial" w:hAnsi="Arial" w:cs="Arial"/>
                <w:sz w:val="22"/>
                <w:szCs w:val="22"/>
              </w:rPr>
              <w:t>ial Target Threshold should be treated as not having been met (unless ‘Net Debt + Net Pension Deficit’ is also negative, in which case the relevant Financial Target Threshold should be regarded as having been met).</w:t>
            </w:r>
          </w:p>
          <w:p w:rsidR="00B91140" w:rsidRDefault="00EE1134">
            <w:pPr>
              <w:spacing w:after="200" w:line="276" w:lineRule="auto"/>
              <w:rPr>
                <w:rFonts w:ascii="Arial" w:eastAsia="Arial" w:hAnsi="Arial" w:cs="Arial"/>
                <w:b/>
                <w:sz w:val="22"/>
                <w:szCs w:val="22"/>
                <w:u w:val="single"/>
              </w:rPr>
            </w:pPr>
            <w:r>
              <w:rPr>
                <w:rFonts w:ascii="Arial" w:eastAsia="Arial" w:hAnsi="Arial" w:cs="Arial"/>
                <w:sz w:val="22"/>
                <w:szCs w:val="22"/>
              </w:rPr>
              <w:t>For Charities Operating Profit would be N</w:t>
            </w:r>
            <w:r>
              <w:rPr>
                <w:rFonts w:ascii="Arial" w:eastAsia="Arial" w:hAnsi="Arial" w:cs="Arial"/>
                <w:sz w:val="22"/>
                <w:szCs w:val="22"/>
              </w:rPr>
              <w:t>et Income or Expenditure after Charitable Activities / Income</w:t>
            </w:r>
          </w:p>
        </w:tc>
      </w:tr>
      <w:tr w:rsidR="00B91140">
        <w:tc>
          <w:tcPr>
            <w:tcW w:w="3681" w:type="dxa"/>
            <w:vAlign w:val="center"/>
          </w:tcPr>
          <w:p w:rsidR="00B91140" w:rsidRDefault="00EE1134">
            <w:pPr>
              <w:pStyle w:val="Heading3"/>
              <w:keepNext w:val="0"/>
              <w:keepLines/>
              <w:numPr>
                <w:ilvl w:val="2"/>
                <w:numId w:val="16"/>
              </w:numPr>
              <w:spacing w:before="0" w:after="240"/>
              <w:ind w:left="0"/>
              <w:outlineLvl w:val="2"/>
              <w:rPr>
                <w:rFonts w:ascii="Arial" w:eastAsia="Arial" w:hAnsi="Arial" w:cs="Arial"/>
                <w:b w:val="0"/>
                <w:sz w:val="22"/>
                <w:szCs w:val="22"/>
              </w:rPr>
            </w:pPr>
            <w:r>
              <w:rPr>
                <w:rFonts w:ascii="Arial" w:eastAsia="Arial" w:hAnsi="Arial" w:cs="Arial"/>
                <w:sz w:val="22"/>
                <w:szCs w:val="22"/>
              </w:rPr>
              <w:lastRenderedPageBreak/>
              <w:t>4</w:t>
            </w:r>
          </w:p>
          <w:p w:rsidR="00B91140" w:rsidRDefault="00EE1134">
            <w:pPr>
              <w:spacing w:after="200" w:line="276" w:lineRule="auto"/>
              <w:jc w:val="left"/>
              <w:rPr>
                <w:rFonts w:ascii="Arial" w:eastAsia="Arial" w:hAnsi="Arial" w:cs="Arial"/>
                <w:b/>
                <w:sz w:val="22"/>
                <w:szCs w:val="22"/>
                <w:u w:val="single"/>
              </w:rPr>
            </w:pPr>
            <w:r>
              <w:rPr>
                <w:rFonts w:ascii="Arial" w:eastAsia="Arial" w:hAnsi="Arial" w:cs="Arial"/>
                <w:b/>
                <w:sz w:val="22"/>
                <w:szCs w:val="22"/>
              </w:rPr>
              <w:t>Net Interest Payable Cover</w:t>
            </w:r>
          </w:p>
        </w:tc>
        <w:tc>
          <w:tcPr>
            <w:tcW w:w="5103" w:type="dxa"/>
          </w:tcPr>
          <w:p w:rsidR="00B91140" w:rsidRDefault="00EE1134">
            <w:pPr>
              <w:spacing w:line="276" w:lineRule="auto"/>
              <w:ind w:left="140"/>
              <w:rPr>
                <w:rFonts w:ascii="Arial" w:eastAsia="Arial" w:hAnsi="Arial" w:cs="Arial"/>
                <w:i/>
                <w:sz w:val="22"/>
                <w:szCs w:val="22"/>
              </w:rPr>
            </w:pPr>
            <w:r>
              <w:rPr>
                <w:rFonts w:ascii="Arial" w:eastAsia="Arial" w:hAnsi="Arial" w:cs="Arial"/>
                <w:i/>
                <w:sz w:val="22"/>
                <w:szCs w:val="22"/>
              </w:rPr>
              <w:t>“</w:t>
            </w:r>
            <w:r>
              <w:rPr>
                <w:rFonts w:ascii="Arial" w:eastAsia="Arial" w:hAnsi="Arial" w:cs="Arial"/>
                <w:b/>
                <w:i/>
                <w:sz w:val="22"/>
                <w:szCs w:val="22"/>
              </w:rPr>
              <w:t>Earnings Before Interest and Tax</w:t>
            </w:r>
            <w:r>
              <w:rPr>
                <w:rFonts w:ascii="Arial" w:eastAsia="Arial" w:hAnsi="Arial" w:cs="Arial"/>
                <w:i/>
                <w:sz w:val="22"/>
                <w:szCs w:val="22"/>
              </w:rPr>
              <w:t>” = Operating profit</w:t>
            </w:r>
          </w:p>
          <w:p w:rsidR="00B91140" w:rsidRDefault="00EE1134">
            <w:pPr>
              <w:spacing w:before="120" w:line="276" w:lineRule="auto"/>
              <w:ind w:left="140"/>
              <w:rPr>
                <w:rFonts w:ascii="Arial" w:eastAsia="Arial" w:hAnsi="Arial" w:cs="Arial"/>
                <w:i/>
                <w:sz w:val="22"/>
                <w:szCs w:val="22"/>
              </w:rPr>
            </w:pPr>
            <w:r>
              <w:rPr>
                <w:rFonts w:ascii="Arial" w:eastAsia="Arial" w:hAnsi="Arial" w:cs="Arial"/>
                <w:b/>
                <w:i/>
                <w:sz w:val="22"/>
                <w:szCs w:val="22"/>
              </w:rPr>
              <w:t>“Net Interest Payable”</w:t>
            </w:r>
            <w:r>
              <w:rPr>
                <w:rFonts w:ascii="Arial" w:eastAsia="Arial" w:hAnsi="Arial" w:cs="Arial"/>
                <w:i/>
                <w:sz w:val="22"/>
                <w:szCs w:val="22"/>
              </w:rPr>
              <w:t xml:space="preserve"> = Interest payable – Interest receivable</w:t>
            </w:r>
          </w:p>
          <w:p w:rsidR="00B91140" w:rsidRDefault="00EE1134">
            <w:pPr>
              <w:spacing w:line="276" w:lineRule="auto"/>
              <w:ind w:left="141"/>
              <w:rPr>
                <w:rFonts w:ascii="Arial" w:eastAsia="Arial" w:hAnsi="Arial" w:cs="Arial"/>
                <w:sz w:val="22"/>
                <w:szCs w:val="22"/>
              </w:rPr>
            </w:pPr>
            <w:r>
              <w:rPr>
                <w:rFonts w:ascii="Arial" w:eastAsia="Arial" w:hAnsi="Arial" w:cs="Arial"/>
                <w:sz w:val="22"/>
                <w:szCs w:val="22"/>
              </w:rPr>
              <w:t>Operating profit should be shown on the face of the Income Statement (or Statement of Financial Activities) in a standard set of financial statements. Operating Profit is to exclude exceptional items, such as restructuring costs or impairments, and to incl</w:t>
            </w:r>
            <w:r>
              <w:rPr>
                <w:rFonts w:ascii="Arial" w:eastAsia="Arial" w:hAnsi="Arial" w:cs="Arial"/>
                <w:sz w:val="22"/>
                <w:szCs w:val="22"/>
              </w:rPr>
              <w:t>ude any share of Subsidiaries’ Operating Profit</w:t>
            </w:r>
          </w:p>
          <w:p w:rsidR="00B91140" w:rsidRDefault="00EE1134">
            <w:pPr>
              <w:spacing w:line="276" w:lineRule="auto"/>
              <w:ind w:left="141"/>
              <w:rPr>
                <w:rFonts w:ascii="Arial" w:eastAsia="Arial" w:hAnsi="Arial" w:cs="Arial"/>
                <w:sz w:val="22"/>
                <w:szCs w:val="22"/>
              </w:rPr>
            </w:pPr>
            <w:r>
              <w:rPr>
                <w:rFonts w:ascii="Arial" w:eastAsia="Arial" w:hAnsi="Arial" w:cs="Arial"/>
                <w:sz w:val="22"/>
                <w:szCs w:val="22"/>
              </w:rPr>
              <w:t>Interest receivable and interest payable should be shown on the face of the Cash Flow statement.</w:t>
            </w:r>
          </w:p>
          <w:p w:rsidR="00B91140" w:rsidRDefault="00EE1134">
            <w:pPr>
              <w:spacing w:after="200" w:line="276" w:lineRule="auto"/>
              <w:jc w:val="left"/>
              <w:rPr>
                <w:rFonts w:ascii="Arial" w:eastAsia="Arial" w:hAnsi="Arial" w:cs="Arial"/>
                <w:sz w:val="22"/>
                <w:szCs w:val="22"/>
              </w:rPr>
            </w:pPr>
            <w:r>
              <w:rPr>
                <w:rFonts w:ascii="Arial" w:eastAsia="Arial" w:hAnsi="Arial" w:cs="Arial"/>
                <w:sz w:val="22"/>
                <w:szCs w:val="22"/>
              </w:rPr>
              <w:t>Where Net interest payable is negative (i.e. the entity has net interest receivable), the relevant Financial Ta</w:t>
            </w:r>
            <w:r>
              <w:rPr>
                <w:rFonts w:ascii="Arial" w:eastAsia="Arial" w:hAnsi="Arial" w:cs="Arial"/>
                <w:sz w:val="22"/>
                <w:szCs w:val="22"/>
              </w:rPr>
              <w:t>rget Threshold should be treated as having been met.</w:t>
            </w:r>
          </w:p>
          <w:p w:rsidR="00B91140" w:rsidRDefault="00EE1134">
            <w:pPr>
              <w:spacing w:after="200" w:line="276" w:lineRule="auto"/>
              <w:jc w:val="left"/>
              <w:rPr>
                <w:rFonts w:ascii="Arial" w:eastAsia="Arial" w:hAnsi="Arial" w:cs="Arial"/>
                <w:b/>
                <w:sz w:val="22"/>
                <w:szCs w:val="22"/>
                <w:u w:val="single"/>
              </w:rPr>
            </w:pPr>
            <w:r>
              <w:rPr>
                <w:rFonts w:ascii="Arial" w:eastAsia="Arial" w:hAnsi="Arial" w:cs="Arial"/>
                <w:sz w:val="22"/>
                <w:szCs w:val="22"/>
              </w:rPr>
              <w:t>For Charities Operating Profit would be Net Income or Expenditure after Charitable Activities / Income</w:t>
            </w:r>
          </w:p>
        </w:tc>
      </w:tr>
      <w:tr w:rsidR="00B91140">
        <w:tc>
          <w:tcPr>
            <w:tcW w:w="3681" w:type="dxa"/>
            <w:vAlign w:val="center"/>
          </w:tcPr>
          <w:p w:rsidR="00B91140" w:rsidRDefault="00EE1134">
            <w:pPr>
              <w:pStyle w:val="Heading3"/>
              <w:keepNext w:val="0"/>
              <w:keepLines/>
              <w:numPr>
                <w:ilvl w:val="2"/>
                <w:numId w:val="16"/>
              </w:numPr>
              <w:spacing w:before="0" w:after="240"/>
              <w:ind w:left="0"/>
              <w:outlineLvl w:val="2"/>
              <w:rPr>
                <w:rFonts w:ascii="Arial" w:eastAsia="Arial" w:hAnsi="Arial" w:cs="Arial"/>
                <w:b w:val="0"/>
                <w:sz w:val="22"/>
                <w:szCs w:val="22"/>
              </w:rPr>
            </w:pPr>
            <w:r>
              <w:rPr>
                <w:rFonts w:ascii="Arial" w:eastAsia="Arial" w:hAnsi="Arial" w:cs="Arial"/>
                <w:sz w:val="22"/>
                <w:szCs w:val="22"/>
              </w:rPr>
              <w:t>5</w:t>
            </w:r>
          </w:p>
          <w:p w:rsidR="00B91140" w:rsidRDefault="00EE1134">
            <w:pPr>
              <w:spacing w:after="200" w:line="276" w:lineRule="auto"/>
              <w:jc w:val="left"/>
              <w:rPr>
                <w:rFonts w:ascii="Arial" w:eastAsia="Arial" w:hAnsi="Arial" w:cs="Arial"/>
                <w:b/>
                <w:sz w:val="22"/>
                <w:szCs w:val="22"/>
                <w:u w:val="single"/>
              </w:rPr>
            </w:pPr>
            <w:r>
              <w:rPr>
                <w:rFonts w:ascii="Arial" w:eastAsia="Arial" w:hAnsi="Arial" w:cs="Arial"/>
                <w:b/>
                <w:sz w:val="22"/>
                <w:szCs w:val="22"/>
              </w:rPr>
              <w:t>Current Ratio</w:t>
            </w:r>
          </w:p>
        </w:tc>
        <w:tc>
          <w:tcPr>
            <w:tcW w:w="5103" w:type="dxa"/>
          </w:tcPr>
          <w:p w:rsidR="00B91140" w:rsidRDefault="00B91140">
            <w:pPr>
              <w:spacing w:after="120" w:line="276" w:lineRule="auto"/>
              <w:rPr>
                <w:rFonts w:ascii="Arial" w:eastAsia="Arial" w:hAnsi="Arial" w:cs="Arial"/>
                <w:sz w:val="22"/>
                <w:szCs w:val="22"/>
                <w:u w:val="single"/>
              </w:rPr>
            </w:pPr>
          </w:p>
          <w:p w:rsidR="00B91140" w:rsidRDefault="00EE1134">
            <w:pPr>
              <w:spacing w:after="200" w:line="276" w:lineRule="auto"/>
              <w:jc w:val="left"/>
              <w:rPr>
                <w:rFonts w:ascii="Arial" w:eastAsia="Arial" w:hAnsi="Arial" w:cs="Arial"/>
                <w:sz w:val="22"/>
                <w:szCs w:val="22"/>
              </w:rPr>
            </w:pPr>
            <w:r>
              <w:rPr>
                <w:rFonts w:ascii="Arial" w:eastAsia="Arial" w:hAnsi="Arial" w:cs="Arial"/>
                <w:sz w:val="22"/>
                <w:szCs w:val="22"/>
              </w:rPr>
              <w:t>All elements that are used to calculate the Current Ratio are available on the face of the Balance Sheet in a standard set of financial statements.</w:t>
            </w:r>
          </w:p>
        </w:tc>
      </w:tr>
      <w:tr w:rsidR="00B91140">
        <w:tc>
          <w:tcPr>
            <w:tcW w:w="3681" w:type="dxa"/>
            <w:vAlign w:val="center"/>
          </w:tcPr>
          <w:p w:rsidR="00B91140" w:rsidRDefault="00EE1134">
            <w:pPr>
              <w:pStyle w:val="Heading3"/>
              <w:keepNext w:val="0"/>
              <w:keepLines/>
              <w:numPr>
                <w:ilvl w:val="2"/>
                <w:numId w:val="16"/>
              </w:numPr>
              <w:spacing w:before="0" w:after="240"/>
              <w:ind w:left="0"/>
              <w:outlineLvl w:val="2"/>
              <w:rPr>
                <w:rFonts w:ascii="Arial" w:eastAsia="Arial" w:hAnsi="Arial" w:cs="Arial"/>
                <w:b w:val="0"/>
                <w:sz w:val="22"/>
                <w:szCs w:val="22"/>
              </w:rPr>
            </w:pPr>
            <w:r>
              <w:rPr>
                <w:rFonts w:ascii="Arial" w:eastAsia="Arial" w:hAnsi="Arial" w:cs="Arial"/>
                <w:sz w:val="22"/>
                <w:szCs w:val="22"/>
              </w:rPr>
              <w:t>6</w:t>
            </w:r>
          </w:p>
          <w:p w:rsidR="00B91140" w:rsidRDefault="00EE1134">
            <w:pPr>
              <w:spacing w:after="200" w:line="276" w:lineRule="auto"/>
              <w:jc w:val="left"/>
              <w:rPr>
                <w:rFonts w:ascii="Arial" w:eastAsia="Arial" w:hAnsi="Arial" w:cs="Arial"/>
                <w:b/>
                <w:sz w:val="22"/>
                <w:szCs w:val="22"/>
                <w:u w:val="single"/>
              </w:rPr>
            </w:pPr>
            <w:r>
              <w:rPr>
                <w:rFonts w:ascii="Arial" w:eastAsia="Arial" w:hAnsi="Arial" w:cs="Arial"/>
                <w:b/>
                <w:sz w:val="22"/>
                <w:szCs w:val="22"/>
              </w:rPr>
              <w:t>Net Asset value</w:t>
            </w:r>
          </w:p>
        </w:tc>
        <w:tc>
          <w:tcPr>
            <w:tcW w:w="5103" w:type="dxa"/>
          </w:tcPr>
          <w:p w:rsidR="00B91140" w:rsidRDefault="00B91140">
            <w:pPr>
              <w:spacing w:after="0" w:line="276" w:lineRule="auto"/>
              <w:ind w:left="141"/>
              <w:rPr>
                <w:rFonts w:ascii="Arial" w:eastAsia="Arial" w:hAnsi="Arial" w:cs="Arial"/>
                <w:sz w:val="22"/>
                <w:szCs w:val="22"/>
              </w:rPr>
            </w:pPr>
          </w:p>
          <w:p w:rsidR="00B91140" w:rsidRDefault="00EE1134">
            <w:pPr>
              <w:spacing w:after="200" w:line="276" w:lineRule="auto"/>
              <w:rPr>
                <w:rFonts w:ascii="Arial" w:eastAsia="Arial" w:hAnsi="Arial" w:cs="Arial"/>
                <w:sz w:val="22"/>
                <w:szCs w:val="22"/>
              </w:rPr>
            </w:pPr>
            <w:r>
              <w:rPr>
                <w:rFonts w:ascii="Arial" w:eastAsia="Arial" w:hAnsi="Arial" w:cs="Arial"/>
                <w:sz w:val="22"/>
                <w:szCs w:val="22"/>
              </w:rPr>
              <w:t xml:space="preserve">Net Assets are shown (but sometimes not labelled) on the face of the Balance Sheet of a </w:t>
            </w:r>
            <w:r>
              <w:rPr>
                <w:rFonts w:ascii="Arial" w:eastAsia="Arial" w:hAnsi="Arial" w:cs="Arial"/>
                <w:sz w:val="22"/>
                <w:szCs w:val="22"/>
              </w:rPr>
              <w:t xml:space="preserve">standard set of financial statements. Net Assets are sometimes </w:t>
            </w:r>
            <w:r>
              <w:rPr>
                <w:rFonts w:ascii="Arial" w:eastAsia="Arial" w:hAnsi="Arial" w:cs="Arial"/>
                <w:sz w:val="22"/>
                <w:szCs w:val="22"/>
              </w:rPr>
              <w:lastRenderedPageBreak/>
              <w:t>called net worth or ‘Shareholders’ Funds’. They represent the net assets available to the shareholders. Where an entity has a majority interest in another entity in which there are also minorit</w:t>
            </w:r>
            <w:r>
              <w:rPr>
                <w:rFonts w:ascii="Arial" w:eastAsia="Arial" w:hAnsi="Arial" w:cs="Arial"/>
                <w:sz w:val="22"/>
                <w:szCs w:val="22"/>
              </w:rPr>
              <w:t>y or non-controlling interests (i.e. where it has a subsidiary partially owned by outside investors), Net Assets should be taken inclusive of minority or non-controlling interests (as if the entity owned 100% of such entity).</w:t>
            </w:r>
          </w:p>
          <w:p w:rsidR="00B91140" w:rsidRDefault="00EE1134">
            <w:pPr>
              <w:spacing w:after="200" w:line="276" w:lineRule="auto"/>
              <w:rPr>
                <w:rFonts w:ascii="Arial" w:eastAsia="Arial" w:hAnsi="Arial" w:cs="Arial"/>
                <w:sz w:val="22"/>
                <w:szCs w:val="22"/>
              </w:rPr>
            </w:pPr>
            <w:r>
              <w:rPr>
                <w:rFonts w:ascii="Arial" w:eastAsia="Arial" w:hAnsi="Arial" w:cs="Arial"/>
                <w:sz w:val="22"/>
                <w:szCs w:val="22"/>
              </w:rPr>
              <w:t>For Charities Net Assets would</w:t>
            </w:r>
            <w:r>
              <w:rPr>
                <w:rFonts w:ascii="Arial" w:eastAsia="Arial" w:hAnsi="Arial" w:cs="Arial"/>
                <w:sz w:val="22"/>
                <w:szCs w:val="22"/>
              </w:rPr>
              <w:t xml:space="preserve"> be Total Charity Funds</w:t>
            </w:r>
          </w:p>
        </w:tc>
      </w:tr>
      <w:tr w:rsidR="00B91140">
        <w:tc>
          <w:tcPr>
            <w:tcW w:w="3681" w:type="dxa"/>
            <w:vAlign w:val="center"/>
          </w:tcPr>
          <w:p w:rsidR="00B91140" w:rsidRDefault="00EE1134">
            <w:pPr>
              <w:pStyle w:val="Heading3"/>
              <w:keepNext w:val="0"/>
              <w:keepLines/>
              <w:numPr>
                <w:ilvl w:val="2"/>
                <w:numId w:val="16"/>
              </w:numPr>
              <w:spacing w:before="0" w:after="240"/>
              <w:ind w:left="0"/>
              <w:outlineLvl w:val="2"/>
              <w:rPr>
                <w:rFonts w:ascii="Arial" w:eastAsia="Arial" w:hAnsi="Arial" w:cs="Arial"/>
                <w:b w:val="0"/>
                <w:sz w:val="22"/>
                <w:szCs w:val="22"/>
              </w:rPr>
            </w:pPr>
            <w:r>
              <w:rPr>
                <w:rFonts w:ascii="Arial" w:eastAsia="Arial" w:hAnsi="Arial" w:cs="Arial"/>
                <w:sz w:val="22"/>
                <w:szCs w:val="22"/>
              </w:rPr>
              <w:lastRenderedPageBreak/>
              <w:t>7</w:t>
            </w:r>
          </w:p>
          <w:p w:rsidR="00B91140" w:rsidRDefault="00EE1134">
            <w:pPr>
              <w:spacing w:after="200" w:line="276" w:lineRule="auto"/>
              <w:jc w:val="left"/>
              <w:rPr>
                <w:rFonts w:ascii="Arial" w:eastAsia="Arial" w:hAnsi="Arial" w:cs="Arial"/>
                <w:b/>
                <w:sz w:val="22"/>
                <w:szCs w:val="22"/>
                <w:u w:val="single"/>
              </w:rPr>
            </w:pPr>
            <w:r>
              <w:rPr>
                <w:rFonts w:ascii="Arial" w:eastAsia="Arial" w:hAnsi="Arial" w:cs="Arial"/>
                <w:b/>
                <w:sz w:val="22"/>
                <w:szCs w:val="22"/>
              </w:rPr>
              <w:t>Group Exposure Ratio</w:t>
            </w:r>
          </w:p>
        </w:tc>
        <w:tc>
          <w:tcPr>
            <w:tcW w:w="5103" w:type="dxa"/>
          </w:tcPr>
          <w:p w:rsidR="00B91140" w:rsidRDefault="00EE1134">
            <w:pPr>
              <w:spacing w:line="276" w:lineRule="auto"/>
              <w:ind w:left="141"/>
              <w:rPr>
                <w:rFonts w:ascii="Arial" w:eastAsia="Arial" w:hAnsi="Arial" w:cs="Arial"/>
                <w:i/>
                <w:sz w:val="22"/>
                <w:szCs w:val="22"/>
              </w:rPr>
            </w:pPr>
            <w:r>
              <w:rPr>
                <w:rFonts w:ascii="Arial" w:eastAsia="Arial" w:hAnsi="Arial" w:cs="Arial"/>
                <w:i/>
                <w:sz w:val="22"/>
                <w:szCs w:val="22"/>
              </w:rPr>
              <w:t>“</w:t>
            </w:r>
            <w:r>
              <w:rPr>
                <w:rFonts w:ascii="Arial" w:eastAsia="Arial" w:hAnsi="Arial" w:cs="Arial"/>
                <w:b/>
                <w:i/>
                <w:sz w:val="22"/>
                <w:szCs w:val="22"/>
              </w:rPr>
              <w:t>Group Assets</w:t>
            </w:r>
            <w:r>
              <w:rPr>
                <w:rFonts w:ascii="Arial" w:eastAsia="Arial" w:hAnsi="Arial" w:cs="Arial"/>
                <w:i/>
                <w:sz w:val="22"/>
                <w:szCs w:val="22"/>
              </w:rPr>
              <w:t xml:space="preserve">” = Current and Non-Current Balances owed by Group Undertakings </w:t>
            </w:r>
          </w:p>
          <w:p w:rsidR="00B91140" w:rsidRDefault="00EE1134">
            <w:pPr>
              <w:spacing w:after="120" w:line="276" w:lineRule="auto"/>
              <w:ind w:left="141"/>
              <w:rPr>
                <w:rFonts w:ascii="Arial" w:eastAsia="Arial" w:hAnsi="Arial" w:cs="Arial"/>
                <w:sz w:val="22"/>
                <w:szCs w:val="22"/>
              </w:rPr>
            </w:pPr>
            <w:r>
              <w:rPr>
                <w:rFonts w:ascii="Arial" w:eastAsia="Arial" w:hAnsi="Arial" w:cs="Arial"/>
                <w:i/>
                <w:sz w:val="22"/>
                <w:szCs w:val="22"/>
                <w:u w:val="single"/>
              </w:rPr>
              <w:t>Group Exposure</w:t>
            </w:r>
            <w:r>
              <w:rPr>
                <w:rFonts w:ascii="Arial" w:eastAsia="Arial" w:hAnsi="Arial" w:cs="Arial"/>
                <w:sz w:val="22"/>
                <w:szCs w:val="22"/>
              </w:rPr>
              <w:t>:  Balances owed by (i.e. receivable from) Group Undertakings are shown within Non-Current assets or Current assets either on the face of the Balance Sheet or in the relevant notes to the financial statements. In many cases there may be no such balances, i</w:t>
            </w:r>
            <w:r>
              <w:rPr>
                <w:rFonts w:ascii="Arial" w:eastAsia="Arial" w:hAnsi="Arial" w:cs="Arial"/>
                <w:sz w:val="22"/>
                <w:szCs w:val="22"/>
              </w:rPr>
              <w:t>n particular where an entity is not a member of a group or is itself the ultimate holding company of the group.</w:t>
            </w:r>
          </w:p>
          <w:p w:rsidR="00B91140" w:rsidRDefault="00EE1134">
            <w:pPr>
              <w:spacing w:after="0" w:line="276" w:lineRule="auto"/>
              <w:ind w:left="142"/>
              <w:rPr>
                <w:rFonts w:ascii="Arial" w:eastAsia="Arial" w:hAnsi="Arial" w:cs="Arial"/>
                <w:sz w:val="22"/>
                <w:szCs w:val="22"/>
              </w:rPr>
            </w:pPr>
            <w:r>
              <w:rPr>
                <w:rFonts w:ascii="Arial" w:eastAsia="Arial" w:hAnsi="Arial" w:cs="Arial"/>
                <w:i/>
                <w:sz w:val="22"/>
                <w:szCs w:val="22"/>
                <w:u w:val="single"/>
              </w:rPr>
              <w:t>Current Assets &amp; Current Liabilities</w:t>
            </w:r>
            <w:r>
              <w:rPr>
                <w:rFonts w:ascii="Arial" w:eastAsia="Arial" w:hAnsi="Arial" w:cs="Arial"/>
                <w:sz w:val="22"/>
                <w:szCs w:val="22"/>
              </w:rPr>
              <w:t>: Both Current assets and Current Liabilities are shown on the face of the Balance Sheet</w:t>
            </w:r>
          </w:p>
        </w:tc>
      </w:tr>
    </w:tbl>
    <w:p w:rsidR="00B91140" w:rsidRDefault="00B91140">
      <w:pPr>
        <w:rPr>
          <w:rFonts w:ascii="Arial" w:eastAsia="Arial" w:hAnsi="Arial" w:cs="Arial"/>
          <w:b/>
          <w:u w:val="single"/>
        </w:rPr>
      </w:pPr>
    </w:p>
    <w:p w:rsidR="00B91140" w:rsidRDefault="00EE1134">
      <w:pPr>
        <w:rPr>
          <w:rFonts w:ascii="Arial" w:eastAsia="Arial" w:hAnsi="Arial" w:cs="Arial"/>
          <w:b/>
          <w:u w:val="single"/>
        </w:rPr>
      </w:pPr>
      <w:r>
        <w:br w:type="page"/>
      </w:r>
      <w:r>
        <w:rPr>
          <w:rFonts w:ascii="Arial" w:eastAsia="Arial" w:hAnsi="Arial" w:cs="Arial"/>
          <w:b/>
          <w:u w:val="single"/>
        </w:rPr>
        <w:lastRenderedPageBreak/>
        <w:t>ANNEX 5: BOARD C</w:t>
      </w:r>
      <w:r>
        <w:rPr>
          <w:rFonts w:ascii="Arial" w:eastAsia="Arial" w:hAnsi="Arial" w:cs="Arial"/>
          <w:b/>
          <w:u w:val="single"/>
        </w:rPr>
        <w:t>ONFIRMATION</w:t>
      </w:r>
    </w:p>
    <w:p w:rsidR="00B91140" w:rsidRDefault="00B91140">
      <w:pPr>
        <w:rPr>
          <w:rFonts w:ascii="Arial" w:eastAsia="Arial" w:hAnsi="Arial" w:cs="Arial"/>
          <w:b/>
          <w:color w:val="FF0000"/>
        </w:rPr>
      </w:pPr>
    </w:p>
    <w:p w:rsidR="00B91140" w:rsidRDefault="00EE1134">
      <w:pPr>
        <w:rPr>
          <w:rFonts w:ascii="Arial" w:eastAsia="Arial" w:hAnsi="Arial" w:cs="Arial"/>
          <w:b/>
          <w:color w:val="000000"/>
        </w:rPr>
      </w:pPr>
      <w:r>
        <w:rPr>
          <w:rFonts w:ascii="Arial" w:eastAsia="Arial" w:hAnsi="Arial" w:cs="Arial"/>
          <w:b/>
          <w:color w:val="000000"/>
        </w:rPr>
        <w:t xml:space="preserve">Supplier Name: </w:t>
      </w:r>
    </w:p>
    <w:p w:rsidR="00B91140" w:rsidRDefault="00EE1134">
      <w:pPr>
        <w:rPr>
          <w:rFonts w:ascii="Arial" w:eastAsia="Arial" w:hAnsi="Arial" w:cs="Arial"/>
          <w:b/>
        </w:rPr>
      </w:pPr>
      <w:r>
        <w:rPr>
          <w:rFonts w:ascii="Arial" w:eastAsia="Arial" w:hAnsi="Arial" w:cs="Arial"/>
          <w:b/>
        </w:rPr>
        <w:t xml:space="preserve">Contract Reference Number: </w:t>
      </w:r>
    </w:p>
    <w:p w:rsidR="00B91140" w:rsidRDefault="00B91140">
      <w:pPr>
        <w:rPr>
          <w:rFonts w:ascii="Arial" w:eastAsia="Arial" w:hAnsi="Arial" w:cs="Arial"/>
        </w:rPr>
      </w:pPr>
    </w:p>
    <w:p w:rsidR="00B91140" w:rsidRDefault="00EE1134">
      <w:pPr>
        <w:rPr>
          <w:rFonts w:ascii="Arial" w:eastAsia="Arial" w:hAnsi="Arial" w:cs="Arial"/>
        </w:rPr>
      </w:pPr>
      <w:r>
        <w:rPr>
          <w:rFonts w:ascii="Arial" w:eastAsia="Arial" w:hAnsi="Arial" w:cs="Arial"/>
        </w:rPr>
        <w:t>The Board of Directors acknowledge the requirements set out at Paragraph 8 of Joint Schedule 7 (Financial Difficulties]) and confirm that the Supplier has exercised due care and diligence and made r</w:t>
      </w:r>
      <w:r>
        <w:rPr>
          <w:rFonts w:ascii="Arial" w:eastAsia="Arial" w:hAnsi="Arial" w:cs="Arial"/>
        </w:rPr>
        <w:t>easonable enquiry of all relevant Supplier Staff and other persons as is reasonably necessary to enable the Board to prepare this statement.</w:t>
      </w:r>
    </w:p>
    <w:p w:rsidR="00B91140" w:rsidRDefault="00EE1134">
      <w:pPr>
        <w:rPr>
          <w:rFonts w:ascii="Arial" w:eastAsia="Arial" w:hAnsi="Arial" w:cs="Arial"/>
        </w:rPr>
      </w:pPr>
      <w:r>
        <w:rPr>
          <w:rFonts w:ascii="Arial" w:eastAsia="Arial" w:hAnsi="Arial" w:cs="Arial"/>
        </w:rPr>
        <w:t>The Board of Directors confirms, to the best of its knowledge and belief, that as at the date of this Board Confirmation it is not aware of and has no knowledge:</w:t>
      </w:r>
    </w:p>
    <w:p w:rsidR="00B91140" w:rsidRDefault="00EE1134">
      <w:pPr>
        <w:numPr>
          <w:ilvl w:val="6"/>
          <w:numId w:val="16"/>
        </w:numPr>
        <w:pBdr>
          <w:top w:val="nil"/>
          <w:left w:val="nil"/>
          <w:bottom w:val="nil"/>
          <w:right w:val="nil"/>
          <w:between w:val="nil"/>
        </w:pBdr>
        <w:spacing w:after="0"/>
        <w:ind w:left="1276" w:hanging="567"/>
        <w:rPr>
          <w:rFonts w:ascii="Arial" w:eastAsia="Arial" w:hAnsi="Arial" w:cs="Arial"/>
          <w:color w:val="000000"/>
        </w:rPr>
      </w:pPr>
      <w:r>
        <w:rPr>
          <w:rFonts w:ascii="Arial" w:eastAsia="Arial" w:hAnsi="Arial" w:cs="Arial"/>
          <w:color w:val="000000"/>
        </w:rPr>
        <w:t>that a Financial Distress Event has occurred since the later of the previous Board Confirmation and the Effective Date or is subsisting; or</w:t>
      </w:r>
    </w:p>
    <w:p w:rsidR="00B91140" w:rsidRDefault="00B91140">
      <w:pPr>
        <w:pBdr>
          <w:top w:val="nil"/>
          <w:left w:val="nil"/>
          <w:bottom w:val="nil"/>
          <w:right w:val="nil"/>
          <w:between w:val="nil"/>
        </w:pBdr>
        <w:spacing w:after="0"/>
        <w:ind w:left="1276"/>
        <w:rPr>
          <w:rFonts w:ascii="Arial" w:eastAsia="Arial" w:hAnsi="Arial" w:cs="Arial"/>
          <w:color w:val="000000"/>
        </w:rPr>
      </w:pPr>
    </w:p>
    <w:p w:rsidR="00B91140" w:rsidRDefault="00EE1134">
      <w:pPr>
        <w:numPr>
          <w:ilvl w:val="6"/>
          <w:numId w:val="16"/>
        </w:numPr>
        <w:pBdr>
          <w:top w:val="nil"/>
          <w:left w:val="nil"/>
          <w:bottom w:val="nil"/>
          <w:right w:val="nil"/>
          <w:between w:val="nil"/>
        </w:pBdr>
        <w:spacing w:after="0"/>
        <w:ind w:left="1276" w:hanging="567"/>
        <w:rPr>
          <w:rFonts w:ascii="Arial" w:eastAsia="Arial" w:hAnsi="Arial" w:cs="Arial"/>
          <w:color w:val="000000"/>
        </w:rPr>
      </w:pPr>
      <w:r>
        <w:rPr>
          <w:rFonts w:ascii="Arial" w:eastAsia="Arial" w:hAnsi="Arial" w:cs="Arial"/>
          <w:color w:val="000000"/>
        </w:rPr>
        <w:t>of any matters which have occurred or are subsisting that could reasonably be expected to cause a Financial Distres</w:t>
      </w:r>
      <w:r>
        <w:rPr>
          <w:rFonts w:ascii="Arial" w:eastAsia="Arial" w:hAnsi="Arial" w:cs="Arial"/>
          <w:color w:val="000000"/>
        </w:rPr>
        <w:t>s Event</w:t>
      </w:r>
    </w:p>
    <w:p w:rsidR="00B91140" w:rsidRDefault="00B91140">
      <w:pPr>
        <w:rPr>
          <w:rFonts w:ascii="Arial" w:eastAsia="Arial" w:hAnsi="Arial" w:cs="Arial"/>
        </w:rPr>
      </w:pPr>
    </w:p>
    <w:p w:rsidR="00B91140" w:rsidRDefault="00EE1134">
      <w:pPr>
        <w:rPr>
          <w:rFonts w:ascii="Arial" w:eastAsia="Arial" w:hAnsi="Arial" w:cs="Arial"/>
        </w:rPr>
      </w:pPr>
      <w:r>
        <w:rPr>
          <w:rFonts w:ascii="Arial" w:eastAsia="Arial" w:hAnsi="Arial" w:cs="Arial"/>
        </w:rPr>
        <w:t>On behalf of the Board of Directors:</w:t>
      </w:r>
    </w:p>
    <w:p w:rsidR="00B91140" w:rsidRDefault="00B91140">
      <w:pPr>
        <w:rPr>
          <w:rFonts w:ascii="Arial" w:eastAsia="Arial" w:hAnsi="Arial" w:cs="Arial"/>
        </w:rPr>
      </w:pPr>
    </w:p>
    <w:p w:rsidR="00B91140" w:rsidRDefault="00EE1134">
      <w:pPr>
        <w:tabs>
          <w:tab w:val="left" w:pos="1134"/>
          <w:tab w:val="left" w:pos="1560"/>
        </w:tabs>
        <w:ind w:left="1560" w:hanging="851"/>
        <w:rPr>
          <w:rFonts w:ascii="Arial" w:eastAsia="Arial" w:hAnsi="Arial" w:cs="Arial"/>
        </w:rPr>
      </w:pPr>
      <w:r>
        <w:rPr>
          <w:rFonts w:ascii="Arial" w:eastAsia="Arial" w:hAnsi="Arial" w:cs="Arial"/>
        </w:rPr>
        <w:t xml:space="preserve">Chair </w:t>
      </w:r>
      <w:r>
        <w:rPr>
          <w:rFonts w:ascii="Arial" w:eastAsia="Arial" w:hAnsi="Arial" w:cs="Arial"/>
        </w:rPr>
        <w:tab/>
      </w:r>
      <w:r>
        <w:rPr>
          <w:rFonts w:ascii="Arial" w:eastAsia="Arial" w:hAnsi="Arial" w:cs="Arial"/>
        </w:rPr>
        <w:tab/>
        <w:t>…………………………………</w:t>
      </w:r>
    </w:p>
    <w:p w:rsidR="00B91140" w:rsidRDefault="00EE1134">
      <w:pPr>
        <w:ind w:left="1560" w:hanging="851"/>
        <w:rPr>
          <w:rFonts w:ascii="Arial" w:eastAsia="Arial" w:hAnsi="Arial" w:cs="Arial"/>
        </w:rPr>
      </w:pPr>
      <w:r>
        <w:rPr>
          <w:rFonts w:ascii="Arial" w:eastAsia="Arial" w:hAnsi="Arial" w:cs="Arial"/>
        </w:rPr>
        <w:t>Signed</w:t>
      </w:r>
      <w:r>
        <w:rPr>
          <w:rFonts w:ascii="Arial" w:eastAsia="Arial" w:hAnsi="Arial" w:cs="Arial"/>
        </w:rPr>
        <w:tab/>
      </w:r>
      <w:r>
        <w:rPr>
          <w:rFonts w:ascii="Arial" w:eastAsia="Arial" w:hAnsi="Arial" w:cs="Arial"/>
        </w:rPr>
        <w:tab/>
        <w:t>…………………………………</w:t>
      </w:r>
    </w:p>
    <w:p w:rsidR="00B91140" w:rsidRDefault="00EE1134">
      <w:pPr>
        <w:ind w:left="1560" w:hanging="851"/>
        <w:rPr>
          <w:rFonts w:ascii="Arial" w:eastAsia="Arial" w:hAnsi="Arial" w:cs="Arial"/>
        </w:rPr>
      </w:pPr>
      <w:r>
        <w:rPr>
          <w:rFonts w:ascii="Arial" w:eastAsia="Arial" w:hAnsi="Arial" w:cs="Arial"/>
        </w:rPr>
        <w:t>Date</w:t>
      </w:r>
      <w:r>
        <w:rPr>
          <w:rFonts w:ascii="Arial" w:eastAsia="Arial" w:hAnsi="Arial" w:cs="Arial"/>
        </w:rPr>
        <w:tab/>
      </w:r>
      <w:r>
        <w:rPr>
          <w:rFonts w:ascii="Arial" w:eastAsia="Arial" w:hAnsi="Arial" w:cs="Arial"/>
        </w:rPr>
        <w:tab/>
        <w:t>…………………………………</w:t>
      </w:r>
    </w:p>
    <w:p w:rsidR="00B91140" w:rsidRDefault="00B91140">
      <w:pPr>
        <w:rPr>
          <w:rFonts w:ascii="Arial" w:eastAsia="Arial" w:hAnsi="Arial" w:cs="Arial"/>
        </w:rPr>
      </w:pPr>
    </w:p>
    <w:p w:rsidR="00B91140" w:rsidRDefault="00EE1134">
      <w:pPr>
        <w:tabs>
          <w:tab w:val="left" w:pos="1134"/>
          <w:tab w:val="left" w:pos="1560"/>
        </w:tabs>
        <w:ind w:left="1560" w:hanging="851"/>
        <w:rPr>
          <w:rFonts w:ascii="Arial" w:eastAsia="Arial" w:hAnsi="Arial" w:cs="Arial"/>
        </w:rPr>
      </w:pPr>
      <w:r>
        <w:rPr>
          <w:rFonts w:ascii="Arial" w:eastAsia="Arial" w:hAnsi="Arial" w:cs="Arial"/>
        </w:rPr>
        <w:t xml:space="preserve">Director </w:t>
      </w:r>
      <w:r>
        <w:rPr>
          <w:rFonts w:ascii="Arial" w:eastAsia="Arial" w:hAnsi="Arial" w:cs="Arial"/>
        </w:rPr>
        <w:tab/>
        <w:t>…………………………………</w:t>
      </w:r>
    </w:p>
    <w:p w:rsidR="00B91140" w:rsidRDefault="00EE1134">
      <w:pPr>
        <w:ind w:left="1560" w:hanging="851"/>
        <w:rPr>
          <w:rFonts w:ascii="Arial" w:eastAsia="Arial" w:hAnsi="Arial" w:cs="Arial"/>
        </w:rPr>
      </w:pPr>
      <w:r>
        <w:rPr>
          <w:rFonts w:ascii="Arial" w:eastAsia="Arial" w:hAnsi="Arial" w:cs="Arial"/>
        </w:rPr>
        <w:t>Signed</w:t>
      </w:r>
      <w:r>
        <w:rPr>
          <w:rFonts w:ascii="Arial" w:eastAsia="Arial" w:hAnsi="Arial" w:cs="Arial"/>
        </w:rPr>
        <w:tab/>
      </w:r>
      <w:r>
        <w:rPr>
          <w:rFonts w:ascii="Arial" w:eastAsia="Arial" w:hAnsi="Arial" w:cs="Arial"/>
        </w:rPr>
        <w:tab/>
        <w:t>…………………………………</w:t>
      </w:r>
    </w:p>
    <w:p w:rsidR="00B91140" w:rsidRDefault="00EE1134">
      <w:pPr>
        <w:ind w:left="1560" w:hanging="851"/>
        <w:rPr>
          <w:rFonts w:ascii="Arial" w:eastAsia="Arial" w:hAnsi="Arial" w:cs="Arial"/>
        </w:rPr>
      </w:pPr>
      <w:r>
        <w:rPr>
          <w:rFonts w:ascii="Arial" w:eastAsia="Arial" w:hAnsi="Arial" w:cs="Arial"/>
        </w:rPr>
        <w:t>Date</w:t>
      </w:r>
      <w:r>
        <w:rPr>
          <w:rFonts w:ascii="Arial" w:eastAsia="Arial" w:hAnsi="Arial" w:cs="Arial"/>
        </w:rPr>
        <w:tab/>
      </w:r>
      <w:r>
        <w:rPr>
          <w:rFonts w:ascii="Arial" w:eastAsia="Arial" w:hAnsi="Arial" w:cs="Arial"/>
        </w:rPr>
        <w:tab/>
        <w:t>…………………………………</w:t>
      </w:r>
    </w:p>
    <w:p w:rsidR="00B91140" w:rsidRDefault="00B91140">
      <w:pPr>
        <w:rPr>
          <w:rFonts w:ascii="Arial" w:eastAsia="Arial" w:hAnsi="Arial" w:cs="Arial"/>
        </w:rPr>
      </w:pPr>
    </w:p>
    <w:p w:rsidR="00B91140" w:rsidRDefault="00B91140">
      <w:pPr>
        <w:rPr>
          <w:rFonts w:ascii="Arial" w:eastAsia="Arial" w:hAnsi="Arial" w:cs="Arial"/>
        </w:rPr>
      </w:pPr>
    </w:p>
    <w:p w:rsidR="00B91140" w:rsidRDefault="00B91140">
      <w:pPr>
        <w:keepNext/>
        <w:keepLines/>
        <w:rPr>
          <w:rFonts w:ascii="Arial" w:eastAsia="Arial" w:hAnsi="Arial" w:cs="Arial"/>
          <w:b/>
        </w:rPr>
      </w:pPr>
      <w:bookmarkStart w:id="19" w:name="bookmark=id.3j2qqm3" w:colFirst="0" w:colLast="0"/>
      <w:bookmarkStart w:id="20" w:name="_heading=h.z337ya" w:colFirst="0" w:colLast="0"/>
      <w:bookmarkEnd w:id="19"/>
      <w:bookmarkEnd w:id="20"/>
    </w:p>
    <w:p w:rsidR="00B91140" w:rsidRDefault="00B91140">
      <w:pPr>
        <w:pBdr>
          <w:top w:val="nil"/>
          <w:left w:val="nil"/>
          <w:bottom w:val="nil"/>
          <w:right w:val="nil"/>
          <w:between w:val="nil"/>
        </w:pBdr>
        <w:spacing w:before="120" w:after="120"/>
        <w:jc w:val="center"/>
        <w:rPr>
          <w:rFonts w:ascii="Arial" w:eastAsia="Arial" w:hAnsi="Arial" w:cs="Arial"/>
          <w:b/>
          <w:color w:val="000000"/>
        </w:rPr>
      </w:pPr>
    </w:p>
    <w:sectPr w:rsidR="00B91140">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134" w:rsidRDefault="00EE1134">
      <w:pPr>
        <w:spacing w:after="0" w:line="240" w:lineRule="auto"/>
      </w:pPr>
      <w:r>
        <w:separator/>
      </w:r>
    </w:p>
  </w:endnote>
  <w:endnote w:type="continuationSeparator" w:id="0">
    <w:p w:rsidR="00EE1134" w:rsidRDefault="00EE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140" w:rsidRDefault="00B91140">
    <w:pPr>
      <w:tabs>
        <w:tab w:val="center" w:pos="4513"/>
        <w:tab w:val="right" w:pos="9026"/>
      </w:tabs>
      <w:spacing w:after="0"/>
    </w:pPr>
  </w:p>
  <w:p w:rsidR="00B91140" w:rsidRDefault="00B91140">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p>
  <w:p w:rsidR="00B91140" w:rsidRDefault="00B91140">
    <w:pPr>
      <w:pBdr>
        <w:top w:val="nil"/>
        <w:left w:val="nil"/>
        <w:bottom w:val="nil"/>
        <w:right w:val="nil"/>
        <w:between w:val="nil"/>
      </w:pBdr>
      <w:tabs>
        <w:tab w:val="center" w:pos="4513"/>
        <w:tab w:val="right" w:pos="9026"/>
      </w:tabs>
      <w:spacing w:after="0"/>
    </w:pPr>
  </w:p>
  <w:p w:rsidR="00B91140" w:rsidRDefault="00EE1134">
    <w:pPr>
      <w:pBdr>
        <w:top w:val="nil"/>
        <w:left w:val="nil"/>
        <w:bottom w:val="nil"/>
        <w:right w:val="nil"/>
        <w:between w:val="nil"/>
      </w:pBdr>
      <w:tabs>
        <w:tab w:val="center" w:pos="4513"/>
        <w:tab w:val="right" w:pos="9026"/>
      </w:tabs>
      <w:spacing w:after="0"/>
      <w:jc w:val="right"/>
    </w:pPr>
    <w:r>
      <w:fldChar w:fldCharType="begin"/>
    </w:r>
    <w:r>
      <w:instrText>PAGE</w:instrText>
    </w:r>
    <w:r w:rsidR="00D97B2B">
      <w:fldChar w:fldCharType="separate"/>
    </w:r>
    <w:r w:rsidR="00D97B2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134" w:rsidRDefault="00EE1134">
      <w:pPr>
        <w:spacing w:after="0" w:line="240" w:lineRule="auto"/>
      </w:pPr>
      <w:r>
        <w:separator/>
      </w:r>
    </w:p>
  </w:footnote>
  <w:footnote w:type="continuationSeparator" w:id="0">
    <w:p w:rsidR="00EE1134" w:rsidRDefault="00EE1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140" w:rsidRDefault="00EE1134">
    <w:pPr>
      <w:spacing w:after="0" w:line="245" w:lineRule="auto"/>
      <w:ind w:right="4667"/>
      <w:rPr>
        <w:rFonts w:ascii="Arial" w:eastAsia="Arial" w:hAnsi="Arial" w:cs="Arial"/>
        <w:sz w:val="20"/>
        <w:szCs w:val="20"/>
      </w:rPr>
    </w:pPr>
    <w:r>
      <w:rPr>
        <w:rFonts w:ascii="Arial" w:eastAsia="Arial" w:hAnsi="Arial" w:cs="Arial"/>
        <w:b/>
        <w:sz w:val="20"/>
        <w:szCs w:val="20"/>
      </w:rPr>
      <w:t>Joint Schedule 7 (Financial Difficulties)</w:t>
    </w:r>
    <w:r>
      <w:rPr>
        <w:rFonts w:ascii="Arial" w:eastAsia="Arial" w:hAnsi="Arial" w:cs="Arial"/>
        <w:sz w:val="20"/>
        <w:szCs w:val="20"/>
      </w:rPr>
      <w:t xml:space="preserve"> </w:t>
    </w:r>
  </w:p>
  <w:p w:rsidR="00B91140" w:rsidRDefault="00EE1134">
    <w:pPr>
      <w:spacing w:after="0" w:line="245" w:lineRule="auto"/>
      <w:ind w:right="4667"/>
      <w:rPr>
        <w:rFonts w:ascii="Arial" w:eastAsia="Arial" w:hAnsi="Arial" w:cs="Arial"/>
      </w:rPr>
    </w:pPr>
    <w:r>
      <w:rPr>
        <w:rFonts w:ascii="Arial" w:eastAsia="Arial" w:hAnsi="Arial" w:cs="Arial"/>
        <w:sz w:val="20"/>
        <w:szCs w:val="20"/>
      </w:rPr>
      <w:t>Crown Copyright</w:t>
    </w:r>
    <w:r>
      <w:rPr>
        <w:rFonts w:ascii="Arial" w:eastAsia="Arial" w:hAnsi="Arial" w:cs="Arial"/>
        <w:sz w:val="20"/>
        <w:szCs w:val="20"/>
        <w:vertAlign w:val="subscript"/>
      </w:rPr>
      <w:t xml:space="preserve"> </w:t>
    </w:r>
    <w:r>
      <w:rPr>
        <w:rFonts w:ascii="Arial" w:eastAsia="Arial" w:hAnsi="Arial" w:cs="Arial"/>
        <w:sz w:val="20"/>
        <w:szCs w:val="20"/>
      </w:rPr>
      <w:t xml:space="preserve">2021 </w:t>
    </w:r>
  </w:p>
  <w:p w:rsidR="00B91140" w:rsidRDefault="00B91140">
    <w:pPr>
      <w:pBdr>
        <w:top w:val="nil"/>
        <w:left w:val="nil"/>
        <w:bottom w:val="nil"/>
        <w:right w:val="nil"/>
        <w:between w:val="nil"/>
      </w:pBdr>
      <w:tabs>
        <w:tab w:val="center" w:pos="4513"/>
        <w:tab w:val="right" w:pos="9026"/>
      </w:tabs>
      <w:spacing w:after="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2ECD"/>
    <w:multiLevelType w:val="multilevel"/>
    <w:tmpl w:val="71D42F9E"/>
    <w:lvl w:ilvl="0">
      <w:start w:val="1"/>
      <w:numFmt w:val="decimal"/>
      <w:lvlText w:val=""/>
      <w:lvlJc w:val="center"/>
      <w:pPr>
        <w:ind w:left="0" w:hanging="57"/>
      </w:pPr>
    </w:lvl>
    <w:lvl w:ilvl="1">
      <w:start w:val="1"/>
      <w:numFmt w:val="decimal"/>
      <w:lvlText w:val="%2%1"/>
      <w:lvlJc w:val="left"/>
      <w:pPr>
        <w:ind w:left="709" w:hanging="709"/>
      </w:pPr>
      <w:rPr>
        <w:b/>
      </w:rPr>
    </w:lvl>
    <w:lvl w:ilvl="2">
      <w:start w:val="1"/>
      <w:numFmt w:val="decimal"/>
      <w:lvlText w:val="2.%3"/>
      <w:lvlJc w:val="left"/>
      <w:pPr>
        <w:ind w:left="709" w:hanging="709"/>
      </w:pPr>
      <w:rPr>
        <w:b w:val="0"/>
        <w:i w:val="0"/>
      </w:rPr>
    </w:lvl>
    <w:lvl w:ilvl="3">
      <w:start w:val="1"/>
      <w:numFmt w:val="lowerLetter"/>
      <w:lvlText w:val="(%4)"/>
      <w:lvlJc w:val="left"/>
      <w:pPr>
        <w:ind w:left="1418" w:hanging="709"/>
      </w:pPr>
    </w:lvl>
    <w:lvl w:ilvl="4">
      <w:start w:val="2"/>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 w15:restartNumberingAfterBreak="0">
    <w:nsid w:val="1CD24F72"/>
    <w:multiLevelType w:val="multilevel"/>
    <w:tmpl w:val="228476A6"/>
    <w:lvl w:ilvl="0">
      <w:start w:val="1"/>
      <w:numFmt w:val="decimal"/>
      <w:pStyle w:val="ListBullet"/>
      <w:lvlText w:val=""/>
      <w:lvlJc w:val="center"/>
      <w:pPr>
        <w:ind w:left="0" w:hanging="57"/>
      </w:pPr>
    </w:lvl>
    <w:lvl w:ilvl="1">
      <w:start w:val="4"/>
      <w:numFmt w:val="decimal"/>
      <w:lvlText w:val="%1%2"/>
      <w:lvlJc w:val="left"/>
      <w:pPr>
        <w:ind w:left="709" w:hanging="709"/>
      </w:pPr>
      <w:rPr>
        <w:b/>
      </w:rPr>
    </w:lvl>
    <w:lvl w:ilvl="2">
      <w:start w:val="6"/>
      <w:numFmt w:val="decimal"/>
      <w:lvlText w:val="%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 w15:restartNumberingAfterBreak="0">
    <w:nsid w:val="1FA709D7"/>
    <w:multiLevelType w:val="multilevel"/>
    <w:tmpl w:val="3B3CD196"/>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3."/>
      <w:lvlJc w:val="left"/>
      <w:pPr>
        <w:ind w:left="709" w:hanging="709"/>
      </w:pPr>
      <w:rPr>
        <w:b w:val="0"/>
        <w:i w:val="0"/>
      </w:rPr>
    </w:lvl>
    <w:lvl w:ilvl="3">
      <w:start w:val="1"/>
      <w:numFmt w:val="lowerLetter"/>
      <w:lvlText w:val="(%4)"/>
      <w:lvlJc w:val="left"/>
      <w:pPr>
        <w:ind w:left="1418" w:hanging="709"/>
      </w:pPr>
    </w:lvl>
    <w:lvl w:ilvl="4">
      <w:start w:val="2"/>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 w15:restartNumberingAfterBreak="0">
    <w:nsid w:val="29805CB4"/>
    <w:multiLevelType w:val="multilevel"/>
    <w:tmpl w:val="3D08B8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461F38"/>
    <w:multiLevelType w:val="multilevel"/>
    <w:tmpl w:val="C93C8710"/>
    <w:lvl w:ilvl="0">
      <w:start w:val="1"/>
      <w:numFmt w:val="bullet"/>
      <w:lvlText w:val="●"/>
      <w:lvlJc w:val="left"/>
      <w:pPr>
        <w:ind w:left="861" w:hanging="360"/>
      </w:pPr>
      <w:rPr>
        <w:rFonts w:ascii="Noto Sans Symbols" w:eastAsia="Noto Sans Symbols" w:hAnsi="Noto Sans Symbols" w:cs="Noto Sans Symbols"/>
      </w:rPr>
    </w:lvl>
    <w:lvl w:ilvl="1">
      <w:start w:val="1"/>
      <w:numFmt w:val="bullet"/>
      <w:lvlText w:val="o"/>
      <w:lvlJc w:val="left"/>
      <w:pPr>
        <w:ind w:left="1581" w:hanging="360"/>
      </w:pPr>
      <w:rPr>
        <w:rFonts w:ascii="Courier New" w:eastAsia="Courier New" w:hAnsi="Courier New" w:cs="Courier New"/>
      </w:rPr>
    </w:lvl>
    <w:lvl w:ilvl="2">
      <w:start w:val="1"/>
      <w:numFmt w:val="bullet"/>
      <w:lvlText w:val="▪"/>
      <w:lvlJc w:val="left"/>
      <w:pPr>
        <w:ind w:left="2301" w:hanging="360"/>
      </w:pPr>
      <w:rPr>
        <w:rFonts w:ascii="Noto Sans Symbols" w:eastAsia="Noto Sans Symbols" w:hAnsi="Noto Sans Symbols" w:cs="Noto Sans Symbols"/>
      </w:rPr>
    </w:lvl>
    <w:lvl w:ilvl="3">
      <w:start w:val="1"/>
      <w:numFmt w:val="bullet"/>
      <w:lvlText w:val="●"/>
      <w:lvlJc w:val="left"/>
      <w:pPr>
        <w:ind w:left="3021" w:hanging="360"/>
      </w:pPr>
      <w:rPr>
        <w:rFonts w:ascii="Noto Sans Symbols" w:eastAsia="Noto Sans Symbols" w:hAnsi="Noto Sans Symbols" w:cs="Noto Sans Symbols"/>
      </w:rPr>
    </w:lvl>
    <w:lvl w:ilvl="4">
      <w:start w:val="1"/>
      <w:numFmt w:val="bullet"/>
      <w:lvlText w:val="o"/>
      <w:lvlJc w:val="left"/>
      <w:pPr>
        <w:ind w:left="3741" w:hanging="360"/>
      </w:pPr>
      <w:rPr>
        <w:rFonts w:ascii="Courier New" w:eastAsia="Courier New" w:hAnsi="Courier New" w:cs="Courier New"/>
      </w:rPr>
    </w:lvl>
    <w:lvl w:ilvl="5">
      <w:start w:val="1"/>
      <w:numFmt w:val="bullet"/>
      <w:lvlText w:val="▪"/>
      <w:lvlJc w:val="left"/>
      <w:pPr>
        <w:ind w:left="4461" w:hanging="360"/>
      </w:pPr>
      <w:rPr>
        <w:rFonts w:ascii="Noto Sans Symbols" w:eastAsia="Noto Sans Symbols" w:hAnsi="Noto Sans Symbols" w:cs="Noto Sans Symbols"/>
      </w:rPr>
    </w:lvl>
    <w:lvl w:ilvl="6">
      <w:start w:val="1"/>
      <w:numFmt w:val="bullet"/>
      <w:lvlText w:val="●"/>
      <w:lvlJc w:val="left"/>
      <w:pPr>
        <w:ind w:left="5181" w:hanging="360"/>
      </w:pPr>
      <w:rPr>
        <w:rFonts w:ascii="Noto Sans Symbols" w:eastAsia="Noto Sans Symbols" w:hAnsi="Noto Sans Symbols" w:cs="Noto Sans Symbols"/>
      </w:rPr>
    </w:lvl>
    <w:lvl w:ilvl="7">
      <w:start w:val="1"/>
      <w:numFmt w:val="bullet"/>
      <w:lvlText w:val="o"/>
      <w:lvlJc w:val="left"/>
      <w:pPr>
        <w:ind w:left="5901" w:hanging="360"/>
      </w:pPr>
      <w:rPr>
        <w:rFonts w:ascii="Courier New" w:eastAsia="Courier New" w:hAnsi="Courier New" w:cs="Courier New"/>
      </w:rPr>
    </w:lvl>
    <w:lvl w:ilvl="8">
      <w:start w:val="1"/>
      <w:numFmt w:val="bullet"/>
      <w:lvlText w:val="▪"/>
      <w:lvlJc w:val="left"/>
      <w:pPr>
        <w:ind w:left="6621" w:hanging="360"/>
      </w:pPr>
      <w:rPr>
        <w:rFonts w:ascii="Noto Sans Symbols" w:eastAsia="Noto Sans Symbols" w:hAnsi="Noto Sans Symbols" w:cs="Noto Sans Symbols"/>
      </w:rPr>
    </w:lvl>
  </w:abstractNum>
  <w:abstractNum w:abstractNumId="5" w15:restartNumberingAfterBreak="0">
    <w:nsid w:val="328C58A6"/>
    <w:multiLevelType w:val="multilevel"/>
    <w:tmpl w:val="4F642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A15FAD"/>
    <w:multiLevelType w:val="multilevel"/>
    <w:tmpl w:val="6C324ED6"/>
    <w:lvl w:ilvl="0">
      <w:start w:val="1"/>
      <w:numFmt w:val="decimal"/>
      <w:lvlText w:val=""/>
      <w:lvlJc w:val="center"/>
      <w:pPr>
        <w:ind w:left="0" w:hanging="57"/>
      </w:pPr>
    </w:lvl>
    <w:lvl w:ilvl="1">
      <w:start w:val="5"/>
      <w:numFmt w:val="decimal"/>
      <w:lvlText w:val="%1%2"/>
      <w:lvlJc w:val="left"/>
      <w:pPr>
        <w:ind w:left="709" w:hanging="709"/>
      </w:pPr>
      <w:rPr>
        <w:b/>
      </w:rPr>
    </w:lvl>
    <w:lvl w:ilvl="2">
      <w:start w:val="1"/>
      <w:numFmt w:val="decimal"/>
      <w:lvlText w:val="%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 w15:restartNumberingAfterBreak="0">
    <w:nsid w:val="44715B93"/>
    <w:multiLevelType w:val="multilevel"/>
    <w:tmpl w:val="D98A0A82"/>
    <w:lvl w:ilvl="0">
      <w:start w:val="1"/>
      <w:numFmt w:val="bullet"/>
      <w:lvlText w:val="●"/>
      <w:lvlJc w:val="left"/>
      <w:pPr>
        <w:ind w:left="72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7217BE"/>
    <w:multiLevelType w:val="multilevel"/>
    <w:tmpl w:val="1A4E7E56"/>
    <w:lvl w:ilvl="0">
      <w:start w:val="1"/>
      <w:numFmt w:val="lowerLetter"/>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FA540A"/>
    <w:multiLevelType w:val="multilevel"/>
    <w:tmpl w:val="82405326"/>
    <w:lvl w:ilvl="0">
      <w:start w:val="1"/>
      <w:numFmt w:val="decimal"/>
      <w:lvlText w:val=""/>
      <w:lvlJc w:val="center"/>
      <w:pPr>
        <w:ind w:left="0" w:hanging="57"/>
      </w:pPr>
    </w:lvl>
    <w:lvl w:ilvl="1">
      <w:start w:val="2"/>
      <w:numFmt w:val="decimal"/>
      <w:lvlText w:val="%2%1"/>
      <w:lvlJc w:val="left"/>
      <w:pPr>
        <w:ind w:left="709" w:hanging="709"/>
      </w:pPr>
      <w:rPr>
        <w:b/>
      </w:rPr>
    </w:lvl>
    <w:lvl w:ilvl="2">
      <w:start w:val="2"/>
      <w:numFmt w:val="decimal"/>
      <w:lvlText w:val="2.%3"/>
      <w:lvlJc w:val="left"/>
      <w:pPr>
        <w:ind w:left="709" w:hanging="709"/>
      </w:pPr>
      <w:rPr>
        <w:b w:val="0"/>
        <w:i w:val="0"/>
      </w:rPr>
    </w:lvl>
    <w:lvl w:ilvl="3">
      <w:start w:val="1"/>
      <w:numFmt w:val="lowerLetter"/>
      <w:lvlText w:val="(%4)"/>
      <w:lvlJc w:val="left"/>
      <w:pPr>
        <w:ind w:left="1418" w:hanging="709"/>
      </w:pPr>
    </w:lvl>
    <w:lvl w:ilvl="4">
      <w:start w:val="2"/>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0" w15:restartNumberingAfterBreak="0">
    <w:nsid w:val="50B20D12"/>
    <w:multiLevelType w:val="multilevel"/>
    <w:tmpl w:val="492A67AA"/>
    <w:lvl w:ilvl="0">
      <w:start w:val="1"/>
      <w:numFmt w:val="decimal"/>
      <w:lvlText w:val=""/>
      <w:lvlJc w:val="center"/>
      <w:pPr>
        <w:ind w:left="0" w:hanging="57"/>
      </w:pPr>
    </w:lvl>
    <w:lvl w:ilvl="1">
      <w:start w:val="2"/>
      <w:numFmt w:val="decimal"/>
      <w:lvlText w:val="%2%1"/>
      <w:lvlJc w:val="left"/>
      <w:pPr>
        <w:ind w:left="709" w:hanging="709"/>
      </w:pPr>
      <w:rPr>
        <w:b/>
      </w:rPr>
    </w:lvl>
    <w:lvl w:ilvl="2">
      <w:start w:val="3"/>
      <w:numFmt w:val="decimal"/>
      <w:lvlText w:val="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1" w15:restartNumberingAfterBreak="0">
    <w:nsid w:val="58CB27A2"/>
    <w:multiLevelType w:val="multilevel"/>
    <w:tmpl w:val="5576E9B2"/>
    <w:lvl w:ilvl="0">
      <w:start w:val="1"/>
      <w:numFmt w:val="decimal"/>
      <w:lvlText w:val=""/>
      <w:lvlJc w:val="center"/>
      <w:pPr>
        <w:ind w:left="0" w:hanging="57"/>
      </w:pPr>
    </w:lvl>
    <w:lvl w:ilvl="1">
      <w:start w:val="3"/>
      <w:numFmt w:val="decimal"/>
      <w:lvlText w:val="%1%2"/>
      <w:lvlJc w:val="left"/>
      <w:pPr>
        <w:ind w:left="709" w:hanging="709"/>
      </w:pPr>
      <w:rPr>
        <w:b/>
      </w:rPr>
    </w:lvl>
    <w:lvl w:ilvl="2">
      <w:start w:val="2"/>
      <w:numFmt w:val="decimal"/>
      <w:lvlText w:val="%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2" w15:restartNumberingAfterBreak="0">
    <w:nsid w:val="69E531E2"/>
    <w:multiLevelType w:val="multilevel"/>
    <w:tmpl w:val="D116BD9E"/>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lowerLetter"/>
      <w:lvlText w:val="(%3)"/>
      <w:lvlJc w:val="left"/>
      <w:pPr>
        <w:ind w:left="709" w:hanging="709"/>
      </w:pPr>
      <w:rPr>
        <w:b w:val="0"/>
        <w:i w:val="0"/>
      </w:rPr>
    </w:lvl>
    <w:lvl w:ilvl="3">
      <w:start w:val="1"/>
      <w:numFmt w:val="lowerLetter"/>
      <w:lvlText w:val="(%4)"/>
      <w:lvlJc w:val="left"/>
      <w:pPr>
        <w:ind w:left="1418" w:hanging="709"/>
      </w:pPr>
    </w:lvl>
    <w:lvl w:ilvl="4">
      <w:start w:val="2"/>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3" w15:restartNumberingAfterBreak="0">
    <w:nsid w:val="79CC524E"/>
    <w:multiLevelType w:val="multilevel"/>
    <w:tmpl w:val="72E8AF04"/>
    <w:lvl w:ilvl="0">
      <w:start w:val="1"/>
      <w:numFmt w:val="decimal"/>
      <w:lvlText w:val=""/>
      <w:lvlJc w:val="center"/>
      <w:pPr>
        <w:ind w:left="0" w:hanging="57"/>
      </w:pPr>
    </w:lvl>
    <w:lvl w:ilvl="1">
      <w:start w:val="2"/>
      <w:numFmt w:val="decimal"/>
      <w:lvlText w:val="%2%1"/>
      <w:lvlJc w:val="left"/>
      <w:pPr>
        <w:ind w:left="709" w:hanging="709"/>
      </w:pPr>
      <w:rPr>
        <w:b/>
      </w:rPr>
    </w:lvl>
    <w:lvl w:ilvl="2">
      <w:start w:val="1"/>
      <w:numFmt w:val="decimal"/>
      <w:lvlText w:val="2.%3"/>
      <w:lvlJc w:val="left"/>
      <w:pPr>
        <w:ind w:left="709" w:hanging="709"/>
      </w:pPr>
      <w:rPr>
        <w:b w:val="0"/>
        <w:i w:val="0"/>
      </w:rPr>
    </w:lvl>
    <w:lvl w:ilvl="3">
      <w:start w:val="2"/>
      <w:numFmt w:val="lowerLetter"/>
      <w:lvlText w:val="(%4)"/>
      <w:lvlJc w:val="left"/>
      <w:pPr>
        <w:ind w:left="1418" w:hanging="709"/>
      </w:p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4" w15:restartNumberingAfterBreak="0">
    <w:nsid w:val="7CCC7598"/>
    <w:multiLevelType w:val="multilevel"/>
    <w:tmpl w:val="27CAD0D2"/>
    <w:lvl w:ilvl="0">
      <w:start w:val="1"/>
      <w:numFmt w:val="decimal"/>
      <w:pStyle w:val="StyleHeading5ServiceConformance4HeadingHeading5unusedLev"/>
      <w:lvlText w:val=""/>
      <w:lvlJc w:val="center"/>
      <w:pPr>
        <w:ind w:left="0" w:hanging="57"/>
      </w:pPr>
    </w:lvl>
    <w:lvl w:ilvl="1">
      <w:start w:val="4"/>
      <w:numFmt w:val="decimal"/>
      <w:lvlText w:val="%1%2"/>
      <w:lvlJc w:val="left"/>
      <w:pPr>
        <w:ind w:left="709" w:hanging="709"/>
      </w:pPr>
      <w:rPr>
        <w:b/>
      </w:rPr>
    </w:lvl>
    <w:lvl w:ilvl="2">
      <w:start w:val="1"/>
      <w:numFmt w:val="decimal"/>
      <w:lvlText w:val="%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5" w15:restartNumberingAfterBreak="0">
    <w:nsid w:val="7FEE1E5B"/>
    <w:multiLevelType w:val="multilevel"/>
    <w:tmpl w:val="A6DAA19C"/>
    <w:lvl w:ilvl="0">
      <w:start w:val="1"/>
      <w:numFmt w:val="decimal"/>
      <w:lvlText w:val=""/>
      <w:lvlJc w:val="center"/>
      <w:pPr>
        <w:ind w:left="0" w:hanging="57"/>
      </w:pPr>
    </w:lvl>
    <w:lvl w:ilvl="1">
      <w:start w:val="3"/>
      <w:numFmt w:val="decimal"/>
      <w:lvlText w:val="%1%2"/>
      <w:lvlJc w:val="left"/>
      <w:pPr>
        <w:ind w:left="709" w:hanging="709"/>
      </w:pPr>
      <w:rPr>
        <w:b/>
      </w:rPr>
    </w:lvl>
    <w:lvl w:ilvl="2">
      <w:start w:val="1"/>
      <w:numFmt w:val="decimal"/>
      <w:lvlText w:val="%2.%3"/>
      <w:lvlJc w:val="left"/>
      <w:pPr>
        <w:ind w:left="709" w:hanging="709"/>
      </w:pPr>
      <w:rPr>
        <w:b w:val="0"/>
        <w:i w:val="0"/>
      </w:rPr>
    </w:lvl>
    <w:lvl w:ilvl="3">
      <w:start w:val="6"/>
      <w:numFmt w:val="lowerLetter"/>
      <w:lvlText w:val="(%4)"/>
      <w:lvlJc w:val="left"/>
      <w:pPr>
        <w:ind w:left="1418" w:hanging="709"/>
      </w:p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num w:numId="1">
    <w:abstractNumId w:val="11"/>
  </w:num>
  <w:num w:numId="2">
    <w:abstractNumId w:val="14"/>
  </w:num>
  <w:num w:numId="3">
    <w:abstractNumId w:val="7"/>
  </w:num>
  <w:num w:numId="4">
    <w:abstractNumId w:val="9"/>
  </w:num>
  <w:num w:numId="5">
    <w:abstractNumId w:val="1"/>
  </w:num>
  <w:num w:numId="6">
    <w:abstractNumId w:val="4"/>
  </w:num>
  <w:num w:numId="7">
    <w:abstractNumId w:val="15"/>
  </w:num>
  <w:num w:numId="8">
    <w:abstractNumId w:val="5"/>
  </w:num>
  <w:num w:numId="9">
    <w:abstractNumId w:val="6"/>
  </w:num>
  <w:num w:numId="10">
    <w:abstractNumId w:val="12"/>
  </w:num>
  <w:num w:numId="11">
    <w:abstractNumId w:val="0"/>
  </w:num>
  <w:num w:numId="12">
    <w:abstractNumId w:val="2"/>
  </w:num>
  <w:num w:numId="13">
    <w:abstractNumId w:val="13"/>
  </w:num>
  <w:num w:numId="14">
    <w:abstractNumId w:val="10"/>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140"/>
    <w:rsid w:val="00B91140"/>
    <w:rsid w:val="00D97B2B"/>
    <w:rsid w:val="00EE1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79AFFE-7B19-4193-9360-1C9262A9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D2A"/>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uiPriority w:val="9"/>
    <w:qFormat/>
    <w:rsid w:val="00C00A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C00A3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C00A31"/>
    <w:pPr>
      <w:keepNext/>
      <w:spacing w:before="240" w:after="60"/>
      <w:outlineLvl w:val="2"/>
    </w:pPr>
    <w:rPr>
      <w:rFonts w:asciiTheme="majorHAnsi" w:eastAsiaTheme="majorEastAsia" w:hAnsiTheme="majorHAnsi" w:cstheme="majorBidi"/>
      <w:b/>
      <w:bCs/>
      <w:sz w:val="26"/>
      <w:szCs w:val="26"/>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rsid w:val="007E2D2A"/>
    <w:pPr>
      <w:keepNext w:val="0"/>
      <w:keepLines/>
      <w:tabs>
        <w:tab w:val="num" w:pos="1418"/>
      </w:tabs>
      <w:spacing w:before="0" w:after="240"/>
      <w:ind w:left="1418" w:hanging="709"/>
      <w:outlineLvl w:val="3"/>
    </w:pPr>
    <w:rPr>
      <w:rFonts w:ascii="Trebuchet MS" w:hAnsi="Trebuchet MS"/>
      <w:b w:val="0"/>
      <w:sz w:val="22"/>
      <w:szCs w:val="22"/>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B608EB"/>
    <w:pPr>
      <w:ind w:left="2126" w:hanging="708"/>
      <w:outlineLvl w:val="4"/>
    </w:p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521F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521FCE"/>
    <w:rPr>
      <w:rFonts w:asciiTheme="majorHAnsi" w:eastAsiaTheme="majorEastAsia" w:hAnsiTheme="majorHAnsi" w:cstheme="majorBidi"/>
      <w:b/>
      <w:bCs/>
      <w:i/>
      <w:iCs/>
      <w:sz w:val="28"/>
      <w:szCs w:val="28"/>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521FCE"/>
    <w:rPr>
      <w:rFonts w:asciiTheme="majorHAnsi" w:eastAsiaTheme="majorEastAsia" w:hAnsiTheme="majorHAnsi" w:cstheme="majorBidi"/>
      <w:b/>
      <w:bCs/>
      <w:sz w:val="26"/>
      <w:szCs w:val="26"/>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521FCE"/>
    <w:rPr>
      <w:rFonts w:ascii="Trebuchet MS" w:eastAsiaTheme="majorEastAsia" w:hAnsi="Trebuchet MS" w:cstheme="majorBidi"/>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521FCE"/>
    <w:rPr>
      <w:rFonts w:ascii="Trebuchet MS" w:eastAsiaTheme="majorEastAsia" w:hAnsi="Trebuchet MS" w:cstheme="majorBidi"/>
      <w:bCs/>
    </w:rPr>
  </w:style>
  <w:style w:type="table" w:styleId="TableGrid">
    <w:name w:val="Table Grid"/>
    <w:basedOn w:val="TableNormal"/>
    <w:uiPriority w:val="59"/>
    <w:rsid w:val="00521FC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Des">
    <w:name w:val="PartDes"/>
    <w:basedOn w:val="Normal"/>
    <w:qFormat/>
    <w:rsid w:val="00521FCE"/>
    <w:pPr>
      <w:spacing w:before="120" w:after="120"/>
      <w:jc w:val="center"/>
    </w:pPr>
    <w:rPr>
      <w:rFonts w:ascii="Trebuchet MS" w:hAnsi="Trebuchet MS"/>
      <w:b/>
      <w:bCs/>
    </w:rPr>
  </w:style>
  <w:style w:type="paragraph" w:customStyle="1" w:styleId="TableNormal1">
    <w:name w:val="Table Normal1"/>
    <w:basedOn w:val="Normal"/>
    <w:rsid w:val="00521FCE"/>
    <w:pPr>
      <w:spacing w:before="120" w:after="120"/>
      <w:ind w:left="34"/>
    </w:pPr>
  </w:style>
  <w:style w:type="paragraph" w:customStyle="1" w:styleId="StyleHeading5ServiceConformance4HeadingHeading5unusedLev">
    <w:name w:val="Style Heading 5Service Conformance 4HeadingHeading 5(unused)Lev..."/>
    <w:basedOn w:val="Heading5"/>
    <w:rsid w:val="00521FCE"/>
    <w:pPr>
      <w:numPr>
        <w:numId w:val="2"/>
      </w:numPr>
    </w:pPr>
  </w:style>
  <w:style w:type="paragraph" w:styleId="BalloonText">
    <w:name w:val="Balloon Text"/>
    <w:basedOn w:val="Normal"/>
    <w:link w:val="BalloonTextChar"/>
    <w:uiPriority w:val="99"/>
    <w:semiHidden/>
    <w:unhideWhenUsed/>
    <w:rsid w:val="00521F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FCE"/>
    <w:rPr>
      <w:rFonts w:ascii="Segoe UI" w:hAnsi="Segoe UI" w:cs="Segoe UI"/>
      <w:sz w:val="18"/>
      <w:szCs w:val="18"/>
    </w:rPr>
  </w:style>
  <w:style w:type="character" w:styleId="CommentReference">
    <w:name w:val="annotation reference"/>
    <w:basedOn w:val="DefaultParagraphFont"/>
    <w:uiPriority w:val="99"/>
    <w:semiHidden/>
    <w:unhideWhenUsed/>
    <w:rsid w:val="00521FCE"/>
    <w:rPr>
      <w:sz w:val="16"/>
      <w:szCs w:val="16"/>
    </w:rPr>
  </w:style>
  <w:style w:type="paragraph" w:styleId="CommentText">
    <w:name w:val="annotation text"/>
    <w:basedOn w:val="Normal"/>
    <w:link w:val="CommentTextChar"/>
    <w:uiPriority w:val="99"/>
    <w:unhideWhenUsed/>
    <w:rsid w:val="00521FCE"/>
    <w:rPr>
      <w:sz w:val="20"/>
      <w:szCs w:val="20"/>
    </w:rPr>
  </w:style>
  <w:style w:type="character" w:customStyle="1" w:styleId="CommentTextChar">
    <w:name w:val="Comment Text Char"/>
    <w:basedOn w:val="DefaultParagraphFont"/>
    <w:link w:val="CommentText"/>
    <w:uiPriority w:val="99"/>
    <w:rsid w:val="00521FCE"/>
    <w:rPr>
      <w:sz w:val="20"/>
      <w:szCs w:val="20"/>
    </w:rPr>
  </w:style>
  <w:style w:type="paragraph" w:styleId="CommentSubject">
    <w:name w:val="annotation subject"/>
    <w:basedOn w:val="CommentText"/>
    <w:next w:val="CommentText"/>
    <w:link w:val="CommentSubjectChar"/>
    <w:uiPriority w:val="99"/>
    <w:semiHidden/>
    <w:unhideWhenUsed/>
    <w:rsid w:val="00521FCE"/>
    <w:rPr>
      <w:b/>
      <w:bCs/>
    </w:rPr>
  </w:style>
  <w:style w:type="character" w:customStyle="1" w:styleId="CommentSubjectChar">
    <w:name w:val="Comment Subject Char"/>
    <w:basedOn w:val="CommentTextChar"/>
    <w:link w:val="CommentSubject"/>
    <w:uiPriority w:val="99"/>
    <w:semiHidden/>
    <w:rsid w:val="00521FCE"/>
    <w:rPr>
      <w:b/>
      <w:bCs/>
      <w:sz w:val="20"/>
      <w:szCs w:val="20"/>
    </w:rPr>
  </w:style>
  <w:style w:type="paragraph" w:customStyle="1" w:styleId="MarginText">
    <w:name w:val="Margin Text"/>
    <w:basedOn w:val="BodyText"/>
    <w:link w:val="MarginTextChar"/>
    <w:rsid w:val="00E200C8"/>
    <w:pPr>
      <w:spacing w:after="240"/>
    </w:pPr>
  </w:style>
  <w:style w:type="character" w:customStyle="1" w:styleId="MarginTextChar">
    <w:name w:val="Margin Text Char"/>
    <w:link w:val="MarginText"/>
    <w:rsid w:val="00E200C8"/>
  </w:style>
  <w:style w:type="paragraph" w:customStyle="1" w:styleId="SchHead">
    <w:name w:val="SchHead"/>
    <w:basedOn w:val="MarginText"/>
    <w:next w:val="Normal"/>
    <w:rsid w:val="00E200C8"/>
    <w:pPr>
      <w:jc w:val="center"/>
    </w:pPr>
    <w:rPr>
      <w:b/>
      <w:caps/>
    </w:rPr>
  </w:style>
  <w:style w:type="paragraph" w:styleId="ListBullet">
    <w:name w:val="List Bullet"/>
    <w:basedOn w:val="Normal"/>
    <w:uiPriority w:val="99"/>
    <w:rsid w:val="007E2D2A"/>
    <w:pPr>
      <w:numPr>
        <w:numId w:val="5"/>
      </w:numPr>
    </w:pPr>
  </w:style>
  <w:style w:type="paragraph" w:styleId="ListParagraph">
    <w:name w:val="List Paragraph"/>
    <w:basedOn w:val="Normal"/>
    <w:uiPriority w:val="34"/>
    <w:qFormat/>
    <w:rsid w:val="00E200C8"/>
    <w:pPr>
      <w:ind w:left="720"/>
    </w:pPr>
  </w:style>
  <w:style w:type="paragraph" w:styleId="BodyText">
    <w:name w:val="Body Text"/>
    <w:basedOn w:val="Normal"/>
    <w:link w:val="BodyTextChar"/>
    <w:uiPriority w:val="99"/>
    <w:unhideWhenUsed/>
    <w:rsid w:val="00E200C8"/>
    <w:pPr>
      <w:spacing w:after="120"/>
    </w:pPr>
  </w:style>
  <w:style w:type="character" w:customStyle="1" w:styleId="BodyTextChar">
    <w:name w:val="Body Text Char"/>
    <w:basedOn w:val="DefaultParagraphFont"/>
    <w:link w:val="BodyText"/>
    <w:uiPriority w:val="99"/>
    <w:rsid w:val="00E200C8"/>
  </w:style>
  <w:style w:type="paragraph" w:styleId="Revision">
    <w:name w:val="Revision"/>
    <w:hidden/>
    <w:uiPriority w:val="99"/>
    <w:semiHidden/>
    <w:rsid w:val="00362C21"/>
    <w:pPr>
      <w:spacing w:after="0" w:line="240" w:lineRule="auto"/>
    </w:pPr>
  </w:style>
  <w:style w:type="paragraph" w:styleId="TOCHeading">
    <w:name w:val="TOC Heading"/>
    <w:basedOn w:val="Heading1"/>
    <w:next w:val="Normal"/>
    <w:uiPriority w:val="39"/>
    <w:semiHidden/>
    <w:unhideWhenUsed/>
    <w:qFormat/>
    <w:rsid w:val="00C00A31"/>
    <w:pPr>
      <w:outlineLvl w:val="9"/>
    </w:pPr>
    <w:rPr>
      <w:lang w:val="en-US"/>
    </w:rPr>
  </w:style>
  <w:style w:type="paragraph" w:customStyle="1" w:styleId="Subheading3">
    <w:name w:val="Subheading 3"/>
    <w:next w:val="Normal"/>
    <w:qFormat/>
    <w:rsid w:val="007E2D2A"/>
    <w:pPr>
      <w:spacing w:after="0" w:line="240" w:lineRule="auto"/>
    </w:pPr>
    <w:rPr>
      <w:rFonts w:ascii="Arial" w:eastAsia="Times New Roman" w:hAnsi="Arial" w:cs="Arial"/>
      <w:b/>
      <w:color w:val="7030A0"/>
      <w:sz w:val="28"/>
      <w:szCs w:val="28"/>
    </w:rPr>
  </w:style>
  <w:style w:type="paragraph" w:customStyle="1" w:styleId="Subheading1">
    <w:name w:val="Subheading 1"/>
    <w:next w:val="Normal"/>
    <w:qFormat/>
    <w:rsid w:val="007E2D2A"/>
    <w:pPr>
      <w:spacing w:after="0" w:line="240" w:lineRule="auto"/>
    </w:pPr>
    <w:rPr>
      <w:rFonts w:ascii="Arial" w:eastAsia="Times New Roman" w:hAnsi="Arial" w:cs="Arial"/>
      <w:b/>
      <w:color w:val="8F23B3"/>
      <w:sz w:val="32"/>
      <w:szCs w:val="32"/>
    </w:rPr>
  </w:style>
  <w:style w:type="paragraph" w:customStyle="1" w:styleId="Sectiontitle">
    <w:name w:val="Section title"/>
    <w:next w:val="Normal"/>
    <w:qFormat/>
    <w:rsid w:val="007E2D2A"/>
    <w:pPr>
      <w:spacing w:after="0" w:line="240" w:lineRule="auto"/>
    </w:pPr>
    <w:rPr>
      <w:rFonts w:ascii="Arial" w:eastAsia="Times New Roman" w:hAnsi="Arial" w:cs="Arial"/>
      <w:color w:val="8F23B3"/>
      <w:sz w:val="52"/>
      <w:szCs w:val="52"/>
    </w:rPr>
  </w:style>
  <w:style w:type="paragraph" w:customStyle="1" w:styleId="ReportTitle">
    <w:name w:val="Report Title"/>
    <w:basedOn w:val="Normal"/>
    <w:rsid w:val="00C860CF"/>
    <w:pPr>
      <w:widowControl w:val="0"/>
      <w:tabs>
        <w:tab w:val="left" w:pos="1745"/>
      </w:tabs>
      <w:spacing w:after="0"/>
      <w:jc w:val="center"/>
    </w:pPr>
    <w:rPr>
      <w:rFonts w:ascii="Arial" w:eastAsia="Times New Roman" w:hAnsi="Arial" w:cs="Times New Roman"/>
      <w:b/>
      <w:color w:val="000080"/>
      <w:sz w:val="44"/>
      <w:szCs w:val="44"/>
    </w:rPr>
  </w:style>
  <w:style w:type="paragraph" w:styleId="Header">
    <w:name w:val="header"/>
    <w:basedOn w:val="Normal"/>
    <w:link w:val="HeaderChar"/>
    <w:uiPriority w:val="99"/>
    <w:unhideWhenUsed/>
    <w:rsid w:val="00C860CF"/>
    <w:pPr>
      <w:tabs>
        <w:tab w:val="center" w:pos="4513"/>
        <w:tab w:val="right" w:pos="9026"/>
      </w:tabs>
      <w:spacing w:after="0"/>
    </w:pPr>
  </w:style>
  <w:style w:type="character" w:customStyle="1" w:styleId="HeaderChar">
    <w:name w:val="Header Char"/>
    <w:basedOn w:val="DefaultParagraphFont"/>
    <w:link w:val="Header"/>
    <w:uiPriority w:val="99"/>
    <w:rsid w:val="00C860CF"/>
  </w:style>
  <w:style w:type="paragraph" w:styleId="Footer">
    <w:name w:val="footer"/>
    <w:aliases w:val="fo"/>
    <w:basedOn w:val="Normal"/>
    <w:link w:val="FooterChar"/>
    <w:uiPriority w:val="99"/>
    <w:unhideWhenUsed/>
    <w:rsid w:val="00C860CF"/>
    <w:pPr>
      <w:tabs>
        <w:tab w:val="center" w:pos="4513"/>
        <w:tab w:val="right" w:pos="9026"/>
      </w:tabs>
      <w:spacing w:after="0"/>
    </w:pPr>
  </w:style>
  <w:style w:type="character" w:customStyle="1" w:styleId="FooterChar">
    <w:name w:val="Footer Char"/>
    <w:aliases w:val="fo Char"/>
    <w:basedOn w:val="DefaultParagraphFont"/>
    <w:link w:val="Footer"/>
    <w:uiPriority w:val="99"/>
    <w:rsid w:val="00C860CF"/>
  </w:style>
  <w:style w:type="paragraph" w:customStyle="1" w:styleId="FrontPageText">
    <w:name w:val="Front Page Text"/>
    <w:basedOn w:val="Normal"/>
    <w:rsid w:val="00C97694"/>
    <w:pPr>
      <w:spacing w:after="0"/>
      <w:jc w:val="center"/>
    </w:pPr>
    <w:rPr>
      <w:rFonts w:ascii="Arial" w:hAnsi="Arial" w:cs="Arial"/>
      <w:color w:val="000000"/>
      <w:sz w:val="28"/>
      <w:szCs w:val="28"/>
    </w:rPr>
  </w:style>
  <w:style w:type="paragraph" w:customStyle="1" w:styleId="SchHeadDes">
    <w:name w:val="SchHeadDes"/>
    <w:basedOn w:val="Normal"/>
    <w:next w:val="Normal"/>
    <w:rsid w:val="00C94BC8"/>
    <w:pPr>
      <w:keepNext/>
      <w:overflowPunct w:val="0"/>
      <w:autoSpaceDE w:val="0"/>
      <w:autoSpaceDN w:val="0"/>
      <w:adjustRightInd w:val="0"/>
      <w:spacing w:before="120" w:after="120"/>
      <w:jc w:val="center"/>
      <w:textAlignment w:val="baseline"/>
    </w:pPr>
    <w:rPr>
      <w:rFonts w:ascii="Trebuchet MS" w:eastAsia="Times New Roman" w:hAnsi="Trebuchet MS" w:cs="Times New Roman"/>
      <w:b/>
    </w:rPr>
  </w:style>
  <w:style w:type="character" w:styleId="Hyperlink">
    <w:name w:val="Hyperlink"/>
    <w:basedOn w:val="DefaultParagraphFont"/>
    <w:uiPriority w:val="99"/>
    <w:rsid w:val="00C94BC8"/>
    <w:rPr>
      <w:color w:val="0000FF"/>
      <w:u w:val="single"/>
    </w:rPr>
  </w:style>
  <w:style w:type="character" w:styleId="UnresolvedMention">
    <w:name w:val="Unresolved Mention"/>
    <w:basedOn w:val="DefaultParagraphFont"/>
    <w:uiPriority w:val="99"/>
    <w:semiHidden/>
    <w:unhideWhenUsed/>
    <w:rsid w:val="006D67C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240" w:line="36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240" w:line="36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240" w:line="36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240" w:line="360" w:lineRule="auto"/>
      <w:jc w:val="both"/>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assets.publishing.service.gov.uk%2Fgovernment%2Fuploads%2Fsystem%2Fuploads%2Fattachment_data%2Ffile%2F987132%2FAssessing_and_monitoring_the_economic_and_financial_standing_of_suppliers_guidance_note_May_2021.pdf&amp;data=05%7C01%7CDarren.Jones3%40homeoffice.gov.uk%7C93585412cc25445ae83308da2de31267%7Cf24d93ecb2914192a08af182245945c2%7C0%7C0%7C637872750528017733%7CUnknown%7CTWFpbGZsb3d8eyJWIjoiMC4wLjAwMDAiLCJQIjoiV2luMzIiLCJBTiI6Ik1haWwiLCJXVCI6Mn0%3D%7C3000%7C%7C%7C&amp;sdata=v5zwIuWejF%2BBin7EnN0156F5aqnHd%2FNWldOIB%2BOrhlg%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sCP1Xi+RMuEujaZJqwvamaX2yA==">AMUW2mVY2cpq6GhghxkIhjTth//KVuoAuzC2kUS7QEH7rfHqFltX6LDPFJhIB0AveflKraYPlF9A7IcHlnUy4Y3bzGQ43RsIwsO3DHNalUB2TgqILLvF0UqVJlYKgSidc9LyWcRTO+uvmQ1loiglRR1p48LVkQwo3B95czcXb9xXWSe/NvTVNwqxVUGbmyz3vf4Cx+k/AaHgZ1Qq0eB1cr59yY4ZDsZclgYcAnqxtM6wT/z0BW6OZbWbUjBf5lM/a4Dld/c1l/PosvGq1aGCWVb4nvz/EcUZMdUuYdiRIhSbpznXxfwdeH/ro1DZgfIzuF5wsj9yCyatZt4M7XoZlIB5IvSglgYkFb7eSa3pjOZF6J6zlIVFymRsVpVsKB9vtB2JftOLVTWdibfhdykzj3I7jmSQnHGJ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6090</Words>
  <Characters>34716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Solomon Papa</dc:creator>
  <cp:lastModifiedBy>Patrick Clarke</cp:lastModifiedBy>
  <cp:revision>2</cp:revision>
  <dcterms:created xsi:type="dcterms:W3CDTF">2023-07-20T13:30:00Z</dcterms:created>
  <dcterms:modified xsi:type="dcterms:W3CDTF">2023-07-20T13:30:00Z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-153189837</vt:i4>
  </property>
  <property fmtid="{D5CDD505-2E9C-101B-9397-08002B2CF9AE}" pid="3" name="ContentTypeId">
    <vt:lpwstr>0x010100A5BF1C78D9F64B679A5EBDE1C6598EBC0100B79C0535AE16AA41B0E36BEA73B36BE7</vt:lpwstr>
  </property>
</Properties>
</file>