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9AD3" w14:textId="1BD8E8E8" w:rsidR="003A05B7" w:rsidRPr="003A05B7" w:rsidRDefault="002C721C" w:rsidP="00911873">
      <w:pPr>
        <w:pStyle w:val="Norma"/>
      </w:pPr>
      <w:r w:rsidRPr="002C721C">
        <w:t>Understanding the tail of the electric vehicle transition</w:t>
      </w:r>
    </w:p>
    <w:p w14:paraId="4B2676A1" w14:textId="77777777" w:rsidR="003A05B7" w:rsidRPr="003A05B7" w:rsidRDefault="003A05B7" w:rsidP="00911873">
      <w:pPr>
        <w:pStyle w:val="Norma"/>
      </w:pPr>
    </w:p>
    <w:p w14:paraId="1DA1E07F" w14:textId="77777777" w:rsidR="003A05B7" w:rsidRPr="003A05B7" w:rsidRDefault="003A05B7" w:rsidP="00911873">
      <w:pPr>
        <w:pStyle w:val="Norma"/>
      </w:pPr>
    </w:p>
    <w:p w14:paraId="662E3217" w14:textId="5E2D7DC9" w:rsidR="003A05B7" w:rsidRPr="003A05B7" w:rsidRDefault="003A05B7" w:rsidP="00911873">
      <w:pPr>
        <w:pStyle w:val="Norma"/>
        <w:rPr>
          <w:color w:val="FF0000"/>
        </w:rPr>
      </w:pPr>
      <w:r w:rsidRPr="003A05B7">
        <w:t xml:space="preserve">Tender Reference Number: </w:t>
      </w:r>
      <w:r w:rsidR="00855900">
        <w:rPr>
          <w:color w:val="FF0000"/>
        </w:rPr>
        <w:t>ED-10/23</w:t>
      </w:r>
    </w:p>
    <w:p w14:paraId="154480EA" w14:textId="77777777" w:rsidR="004E6806" w:rsidRDefault="004E6806" w:rsidP="00911873">
      <w:pPr>
        <w:pStyle w:val="BodyText"/>
      </w:pPr>
    </w:p>
    <w:p w14:paraId="00123B59" w14:textId="77777777" w:rsidR="004E6806" w:rsidRDefault="004E6806" w:rsidP="00911873">
      <w:pPr>
        <w:pStyle w:val="BodyText"/>
      </w:pPr>
    </w:p>
    <w:p w14:paraId="567B6A7F" w14:textId="77777777" w:rsidR="003C0907" w:rsidRDefault="003C0907" w:rsidP="00911873">
      <w:pPr>
        <w:pStyle w:val="BodyText"/>
      </w:pPr>
    </w:p>
    <w:p w14:paraId="57B16793" w14:textId="77777777" w:rsidR="003A05B7" w:rsidRDefault="003A05B7" w:rsidP="00911873">
      <w:pPr>
        <w:pStyle w:val="BodyText"/>
      </w:pPr>
    </w:p>
    <w:p w14:paraId="4BDF46EC" w14:textId="77777777" w:rsidR="003A05B7" w:rsidRDefault="003A05B7" w:rsidP="00911873">
      <w:pPr>
        <w:pStyle w:val="BodyText"/>
      </w:pPr>
    </w:p>
    <w:p w14:paraId="4FB0A160" w14:textId="77777777" w:rsidR="003A05B7" w:rsidRDefault="003A05B7" w:rsidP="00911873">
      <w:pPr>
        <w:pStyle w:val="BodyText"/>
      </w:pPr>
    </w:p>
    <w:p w14:paraId="462BD151" w14:textId="77777777" w:rsidR="003A05B7" w:rsidRDefault="003A05B7" w:rsidP="00911873">
      <w:pPr>
        <w:pStyle w:val="BodyText"/>
      </w:pPr>
    </w:p>
    <w:p w14:paraId="1A09EA6B" w14:textId="77777777" w:rsidR="003A05B7" w:rsidRDefault="003A05B7" w:rsidP="00911873">
      <w:pPr>
        <w:pStyle w:val="BodyText"/>
      </w:pPr>
    </w:p>
    <w:p w14:paraId="0972C41F" w14:textId="77777777" w:rsidR="003A05B7" w:rsidRDefault="003A05B7" w:rsidP="00911873">
      <w:pPr>
        <w:pStyle w:val="BodyText"/>
      </w:pPr>
    </w:p>
    <w:p w14:paraId="12DA840D" w14:textId="77777777" w:rsidR="003A05B7" w:rsidRDefault="003A05B7" w:rsidP="00911873">
      <w:pPr>
        <w:pStyle w:val="BodyText"/>
      </w:pPr>
    </w:p>
    <w:p w14:paraId="64088F55" w14:textId="77777777" w:rsidR="003A05B7" w:rsidRDefault="003A05B7" w:rsidP="00911873">
      <w:pPr>
        <w:pStyle w:val="BodyText"/>
      </w:pPr>
    </w:p>
    <w:p w14:paraId="376F9AF4" w14:textId="77777777" w:rsidR="003A05B7" w:rsidRDefault="003A05B7" w:rsidP="00911873">
      <w:pPr>
        <w:pStyle w:val="BodyText"/>
      </w:pPr>
    </w:p>
    <w:p w14:paraId="4F984BC5" w14:textId="77777777" w:rsidR="003A05B7" w:rsidRDefault="003A05B7" w:rsidP="00911873">
      <w:pPr>
        <w:pStyle w:val="BodyText"/>
      </w:pPr>
    </w:p>
    <w:p w14:paraId="209FA933" w14:textId="77777777" w:rsidR="003A05B7" w:rsidRDefault="003A05B7" w:rsidP="00911873">
      <w:pPr>
        <w:pStyle w:val="BodyText"/>
      </w:pPr>
    </w:p>
    <w:p w14:paraId="282ABAD5" w14:textId="77777777" w:rsidR="003A05B7" w:rsidRDefault="003A05B7" w:rsidP="00911873">
      <w:pPr>
        <w:pStyle w:val="BodyText"/>
      </w:pPr>
    </w:p>
    <w:p w14:paraId="0A4E44CA" w14:textId="77777777" w:rsidR="003A05B7" w:rsidRDefault="003A05B7" w:rsidP="00911873">
      <w:pPr>
        <w:pStyle w:val="BodyText"/>
      </w:pPr>
    </w:p>
    <w:p w14:paraId="77B1B0D4" w14:textId="77777777" w:rsidR="003A05B7" w:rsidRDefault="003A05B7" w:rsidP="00911873">
      <w:pPr>
        <w:pStyle w:val="BodyText"/>
      </w:pPr>
    </w:p>
    <w:p w14:paraId="76D99EBD" w14:textId="77777777" w:rsidR="003A05B7" w:rsidRDefault="003A05B7" w:rsidP="00911873">
      <w:pPr>
        <w:pStyle w:val="BodyText"/>
      </w:pPr>
    </w:p>
    <w:p w14:paraId="15AB9DE4" w14:textId="77777777" w:rsidR="003A05B7" w:rsidRDefault="003A05B7" w:rsidP="00911873">
      <w:pPr>
        <w:pStyle w:val="BodyText"/>
      </w:pPr>
    </w:p>
    <w:p w14:paraId="73D4F696" w14:textId="77777777" w:rsidR="003A05B7" w:rsidRDefault="003A05B7" w:rsidP="00911873">
      <w:pPr>
        <w:pStyle w:val="BodyText"/>
      </w:pPr>
    </w:p>
    <w:p w14:paraId="4C04D2A0" w14:textId="77777777" w:rsidR="003A05B7" w:rsidRDefault="003A05B7" w:rsidP="00911873">
      <w:pPr>
        <w:pStyle w:val="BodyText"/>
      </w:pPr>
    </w:p>
    <w:p w14:paraId="701120F5" w14:textId="77777777" w:rsidR="003A05B7" w:rsidRDefault="003A05B7" w:rsidP="00911873">
      <w:pPr>
        <w:pStyle w:val="BodyText"/>
      </w:pPr>
    </w:p>
    <w:p w14:paraId="5C2A593A" w14:textId="77777777" w:rsidR="003A05B7" w:rsidRDefault="003A05B7" w:rsidP="00911873">
      <w:pPr>
        <w:pStyle w:val="BodyText"/>
      </w:pPr>
    </w:p>
    <w:p w14:paraId="5FADFA95" w14:textId="77777777" w:rsidR="003A05B7" w:rsidRDefault="003A05B7" w:rsidP="00911873">
      <w:pPr>
        <w:pStyle w:val="BodyText"/>
      </w:pPr>
    </w:p>
    <w:p w14:paraId="30731147" w14:textId="77777777" w:rsidR="003A05B7" w:rsidRDefault="003A05B7" w:rsidP="00911873">
      <w:pPr>
        <w:pStyle w:val="BodyText"/>
      </w:pPr>
    </w:p>
    <w:p w14:paraId="496AA0E4" w14:textId="77777777" w:rsidR="003A05B7" w:rsidRDefault="003A05B7" w:rsidP="00911873">
      <w:pPr>
        <w:pStyle w:val="BodyText"/>
      </w:pPr>
    </w:p>
    <w:p w14:paraId="1AAB2B57" w14:textId="77777777" w:rsidR="003A05B7" w:rsidRDefault="003A05B7" w:rsidP="00911873">
      <w:pPr>
        <w:pStyle w:val="BodyText"/>
      </w:pPr>
    </w:p>
    <w:p w14:paraId="33AA5A49" w14:textId="77777777" w:rsidR="003A05B7" w:rsidRDefault="003A05B7" w:rsidP="00911873">
      <w:pPr>
        <w:pStyle w:val="BodyText"/>
      </w:pPr>
    </w:p>
    <w:p w14:paraId="29566668" w14:textId="77777777" w:rsidR="003A05B7" w:rsidRDefault="003A05B7" w:rsidP="00911873">
      <w:pPr>
        <w:pStyle w:val="BodyText"/>
      </w:pPr>
    </w:p>
    <w:p w14:paraId="72A36CFC" w14:textId="77777777" w:rsidR="003A05B7" w:rsidRDefault="003A05B7" w:rsidP="00911873">
      <w:pPr>
        <w:pStyle w:val="BodyText"/>
      </w:pPr>
    </w:p>
    <w:p w14:paraId="0298EB26" w14:textId="77777777" w:rsidR="003A05B7" w:rsidRDefault="003A05B7" w:rsidP="00911873">
      <w:pPr>
        <w:pStyle w:val="BodyText"/>
      </w:pPr>
    </w:p>
    <w:p w14:paraId="3F81BDFD" w14:textId="77777777" w:rsidR="003A05B7" w:rsidRDefault="003A05B7" w:rsidP="00911873">
      <w:pPr>
        <w:pStyle w:val="BodyText"/>
      </w:pPr>
    </w:p>
    <w:p w14:paraId="6F625AB1" w14:textId="77777777" w:rsidR="003A05B7" w:rsidRDefault="003A05B7" w:rsidP="00911873">
      <w:pPr>
        <w:pStyle w:val="BodyText"/>
      </w:pPr>
    </w:p>
    <w:p w14:paraId="2B3E2998" w14:textId="77777777" w:rsidR="003A05B7" w:rsidRDefault="003A05B7" w:rsidP="00911873">
      <w:pPr>
        <w:pStyle w:val="BodyText"/>
      </w:pPr>
    </w:p>
    <w:p w14:paraId="0ACE7846" w14:textId="77777777" w:rsidR="003A05B7" w:rsidRDefault="003A05B7" w:rsidP="00911873">
      <w:pPr>
        <w:pStyle w:val="BodyText"/>
      </w:pPr>
    </w:p>
    <w:p w14:paraId="2DE8D6EB" w14:textId="77777777" w:rsidR="003A05B7" w:rsidRDefault="003A05B7" w:rsidP="00911873">
      <w:pPr>
        <w:pStyle w:val="BodyText"/>
      </w:pPr>
    </w:p>
    <w:p w14:paraId="5889C5C5" w14:textId="77777777" w:rsidR="003A05B7" w:rsidRDefault="003A05B7" w:rsidP="00911873">
      <w:pPr>
        <w:pStyle w:val="BodyText"/>
      </w:pPr>
    </w:p>
    <w:p w14:paraId="3874EC96" w14:textId="77777777" w:rsidR="003A05B7" w:rsidRDefault="003A05B7" w:rsidP="00911873">
      <w:pPr>
        <w:pStyle w:val="BodyText"/>
      </w:pPr>
    </w:p>
    <w:p w14:paraId="78A4FE0C" w14:textId="77777777" w:rsidR="003A05B7" w:rsidRDefault="003A05B7" w:rsidP="00911873">
      <w:pPr>
        <w:pStyle w:val="BodyText"/>
      </w:pPr>
    </w:p>
    <w:p w14:paraId="6CB2FE1B" w14:textId="77777777" w:rsidR="003A05B7" w:rsidRDefault="003A05B7" w:rsidP="00911873">
      <w:pPr>
        <w:pStyle w:val="BodyText"/>
      </w:pPr>
    </w:p>
    <w:p w14:paraId="29CB3371" w14:textId="77777777" w:rsidR="003A05B7" w:rsidRDefault="003A05B7" w:rsidP="00911873">
      <w:pPr>
        <w:pStyle w:val="BodyText"/>
      </w:pPr>
    </w:p>
    <w:p w14:paraId="73814399" w14:textId="77777777" w:rsidR="003A05B7" w:rsidRDefault="003A05B7" w:rsidP="00911873">
      <w:pPr>
        <w:pStyle w:val="BodyText"/>
      </w:pPr>
    </w:p>
    <w:p w14:paraId="410B44B6" w14:textId="6BDBCF4A" w:rsidR="003A05B7" w:rsidRDefault="003A05B7" w:rsidP="00911873">
      <w:pPr>
        <w:pStyle w:val="BodyText"/>
      </w:pPr>
    </w:p>
    <w:p w14:paraId="6AAC43B7" w14:textId="77777777" w:rsidR="002C721C" w:rsidRDefault="002C721C" w:rsidP="00911873">
      <w:pPr>
        <w:pStyle w:val="BodyText"/>
      </w:pPr>
    </w:p>
    <w:p w14:paraId="6857C4F8" w14:textId="77777777" w:rsidR="003A05B7" w:rsidRDefault="003A05B7" w:rsidP="00911873">
      <w:pPr>
        <w:pStyle w:val="BodyText"/>
      </w:pPr>
    </w:p>
    <w:p w14:paraId="0A2C498B" w14:textId="77777777" w:rsidR="003A05B7" w:rsidRPr="003A05B7" w:rsidRDefault="003A05B7" w:rsidP="009E1308">
      <w:pPr>
        <w:pStyle w:val="Heading1"/>
      </w:pPr>
      <w:r w:rsidRPr="003A05B7">
        <w:lastRenderedPageBreak/>
        <w:t>Specification of Requirements</w:t>
      </w:r>
    </w:p>
    <w:p w14:paraId="18CC1ED6" w14:textId="77777777" w:rsidR="003A05B7" w:rsidRPr="0069254D" w:rsidRDefault="003A05B7" w:rsidP="00911873">
      <w:pPr>
        <w:pStyle w:val="Norma"/>
      </w:pPr>
    </w:p>
    <w:p w14:paraId="69C7AAEA" w14:textId="11569B4D" w:rsidR="003A05B7" w:rsidRPr="0069254D" w:rsidRDefault="003A05B7" w:rsidP="00911873">
      <w:pPr>
        <w:pStyle w:val="Norma"/>
      </w:pPr>
      <w:r w:rsidRPr="003A05B7">
        <w:t xml:space="preserve">Invitation to Tender for </w:t>
      </w:r>
      <w:r w:rsidR="008C4DC5" w:rsidRPr="0069254D">
        <w:t xml:space="preserve">analysis </w:t>
      </w:r>
      <w:r w:rsidR="0069254D" w:rsidRPr="0069254D">
        <w:t xml:space="preserve">to </w:t>
      </w:r>
      <w:r w:rsidR="002C721C">
        <w:t>understand what the tail of the transition to electric vehicles is likely to look like, and what impact key risks and measures designed to mitigate these might have on uptake rates and costs.</w:t>
      </w:r>
    </w:p>
    <w:p w14:paraId="623058B4" w14:textId="77777777" w:rsidR="008C4DC5" w:rsidRDefault="008C4DC5" w:rsidP="00911873">
      <w:pPr>
        <w:pStyle w:val="Norma"/>
      </w:pPr>
    </w:p>
    <w:p w14:paraId="2BF4D589" w14:textId="4D137E05" w:rsidR="003A05B7" w:rsidRPr="003A05B7" w:rsidRDefault="003A05B7" w:rsidP="00911873">
      <w:pPr>
        <w:pStyle w:val="Norma"/>
      </w:pPr>
      <w:r w:rsidRPr="003A05B7">
        <w:t xml:space="preserve">Tender Reference Number: </w:t>
      </w:r>
      <w:r w:rsidR="00855900">
        <w:rPr>
          <w:color w:val="FF0000"/>
        </w:rPr>
        <w:t>ED-10/23</w:t>
      </w:r>
    </w:p>
    <w:p w14:paraId="6AB0AC47" w14:textId="5725E527" w:rsidR="003A05B7" w:rsidRPr="003A05B7" w:rsidRDefault="003A05B7" w:rsidP="00911873">
      <w:pPr>
        <w:pStyle w:val="Norma"/>
      </w:pPr>
      <w:r w:rsidRPr="00A432F7">
        <w:t>Deadline for Tender Responses:</w:t>
      </w:r>
      <w:r w:rsidRPr="003A05B7">
        <w:t xml:space="preserve"> </w:t>
      </w:r>
      <w:r w:rsidR="002C721C">
        <w:t>1</w:t>
      </w:r>
      <w:r w:rsidR="0065375E">
        <w:t>7</w:t>
      </w:r>
      <w:r w:rsidR="00A432F7" w:rsidRPr="00A432F7">
        <w:rPr>
          <w:vertAlign w:val="superscript"/>
        </w:rPr>
        <w:t>th</w:t>
      </w:r>
      <w:r w:rsidR="00A432F7">
        <w:t xml:space="preserve"> </w:t>
      </w:r>
      <w:r w:rsidR="002C721C">
        <w:t>November</w:t>
      </w:r>
      <w:r w:rsidR="00A432F7">
        <w:t xml:space="preserve"> 2023.</w:t>
      </w:r>
    </w:p>
    <w:p w14:paraId="16CE12E3" w14:textId="77777777" w:rsidR="003A05B7" w:rsidRDefault="003A05B7" w:rsidP="00911873">
      <w:pPr>
        <w:pStyle w:val="BodyText"/>
      </w:pPr>
    </w:p>
    <w:p w14:paraId="7AB741F0" w14:textId="77777777" w:rsidR="003A05B7" w:rsidRDefault="003A05B7" w:rsidP="00911873">
      <w:pPr>
        <w:pStyle w:val="BodyText"/>
      </w:pPr>
    </w:p>
    <w:p w14:paraId="6335403F" w14:textId="77777777" w:rsidR="003A05B7" w:rsidRPr="003A05B7" w:rsidRDefault="003A05B7" w:rsidP="009E1308">
      <w:pPr>
        <w:pStyle w:val="Heading1"/>
      </w:pPr>
      <w:r w:rsidRPr="003A05B7">
        <w:t>Contents</w:t>
      </w:r>
    </w:p>
    <w:p w14:paraId="36A5EF3C" w14:textId="77777777" w:rsidR="003A05B7" w:rsidRPr="003A05B7" w:rsidRDefault="003A05B7" w:rsidP="00911873">
      <w:pPr>
        <w:pStyle w:val="Norma"/>
        <w:rPr>
          <w:lang w:val="en-US" w:eastAsia="ja-JP"/>
        </w:rPr>
      </w:pPr>
    </w:p>
    <w:p w14:paraId="16D79D87" w14:textId="234A27FE" w:rsidR="003A05B7" w:rsidRPr="00D0409E" w:rsidRDefault="003A05B7" w:rsidP="00D0409E">
      <w:pPr>
        <w:pStyle w:val="TOC1"/>
        <w:ind w:left="0" w:firstLine="720"/>
        <w:rPr>
          <w:rFonts w:asciiTheme="minorHAnsi" w:hAnsiTheme="minorHAnsi" w:cs="Arial"/>
          <w:noProof/>
          <w:sz w:val="20"/>
          <w:szCs w:val="20"/>
        </w:rPr>
      </w:pPr>
      <w:r w:rsidRPr="003A05B7">
        <w:rPr>
          <w:rFonts w:cs="Mangal"/>
          <w:color w:val="000000"/>
        </w:rPr>
        <w:fldChar w:fldCharType="begin"/>
      </w:r>
      <w:r w:rsidRPr="003A05B7">
        <w:rPr>
          <w:color w:val="000000"/>
        </w:rPr>
        <w:instrText xml:space="preserve"> TOC \b SectionTwo \* MERGEFORMAT </w:instrText>
      </w:r>
      <w:r w:rsidRPr="003A05B7">
        <w:rPr>
          <w:rFonts w:cs="Mangal"/>
          <w:color w:val="000000"/>
        </w:rPr>
        <w:fldChar w:fldCharType="separate"/>
      </w:r>
      <w:r w:rsidRPr="009E1308">
        <w:rPr>
          <w:rFonts w:asciiTheme="minorHAnsi" w:hAnsiTheme="minorHAnsi" w:cs="Arial"/>
          <w:noProof/>
          <w:sz w:val="20"/>
          <w:szCs w:val="20"/>
        </w:rPr>
        <w:t>1.</w:t>
      </w:r>
      <w:r w:rsidRPr="009E1308">
        <w:rPr>
          <w:rFonts w:asciiTheme="minorHAnsi" w:hAnsiTheme="minorHAnsi" w:cs="Arial"/>
          <w:noProof/>
          <w:sz w:val="20"/>
          <w:szCs w:val="20"/>
        </w:rPr>
        <w:tab/>
        <w:t>Introduction and summary of requirements / Preamble</w:t>
      </w:r>
    </w:p>
    <w:p w14:paraId="68C2F784"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2.</w:t>
      </w:r>
      <w:r w:rsidRPr="00D0409E">
        <w:rPr>
          <w:rFonts w:asciiTheme="minorHAnsi" w:hAnsiTheme="minorHAnsi" w:cs="Arial"/>
          <w:noProof/>
          <w:sz w:val="20"/>
          <w:szCs w:val="20"/>
        </w:rPr>
        <w:tab/>
        <w:t>Background</w:t>
      </w:r>
      <w:r w:rsidRPr="00D0409E">
        <w:rPr>
          <w:rFonts w:asciiTheme="minorHAnsi" w:hAnsiTheme="minorHAnsi" w:cs="Arial"/>
          <w:noProof/>
          <w:sz w:val="20"/>
          <w:szCs w:val="20"/>
        </w:rPr>
        <w:tab/>
      </w:r>
    </w:p>
    <w:p w14:paraId="1A9E7AFE"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3.</w:t>
      </w:r>
      <w:r w:rsidRPr="00D0409E">
        <w:rPr>
          <w:rFonts w:asciiTheme="minorHAnsi" w:hAnsiTheme="minorHAnsi" w:cs="Arial"/>
          <w:noProof/>
          <w:sz w:val="20"/>
          <w:szCs w:val="20"/>
        </w:rPr>
        <w:tab/>
        <w:t>Aims and Objectives</w:t>
      </w:r>
      <w:r w:rsidRPr="00D0409E">
        <w:rPr>
          <w:rFonts w:asciiTheme="minorHAnsi" w:hAnsiTheme="minorHAnsi" w:cs="Arial"/>
          <w:noProof/>
          <w:sz w:val="20"/>
          <w:szCs w:val="20"/>
        </w:rPr>
        <w:tab/>
      </w:r>
    </w:p>
    <w:p w14:paraId="4CE1154D"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4.</w:t>
      </w:r>
      <w:r w:rsidRPr="00D0409E">
        <w:rPr>
          <w:rFonts w:asciiTheme="minorHAnsi" w:hAnsiTheme="minorHAnsi" w:cs="Arial"/>
          <w:noProof/>
          <w:sz w:val="20"/>
          <w:szCs w:val="20"/>
        </w:rPr>
        <w:tab/>
        <w:t>Methodology</w:t>
      </w:r>
      <w:r w:rsidRPr="00D0409E">
        <w:rPr>
          <w:rFonts w:asciiTheme="minorHAnsi" w:hAnsiTheme="minorHAnsi" w:cs="Arial"/>
          <w:noProof/>
          <w:sz w:val="20"/>
          <w:szCs w:val="20"/>
        </w:rPr>
        <w:tab/>
      </w:r>
    </w:p>
    <w:p w14:paraId="71FAF932"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5.</w:t>
      </w:r>
      <w:r w:rsidRPr="00D0409E">
        <w:rPr>
          <w:rFonts w:asciiTheme="minorHAnsi" w:hAnsiTheme="minorHAnsi" w:cs="Arial"/>
          <w:noProof/>
          <w:sz w:val="20"/>
          <w:szCs w:val="20"/>
        </w:rPr>
        <w:tab/>
        <w:t>Outputs Required</w:t>
      </w:r>
      <w:r w:rsidRPr="00D0409E">
        <w:rPr>
          <w:rFonts w:asciiTheme="minorHAnsi" w:hAnsiTheme="minorHAnsi" w:cs="Arial"/>
          <w:noProof/>
          <w:sz w:val="20"/>
          <w:szCs w:val="20"/>
        </w:rPr>
        <w:tab/>
      </w:r>
    </w:p>
    <w:p w14:paraId="4436E548"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6.</w:t>
      </w:r>
      <w:r w:rsidRPr="00D0409E">
        <w:rPr>
          <w:rFonts w:asciiTheme="minorHAnsi" w:hAnsiTheme="minorHAnsi" w:cs="Arial"/>
          <w:noProof/>
          <w:sz w:val="20"/>
          <w:szCs w:val="20"/>
        </w:rPr>
        <w:tab/>
        <w:t>Ownership and Publication</w:t>
      </w:r>
      <w:r w:rsidRPr="00D0409E">
        <w:rPr>
          <w:rFonts w:asciiTheme="minorHAnsi" w:hAnsiTheme="minorHAnsi" w:cs="Arial"/>
          <w:noProof/>
          <w:sz w:val="20"/>
          <w:szCs w:val="20"/>
        </w:rPr>
        <w:tab/>
      </w:r>
    </w:p>
    <w:p w14:paraId="0906C736"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7.</w:t>
      </w:r>
      <w:r w:rsidRPr="00D0409E">
        <w:rPr>
          <w:rFonts w:asciiTheme="minorHAnsi" w:hAnsiTheme="minorHAnsi" w:cs="Arial"/>
          <w:noProof/>
          <w:sz w:val="20"/>
          <w:szCs w:val="20"/>
        </w:rPr>
        <w:tab/>
        <w:t>Quality Assurance</w:t>
      </w:r>
      <w:r w:rsidRPr="00D0409E">
        <w:rPr>
          <w:rFonts w:asciiTheme="minorHAnsi" w:hAnsiTheme="minorHAnsi" w:cs="Arial"/>
          <w:noProof/>
          <w:sz w:val="20"/>
          <w:szCs w:val="20"/>
        </w:rPr>
        <w:tab/>
      </w:r>
    </w:p>
    <w:p w14:paraId="6415241A"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8.</w:t>
      </w:r>
      <w:r w:rsidRPr="00D0409E">
        <w:rPr>
          <w:rFonts w:asciiTheme="minorHAnsi" w:hAnsiTheme="minorHAnsi" w:cs="Arial"/>
          <w:noProof/>
          <w:sz w:val="20"/>
          <w:szCs w:val="20"/>
        </w:rPr>
        <w:tab/>
        <w:t>Timetable</w:t>
      </w:r>
      <w:r w:rsidRPr="00D0409E">
        <w:rPr>
          <w:rFonts w:asciiTheme="minorHAnsi" w:hAnsiTheme="minorHAnsi" w:cs="Arial"/>
          <w:noProof/>
          <w:sz w:val="20"/>
          <w:szCs w:val="20"/>
        </w:rPr>
        <w:tab/>
      </w:r>
    </w:p>
    <w:p w14:paraId="1A16F036"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9.</w:t>
      </w:r>
      <w:r w:rsidRPr="00D0409E">
        <w:rPr>
          <w:rFonts w:asciiTheme="minorHAnsi" w:hAnsiTheme="minorHAnsi" w:cs="Arial"/>
          <w:noProof/>
          <w:sz w:val="20"/>
          <w:szCs w:val="20"/>
        </w:rPr>
        <w:tab/>
        <w:t>Challenges</w:t>
      </w:r>
      <w:r w:rsidRPr="00D0409E">
        <w:rPr>
          <w:rFonts w:asciiTheme="minorHAnsi" w:hAnsiTheme="minorHAnsi" w:cs="Arial"/>
          <w:noProof/>
          <w:sz w:val="20"/>
          <w:szCs w:val="20"/>
        </w:rPr>
        <w:tab/>
      </w:r>
    </w:p>
    <w:p w14:paraId="7D09F745"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10.</w:t>
      </w:r>
      <w:r w:rsidRPr="00D0409E">
        <w:rPr>
          <w:rFonts w:asciiTheme="minorHAnsi" w:hAnsiTheme="minorHAnsi" w:cs="Arial"/>
          <w:noProof/>
          <w:sz w:val="20"/>
          <w:szCs w:val="20"/>
        </w:rPr>
        <w:tab/>
        <w:t>Ethics</w:t>
      </w:r>
      <w:r w:rsidRPr="00D0409E">
        <w:rPr>
          <w:rFonts w:asciiTheme="minorHAnsi" w:hAnsiTheme="minorHAnsi" w:cs="Arial"/>
          <w:noProof/>
          <w:sz w:val="20"/>
          <w:szCs w:val="20"/>
        </w:rPr>
        <w:tab/>
      </w:r>
    </w:p>
    <w:p w14:paraId="025FFFFE"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11.</w:t>
      </w:r>
      <w:r w:rsidRPr="00D0409E">
        <w:rPr>
          <w:rFonts w:asciiTheme="minorHAnsi" w:hAnsiTheme="minorHAnsi" w:cs="Arial"/>
          <w:noProof/>
          <w:sz w:val="20"/>
          <w:szCs w:val="20"/>
        </w:rPr>
        <w:tab/>
        <w:t>Working Arrangements</w:t>
      </w:r>
      <w:r w:rsidRPr="00D0409E">
        <w:rPr>
          <w:rFonts w:asciiTheme="minorHAnsi" w:hAnsiTheme="minorHAnsi" w:cs="Arial"/>
          <w:noProof/>
          <w:sz w:val="20"/>
          <w:szCs w:val="20"/>
        </w:rPr>
        <w:tab/>
      </w:r>
    </w:p>
    <w:p w14:paraId="37EC525F"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12.</w:t>
      </w:r>
      <w:r w:rsidRPr="00D0409E">
        <w:rPr>
          <w:rFonts w:asciiTheme="minorHAnsi" w:hAnsiTheme="minorHAnsi" w:cs="Arial"/>
          <w:noProof/>
          <w:sz w:val="20"/>
          <w:szCs w:val="20"/>
        </w:rPr>
        <w:tab/>
        <w:t>Required Skills</w:t>
      </w:r>
      <w:r w:rsidRPr="00D0409E">
        <w:rPr>
          <w:rFonts w:asciiTheme="minorHAnsi" w:hAnsiTheme="minorHAnsi" w:cs="Arial"/>
          <w:noProof/>
          <w:sz w:val="20"/>
          <w:szCs w:val="20"/>
        </w:rPr>
        <w:tab/>
      </w:r>
    </w:p>
    <w:p w14:paraId="0020C89B"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13.</w:t>
      </w:r>
      <w:r w:rsidRPr="00D0409E">
        <w:rPr>
          <w:rFonts w:asciiTheme="minorHAnsi" w:hAnsiTheme="minorHAnsi" w:cs="Arial"/>
          <w:noProof/>
          <w:sz w:val="20"/>
          <w:szCs w:val="20"/>
        </w:rPr>
        <w:tab/>
        <w:t>Consortium Bids</w:t>
      </w:r>
      <w:r w:rsidRPr="00D0409E">
        <w:rPr>
          <w:rFonts w:asciiTheme="minorHAnsi" w:hAnsiTheme="minorHAnsi" w:cs="Arial"/>
          <w:noProof/>
          <w:sz w:val="20"/>
          <w:szCs w:val="20"/>
        </w:rPr>
        <w:tab/>
      </w:r>
    </w:p>
    <w:p w14:paraId="04BC8E5F"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14.</w:t>
      </w:r>
      <w:r w:rsidRPr="00D0409E">
        <w:rPr>
          <w:rFonts w:asciiTheme="minorHAnsi" w:hAnsiTheme="minorHAnsi" w:cs="Arial"/>
          <w:noProof/>
          <w:sz w:val="20"/>
          <w:szCs w:val="20"/>
        </w:rPr>
        <w:tab/>
        <w:t>Budget</w:t>
      </w:r>
      <w:r w:rsidRPr="00D0409E">
        <w:rPr>
          <w:rFonts w:asciiTheme="minorHAnsi" w:hAnsiTheme="minorHAnsi" w:cs="Arial"/>
          <w:noProof/>
          <w:sz w:val="20"/>
          <w:szCs w:val="20"/>
        </w:rPr>
        <w:tab/>
      </w:r>
    </w:p>
    <w:p w14:paraId="50AE7E7F"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15.</w:t>
      </w:r>
      <w:r w:rsidRPr="00D0409E">
        <w:rPr>
          <w:rFonts w:asciiTheme="minorHAnsi" w:hAnsiTheme="minorHAnsi" w:cs="Arial"/>
          <w:noProof/>
          <w:sz w:val="20"/>
          <w:szCs w:val="20"/>
        </w:rPr>
        <w:tab/>
        <w:t>Evaluation of Tenders</w:t>
      </w:r>
      <w:r w:rsidRPr="00D0409E">
        <w:rPr>
          <w:rFonts w:asciiTheme="minorHAnsi" w:hAnsiTheme="minorHAnsi" w:cs="Arial"/>
          <w:noProof/>
          <w:sz w:val="20"/>
          <w:szCs w:val="20"/>
        </w:rPr>
        <w:tab/>
      </w:r>
    </w:p>
    <w:p w14:paraId="5137A7E3" w14:textId="77777777" w:rsidR="003A05B7" w:rsidRDefault="003A05B7" w:rsidP="00911873">
      <w:pPr>
        <w:pStyle w:val="BodyText"/>
      </w:pPr>
      <w:r w:rsidRPr="003A05B7">
        <w:fldChar w:fldCharType="end"/>
      </w:r>
    </w:p>
    <w:p w14:paraId="5F3089AD" w14:textId="77777777" w:rsidR="003A05B7" w:rsidRDefault="003A05B7" w:rsidP="00911873">
      <w:pPr>
        <w:pStyle w:val="BodyText"/>
      </w:pPr>
    </w:p>
    <w:p w14:paraId="641EA65C" w14:textId="77777777" w:rsidR="003A05B7" w:rsidRDefault="003A05B7" w:rsidP="00911873">
      <w:pPr>
        <w:pStyle w:val="BodyText"/>
      </w:pPr>
    </w:p>
    <w:p w14:paraId="06E10293" w14:textId="77777777" w:rsidR="003A05B7" w:rsidRDefault="003A05B7" w:rsidP="00911873">
      <w:pPr>
        <w:pStyle w:val="BodyText"/>
      </w:pPr>
    </w:p>
    <w:p w14:paraId="012C6B24" w14:textId="77777777" w:rsidR="003A05B7" w:rsidRDefault="003A05B7" w:rsidP="00911873">
      <w:pPr>
        <w:pStyle w:val="BodyText"/>
      </w:pPr>
    </w:p>
    <w:p w14:paraId="2016FE3A" w14:textId="77777777" w:rsidR="003A05B7" w:rsidRDefault="003A05B7" w:rsidP="00911873">
      <w:pPr>
        <w:pStyle w:val="BodyText"/>
      </w:pPr>
    </w:p>
    <w:p w14:paraId="2D23A8C0" w14:textId="77777777" w:rsidR="003A05B7" w:rsidRDefault="003A05B7" w:rsidP="00911873">
      <w:pPr>
        <w:pStyle w:val="BodyText"/>
      </w:pPr>
    </w:p>
    <w:p w14:paraId="4C0D9D23" w14:textId="77777777" w:rsidR="003A05B7" w:rsidRDefault="003A05B7" w:rsidP="00911873">
      <w:pPr>
        <w:pStyle w:val="BodyText"/>
      </w:pPr>
    </w:p>
    <w:p w14:paraId="41521F92" w14:textId="77777777" w:rsidR="003A05B7" w:rsidRDefault="003A05B7" w:rsidP="00911873">
      <w:pPr>
        <w:pStyle w:val="BodyText"/>
      </w:pPr>
    </w:p>
    <w:p w14:paraId="0691E9BA" w14:textId="77777777" w:rsidR="003A05B7" w:rsidRDefault="003A05B7" w:rsidP="00911873">
      <w:pPr>
        <w:pStyle w:val="BodyText"/>
      </w:pPr>
    </w:p>
    <w:p w14:paraId="26C03533" w14:textId="77777777" w:rsidR="003A05B7" w:rsidRDefault="003A05B7" w:rsidP="00911873">
      <w:pPr>
        <w:pStyle w:val="BodyText"/>
      </w:pPr>
    </w:p>
    <w:p w14:paraId="36C5BAF2" w14:textId="77777777" w:rsidR="003A05B7" w:rsidRDefault="003A05B7" w:rsidP="00911873">
      <w:pPr>
        <w:pStyle w:val="BodyText"/>
      </w:pPr>
    </w:p>
    <w:p w14:paraId="5AA1B273" w14:textId="77777777" w:rsidR="003A05B7" w:rsidRDefault="003A05B7" w:rsidP="00911873">
      <w:pPr>
        <w:pStyle w:val="BodyText"/>
      </w:pPr>
    </w:p>
    <w:p w14:paraId="0847CC22" w14:textId="77777777" w:rsidR="003A05B7" w:rsidRDefault="003A05B7" w:rsidP="00911873">
      <w:pPr>
        <w:pStyle w:val="BodyText"/>
      </w:pPr>
    </w:p>
    <w:p w14:paraId="456EEC79" w14:textId="77777777" w:rsidR="003A05B7" w:rsidRDefault="003A05B7" w:rsidP="00911873">
      <w:pPr>
        <w:pStyle w:val="BodyText"/>
      </w:pPr>
    </w:p>
    <w:p w14:paraId="4B72B9AB" w14:textId="77777777" w:rsidR="003A05B7" w:rsidRDefault="003A05B7" w:rsidP="00911873">
      <w:pPr>
        <w:pStyle w:val="BodyText"/>
      </w:pPr>
    </w:p>
    <w:p w14:paraId="0B49BB8D" w14:textId="77777777" w:rsidR="003A05B7" w:rsidRDefault="003A05B7" w:rsidP="00911873">
      <w:pPr>
        <w:pStyle w:val="BodyText"/>
      </w:pPr>
    </w:p>
    <w:p w14:paraId="26ACCF50" w14:textId="77777777" w:rsidR="003A05B7" w:rsidRDefault="003A05B7" w:rsidP="00911873">
      <w:pPr>
        <w:pStyle w:val="BodyText"/>
      </w:pPr>
    </w:p>
    <w:p w14:paraId="4E9A07A7" w14:textId="77777777" w:rsidR="003A05B7" w:rsidRDefault="003A05B7" w:rsidP="00911873">
      <w:pPr>
        <w:pStyle w:val="BodyText"/>
      </w:pPr>
    </w:p>
    <w:p w14:paraId="06247879" w14:textId="77777777" w:rsidR="003A05B7" w:rsidRDefault="003A05B7" w:rsidP="00911873">
      <w:pPr>
        <w:pStyle w:val="BodyText"/>
      </w:pPr>
    </w:p>
    <w:p w14:paraId="402E7586" w14:textId="77777777" w:rsidR="003A05B7" w:rsidRDefault="003A05B7" w:rsidP="00911873">
      <w:pPr>
        <w:pStyle w:val="BodyText"/>
      </w:pPr>
    </w:p>
    <w:p w14:paraId="515F7F07" w14:textId="77777777" w:rsidR="003A05B7" w:rsidRDefault="003A05B7" w:rsidP="00911873">
      <w:pPr>
        <w:pStyle w:val="BodyText"/>
      </w:pPr>
    </w:p>
    <w:p w14:paraId="57991837" w14:textId="77777777" w:rsidR="003A05B7" w:rsidRDefault="003A05B7" w:rsidP="00911873">
      <w:pPr>
        <w:pStyle w:val="BodyText"/>
      </w:pPr>
    </w:p>
    <w:p w14:paraId="2742ECAB" w14:textId="77777777" w:rsidR="003A05B7" w:rsidRDefault="003A05B7" w:rsidP="00911873">
      <w:pPr>
        <w:pStyle w:val="BodyText"/>
      </w:pPr>
    </w:p>
    <w:p w14:paraId="4D7E2B2C" w14:textId="77777777" w:rsidR="003A05B7" w:rsidRDefault="003A05B7" w:rsidP="00911873">
      <w:pPr>
        <w:pStyle w:val="BodyText"/>
      </w:pPr>
    </w:p>
    <w:p w14:paraId="7C4B02A9" w14:textId="77777777" w:rsidR="003A05B7" w:rsidRDefault="003A05B7" w:rsidP="00911873">
      <w:pPr>
        <w:pStyle w:val="BodyText"/>
      </w:pPr>
    </w:p>
    <w:p w14:paraId="64B1F8C4" w14:textId="77777777" w:rsidR="003A05B7" w:rsidRDefault="003A05B7" w:rsidP="00911873">
      <w:pPr>
        <w:pStyle w:val="BodyText"/>
      </w:pPr>
    </w:p>
    <w:p w14:paraId="1AA15C49" w14:textId="77777777" w:rsidR="003A05B7" w:rsidRDefault="003A05B7" w:rsidP="00911873">
      <w:pPr>
        <w:pStyle w:val="BodyText"/>
      </w:pPr>
    </w:p>
    <w:p w14:paraId="3B5E1145" w14:textId="77777777" w:rsidR="003A05B7" w:rsidRDefault="003A05B7" w:rsidP="00911873">
      <w:pPr>
        <w:pStyle w:val="BodyText"/>
      </w:pPr>
    </w:p>
    <w:p w14:paraId="22C9591D" w14:textId="77493978" w:rsidR="003A05B7" w:rsidRPr="00A93704" w:rsidRDefault="003A05B7" w:rsidP="00857AD6">
      <w:pPr>
        <w:pStyle w:val="Heading1"/>
        <w:numPr>
          <w:ilvl w:val="0"/>
          <w:numId w:val="1"/>
        </w:numPr>
      </w:pPr>
      <w:bookmarkStart w:id="0" w:name="_Ref357535594"/>
      <w:bookmarkStart w:id="1" w:name="_Ref373505096"/>
      <w:bookmarkStart w:id="2" w:name="_Toc381969506"/>
      <w:bookmarkStart w:id="3" w:name="_Toc405888455"/>
      <w:r w:rsidRPr="005359A7">
        <w:t>Introduction</w:t>
      </w:r>
      <w:bookmarkEnd w:id="0"/>
      <w:r w:rsidRPr="005359A7">
        <w:t xml:space="preserve"> and summary of requirements</w:t>
      </w:r>
      <w:bookmarkEnd w:id="1"/>
      <w:bookmarkEnd w:id="2"/>
      <w:bookmarkEnd w:id="3"/>
      <w:r w:rsidRPr="005359A7">
        <w:t xml:space="preserve"> / Preamble</w:t>
      </w:r>
    </w:p>
    <w:p w14:paraId="51ED9EA5" w14:textId="77777777" w:rsidR="00965173" w:rsidRDefault="00965173" w:rsidP="009D046A">
      <w:pPr>
        <w:rPr>
          <w:rFonts w:eastAsiaTheme="minorHAnsi"/>
        </w:rPr>
      </w:pPr>
      <w:r w:rsidRPr="00DA5892">
        <w:rPr>
          <w:rFonts w:eastAsiaTheme="minorHAnsi"/>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3F0FC869" w14:textId="77777777" w:rsidR="009D046A" w:rsidRPr="00DA5892" w:rsidRDefault="009D046A" w:rsidP="009D046A">
      <w:pPr>
        <w:rPr>
          <w:rFonts w:eastAsiaTheme="minorHAnsi"/>
        </w:rPr>
      </w:pPr>
    </w:p>
    <w:p w14:paraId="35010D78" w14:textId="34CAD2C4" w:rsidR="009D046A" w:rsidRDefault="009D046A" w:rsidP="009D046A">
      <w:pPr>
        <w:rPr>
          <w:rFonts w:ascii="Century Gothic" w:hAnsi="Century Gothic"/>
        </w:rPr>
      </w:pPr>
      <w:r>
        <w:rPr>
          <w:rFonts w:ascii="Century Gothic" w:hAnsi="Century Gothic"/>
        </w:rPr>
        <w:t xml:space="preserve">Part of the CCC’s role is to advise the Government </w:t>
      </w:r>
      <w:r w:rsidRPr="00BC6FE9">
        <w:rPr>
          <w:rFonts w:ascii="Century Gothic" w:hAnsi="Century Gothic"/>
        </w:rPr>
        <w:t xml:space="preserve">on the appropriate level </w:t>
      </w:r>
      <w:r>
        <w:rPr>
          <w:rFonts w:ascii="Century Gothic" w:hAnsi="Century Gothic"/>
        </w:rPr>
        <w:t>for</w:t>
      </w:r>
      <w:r w:rsidRPr="00BC6FE9">
        <w:rPr>
          <w:rFonts w:ascii="Century Gothic" w:hAnsi="Century Gothic"/>
        </w:rPr>
        <w:t xml:space="preserve"> </w:t>
      </w:r>
      <w:r>
        <w:rPr>
          <w:rFonts w:ascii="Century Gothic" w:hAnsi="Century Gothic"/>
        </w:rPr>
        <w:t xml:space="preserve">each </w:t>
      </w:r>
      <w:r w:rsidRPr="00BC6FE9">
        <w:rPr>
          <w:rFonts w:ascii="Century Gothic" w:hAnsi="Century Gothic"/>
        </w:rPr>
        <w:t>carbon budget</w:t>
      </w:r>
      <w:r>
        <w:rPr>
          <w:rFonts w:ascii="Century Gothic" w:hAnsi="Century Gothic"/>
        </w:rPr>
        <w:t xml:space="preserve"> – </w:t>
      </w:r>
      <w:r w:rsidRPr="00BC6FE9">
        <w:rPr>
          <w:rFonts w:ascii="Century Gothic" w:hAnsi="Century Gothic"/>
        </w:rPr>
        <w:t>a cap on the amount of greenhouse gases emitted in the UK over a five-year period.</w:t>
      </w:r>
      <w:r>
        <w:rPr>
          <w:rFonts w:ascii="Century Gothic" w:hAnsi="Century Gothic"/>
        </w:rPr>
        <w:t xml:space="preserve"> </w:t>
      </w:r>
      <w:r w:rsidRPr="00094709">
        <w:rPr>
          <w:rFonts w:ascii="Century Gothic" w:hAnsi="Century Gothic"/>
        </w:rPr>
        <w:t xml:space="preserve">The budgets describe the cost-effective pathway to achieving the UK’s long-term climate change objectives. They take account </w:t>
      </w:r>
      <w:r>
        <w:rPr>
          <w:rFonts w:ascii="Century Gothic" w:hAnsi="Century Gothic"/>
        </w:rPr>
        <w:t xml:space="preserve">of economic, </w:t>
      </w:r>
      <w:proofErr w:type="gramStart"/>
      <w:r>
        <w:rPr>
          <w:rFonts w:ascii="Century Gothic" w:hAnsi="Century Gothic"/>
        </w:rPr>
        <w:t>social</w:t>
      </w:r>
      <w:proofErr w:type="gramEnd"/>
      <w:r>
        <w:rPr>
          <w:rFonts w:ascii="Century Gothic" w:hAnsi="Century Gothic"/>
        </w:rPr>
        <w:t xml:space="preserve"> and technological </w:t>
      </w:r>
      <w:r w:rsidRPr="00094709">
        <w:rPr>
          <w:rFonts w:ascii="Century Gothic" w:hAnsi="Century Gothic"/>
        </w:rPr>
        <w:t>factors.</w:t>
      </w:r>
    </w:p>
    <w:p w14:paraId="5B09C99C" w14:textId="77777777" w:rsidR="009C57AE" w:rsidRDefault="009C57AE" w:rsidP="009D046A">
      <w:pPr>
        <w:rPr>
          <w:rFonts w:ascii="Century Gothic" w:hAnsi="Century Gothic"/>
        </w:rPr>
      </w:pPr>
    </w:p>
    <w:p w14:paraId="1E3DFDB8" w14:textId="5CD14C11" w:rsidR="009D046A" w:rsidRDefault="009D046A" w:rsidP="009D046A">
      <w:pPr>
        <w:rPr>
          <w:rFonts w:ascii="Century Gothic" w:hAnsi="Century Gothic"/>
        </w:rPr>
      </w:pPr>
      <w:r>
        <w:rPr>
          <w:rFonts w:ascii="Century Gothic" w:hAnsi="Century Gothic"/>
        </w:rPr>
        <w:t xml:space="preserve">We </w:t>
      </w:r>
      <w:r w:rsidR="009C57AE">
        <w:rPr>
          <w:rFonts w:ascii="Century Gothic" w:hAnsi="Century Gothic"/>
        </w:rPr>
        <w:t xml:space="preserve">have recently commenced </w:t>
      </w:r>
      <w:r>
        <w:rPr>
          <w:rFonts w:ascii="Century Gothic" w:hAnsi="Century Gothic"/>
        </w:rPr>
        <w:t xml:space="preserve">our work programme for </w:t>
      </w:r>
      <w:r w:rsidR="00E602BE">
        <w:rPr>
          <w:rFonts w:ascii="Century Gothic" w:hAnsi="Century Gothic"/>
        </w:rPr>
        <w:t xml:space="preserve">developing our advice on an appropriate level for </w:t>
      </w:r>
      <w:r>
        <w:rPr>
          <w:rFonts w:ascii="Century Gothic" w:hAnsi="Century Gothic"/>
        </w:rPr>
        <w:t>the Seventh Carbon Budget (the period from 2038-2042). As part of this we would like to explore the impacts, delivery challenges and opportunities that are likely at the tail end of the transition to electric vehicles.</w:t>
      </w:r>
    </w:p>
    <w:p w14:paraId="489D4427" w14:textId="78588495" w:rsidR="003A05B7" w:rsidRPr="005359A7" w:rsidRDefault="003A05B7" w:rsidP="00857AD6">
      <w:pPr>
        <w:pStyle w:val="Heading1"/>
        <w:numPr>
          <w:ilvl w:val="0"/>
          <w:numId w:val="1"/>
        </w:numPr>
      </w:pPr>
      <w:bookmarkStart w:id="4" w:name="_Ref357535668"/>
      <w:bookmarkStart w:id="5" w:name="_Toc381969507"/>
      <w:bookmarkStart w:id="6" w:name="_Toc405888456"/>
      <w:r w:rsidRPr="005359A7">
        <w:t>Background</w:t>
      </w:r>
      <w:bookmarkEnd w:id="4"/>
      <w:bookmarkEnd w:id="5"/>
      <w:bookmarkEnd w:id="6"/>
    </w:p>
    <w:p w14:paraId="0F3799B3" w14:textId="77777777" w:rsidR="005C77E7" w:rsidRDefault="006B7E0A" w:rsidP="00A93704">
      <w:pPr>
        <w:pStyle w:val="Norma"/>
        <w:rPr>
          <w:rFonts w:eastAsiaTheme="minorHAnsi"/>
        </w:rPr>
      </w:pPr>
      <w:r>
        <w:rPr>
          <w:rFonts w:eastAsiaTheme="minorHAnsi"/>
        </w:rPr>
        <w:t xml:space="preserve">Surface transport is currently the UK’s highest-emitting sector, and </w:t>
      </w:r>
      <w:r w:rsidR="00E5693C">
        <w:rPr>
          <w:rFonts w:eastAsiaTheme="minorHAnsi"/>
        </w:rPr>
        <w:t xml:space="preserve">the transition to electric vehicles (EVs) will play a significant role in </w:t>
      </w:r>
      <w:r w:rsidR="00432832">
        <w:rPr>
          <w:rFonts w:eastAsiaTheme="minorHAnsi"/>
        </w:rPr>
        <w:t>changing this on the UK’s path to Net Zero.</w:t>
      </w:r>
      <w:r w:rsidR="00182C63">
        <w:rPr>
          <w:rFonts w:eastAsiaTheme="minorHAnsi"/>
        </w:rPr>
        <w:t xml:space="preserve"> </w:t>
      </w:r>
      <w:r w:rsidR="005A10D3">
        <w:rPr>
          <w:rFonts w:eastAsiaTheme="minorHAnsi"/>
        </w:rPr>
        <w:t xml:space="preserve">This transition is now well underway, and we have seen a rapid increase in EV uptake over recent years, </w:t>
      </w:r>
      <w:r w:rsidR="00432832">
        <w:rPr>
          <w:rFonts w:eastAsiaTheme="minorHAnsi"/>
        </w:rPr>
        <w:t xml:space="preserve">with battery-electric vehicles (BEVs) making up 17% of new car sales and </w:t>
      </w:r>
      <w:r w:rsidR="006E4D80">
        <w:rPr>
          <w:rFonts w:eastAsiaTheme="minorHAnsi"/>
        </w:rPr>
        <w:t xml:space="preserve">6% of new van sales in 2022. </w:t>
      </w:r>
    </w:p>
    <w:p w14:paraId="09E5CFB9" w14:textId="77777777" w:rsidR="005C77E7" w:rsidRDefault="005C77E7" w:rsidP="00A93704">
      <w:pPr>
        <w:pStyle w:val="Norma"/>
        <w:rPr>
          <w:rFonts w:eastAsiaTheme="minorHAnsi"/>
        </w:rPr>
      </w:pPr>
    </w:p>
    <w:p w14:paraId="6F1873EE" w14:textId="2F021839" w:rsidR="009E130B" w:rsidRDefault="00F80CE5" w:rsidP="00A93704">
      <w:pPr>
        <w:pStyle w:val="Norma"/>
        <w:rPr>
          <w:rFonts w:eastAsiaTheme="minorHAnsi"/>
        </w:rPr>
      </w:pPr>
      <w:r>
        <w:rPr>
          <w:rFonts w:eastAsiaTheme="minorHAnsi"/>
        </w:rPr>
        <w:t>To build on this early progress</w:t>
      </w:r>
      <w:r w:rsidR="00F37798">
        <w:rPr>
          <w:rFonts w:eastAsiaTheme="minorHAnsi"/>
        </w:rPr>
        <w:t xml:space="preserve">, the Government is expected to introduce a zero-emission vehicle mandate from </w:t>
      </w:r>
      <w:r w:rsidR="00D57CF4">
        <w:rPr>
          <w:rFonts w:eastAsiaTheme="minorHAnsi"/>
        </w:rPr>
        <w:t>2024</w:t>
      </w:r>
      <w:r w:rsidR="00B270FB">
        <w:rPr>
          <w:rFonts w:eastAsiaTheme="minorHAnsi"/>
        </w:rPr>
        <w:t xml:space="preserve"> </w:t>
      </w:r>
      <w:r w:rsidR="004D38AE">
        <w:rPr>
          <w:rFonts w:eastAsiaTheme="minorHAnsi"/>
        </w:rPr>
        <w:t xml:space="preserve">that will require new sales of zero-emission vehicles (most likely </w:t>
      </w:r>
      <w:r w:rsidR="00F37798">
        <w:rPr>
          <w:rFonts w:eastAsiaTheme="minorHAnsi"/>
        </w:rPr>
        <w:t>B</w:t>
      </w:r>
      <w:r w:rsidR="004D38AE">
        <w:rPr>
          <w:rFonts w:eastAsiaTheme="minorHAnsi"/>
        </w:rPr>
        <w:t xml:space="preserve">EVs) to scale up </w:t>
      </w:r>
      <w:r w:rsidR="00D57CF4">
        <w:rPr>
          <w:rFonts w:eastAsiaTheme="minorHAnsi"/>
        </w:rPr>
        <w:t xml:space="preserve">each year to </w:t>
      </w:r>
      <w:r w:rsidR="00297123">
        <w:rPr>
          <w:rFonts w:eastAsiaTheme="minorHAnsi"/>
        </w:rPr>
        <w:t>reach the majority of new car and van sales by the end of the decade.</w:t>
      </w:r>
      <w:r w:rsidR="005C77E7">
        <w:rPr>
          <w:rFonts w:eastAsiaTheme="minorHAnsi"/>
        </w:rPr>
        <w:t xml:space="preserve"> </w:t>
      </w:r>
      <w:r w:rsidR="005C77E7" w:rsidRPr="005C77E7">
        <w:rPr>
          <w:rFonts w:eastAsiaTheme="minorHAnsi"/>
        </w:rPr>
        <w:t>As a result of this</w:t>
      </w:r>
      <w:r w:rsidR="00CF1ABB">
        <w:rPr>
          <w:rFonts w:eastAsiaTheme="minorHAnsi"/>
        </w:rPr>
        <w:t xml:space="preserve"> policy, along with market trends,</w:t>
      </w:r>
      <w:r w:rsidR="005C77E7" w:rsidRPr="005C77E7">
        <w:rPr>
          <w:rFonts w:eastAsiaTheme="minorHAnsi"/>
        </w:rPr>
        <w:t xml:space="preserve"> we now have clarity on the minimum rate at which EV sales can be expected to grow through the 2020s. Beyond this, sales are expected to continue growing to meet the requirement that all new cars and vans must have zero tailpipe emissions by 2035. These are likely to be almost exclusively BEVs.</w:t>
      </w:r>
    </w:p>
    <w:p w14:paraId="5B97AD8C" w14:textId="77777777" w:rsidR="00712933" w:rsidRDefault="00712933" w:rsidP="00525B41">
      <w:pPr>
        <w:pStyle w:val="Norma"/>
        <w:rPr>
          <w:rFonts w:eastAsiaTheme="minorHAnsi"/>
        </w:rPr>
      </w:pPr>
    </w:p>
    <w:p w14:paraId="455AE445" w14:textId="5787037E" w:rsidR="009E130B" w:rsidRDefault="00712933" w:rsidP="00525B41">
      <w:pPr>
        <w:pStyle w:val="Norma"/>
        <w:rPr>
          <w:rFonts w:eastAsiaTheme="minorHAnsi"/>
        </w:rPr>
      </w:pPr>
      <w:r>
        <w:rPr>
          <w:rFonts w:eastAsiaTheme="minorHAnsi"/>
        </w:rPr>
        <w:t>While t</w:t>
      </w:r>
      <w:r w:rsidR="0019574E">
        <w:rPr>
          <w:rFonts w:eastAsiaTheme="minorHAnsi"/>
        </w:rPr>
        <w:t>he zero</w:t>
      </w:r>
      <w:r w:rsidR="00CF1ABB">
        <w:rPr>
          <w:rFonts w:eastAsiaTheme="minorHAnsi"/>
        </w:rPr>
        <w:t>-</w:t>
      </w:r>
      <w:r w:rsidR="0019574E">
        <w:rPr>
          <w:rFonts w:eastAsiaTheme="minorHAnsi"/>
        </w:rPr>
        <w:t>emission vehicle mandate</w:t>
      </w:r>
      <w:r w:rsidR="00A23481">
        <w:rPr>
          <w:rFonts w:eastAsiaTheme="minorHAnsi"/>
        </w:rPr>
        <w:t xml:space="preserve"> </w:t>
      </w:r>
      <w:r w:rsidR="0019574E">
        <w:rPr>
          <w:rFonts w:eastAsiaTheme="minorHAnsi"/>
        </w:rPr>
        <w:t xml:space="preserve">provides a trajectory for how </w:t>
      </w:r>
      <w:r w:rsidR="00A23481">
        <w:rPr>
          <w:rFonts w:eastAsiaTheme="minorHAnsi"/>
        </w:rPr>
        <w:t xml:space="preserve">the share of </w:t>
      </w:r>
      <w:r w:rsidR="0019574E">
        <w:rPr>
          <w:rFonts w:eastAsiaTheme="minorHAnsi"/>
        </w:rPr>
        <w:t xml:space="preserve">EVs within </w:t>
      </w:r>
      <w:r w:rsidR="00A23481">
        <w:rPr>
          <w:rFonts w:eastAsiaTheme="minorHAnsi"/>
        </w:rPr>
        <w:t>the new car market will scale up</w:t>
      </w:r>
      <w:r>
        <w:rPr>
          <w:rFonts w:eastAsiaTheme="minorHAnsi"/>
        </w:rPr>
        <w:t>, w</w:t>
      </w:r>
      <w:r w:rsidR="00A23481">
        <w:rPr>
          <w:rFonts w:eastAsiaTheme="minorHAnsi"/>
        </w:rPr>
        <w:t xml:space="preserve">hat ultimately matters in terms of reducing emissions is </w:t>
      </w:r>
      <w:r w:rsidR="00FC5013">
        <w:rPr>
          <w:rFonts w:eastAsiaTheme="minorHAnsi"/>
        </w:rPr>
        <w:t>the rate at which the entire fleet of cars and vans turns over from petrol/diesel to electric. As a typical car</w:t>
      </w:r>
      <w:r w:rsidR="00F81042">
        <w:rPr>
          <w:rFonts w:eastAsiaTheme="minorHAnsi"/>
        </w:rPr>
        <w:t xml:space="preserve"> or van</w:t>
      </w:r>
      <w:r>
        <w:rPr>
          <w:rFonts w:eastAsiaTheme="minorHAnsi"/>
        </w:rPr>
        <w:t xml:space="preserve"> currently</w:t>
      </w:r>
      <w:r w:rsidR="00FC5013">
        <w:rPr>
          <w:rFonts w:eastAsiaTheme="minorHAnsi"/>
        </w:rPr>
        <w:t xml:space="preserve"> remains on the road for around 14 years</w:t>
      </w:r>
      <w:r w:rsidR="00F81042">
        <w:rPr>
          <w:rFonts w:eastAsiaTheme="minorHAnsi"/>
        </w:rPr>
        <w:t xml:space="preserve">, </w:t>
      </w:r>
      <w:r w:rsidR="002E2F50">
        <w:rPr>
          <w:rFonts w:eastAsiaTheme="minorHAnsi"/>
        </w:rPr>
        <w:t>this may take some time even once EVs reach full market penetration, and some older petrol and diesel vehicles are likely to continue running for a considerable period.</w:t>
      </w:r>
      <w:r w:rsidR="00350910">
        <w:rPr>
          <w:rFonts w:eastAsiaTheme="minorHAnsi"/>
        </w:rPr>
        <w:t xml:space="preserve"> These vehicles will </w:t>
      </w:r>
      <w:r w:rsidR="009F61C0">
        <w:rPr>
          <w:rFonts w:eastAsiaTheme="minorHAnsi"/>
        </w:rPr>
        <w:t xml:space="preserve">also </w:t>
      </w:r>
      <w:r w:rsidR="00350910">
        <w:rPr>
          <w:rFonts w:eastAsiaTheme="minorHAnsi"/>
        </w:rPr>
        <w:t>continue to be sold in the used vehicle market</w:t>
      </w:r>
      <w:r w:rsidR="00FE2723">
        <w:rPr>
          <w:rFonts w:eastAsiaTheme="minorHAnsi"/>
        </w:rPr>
        <w:t xml:space="preserve">, </w:t>
      </w:r>
      <w:r w:rsidR="00302340">
        <w:rPr>
          <w:rFonts w:eastAsiaTheme="minorHAnsi"/>
        </w:rPr>
        <w:t>alongside a growing market for used EVs.</w:t>
      </w:r>
    </w:p>
    <w:p w14:paraId="1343E6B2" w14:textId="77777777" w:rsidR="00302340" w:rsidRDefault="00302340" w:rsidP="00A93704">
      <w:pPr>
        <w:pStyle w:val="Norma"/>
        <w:rPr>
          <w:rFonts w:eastAsiaTheme="minorHAnsi"/>
        </w:rPr>
      </w:pPr>
    </w:p>
    <w:p w14:paraId="19D5403F" w14:textId="39E9231C" w:rsidR="00407110" w:rsidRPr="00A93704" w:rsidRDefault="008436FB" w:rsidP="00967C11">
      <w:pPr>
        <w:pStyle w:val="Norma"/>
        <w:rPr>
          <w:rFonts w:eastAsiaTheme="minorHAnsi"/>
        </w:rPr>
      </w:pPr>
      <w:r>
        <w:rPr>
          <w:rFonts w:eastAsiaTheme="minorHAnsi"/>
        </w:rPr>
        <w:t xml:space="preserve">This research is </w:t>
      </w:r>
      <w:r w:rsidR="00F6380D">
        <w:rPr>
          <w:rFonts w:eastAsiaTheme="minorHAnsi"/>
        </w:rPr>
        <w:t>looking to understand</w:t>
      </w:r>
      <w:r>
        <w:rPr>
          <w:rFonts w:eastAsiaTheme="minorHAnsi"/>
        </w:rPr>
        <w:t xml:space="preserve"> </w:t>
      </w:r>
      <w:r w:rsidR="00C213AF">
        <w:rPr>
          <w:rFonts w:eastAsiaTheme="minorHAnsi"/>
        </w:rPr>
        <w:t xml:space="preserve">more about this </w:t>
      </w:r>
      <w:r w:rsidR="00967C11">
        <w:rPr>
          <w:rFonts w:eastAsiaTheme="minorHAnsi"/>
        </w:rPr>
        <w:t xml:space="preserve">‘tail’ phase of the EV rollout, </w:t>
      </w:r>
      <w:proofErr w:type="gramStart"/>
      <w:r w:rsidR="00967C11">
        <w:rPr>
          <w:rFonts w:eastAsiaTheme="minorHAnsi"/>
        </w:rPr>
        <w:t>in particular looking</w:t>
      </w:r>
      <w:proofErr w:type="gramEnd"/>
      <w:r w:rsidR="00967C11">
        <w:rPr>
          <w:rFonts w:eastAsiaTheme="minorHAnsi"/>
        </w:rPr>
        <w:t xml:space="preserve"> at the impacts it could have on the </w:t>
      </w:r>
      <w:r w:rsidR="006F4B31">
        <w:rPr>
          <w:rFonts w:eastAsiaTheme="minorHAnsi"/>
        </w:rPr>
        <w:t xml:space="preserve">rate at which the fleet switches to </w:t>
      </w:r>
      <w:r w:rsidR="00C2489C">
        <w:rPr>
          <w:rFonts w:eastAsiaTheme="minorHAnsi"/>
        </w:rPr>
        <w:t>EVs</w:t>
      </w:r>
      <w:r w:rsidR="00DE32D4">
        <w:rPr>
          <w:rFonts w:eastAsiaTheme="minorHAnsi"/>
        </w:rPr>
        <w:t xml:space="preserve"> </w:t>
      </w:r>
      <w:r w:rsidR="006F4B31">
        <w:rPr>
          <w:rFonts w:eastAsiaTheme="minorHAnsi"/>
        </w:rPr>
        <w:t>and exploring potential interventions that could accelerate this process</w:t>
      </w:r>
      <w:r w:rsidR="00A4657A">
        <w:rPr>
          <w:rFonts w:eastAsiaTheme="minorHAnsi"/>
        </w:rPr>
        <w:t>.</w:t>
      </w:r>
      <w:r w:rsidR="004622A4">
        <w:rPr>
          <w:rFonts w:eastAsiaTheme="minorHAnsi"/>
        </w:rPr>
        <w:t xml:space="preserve"> This research will be used to inform updates to the CCC’s assumed </w:t>
      </w:r>
      <w:r w:rsidR="00E53795">
        <w:rPr>
          <w:rFonts w:eastAsiaTheme="minorHAnsi"/>
        </w:rPr>
        <w:t>pathways for EV uptake.</w:t>
      </w:r>
    </w:p>
    <w:p w14:paraId="1221AA05" w14:textId="41FE7674" w:rsidR="003A05B7" w:rsidRPr="005359A7" w:rsidRDefault="003A05B7" w:rsidP="00857AD6">
      <w:pPr>
        <w:pStyle w:val="Heading1"/>
        <w:numPr>
          <w:ilvl w:val="0"/>
          <w:numId w:val="1"/>
        </w:numPr>
      </w:pPr>
      <w:bookmarkStart w:id="7" w:name="_Ref357535689"/>
      <w:bookmarkStart w:id="8" w:name="_Toc381969508"/>
      <w:bookmarkStart w:id="9" w:name="_Toc405888457"/>
      <w:r w:rsidRPr="005359A7">
        <w:t xml:space="preserve">Aims </w:t>
      </w:r>
      <w:r w:rsidRPr="002C721C">
        <w:t>and</w:t>
      </w:r>
      <w:r w:rsidRPr="005359A7">
        <w:t xml:space="preserve"> Objectives</w:t>
      </w:r>
      <w:bookmarkEnd w:id="7"/>
      <w:bookmarkEnd w:id="8"/>
      <w:bookmarkEnd w:id="9"/>
    </w:p>
    <w:p w14:paraId="657651E4" w14:textId="3D6667E3" w:rsidR="00965173" w:rsidRDefault="00965173" w:rsidP="00911873">
      <w:r>
        <w:t>The</w:t>
      </w:r>
      <w:r w:rsidR="005237BF">
        <w:t xml:space="preserve">re are </w:t>
      </w:r>
      <w:r w:rsidR="00355A09">
        <w:t>three</w:t>
      </w:r>
      <w:r w:rsidR="005237BF">
        <w:t xml:space="preserve"> key topics that this research </w:t>
      </w:r>
      <w:r w:rsidR="00DE32D4">
        <w:t xml:space="preserve">will </w:t>
      </w:r>
      <w:r w:rsidR="005237BF">
        <w:t>aim to address</w:t>
      </w:r>
      <w:r>
        <w:t>:</w:t>
      </w:r>
    </w:p>
    <w:p w14:paraId="1AB7EC4A" w14:textId="77777777" w:rsidR="00915B61" w:rsidRDefault="00915B61" w:rsidP="00911873"/>
    <w:p w14:paraId="259C9CB7" w14:textId="452D4F77" w:rsidR="006A33C3" w:rsidRDefault="006A33C3" w:rsidP="00B46B70">
      <w:pPr>
        <w:pStyle w:val="Norma"/>
        <w:numPr>
          <w:ilvl w:val="0"/>
          <w:numId w:val="17"/>
        </w:numPr>
      </w:pPr>
      <w:r>
        <w:t>Understanding the</w:t>
      </w:r>
      <w:r w:rsidR="001110D5">
        <w:t xml:space="preserve"> tail end of the</w:t>
      </w:r>
      <w:r>
        <w:t xml:space="preserve"> EV transition:</w:t>
      </w:r>
      <w:r w:rsidR="00DE32D4">
        <w:t xml:space="preserve"> </w:t>
      </w:r>
    </w:p>
    <w:p w14:paraId="363139D1" w14:textId="77777777" w:rsidR="006A33C3" w:rsidRDefault="00B46B70" w:rsidP="004D3765">
      <w:pPr>
        <w:pStyle w:val="BulletLevel3"/>
      </w:pPr>
      <w:r w:rsidRPr="00753F04">
        <w:t>What</w:t>
      </w:r>
      <w:r>
        <w:t xml:space="preserve"> </w:t>
      </w:r>
      <w:r w:rsidR="00DE6C73">
        <w:t xml:space="preserve">groups of consumers are likely to continue driving non-electric cars and vans </w:t>
      </w:r>
      <w:r w:rsidR="00033593">
        <w:t>beyond 2035</w:t>
      </w:r>
      <w:r w:rsidR="006A33C3">
        <w:t>?</w:t>
      </w:r>
    </w:p>
    <w:p w14:paraId="3E20B0C4" w14:textId="21C8F16E" w:rsidR="00364E0F" w:rsidRDefault="00444B40" w:rsidP="004D3765">
      <w:pPr>
        <w:pStyle w:val="BulletLevel3"/>
      </w:pPr>
      <w:r>
        <w:lastRenderedPageBreak/>
        <w:t xml:space="preserve">What factors </w:t>
      </w:r>
      <w:r w:rsidR="00523E02">
        <w:t xml:space="preserve">could influence their ability or choice to purchase an EV during this period, </w:t>
      </w:r>
      <w:r w:rsidR="002A4D13">
        <w:t>and what impacts might these have</w:t>
      </w:r>
      <w:r w:rsidR="00523E02">
        <w:t>?</w:t>
      </w:r>
    </w:p>
    <w:p w14:paraId="48BBC4A8" w14:textId="77777777" w:rsidR="006A33C3" w:rsidRDefault="006A33C3" w:rsidP="006A33C3">
      <w:pPr>
        <w:pStyle w:val="Norma"/>
        <w:ind w:left="1080"/>
      </w:pPr>
    </w:p>
    <w:p w14:paraId="65B91B04" w14:textId="391672B8" w:rsidR="00753F04" w:rsidRDefault="00753F04" w:rsidP="00B46B70">
      <w:pPr>
        <w:pStyle w:val="Norma"/>
        <w:numPr>
          <w:ilvl w:val="0"/>
          <w:numId w:val="17"/>
        </w:numPr>
      </w:pPr>
      <w:r>
        <w:t xml:space="preserve">Exploring </w:t>
      </w:r>
      <w:r w:rsidR="004E7852">
        <w:t>polic</w:t>
      </w:r>
      <w:r w:rsidR="00AB539A">
        <w:t>ies</w:t>
      </w:r>
      <w:r>
        <w:t xml:space="preserve"> </w:t>
      </w:r>
      <w:r w:rsidR="006F638E">
        <w:t xml:space="preserve">at </w:t>
      </w:r>
      <w:r w:rsidR="00334B29">
        <w:t>the</w:t>
      </w:r>
      <w:r w:rsidR="00A91C64">
        <w:t xml:space="preserve"> tail end of the EV transition</w:t>
      </w:r>
      <w:r>
        <w:t>:</w:t>
      </w:r>
    </w:p>
    <w:p w14:paraId="40382B0F" w14:textId="260EF9EF" w:rsidR="00753F04" w:rsidRDefault="00F22A43" w:rsidP="00A55EF7">
      <w:pPr>
        <w:pStyle w:val="BulletLevel3"/>
      </w:pPr>
      <w:r>
        <w:t xml:space="preserve">What measures could address </w:t>
      </w:r>
      <w:r w:rsidR="00857A81">
        <w:t>any risks to the pace of the EV transition</w:t>
      </w:r>
      <w:r w:rsidR="001746F6">
        <w:t xml:space="preserve"> or potential negative impacts on </w:t>
      </w:r>
      <w:proofErr w:type="gramStart"/>
      <w:r w:rsidR="00E23AC1">
        <w:t>particular</w:t>
      </w:r>
      <w:r w:rsidR="00264CF7">
        <w:t xml:space="preserve"> groups</w:t>
      </w:r>
      <w:proofErr w:type="gramEnd"/>
      <w:r w:rsidR="00857A81">
        <w:t xml:space="preserve"> that have been identified</w:t>
      </w:r>
      <w:r w:rsidR="00C63888">
        <w:t>?</w:t>
      </w:r>
    </w:p>
    <w:p w14:paraId="37757341" w14:textId="67EF193C" w:rsidR="00651AF2" w:rsidRDefault="00591FB5" w:rsidP="00A55EF7">
      <w:pPr>
        <w:pStyle w:val="BulletLevel3"/>
      </w:pPr>
      <w:r>
        <w:t xml:space="preserve">How effective are these measures expected to be </w:t>
      </w:r>
      <w:r w:rsidR="004B4F1F">
        <w:t>in accelerating EV adoption</w:t>
      </w:r>
      <w:r w:rsidR="00850FB8">
        <w:t xml:space="preserve"> to deliver a quicker, fairer, and more cost-effective completion of the EV transition</w:t>
      </w:r>
      <w:r w:rsidR="004B4F1F">
        <w:t>, and what other impacts might they have</w:t>
      </w:r>
      <w:r w:rsidR="00F22A43">
        <w:t>?</w:t>
      </w:r>
    </w:p>
    <w:p w14:paraId="19EF6C3B" w14:textId="3005C566" w:rsidR="00FA6592" w:rsidRDefault="0019728D" w:rsidP="00FA6592">
      <w:pPr>
        <w:pStyle w:val="BulletLevel3"/>
        <w:numPr>
          <w:ilvl w:val="0"/>
          <w:numId w:val="17"/>
        </w:numPr>
      </w:pPr>
      <w:r>
        <w:t>Estimating</w:t>
      </w:r>
      <w:r w:rsidR="00FA6592">
        <w:t xml:space="preserve"> EV uptake</w:t>
      </w:r>
      <w:r w:rsidR="00D76FD4">
        <w:t xml:space="preserve"> at the tail end of the EV transition</w:t>
      </w:r>
      <w:r w:rsidR="00FA6592">
        <w:t>:</w:t>
      </w:r>
    </w:p>
    <w:p w14:paraId="28FB0CF6" w14:textId="5326CEF7" w:rsidR="002002CB" w:rsidRDefault="000610B7" w:rsidP="00CC6C70">
      <w:pPr>
        <w:pStyle w:val="BulletLevel3"/>
      </w:pPr>
      <w:r>
        <w:t xml:space="preserve">What impact might the factors </w:t>
      </w:r>
      <w:r w:rsidR="00CC6C70">
        <w:t>considered</w:t>
      </w:r>
      <w:r>
        <w:t xml:space="preserve"> in </w:t>
      </w:r>
      <w:r w:rsidR="00811FC2">
        <w:t>research question</w:t>
      </w:r>
      <w:r w:rsidR="002C2240">
        <w:t> </w:t>
      </w:r>
      <w:r w:rsidR="00811FC2">
        <w:t xml:space="preserve">1 </w:t>
      </w:r>
      <w:r w:rsidR="00CC6C70">
        <w:t xml:space="preserve">and the measures identified in research question 2 </w:t>
      </w:r>
      <w:r w:rsidR="00811FC2">
        <w:t xml:space="preserve">have on the </w:t>
      </w:r>
      <w:r>
        <w:t>makeup of the fleet and the rate at which it transitions to EVs?</w:t>
      </w:r>
    </w:p>
    <w:p w14:paraId="5C592045" w14:textId="7CDCA662" w:rsidR="003A05B7" w:rsidRDefault="003A05B7" w:rsidP="00236FBF"/>
    <w:p w14:paraId="37E7FE2E" w14:textId="7274A79C" w:rsidR="00610516" w:rsidRDefault="00610516" w:rsidP="00236FBF">
      <w:r w:rsidRPr="00610516">
        <w:t xml:space="preserve">We </w:t>
      </w:r>
      <w:r w:rsidRPr="002C721C">
        <w:t>now</w:t>
      </w:r>
      <w:r w:rsidRPr="00610516">
        <w:t xml:space="preserve"> discuss each of the</w:t>
      </w:r>
      <w:r w:rsidR="004B4F1F">
        <w:t xml:space="preserve">se </w:t>
      </w:r>
      <w:r w:rsidR="00CC6C70">
        <w:t>three</w:t>
      </w:r>
      <w:r w:rsidR="004B4F1F">
        <w:t xml:space="preserve"> </w:t>
      </w:r>
      <w:r w:rsidRPr="00610516">
        <w:t>key research questions in turn, setting out the topics that the research should cover.</w:t>
      </w:r>
      <w:r w:rsidR="00F755A3">
        <w:t xml:space="preserve"> This specification will highlight various factors that could be of interest in the study. However, we recognise that the </w:t>
      </w:r>
      <w:r w:rsidR="00613D14">
        <w:t xml:space="preserve">research aims to investigate potential behaviours and choices over a </w:t>
      </w:r>
      <w:proofErr w:type="gramStart"/>
      <w:r w:rsidR="00613D14">
        <w:t>fairly long</w:t>
      </w:r>
      <w:proofErr w:type="gramEnd"/>
      <w:r w:rsidR="00613D14">
        <w:t xml:space="preserve"> time period, </w:t>
      </w:r>
      <w:r w:rsidR="00F010BB">
        <w:t>meaning that the</w:t>
      </w:r>
      <w:r w:rsidR="004E0D08">
        <w:t xml:space="preserve">re will be considerable uncertainty around the exact mechanisms of change. Therefore, </w:t>
      </w:r>
      <w:r w:rsidR="008F6FAE">
        <w:t xml:space="preserve">this specification should be seen as a guide to the types of factors that might be relevant rather than a prescriptive list of everything that the research is expected to cover – the successful bidder may </w:t>
      </w:r>
      <w:r w:rsidR="00507357">
        <w:t xml:space="preserve">choose not to pursue some </w:t>
      </w:r>
      <w:r w:rsidR="00097773">
        <w:t>areas</w:t>
      </w:r>
      <w:r w:rsidR="00507357">
        <w:t xml:space="preserve"> identified, and equally there may be some other factors that come to light during the research which </w:t>
      </w:r>
      <w:r w:rsidR="00CF40B2">
        <w:t>they do wish to explore. Our intention is</w:t>
      </w:r>
      <w:r w:rsidR="000D633D">
        <w:t xml:space="preserve"> to be flexible </w:t>
      </w:r>
      <w:r w:rsidR="00FC686E">
        <w:t>on the exact content of the research</w:t>
      </w:r>
      <w:r w:rsidR="00097773">
        <w:t xml:space="preserve">, and </w:t>
      </w:r>
      <w:r w:rsidR="000E4278">
        <w:t xml:space="preserve">we </w:t>
      </w:r>
      <w:r w:rsidR="00097773">
        <w:t>would expect the</w:t>
      </w:r>
      <w:r w:rsidR="00E372B7">
        <w:t xml:space="preserve"> successful bidder to justify their choices on areas of focus.</w:t>
      </w:r>
    </w:p>
    <w:p w14:paraId="7D85AFF7" w14:textId="0CBC90A4" w:rsidR="00610516" w:rsidRPr="00236FBF" w:rsidRDefault="00610516" w:rsidP="00911873">
      <w:pPr>
        <w:pStyle w:val="Norma"/>
      </w:pPr>
    </w:p>
    <w:p w14:paraId="3905AB6F" w14:textId="41B12100" w:rsidR="00610516" w:rsidRPr="00236FBF" w:rsidRDefault="00C01F33" w:rsidP="00236FBF">
      <w:pPr>
        <w:rPr>
          <w:u w:val="single"/>
        </w:rPr>
      </w:pPr>
      <w:r>
        <w:rPr>
          <w:u w:val="single"/>
        </w:rPr>
        <w:t xml:space="preserve">Research question 1: </w:t>
      </w:r>
      <w:r w:rsidR="00753F04">
        <w:rPr>
          <w:u w:val="single"/>
        </w:rPr>
        <w:t xml:space="preserve">Understanding </w:t>
      </w:r>
      <w:r w:rsidR="00001FEA">
        <w:rPr>
          <w:u w:val="single"/>
        </w:rPr>
        <w:t xml:space="preserve">the tail end of the EV </w:t>
      </w:r>
      <w:proofErr w:type="gramStart"/>
      <w:r w:rsidR="00001FEA">
        <w:rPr>
          <w:u w:val="single"/>
        </w:rPr>
        <w:t>transition</w:t>
      </w:r>
      <w:proofErr w:type="gramEnd"/>
    </w:p>
    <w:p w14:paraId="2B3F1526" w14:textId="2E1B0D66" w:rsidR="00BB2821" w:rsidRDefault="00BB2821" w:rsidP="00236FBF"/>
    <w:p w14:paraId="37E0B3FD" w14:textId="48173F40" w:rsidR="0010220A" w:rsidRDefault="007A53C3" w:rsidP="00236FBF">
      <w:r>
        <w:t>Purchases of EVs to date have been disproportionately by</w:t>
      </w:r>
      <w:r w:rsidR="00A91D60">
        <w:t xml:space="preserve"> commercial</w:t>
      </w:r>
      <w:r w:rsidR="002A644B">
        <w:t xml:space="preserve"> fleets,</w:t>
      </w:r>
      <w:r w:rsidR="00860FD2">
        <w:rPr>
          <w:rStyle w:val="FootnoteReference"/>
        </w:rPr>
        <w:footnoteReference w:id="2"/>
      </w:r>
      <w:r w:rsidR="008F5E6D">
        <w:t xml:space="preserve"> higher-income or more </w:t>
      </w:r>
      <w:r w:rsidR="00501B46">
        <w:t>technolog</w:t>
      </w:r>
      <w:r w:rsidR="00114110">
        <w:t>y-</w:t>
      </w:r>
      <w:r w:rsidR="00ED3F56">
        <w:t>driven</w:t>
      </w:r>
      <w:r w:rsidR="008F5E6D">
        <w:t xml:space="preserve"> individuals,</w:t>
      </w:r>
      <w:r w:rsidR="007B694A">
        <w:rPr>
          <w:rStyle w:val="FootnoteReference"/>
        </w:rPr>
        <w:footnoteReference w:id="3"/>
      </w:r>
      <w:r w:rsidR="008F5E6D">
        <w:t xml:space="preserve"> and households with access to private off-street parking.</w:t>
      </w:r>
      <w:r w:rsidR="00B4557D">
        <w:rPr>
          <w:rStyle w:val="FootnoteReference"/>
        </w:rPr>
        <w:footnoteReference w:id="4"/>
      </w:r>
      <w:r w:rsidR="008F5E6D">
        <w:t xml:space="preserve"> As EVs become more prevalent, however, sales will need to </w:t>
      </w:r>
      <w:r w:rsidR="006B7435">
        <w:t xml:space="preserve">grow </w:t>
      </w:r>
      <w:r w:rsidR="00BB5D07">
        <w:t>beyond these</w:t>
      </w:r>
      <w:r w:rsidR="00F54BE8">
        <w:t xml:space="preserve"> early-adopter groups, eventually becoming accessible to all drivers.</w:t>
      </w:r>
    </w:p>
    <w:p w14:paraId="559E9F3E" w14:textId="77777777" w:rsidR="0010220A" w:rsidRDefault="0010220A" w:rsidP="00236FBF"/>
    <w:p w14:paraId="29279C9C" w14:textId="38E8C0E2" w:rsidR="00A3793D" w:rsidRDefault="004F315D" w:rsidP="00EC04E5">
      <w:r>
        <w:t xml:space="preserve">This </w:t>
      </w:r>
      <w:r w:rsidR="00C92673">
        <w:t xml:space="preserve">is likely to become particularly important beyond </w:t>
      </w:r>
      <w:r w:rsidR="001041A9">
        <w:t>2030</w:t>
      </w:r>
      <w:r w:rsidR="00770A28">
        <w:t xml:space="preserve">. At this stage of </w:t>
      </w:r>
      <w:r w:rsidR="00E921D0">
        <w:t xml:space="preserve">the EV transition, </w:t>
      </w:r>
      <w:r w:rsidR="001041A9">
        <w:t xml:space="preserve">a large majority of new </w:t>
      </w:r>
      <w:r w:rsidR="003F4FF9">
        <w:t>vehicles entering the fleet</w:t>
      </w:r>
      <w:r w:rsidR="00E921D0">
        <w:t xml:space="preserve"> (80%+)</w:t>
      </w:r>
      <w:r w:rsidR="003F4FF9">
        <w:t xml:space="preserve"> will be </w:t>
      </w:r>
      <w:r w:rsidR="005D3AC8">
        <w:t xml:space="preserve">fully </w:t>
      </w:r>
      <w:r w:rsidR="003F4FF9">
        <w:t>electric</w:t>
      </w:r>
      <w:r w:rsidR="00B77DD9">
        <w:t>,</w:t>
      </w:r>
      <w:r w:rsidR="003F4FF9">
        <w:t xml:space="preserve"> but </w:t>
      </w:r>
      <w:r w:rsidR="00770A28">
        <w:t>some w</w:t>
      </w:r>
      <w:r w:rsidR="00E921D0">
        <w:t>ill continue to be petrol, diesel, or hybrid</w:t>
      </w:r>
      <w:r w:rsidR="00B77DD9">
        <w:t xml:space="preserve"> until 2035. Moreover, </w:t>
      </w:r>
      <w:r w:rsidR="003F4FF9">
        <w:t xml:space="preserve">there will remain a sizeable (but </w:t>
      </w:r>
      <w:r w:rsidR="00450CCC">
        <w:t>declining</w:t>
      </w:r>
      <w:r w:rsidR="003F4FF9">
        <w:t>) stock of existing petrol</w:t>
      </w:r>
      <w:r w:rsidR="00B736FE">
        <w:t xml:space="preserve">, </w:t>
      </w:r>
      <w:r w:rsidR="003F4FF9">
        <w:t>diesel</w:t>
      </w:r>
      <w:r w:rsidR="00B736FE">
        <w:t>, and</w:t>
      </w:r>
      <w:r w:rsidR="005D3AC8">
        <w:t xml:space="preserve"> hybrid</w:t>
      </w:r>
      <w:r w:rsidR="003F4FF9">
        <w:t xml:space="preserve"> vehicles </w:t>
      </w:r>
      <w:r w:rsidR="00062D9E">
        <w:t>on the road</w:t>
      </w:r>
      <w:r w:rsidR="00B77DD9">
        <w:t xml:space="preserve"> for a considerable </w:t>
      </w:r>
      <w:proofErr w:type="gramStart"/>
      <w:r w:rsidR="00B77DD9">
        <w:t>period of time</w:t>
      </w:r>
      <w:proofErr w:type="gramEnd"/>
      <w:r w:rsidR="00B77DD9">
        <w:t xml:space="preserve"> beyond this</w:t>
      </w:r>
      <w:r w:rsidR="00062D9E">
        <w:t xml:space="preserve">. </w:t>
      </w:r>
      <w:r w:rsidR="00F3307C">
        <w:t xml:space="preserve">Our </w:t>
      </w:r>
      <w:r w:rsidR="00806F4C">
        <w:t>calculations</w:t>
      </w:r>
      <w:r w:rsidR="00F3307C">
        <w:t xml:space="preserve">, based on phase-out assumptions and the </w:t>
      </w:r>
      <w:r w:rsidR="00A008FB">
        <w:t>zero-emission vehicle mandate targets</w:t>
      </w:r>
      <w:r w:rsidR="00F3307C">
        <w:t xml:space="preserve">, estimate that </w:t>
      </w:r>
      <w:r w:rsidR="00116F97">
        <w:t>B</w:t>
      </w:r>
      <w:r w:rsidR="00F3307C">
        <w:t xml:space="preserve">EVs will make up </w:t>
      </w:r>
      <w:r w:rsidR="004F16F1">
        <w:t xml:space="preserve">around a quarter of the fleet by 2030, growing to a half </w:t>
      </w:r>
      <w:r w:rsidR="001509A7">
        <w:t>by 2035</w:t>
      </w:r>
      <w:r w:rsidR="004F16F1">
        <w:t xml:space="preserve"> and </w:t>
      </w:r>
      <w:r w:rsidR="00CB4FCA">
        <w:t>three quarters by 2040.</w:t>
      </w:r>
      <w:r w:rsidR="007F6086">
        <w:t xml:space="preserve"> </w:t>
      </w:r>
      <w:r w:rsidR="00A34974">
        <w:t xml:space="preserve">Through this research, we would like to build a greater understanding of what the remaining </w:t>
      </w:r>
      <w:r w:rsidR="00116F97">
        <w:t>portion of the</w:t>
      </w:r>
      <w:r w:rsidR="00935FC6">
        <w:t xml:space="preserve"> fleet is likely to look like</w:t>
      </w:r>
      <w:r w:rsidR="00367EA8">
        <w:t xml:space="preserve">, the pace at which they </w:t>
      </w:r>
      <w:r w:rsidR="00367EA8">
        <w:lastRenderedPageBreak/>
        <w:t>will switch to BEVs,</w:t>
      </w:r>
      <w:r w:rsidR="00935FC6">
        <w:t xml:space="preserve"> and what impacts </w:t>
      </w:r>
      <w:r w:rsidR="00AD1274">
        <w:t xml:space="preserve">drivers </w:t>
      </w:r>
      <w:r w:rsidR="00935FC6">
        <w:t xml:space="preserve">may experience </w:t>
      </w:r>
      <w:r w:rsidR="00367EA8">
        <w:t>during</w:t>
      </w:r>
      <w:r w:rsidR="00935FC6">
        <w:t xml:space="preserve"> this stage of the transition – this is what we mean by the ‘tail’ of the EV</w:t>
      </w:r>
      <w:r w:rsidR="004F75F2">
        <w:t xml:space="preserve"> transition.</w:t>
      </w:r>
    </w:p>
    <w:p w14:paraId="7376F939" w14:textId="77777777" w:rsidR="004F75F2" w:rsidRDefault="004F75F2" w:rsidP="00236FBF"/>
    <w:p w14:paraId="6A589868" w14:textId="0E675CE4" w:rsidR="004F75F2" w:rsidRDefault="007950C0" w:rsidP="00236FBF">
      <w:r>
        <w:t>This portion of the fleet will consist of drivers who,</w:t>
      </w:r>
      <w:r w:rsidR="00BD1AC5">
        <w:t xml:space="preserve"> whether by choice or feasibility, have not yet purchase</w:t>
      </w:r>
      <w:r w:rsidR="00625629">
        <w:t>d</w:t>
      </w:r>
      <w:r w:rsidR="00BD1AC5">
        <w:t xml:space="preserve"> a new or used </w:t>
      </w:r>
      <w:r w:rsidR="00485471">
        <w:t>B</w:t>
      </w:r>
      <w:r w:rsidR="00BD1AC5">
        <w:t>EV. There could be multiple reasons underpinning this, including:</w:t>
      </w:r>
    </w:p>
    <w:p w14:paraId="78276090" w14:textId="595DA519" w:rsidR="00A45ADF" w:rsidRDefault="00C37B13" w:rsidP="0041526A">
      <w:pPr>
        <w:pStyle w:val="BulletLevel3"/>
      </w:pPr>
      <w:r>
        <w:t>Reliance on used</w:t>
      </w:r>
      <w:r w:rsidR="000A67F5">
        <w:t>-</w:t>
      </w:r>
      <w:r>
        <w:t xml:space="preserve">car markets with </w:t>
      </w:r>
      <w:r w:rsidR="00E90C81">
        <w:t xml:space="preserve">initially </w:t>
      </w:r>
      <w:r>
        <w:t xml:space="preserve">more limited </w:t>
      </w:r>
      <w:r w:rsidR="00F6040C">
        <w:t xml:space="preserve">electric </w:t>
      </w:r>
      <w:r>
        <w:t>options</w:t>
      </w:r>
      <w:r w:rsidR="00A45ADF">
        <w:t>.</w:t>
      </w:r>
    </w:p>
    <w:p w14:paraId="05F2FC3E" w14:textId="3F91EFC7" w:rsidR="00C37B13" w:rsidRDefault="005A2B5B" w:rsidP="0041526A">
      <w:pPr>
        <w:pStyle w:val="BulletLevel3"/>
      </w:pPr>
      <w:r>
        <w:t>The</w:t>
      </w:r>
      <w:r w:rsidR="000672DE">
        <w:t xml:space="preserve"> possibility of </w:t>
      </w:r>
      <w:r w:rsidR="00050E01">
        <w:t>EVs re</w:t>
      </w:r>
      <w:r w:rsidR="00EE427C">
        <w:t>tain</w:t>
      </w:r>
      <w:r w:rsidR="00C271F0">
        <w:t>ing</w:t>
      </w:r>
      <w:r w:rsidR="00EE427C">
        <w:t xml:space="preserve"> value longer than conventional alternatives</w:t>
      </w:r>
      <w:r w:rsidR="00F75C02">
        <w:t xml:space="preserve"> and hence taking longer to reach price parity in the used market</w:t>
      </w:r>
      <w:r w:rsidR="00AF436B">
        <w:t>.</w:t>
      </w:r>
    </w:p>
    <w:p w14:paraId="713CC1A8" w14:textId="4FF03B96" w:rsidR="00DF6C28" w:rsidRDefault="00DF6C28" w:rsidP="0041526A">
      <w:pPr>
        <w:pStyle w:val="BulletLevel3"/>
      </w:pPr>
      <w:r>
        <w:t>Concern about suitability of vehicle characteristics or charging infrastructure (</w:t>
      </w:r>
      <w:proofErr w:type="gramStart"/>
      <w:r>
        <w:t>e.g.</w:t>
      </w:r>
      <w:proofErr w:type="gramEnd"/>
      <w:r>
        <w:t xml:space="preserve"> in rural locations or densely-populated areas)</w:t>
      </w:r>
      <w:r w:rsidR="00AF436B">
        <w:t>.</w:t>
      </w:r>
    </w:p>
    <w:p w14:paraId="22F7A9D2" w14:textId="3C9421C7" w:rsidR="00485471" w:rsidRDefault="00485471" w:rsidP="00625629">
      <w:pPr>
        <w:pStyle w:val="BulletLevel3"/>
      </w:pPr>
      <w:r>
        <w:t xml:space="preserve">A </w:t>
      </w:r>
      <w:r w:rsidR="003936B7">
        <w:t xml:space="preserve">perception that </w:t>
      </w:r>
      <w:r>
        <w:t>petrol, diesel, or hybrid vehicles</w:t>
      </w:r>
      <w:r w:rsidR="003936B7">
        <w:t xml:space="preserve"> better meet their requirements.</w:t>
      </w:r>
    </w:p>
    <w:p w14:paraId="4C6493DF" w14:textId="02124708" w:rsidR="00F75C4A" w:rsidRDefault="00C01F33" w:rsidP="00792334">
      <w:r>
        <w:br/>
      </w:r>
      <w:r w:rsidR="0089420E">
        <w:t xml:space="preserve">As </w:t>
      </w:r>
      <w:r w:rsidR="00BD62E7">
        <w:t>B</w:t>
      </w:r>
      <w:r w:rsidR="0089420E">
        <w:t xml:space="preserve">EV </w:t>
      </w:r>
      <w:r w:rsidR="00BD62E7">
        <w:t>ownership</w:t>
      </w:r>
      <w:r w:rsidR="0089420E">
        <w:t xml:space="preserve"> grows, the share of drivers driving legacy petrol</w:t>
      </w:r>
      <w:r w:rsidR="00BD62E7">
        <w:t>,</w:t>
      </w:r>
      <w:r w:rsidR="0089420E">
        <w:t xml:space="preserve"> diesel</w:t>
      </w:r>
      <w:r w:rsidR="00BD62E7">
        <w:t>, and hybrid</w:t>
      </w:r>
      <w:r w:rsidR="0089420E">
        <w:t xml:space="preserve"> vehicles </w:t>
      </w:r>
      <w:r w:rsidR="00CC7A4C">
        <w:t xml:space="preserve">will decrease. As part of the research, we would like to understand </w:t>
      </w:r>
      <w:r w:rsidR="005511BE">
        <w:t>more about who these drivers are likely to be as well as</w:t>
      </w:r>
      <w:r w:rsidR="00F74301">
        <w:t xml:space="preserve"> </w:t>
      </w:r>
      <w:r w:rsidR="00CC7A4C">
        <w:t xml:space="preserve">whether this could lead to </w:t>
      </w:r>
      <w:r w:rsidR="0031765B">
        <w:t xml:space="preserve">negative </w:t>
      </w:r>
      <w:r w:rsidR="008A6CBC">
        <w:t xml:space="preserve">impacts for </w:t>
      </w:r>
      <w:r w:rsidR="00AC2F56">
        <w:t>groups within this portion of the fleet. Factors of interest here could include:</w:t>
      </w:r>
    </w:p>
    <w:p w14:paraId="668BBA83" w14:textId="42261B5C" w:rsidR="00AC2F56" w:rsidRDefault="00D76E70" w:rsidP="00820FE6">
      <w:pPr>
        <w:pStyle w:val="BulletLevel3"/>
      </w:pPr>
      <w:r>
        <w:t>Cost and convenience impacts (</w:t>
      </w:r>
      <w:proofErr w:type="gramStart"/>
      <w:r>
        <w:t>e.g.</w:t>
      </w:r>
      <w:proofErr w:type="gramEnd"/>
      <w:r>
        <w:t xml:space="preserve"> whether/how drivers will still be able to refuel as overall demand for liquid fuels drops) for </w:t>
      </w:r>
      <w:r w:rsidR="00115770">
        <w:t>non-</w:t>
      </w:r>
      <w:r w:rsidR="00FC38C1">
        <w:t>B</w:t>
      </w:r>
      <w:r>
        <w:t>EV</w:t>
      </w:r>
      <w:r w:rsidR="00115770">
        <w:t xml:space="preserve"> drivers</w:t>
      </w:r>
      <w:r>
        <w:t>.</w:t>
      </w:r>
    </w:p>
    <w:p w14:paraId="103FBB3A" w14:textId="7B652242" w:rsidR="00884256" w:rsidRDefault="004625BA" w:rsidP="00820FE6">
      <w:pPr>
        <w:pStyle w:val="BulletLevel3"/>
      </w:pPr>
      <w:r>
        <w:t>Specific use</w:t>
      </w:r>
      <w:r w:rsidR="001E404F">
        <w:t>-</w:t>
      </w:r>
      <w:r>
        <w:t xml:space="preserve">cases that may continue to require petrol or diesel vehicles </w:t>
      </w:r>
      <w:r w:rsidR="008B6757">
        <w:t xml:space="preserve">or be disproportionately disinclined towards </w:t>
      </w:r>
      <w:r w:rsidR="00FC38C1">
        <w:t>B</w:t>
      </w:r>
      <w:r w:rsidR="008B6757">
        <w:t>EVs.</w:t>
      </w:r>
    </w:p>
    <w:p w14:paraId="71DDD48A" w14:textId="30D3BB53" w:rsidR="00C50FB6" w:rsidRDefault="00C50FB6" w:rsidP="00820FE6">
      <w:pPr>
        <w:pStyle w:val="BulletLevel3"/>
      </w:pPr>
      <w:r>
        <w:t xml:space="preserve">Impacts on residual values (positive or negative) of legacy </w:t>
      </w:r>
      <w:r w:rsidR="0093570D">
        <w:t xml:space="preserve">vehicles and whether these could further restrict people’s ability to switch to </w:t>
      </w:r>
      <w:r w:rsidR="00E30C23">
        <w:t>a</w:t>
      </w:r>
      <w:r w:rsidR="0093570D">
        <w:t xml:space="preserve"> </w:t>
      </w:r>
      <w:r w:rsidR="00FC38C1">
        <w:t>B</w:t>
      </w:r>
      <w:r w:rsidR="0093570D">
        <w:t>EV.</w:t>
      </w:r>
    </w:p>
    <w:p w14:paraId="6E2E4667" w14:textId="614AA93C" w:rsidR="00563CCF" w:rsidRDefault="00563CCF" w:rsidP="00820FE6">
      <w:pPr>
        <w:pStyle w:val="BulletLevel3"/>
      </w:pPr>
      <w:r>
        <w:t>Potential future restrictions on driving non-</w:t>
      </w:r>
      <w:r w:rsidR="00FC38C1">
        <w:t>B</w:t>
      </w:r>
      <w:r>
        <w:t>EVs in certain areas (</w:t>
      </w:r>
      <w:proofErr w:type="gramStart"/>
      <w:r>
        <w:t>e.g.</w:t>
      </w:r>
      <w:proofErr w:type="gramEnd"/>
      <w:r>
        <w:t xml:space="preserve"> zero-emission zones</w:t>
      </w:r>
      <w:r w:rsidR="00DF6D16">
        <w:t>).</w:t>
      </w:r>
    </w:p>
    <w:p w14:paraId="549F38B2" w14:textId="62617948" w:rsidR="004625BA" w:rsidRDefault="004625BA" w:rsidP="00820FE6">
      <w:pPr>
        <w:pStyle w:val="BulletLevel3"/>
      </w:pPr>
      <w:r>
        <w:t xml:space="preserve">Whether </w:t>
      </w:r>
      <w:proofErr w:type="gramStart"/>
      <w:r>
        <w:t>particular regions</w:t>
      </w:r>
      <w:proofErr w:type="gramEnd"/>
      <w:r>
        <w:t xml:space="preserve"> or groups within society are likely to be particularly impacted by </w:t>
      </w:r>
      <w:r w:rsidR="008B6757">
        <w:t>the above factors</w:t>
      </w:r>
      <w:r w:rsidR="00C50FB6">
        <w:t>.</w:t>
      </w:r>
    </w:p>
    <w:p w14:paraId="21712024" w14:textId="15DFA1ED" w:rsidR="00D76E70" w:rsidRDefault="00884256" w:rsidP="00820FE6">
      <w:pPr>
        <w:pStyle w:val="BulletLevel3"/>
      </w:pPr>
      <w:r>
        <w:t>Perceptions of fairness that could arise from these impacts.</w:t>
      </w:r>
    </w:p>
    <w:p w14:paraId="0D8D4BAD" w14:textId="77777777" w:rsidR="004338EF" w:rsidRDefault="004338EF" w:rsidP="004338EF"/>
    <w:p w14:paraId="4295DFA6" w14:textId="2AFBE464" w:rsidR="00BD14B6" w:rsidRDefault="00001FEA" w:rsidP="00BC40D6">
      <w:r>
        <w:rPr>
          <w:u w:val="single"/>
        </w:rPr>
        <w:t xml:space="preserve">Research question 2: </w:t>
      </w:r>
      <w:r w:rsidRPr="00001FEA">
        <w:rPr>
          <w:u w:val="single"/>
        </w:rPr>
        <w:t>Exploring policies at the tail end of the EV transition:</w:t>
      </w:r>
    </w:p>
    <w:p w14:paraId="6152D35C" w14:textId="77777777" w:rsidR="00BD14B6" w:rsidRDefault="00BD14B6" w:rsidP="00236FBF"/>
    <w:p w14:paraId="0D281603" w14:textId="77777777" w:rsidR="004138BB" w:rsidRDefault="00D529B5" w:rsidP="00236FBF">
      <w:r>
        <w:t xml:space="preserve">The first section of the research is expected to have identified a range of risks that could </w:t>
      </w:r>
      <w:r w:rsidR="00C85EB7">
        <w:t xml:space="preserve">delay the transition of the full fleet to zero-emission vehicles or impose negative impacts on </w:t>
      </w:r>
      <w:proofErr w:type="gramStart"/>
      <w:r w:rsidR="00C85EB7">
        <w:t>particular groups</w:t>
      </w:r>
      <w:proofErr w:type="gramEnd"/>
      <w:r w:rsidR="00C85EB7">
        <w:t xml:space="preserve"> of society. </w:t>
      </w:r>
      <w:r w:rsidR="00705C78">
        <w:t>The research should explore options that could be implemented to address these risks</w:t>
      </w:r>
      <w:r w:rsidR="00AE12A8">
        <w:t xml:space="preserve"> and help </w:t>
      </w:r>
      <w:r w:rsidR="00443FC6">
        <w:t xml:space="preserve">bring the EV transition to </w:t>
      </w:r>
      <w:r w:rsidR="00911DFC">
        <w:t xml:space="preserve">completion in a </w:t>
      </w:r>
      <w:r w:rsidR="00443FC6">
        <w:t>quick, fair, and cost-effective</w:t>
      </w:r>
      <w:r w:rsidR="004138BB">
        <w:t xml:space="preserve"> manner</w:t>
      </w:r>
      <w:r w:rsidR="00443FC6">
        <w:t>.</w:t>
      </w:r>
    </w:p>
    <w:p w14:paraId="3BA8E4CD" w14:textId="77777777" w:rsidR="004138BB" w:rsidRDefault="004138BB" w:rsidP="00236FBF"/>
    <w:p w14:paraId="7F4B3007" w14:textId="6C869692" w:rsidR="00BC40D6" w:rsidRDefault="00C03DFD" w:rsidP="00236FBF">
      <w:r>
        <w:t>Such measures could include:</w:t>
      </w:r>
    </w:p>
    <w:p w14:paraId="4216128C" w14:textId="38DFBBDE" w:rsidR="00C03DFD" w:rsidRDefault="00C03DFD" w:rsidP="00F31D20">
      <w:pPr>
        <w:pStyle w:val="BulletLevel3"/>
      </w:pPr>
      <w:r>
        <w:t>Targeted incentives to encourage certain groups of consumers to purchase new or used BEVs.</w:t>
      </w:r>
    </w:p>
    <w:p w14:paraId="138FBA61" w14:textId="4927BFF9" w:rsidR="00C03DFD" w:rsidRDefault="00997577" w:rsidP="00F31D20">
      <w:pPr>
        <w:pStyle w:val="BulletLevel3"/>
      </w:pPr>
      <w:r>
        <w:t>Targeted scrappage schemes to replace or remove older vehicles from the fleet.</w:t>
      </w:r>
    </w:p>
    <w:p w14:paraId="35AEC656" w14:textId="2C578AE7" w:rsidR="00997577" w:rsidRDefault="005D7F77" w:rsidP="00F31D20">
      <w:pPr>
        <w:pStyle w:val="BulletLevel3"/>
      </w:pPr>
      <w:r>
        <w:t>Measures to support affordability of BEVs in the used-car market (</w:t>
      </w:r>
      <w:proofErr w:type="gramStart"/>
      <w:r w:rsidR="008A2ACC">
        <w:t>e.g.</w:t>
      </w:r>
      <w:proofErr w:type="gramEnd"/>
      <w:r w:rsidR="008A2ACC">
        <w:t xml:space="preserve"> interest-free loans)</w:t>
      </w:r>
      <w:r>
        <w:t>.</w:t>
      </w:r>
    </w:p>
    <w:p w14:paraId="6BF7D871" w14:textId="150BC004" w:rsidR="008A2ACC" w:rsidRDefault="008A2ACC" w:rsidP="00F31D20">
      <w:pPr>
        <w:pStyle w:val="BulletLevel3"/>
      </w:pPr>
      <w:r>
        <w:lastRenderedPageBreak/>
        <w:t xml:space="preserve">Consumer information measures, helping </w:t>
      </w:r>
      <w:r w:rsidR="006333CE">
        <w:t>reluctant consumers to understand more about the benefits and suitability of BEVs.</w:t>
      </w:r>
    </w:p>
    <w:p w14:paraId="32574B8C" w14:textId="2B5541E9" w:rsidR="006333CE" w:rsidRDefault="006333CE" w:rsidP="00F31D20">
      <w:pPr>
        <w:pStyle w:val="BulletLevel3"/>
      </w:pPr>
      <w:r>
        <w:t>Schemes to retrofit existing vehicles to battery power.</w:t>
      </w:r>
    </w:p>
    <w:p w14:paraId="71B57FBA" w14:textId="77777777" w:rsidR="006F2779" w:rsidRDefault="006F2779" w:rsidP="006F2779"/>
    <w:p w14:paraId="03E418BF" w14:textId="460DA112" w:rsidR="006F2779" w:rsidRDefault="006F2779" w:rsidP="006F2779">
      <w:r>
        <w:t xml:space="preserve">The research should </w:t>
      </w:r>
      <w:r w:rsidR="00C829B9">
        <w:t xml:space="preserve">consider how effective the interventions </w:t>
      </w:r>
      <w:r w:rsidR="001244DF">
        <w:t xml:space="preserve">considered could be at addressing risks or potential negative impacts identified within research question 1, as well as the </w:t>
      </w:r>
      <w:r w:rsidR="000169DE">
        <w:t>associated cost impacts.</w:t>
      </w:r>
    </w:p>
    <w:p w14:paraId="006AC9B7" w14:textId="77777777" w:rsidR="006333CE" w:rsidRDefault="006333CE" w:rsidP="00EA4634"/>
    <w:p w14:paraId="0D1FC764" w14:textId="02E94CE4" w:rsidR="001550E8" w:rsidRDefault="001550E8" w:rsidP="00EA4634">
      <w:pPr>
        <w:rPr>
          <w:u w:val="single"/>
        </w:rPr>
      </w:pPr>
      <w:bookmarkStart w:id="10" w:name="_Hlk146103670"/>
      <w:r>
        <w:rPr>
          <w:u w:val="single"/>
        </w:rPr>
        <w:t>Research question 3:</w:t>
      </w:r>
      <w:r w:rsidR="00413ABD">
        <w:rPr>
          <w:u w:val="single"/>
        </w:rPr>
        <w:t xml:space="preserve"> </w:t>
      </w:r>
      <w:r w:rsidR="00D76FD4">
        <w:rPr>
          <w:u w:val="single"/>
        </w:rPr>
        <w:t>Estimating</w:t>
      </w:r>
      <w:r w:rsidR="000169DE" w:rsidRPr="000169DE">
        <w:rPr>
          <w:u w:val="single"/>
        </w:rPr>
        <w:t xml:space="preserve"> EV uptake</w:t>
      </w:r>
      <w:r w:rsidR="00D76FD4">
        <w:rPr>
          <w:u w:val="single"/>
        </w:rPr>
        <w:t xml:space="preserve"> at the tail end of the EV transition</w:t>
      </w:r>
    </w:p>
    <w:p w14:paraId="3A771D2C" w14:textId="77777777" w:rsidR="001550E8" w:rsidRDefault="001550E8" w:rsidP="00EA4634"/>
    <w:p w14:paraId="5AD3B0AD" w14:textId="2DB4885B" w:rsidR="001550E8" w:rsidRDefault="001550E8" w:rsidP="001550E8">
      <w:r>
        <w:t xml:space="preserve">We are </w:t>
      </w:r>
      <w:r w:rsidR="00B60EB0">
        <w:t xml:space="preserve">particularly </w:t>
      </w:r>
      <w:r>
        <w:t>keen to understand what impact the</w:t>
      </w:r>
      <w:r w:rsidR="004831E8">
        <w:t xml:space="preserve"> tail effects considered in research question 1 and the </w:t>
      </w:r>
      <w:r w:rsidR="001E1C09">
        <w:t>potential interventions</w:t>
      </w:r>
      <w:r w:rsidR="004831E8">
        <w:t xml:space="preserve"> identified in research question 2 </w:t>
      </w:r>
      <w:r>
        <w:t xml:space="preserve">could have on the rate of BEV adoption </w:t>
      </w:r>
      <w:r w:rsidR="00BF065F">
        <w:t xml:space="preserve">and the makeup of the vehicle fleet </w:t>
      </w:r>
      <w:r>
        <w:t xml:space="preserve">in the later years of the transition. Factors of </w:t>
      </w:r>
      <w:r w:rsidR="00BC4853">
        <w:t xml:space="preserve">relevance </w:t>
      </w:r>
      <w:r w:rsidR="00300D1A">
        <w:t>to this question</w:t>
      </w:r>
      <w:r>
        <w:t xml:space="preserve"> could include:</w:t>
      </w:r>
    </w:p>
    <w:p w14:paraId="062DB5B7" w14:textId="77777777" w:rsidR="001550E8" w:rsidRDefault="001550E8" w:rsidP="001550E8">
      <w:pPr>
        <w:pStyle w:val="BulletLevel3"/>
      </w:pPr>
      <w:r>
        <w:t>The proportion of drivers likely to remain unable or reluctant to switch to BEVs.</w:t>
      </w:r>
    </w:p>
    <w:p w14:paraId="22A0F14B" w14:textId="77777777" w:rsidR="001550E8" w:rsidRDefault="001550E8" w:rsidP="001550E8">
      <w:pPr>
        <w:pStyle w:val="BulletLevel3"/>
      </w:pPr>
      <w:r>
        <w:t>The rate at which BEVs become available and affordable across all price points and market categories within the used car and van markets (</w:t>
      </w:r>
      <w:proofErr w:type="gramStart"/>
      <w:r>
        <w:t>in particular looking</w:t>
      </w:r>
      <w:proofErr w:type="gramEnd"/>
      <w:r>
        <w:t xml:space="preserve"> at access to BEVs for drivers who typically buy vehicles third- or fourth-hand or later).</w:t>
      </w:r>
    </w:p>
    <w:p w14:paraId="13558C7C" w14:textId="2512EC93" w:rsidR="001550E8" w:rsidRDefault="001550E8" w:rsidP="001550E8">
      <w:pPr>
        <w:pStyle w:val="BulletLevel3"/>
      </w:pPr>
      <w:r>
        <w:t xml:space="preserve">New vehicle buyers who may </w:t>
      </w:r>
      <w:r w:rsidR="00A06E17">
        <w:t>either choose to buy</w:t>
      </w:r>
      <w:r w:rsidR="00CE4ED1">
        <w:t xml:space="preserve"> a new petrol or diesel vehicle </w:t>
      </w:r>
      <w:r w:rsidR="00FF152D">
        <w:t xml:space="preserve">in their final years of availability or </w:t>
      </w:r>
      <w:r>
        <w:t>switch to buying second-hand petrol or diesel vehicles post</w:t>
      </w:r>
      <w:r w:rsidR="00CE0AFA">
        <w:t>-</w:t>
      </w:r>
      <w:r>
        <w:t>203</w:t>
      </w:r>
      <w:r w:rsidR="00A06E17">
        <w:t>5</w:t>
      </w:r>
      <w:r>
        <w:t>.</w:t>
      </w:r>
    </w:p>
    <w:p w14:paraId="53FB3A67" w14:textId="77777777" w:rsidR="001550E8" w:rsidRDefault="001550E8" w:rsidP="001550E8">
      <w:pPr>
        <w:pStyle w:val="BulletLevel3"/>
      </w:pPr>
      <w:r>
        <w:t>The potential for drivers to choose to keep existing vehicles on the road longer than they would today, increasing the age of the fleet.</w:t>
      </w:r>
    </w:p>
    <w:p w14:paraId="67FC5496" w14:textId="77777777" w:rsidR="001550E8" w:rsidRDefault="001550E8" w:rsidP="001550E8">
      <w:pPr>
        <w:pStyle w:val="BulletLevel3"/>
      </w:pPr>
      <w:r>
        <w:t>Indirect impacts of drivers’ preferences on new vehicle supply and demand. For instance, relative preferences in the second-hand market influence residual values, which impact the affordability of new vehicles (particularly when purchased using financing).</w:t>
      </w:r>
    </w:p>
    <w:p w14:paraId="35CE700C" w14:textId="6AB5103F" w:rsidR="00300D1A" w:rsidRDefault="00300D1A" w:rsidP="008A750E">
      <w:pPr>
        <w:pStyle w:val="BulletLevel3"/>
      </w:pPr>
      <w:r>
        <w:t>The effectiveness or uptake rates of different interventions</w:t>
      </w:r>
      <w:r w:rsidR="002436D6">
        <w:t>.</w:t>
      </w:r>
    </w:p>
    <w:p w14:paraId="541B1D6D" w14:textId="6C618F31" w:rsidR="001550E8" w:rsidRDefault="001550E8" w:rsidP="001550E8">
      <w:pPr>
        <w:pStyle w:val="BulletLevel3"/>
      </w:pPr>
      <w:r>
        <w:t>Supply-side risks, such as restrictions on supplies of critical minerals or disruptions to supply chains, are not within the scope of this study.</w:t>
      </w:r>
    </w:p>
    <w:p w14:paraId="4E0C9742" w14:textId="77777777" w:rsidR="001550E8" w:rsidRDefault="001550E8" w:rsidP="00EA4634"/>
    <w:p w14:paraId="7A9627E7" w14:textId="25DC17D9" w:rsidR="008455F6" w:rsidRDefault="00842E35" w:rsidP="00E47122">
      <w:r>
        <w:t>The research should consider these</w:t>
      </w:r>
      <w:r w:rsidR="00B2005A">
        <w:t xml:space="preserve"> and </w:t>
      </w:r>
      <w:r w:rsidR="00A75AAC">
        <w:t>any other relevant</w:t>
      </w:r>
      <w:r w:rsidR="00B2005A">
        <w:t xml:space="preserve"> factors to </w:t>
      </w:r>
      <w:r w:rsidR="00EF637D">
        <w:t xml:space="preserve">quantify (where possible) the impact that </w:t>
      </w:r>
      <w:r w:rsidR="0005718F">
        <w:t xml:space="preserve">the effects considered in research question 1 and the </w:t>
      </w:r>
      <w:r w:rsidR="00D60D9D">
        <w:t xml:space="preserve">measures identified in research question 2 </w:t>
      </w:r>
      <w:r w:rsidR="00B2005A">
        <w:t xml:space="preserve">could </w:t>
      </w:r>
      <w:r w:rsidR="0008104C">
        <w:t xml:space="preserve">have on the </w:t>
      </w:r>
      <w:r w:rsidR="009E7778">
        <w:t xml:space="preserve">rate at which </w:t>
      </w:r>
      <w:r w:rsidR="003F3AE2">
        <w:t xml:space="preserve">consumers </w:t>
      </w:r>
      <w:r w:rsidR="00FA23E4">
        <w:t>make the switch to BEVs.</w:t>
      </w:r>
    </w:p>
    <w:p w14:paraId="0FAAC8F0" w14:textId="77777777" w:rsidR="0008104C" w:rsidRDefault="0008104C" w:rsidP="00EA4634"/>
    <w:p w14:paraId="0562729F" w14:textId="4C63E163" w:rsidR="000A65B8" w:rsidRDefault="00221AEB" w:rsidP="00EA4634">
      <w:r>
        <w:t xml:space="preserve">The optimal timing for introducing interventions </w:t>
      </w:r>
      <w:r w:rsidR="009B73B6">
        <w:t xml:space="preserve">should also be a key consideration. </w:t>
      </w:r>
      <w:r w:rsidR="00BB528B">
        <w:t>Although</w:t>
      </w:r>
      <w:r w:rsidR="00BB528B" w:rsidRPr="00BB528B">
        <w:t xml:space="preserve"> many projections of </w:t>
      </w:r>
      <w:r w:rsidR="00BB528B">
        <w:t>B</w:t>
      </w:r>
      <w:r w:rsidR="00BB528B" w:rsidRPr="00BB528B">
        <w:t>EV uptake assume a smooth tail</w:t>
      </w:r>
      <w:r w:rsidR="00BB528B">
        <w:t xml:space="preserve"> in which the proportion of non-BEVs remaining on the road gradually drops to zero</w:t>
      </w:r>
      <w:r w:rsidR="00BB528B" w:rsidRPr="00BB528B">
        <w:t xml:space="preserve">, in practice </w:t>
      </w:r>
      <w:r w:rsidR="00776CAF">
        <w:t xml:space="preserve">there are </w:t>
      </w:r>
      <w:proofErr w:type="gramStart"/>
      <w:r w:rsidR="000A65B8">
        <w:t>a number of</w:t>
      </w:r>
      <w:proofErr w:type="gramEnd"/>
      <w:r w:rsidR="000A65B8">
        <w:t xml:space="preserve"> reasons why this may not be viable:</w:t>
      </w:r>
    </w:p>
    <w:p w14:paraId="6B9B63E1" w14:textId="77777777" w:rsidR="000A65B8" w:rsidRDefault="000A65B8" w:rsidP="001D3CCF">
      <w:pPr>
        <w:pStyle w:val="BulletLevel3"/>
      </w:pPr>
      <w:r>
        <w:t>I</w:t>
      </w:r>
      <w:r w:rsidR="00BB528B" w:rsidRPr="00BB528B">
        <w:t>t may not be cost-effective for the required supporting infrastructure (refuelling stations, maintenance provision, etc.) to remain in place to support such a gradual reduction in fossil-fuelled vehicles.</w:t>
      </w:r>
    </w:p>
    <w:p w14:paraId="251C9797" w14:textId="06808536" w:rsidR="00514723" w:rsidRDefault="00A9689E" w:rsidP="001D3CCF">
      <w:pPr>
        <w:pStyle w:val="BulletLevel3"/>
      </w:pPr>
      <w:r>
        <w:t>Fuel and maintenance costs may become unaffordable for</w:t>
      </w:r>
      <w:r w:rsidR="00514723">
        <w:t xml:space="preserve"> regular use by </w:t>
      </w:r>
      <w:proofErr w:type="gramStart"/>
      <w:r w:rsidR="00514723">
        <w:t>the majority of</w:t>
      </w:r>
      <w:proofErr w:type="gramEnd"/>
      <w:r w:rsidR="00514723">
        <w:t xml:space="preserve"> consumers.</w:t>
      </w:r>
    </w:p>
    <w:p w14:paraId="7AD0E1AF" w14:textId="77777777" w:rsidR="00B02A39" w:rsidRDefault="00BA38DF" w:rsidP="001D3CCF">
      <w:pPr>
        <w:pStyle w:val="BulletLevel3"/>
      </w:pPr>
      <w:r>
        <w:lastRenderedPageBreak/>
        <w:t xml:space="preserve">Demand for used non-BEVs </w:t>
      </w:r>
      <w:r w:rsidR="00062DD0">
        <w:t>would</w:t>
      </w:r>
      <w:r>
        <w:t xml:space="preserve"> likely fall substantially at some point, undermining residual values for those remaining in the fleet and </w:t>
      </w:r>
      <w:r w:rsidR="00062DD0">
        <w:t>hindering their drivers’ ability to switch to BEVs.</w:t>
      </w:r>
    </w:p>
    <w:p w14:paraId="292CA21C" w14:textId="77777777" w:rsidR="00DF5439" w:rsidRDefault="00DF5439" w:rsidP="00DF5439"/>
    <w:p w14:paraId="72422FA4" w14:textId="357829CF" w:rsidR="001A6FE4" w:rsidRDefault="00BB528B" w:rsidP="00DF5439">
      <w:r w:rsidRPr="00BB528B">
        <w:t xml:space="preserve">Therefore, it may be necessary to use measures such as those </w:t>
      </w:r>
      <w:r w:rsidR="009B73B6">
        <w:t>identified in research question 2</w:t>
      </w:r>
      <w:r w:rsidRPr="00BB528B">
        <w:t xml:space="preserve"> to accelerate the final stages of the transition. We are keen for the research to explore how this might be achieved and the optimal timing for such interventions to be introduced.</w:t>
      </w:r>
    </w:p>
    <w:p w14:paraId="2C2B1C69" w14:textId="77777777" w:rsidR="001A6FE4" w:rsidRDefault="001A6FE4" w:rsidP="00EA4634"/>
    <w:p w14:paraId="3CBC11A9" w14:textId="73BC7AA2" w:rsidR="00EA4634" w:rsidRDefault="001A6FE4" w:rsidP="00857AD6">
      <w:r>
        <w:t>Note that, w</w:t>
      </w:r>
      <w:r w:rsidR="00C668A6">
        <w:t xml:space="preserve">hile the focus of this research is </w:t>
      </w:r>
      <w:r w:rsidR="00562234">
        <w:t xml:space="preserve">on drivers switching to ownership of BEVs, we recognise that there is also a role for investment in sustainable alternative modes of transport </w:t>
      </w:r>
      <w:r w:rsidR="00027ACC">
        <w:t>to reduce individuals’ reliance on private cars. This includes public transport, active travel, and shared mobility</w:t>
      </w:r>
      <w:r w:rsidR="00C10893">
        <w:t xml:space="preserve">, </w:t>
      </w:r>
      <w:r w:rsidR="00027ACC">
        <w:t xml:space="preserve">including increasing availability and attractiveness of car club vehicles, which could </w:t>
      </w:r>
      <w:r w:rsidR="00C10893">
        <w:t xml:space="preserve">allow some drivers to </w:t>
      </w:r>
      <w:r w:rsidR="00F93827">
        <w:t>choose not to own</w:t>
      </w:r>
      <w:r w:rsidR="00913B37">
        <w:t xml:space="preserve"> a private vehicle. The CCC will be exploring these approaches in parallel work as part of developing our Seventh Carbon Budget scenarios, </w:t>
      </w:r>
      <w:r w:rsidR="004C6377">
        <w:t xml:space="preserve">so </w:t>
      </w:r>
      <w:r w:rsidR="009D413D">
        <w:t xml:space="preserve">we do not expect the successful bidder to study these approaches in detail within this research. However, </w:t>
      </w:r>
      <w:r w:rsidR="00DD7AE9">
        <w:t xml:space="preserve">we would be happy to be directed to any insightful evidence on these topics that does come to light </w:t>
      </w:r>
      <w:proofErr w:type="gramStart"/>
      <w:r w:rsidR="00DD7AE9">
        <w:t>during the course of</w:t>
      </w:r>
      <w:proofErr w:type="gramEnd"/>
      <w:r w:rsidR="00DD7AE9">
        <w:t xml:space="preserve"> the</w:t>
      </w:r>
      <w:r>
        <w:t xml:space="preserve"> project.</w:t>
      </w:r>
      <w:bookmarkEnd w:id="10"/>
    </w:p>
    <w:p w14:paraId="6237D087" w14:textId="557DFF80" w:rsidR="003A05B7" w:rsidRPr="0038388A" w:rsidRDefault="003A05B7" w:rsidP="00911873">
      <w:pPr>
        <w:pStyle w:val="Heading1"/>
        <w:numPr>
          <w:ilvl w:val="0"/>
          <w:numId w:val="1"/>
        </w:numPr>
        <w:rPr>
          <w:color w:val="FF0000"/>
        </w:rPr>
      </w:pPr>
      <w:bookmarkStart w:id="11" w:name="_Toc381969509"/>
      <w:bookmarkStart w:id="12" w:name="_Toc405888458"/>
      <w:r w:rsidRPr="008A3CA4">
        <w:t>Methodology</w:t>
      </w:r>
      <w:bookmarkEnd w:id="11"/>
      <w:bookmarkEnd w:id="12"/>
    </w:p>
    <w:p w14:paraId="4863BCC8" w14:textId="7E8B35D8" w:rsidR="008E5D72" w:rsidRDefault="008E5D72" w:rsidP="00911873">
      <w:pPr>
        <w:pStyle w:val="Norma"/>
      </w:pPr>
      <w:r w:rsidRPr="008E5D72">
        <w:t>This research should be conducted through a combination of reviewing existing literature and research as well as sourcing and analysing data relevant to addressing the questions outlined in the previous section.</w:t>
      </w:r>
    </w:p>
    <w:p w14:paraId="2EF385B8" w14:textId="77777777" w:rsidR="00C50C16" w:rsidRDefault="00C50C16" w:rsidP="00911873">
      <w:pPr>
        <w:pStyle w:val="Norma"/>
      </w:pPr>
    </w:p>
    <w:p w14:paraId="59068278" w14:textId="2F3C76FA" w:rsidR="00C50C16" w:rsidRDefault="00A56031" w:rsidP="00911873">
      <w:pPr>
        <w:pStyle w:val="Norma"/>
      </w:pPr>
      <w:r>
        <w:t xml:space="preserve">The CCC holds its own model of EV uptake, which </w:t>
      </w:r>
      <w:r w:rsidR="00D93B5D">
        <w:t xml:space="preserve">we intend to use as the basis for our Seventh Carbon Budget uptake assumptions. </w:t>
      </w:r>
      <w:r w:rsidR="003F1034">
        <w:t>The</w:t>
      </w:r>
      <w:r w:rsidR="009C3C19">
        <w:t xml:space="preserve"> CCC can provide </w:t>
      </w:r>
      <w:r w:rsidR="00970D9D">
        <w:t xml:space="preserve">the successful bidder with our central deployment trajectory, as well as the </w:t>
      </w:r>
      <w:r w:rsidR="0079308B">
        <w:t>modelling underpinning this if required</w:t>
      </w:r>
      <w:r w:rsidR="00EB7A67">
        <w:t xml:space="preserve">. This model does not </w:t>
      </w:r>
      <w:r w:rsidR="008760D8">
        <w:t>explicitly consider variations in demographic or spatial factors (for example)</w:t>
      </w:r>
      <w:r w:rsidR="00873AC6">
        <w:t xml:space="preserve"> and focuses only on the new car/van market, so the first step would be to develop an evidence-based </w:t>
      </w:r>
      <w:r w:rsidR="00124259">
        <w:t xml:space="preserve">assessment of </w:t>
      </w:r>
      <w:r w:rsidR="001D69B8">
        <w:t xml:space="preserve">the likely fleet makeup </w:t>
      </w:r>
      <w:r w:rsidR="00E27ADE">
        <w:t xml:space="preserve">based on these uptake assumptions </w:t>
      </w:r>
      <w:r w:rsidR="001D69B8">
        <w:t xml:space="preserve">(including who is driving what sort of vehicle, </w:t>
      </w:r>
      <w:r w:rsidR="00E27ADE">
        <w:t xml:space="preserve">how the used market might look, etc.) and then explore this to understand </w:t>
      </w:r>
      <w:r w:rsidR="00B73181">
        <w:t xml:space="preserve">any potential implications of this for </w:t>
      </w:r>
      <w:r w:rsidR="00160EB1">
        <w:t>further deployment, costs, and fairness.</w:t>
      </w:r>
      <w:r w:rsidR="00AE10FA">
        <w:t xml:space="preserve"> One approach to doing this would be to model the used car and van markets, looking at the rate at which BEV supply is expected to flow in from the</w:t>
      </w:r>
      <w:r w:rsidR="0002046C">
        <w:t xml:space="preserve"> CCC’s </w:t>
      </w:r>
      <w:r w:rsidR="001D6D2C">
        <w:t xml:space="preserve">levels of </w:t>
      </w:r>
      <w:r w:rsidR="0002046C">
        <w:t>new BEV sales</w:t>
      </w:r>
      <w:r w:rsidR="00AE10FA">
        <w:t>, how much these vehicles are likely to costs, and levels of demand. We would be interested in such a modelled approach if feasible, although we are also open to alternative approaches.</w:t>
      </w:r>
    </w:p>
    <w:p w14:paraId="5EF78A81" w14:textId="77777777" w:rsidR="006250C0" w:rsidRDefault="006250C0" w:rsidP="00911873">
      <w:pPr>
        <w:pStyle w:val="Norma"/>
      </w:pPr>
    </w:p>
    <w:p w14:paraId="08FD209C" w14:textId="669334D5" w:rsidR="006250C0" w:rsidRDefault="007523D2" w:rsidP="00911873">
      <w:pPr>
        <w:pStyle w:val="Norma"/>
      </w:pPr>
      <w:r>
        <w:t xml:space="preserve">We do not expect this project to require </w:t>
      </w:r>
      <w:r w:rsidR="00C638B9">
        <w:t xml:space="preserve">any large programme of primary research. </w:t>
      </w:r>
      <w:r w:rsidR="009E127B">
        <w:t xml:space="preserve">Existing survey findings, data on current demographics and vehicle sales, and </w:t>
      </w:r>
      <w:r w:rsidR="00553392">
        <w:t xml:space="preserve">agreed assumptions, complemented where needed by targeted engagement and expert discussions, should be sufficient to </w:t>
      </w:r>
      <w:r w:rsidR="00213882">
        <w:t xml:space="preserve">develop an evidence-based characterisation of the </w:t>
      </w:r>
      <w:r w:rsidR="005A4781">
        <w:t xml:space="preserve">groups of consumers likely to </w:t>
      </w:r>
      <w:r w:rsidR="005C4816">
        <w:t>be still driving petrol, diesel, and hybrid vehicles and</w:t>
      </w:r>
      <w:r w:rsidR="00535F81">
        <w:t xml:space="preserve"> </w:t>
      </w:r>
      <w:r w:rsidR="00B9244C">
        <w:t>identify the potential consequences for the pace, cost, and fairness of the EV transition</w:t>
      </w:r>
      <w:r w:rsidR="00992360">
        <w:t xml:space="preserve">. </w:t>
      </w:r>
      <w:r w:rsidR="00D5186B">
        <w:t xml:space="preserve">Literature reviews, </w:t>
      </w:r>
      <w:r w:rsidR="00F3560F">
        <w:t xml:space="preserve">evidence from past transitions and overseas, and expert judgement (potentially including targeted stakeholder engagement) should then be used to </w:t>
      </w:r>
      <w:r w:rsidR="00A17A6E">
        <w:t>determine a shortlist of measures that could be used to address any risks identified</w:t>
      </w:r>
      <w:r w:rsidR="009A027B">
        <w:t xml:space="preserve"> and estimate their potential impact</w:t>
      </w:r>
      <w:r w:rsidR="00A17A6E">
        <w:t>.</w:t>
      </w:r>
    </w:p>
    <w:p w14:paraId="6107D2D8" w14:textId="77777777" w:rsidR="0025432B" w:rsidRDefault="0025432B" w:rsidP="00911873">
      <w:pPr>
        <w:pStyle w:val="Norma"/>
      </w:pPr>
    </w:p>
    <w:p w14:paraId="558A020B" w14:textId="47358BC3" w:rsidR="0025432B" w:rsidRDefault="0025432B" w:rsidP="00911873">
      <w:pPr>
        <w:pStyle w:val="Norma"/>
      </w:pPr>
      <w:r>
        <w:t xml:space="preserve">We </w:t>
      </w:r>
      <w:r w:rsidR="004C145E">
        <w:t>understand</w:t>
      </w:r>
      <w:r>
        <w:t xml:space="preserve"> that the long </w:t>
      </w:r>
      <w:proofErr w:type="gramStart"/>
      <w:r>
        <w:t>time period</w:t>
      </w:r>
      <w:proofErr w:type="gramEnd"/>
      <w:r>
        <w:t xml:space="preserve"> that this study aims to investigate </w:t>
      </w:r>
      <w:r w:rsidR="00E9218B">
        <w:t>necessarily implies significant uncertainty around factors such as demographic</w:t>
      </w:r>
      <w:r w:rsidR="0084452F">
        <w:t>s</w:t>
      </w:r>
      <w:r w:rsidR="00E9218B">
        <w:t xml:space="preserve">, </w:t>
      </w:r>
      <w:r w:rsidR="0084452F">
        <w:t xml:space="preserve">consumer preferences, </w:t>
      </w:r>
      <w:r w:rsidR="00590984">
        <w:t xml:space="preserve">market dynamics, </w:t>
      </w:r>
      <w:r w:rsidR="0084452F">
        <w:t>and travel behaviours.</w:t>
      </w:r>
      <w:r w:rsidR="00590984">
        <w:t xml:space="preserve"> The research team will therefore likely need to make major assumptions about the state </w:t>
      </w:r>
      <w:r w:rsidR="00EC02BF">
        <w:t>of</w:t>
      </w:r>
      <w:r w:rsidR="0059426D">
        <w:t xml:space="preserve"> society and the</w:t>
      </w:r>
      <w:r w:rsidR="005E71D7">
        <w:t xml:space="preserve"> vehicle market </w:t>
      </w:r>
      <w:proofErr w:type="gramStart"/>
      <w:r w:rsidR="005E71D7">
        <w:t>in order to</w:t>
      </w:r>
      <w:proofErr w:type="gramEnd"/>
      <w:r w:rsidR="005E71D7">
        <w:t xml:space="preserve"> </w:t>
      </w:r>
      <w:r w:rsidR="002C1C0D">
        <w:t xml:space="preserve">produce the analysis required. </w:t>
      </w:r>
      <w:r>
        <w:t>We</w:t>
      </w:r>
      <w:r w:rsidR="00337F7C">
        <w:t xml:space="preserve"> see this as an important part of the project and are keen that (where feasible) these assumptions should all </w:t>
      </w:r>
      <w:r w:rsidR="00337F7C">
        <w:lastRenderedPageBreak/>
        <w:t>be transparently reported</w:t>
      </w:r>
      <w:r w:rsidR="004C145E">
        <w:t xml:space="preserve"> and </w:t>
      </w:r>
      <w:proofErr w:type="gramStart"/>
      <w:r w:rsidR="004C145E">
        <w:t>evidence-based</w:t>
      </w:r>
      <w:proofErr w:type="gramEnd"/>
      <w:r w:rsidR="004C145E">
        <w:t xml:space="preserve">. Where </w:t>
      </w:r>
      <w:r w:rsidR="005C52CF">
        <w:t xml:space="preserve">uncertainties </w:t>
      </w:r>
      <w:r w:rsidR="00337F7C">
        <w:t xml:space="preserve">around key assumptions </w:t>
      </w:r>
      <w:r w:rsidR="005C52CF">
        <w:t xml:space="preserve">could drive sizeable changes in outcome, these should be highlighted and </w:t>
      </w:r>
      <w:r w:rsidR="009E409F">
        <w:t xml:space="preserve">(if possible) sensitivity testing should be performed to quantify the </w:t>
      </w:r>
      <w:r w:rsidR="00FE4114">
        <w:t xml:space="preserve">scale of the potential impacts. </w:t>
      </w:r>
      <w:r>
        <w:t>The CCC team will be happy to be involved in discussions to agree assumptions</w:t>
      </w:r>
      <w:r w:rsidR="00FE4114">
        <w:t xml:space="preserve"> and discuss plans for </w:t>
      </w:r>
      <w:r w:rsidR="00DD7A49">
        <w:t>considering uncertainties</w:t>
      </w:r>
      <w:r>
        <w:t>.</w:t>
      </w:r>
    </w:p>
    <w:p w14:paraId="25CA75C6" w14:textId="77777777" w:rsidR="009A027B" w:rsidRDefault="009A027B" w:rsidP="00911873">
      <w:pPr>
        <w:pStyle w:val="Norma"/>
      </w:pPr>
    </w:p>
    <w:p w14:paraId="333C8417" w14:textId="4E789D02" w:rsidR="009A027B" w:rsidRDefault="003F1034" w:rsidP="00911873">
      <w:pPr>
        <w:pStyle w:val="Norma"/>
      </w:pPr>
      <w:r>
        <w:t>The key aim of this project is to quantify any impacts that could cause EV uptake to deviate from our existing status quo-based model and quantify the effect of mitigation measures that could address these risks.</w:t>
      </w:r>
      <w:r w:rsidR="000E49C7">
        <w:t xml:space="preserve"> </w:t>
      </w:r>
      <w:r w:rsidR="0042547A">
        <w:t xml:space="preserve">Specifically, we will require outputs that </w:t>
      </w:r>
      <w:r w:rsidR="00425EB3">
        <w:t>estimate:</w:t>
      </w:r>
    </w:p>
    <w:p w14:paraId="4752D670" w14:textId="72860BDC" w:rsidR="00425EB3" w:rsidRDefault="00425EB3" w:rsidP="001D3CCF">
      <w:pPr>
        <w:pStyle w:val="BulletLevel3"/>
      </w:pPr>
      <w:r>
        <w:t xml:space="preserve">The extent to which </w:t>
      </w:r>
      <w:r w:rsidR="00A44F3E">
        <w:t xml:space="preserve">tail effects within consumer </w:t>
      </w:r>
      <w:proofErr w:type="gramStart"/>
      <w:r w:rsidR="00A44F3E">
        <w:t>groups</w:t>
      </w:r>
      <w:proofErr w:type="gramEnd"/>
      <w:r w:rsidR="00A44F3E">
        <w:t xml:space="preserve"> or the market could slow or accelerate the completion of the EV transition.</w:t>
      </w:r>
    </w:p>
    <w:p w14:paraId="63E3F917" w14:textId="5E617908" w:rsidR="00A44F3E" w:rsidRDefault="00792AEF" w:rsidP="001D3CCF">
      <w:pPr>
        <w:pStyle w:val="BulletLevel3"/>
      </w:pPr>
      <w:r>
        <w:t xml:space="preserve">Any disproportionate costs or benefits likely to be experienced by any </w:t>
      </w:r>
      <w:proofErr w:type="gramStart"/>
      <w:r>
        <w:t>particular groups</w:t>
      </w:r>
      <w:proofErr w:type="gramEnd"/>
      <w:r>
        <w:t xml:space="preserve"> within society.</w:t>
      </w:r>
    </w:p>
    <w:p w14:paraId="5CF16DAB" w14:textId="3B131BCC" w:rsidR="00792AEF" w:rsidRDefault="00A33931" w:rsidP="001D3CCF">
      <w:pPr>
        <w:pStyle w:val="BulletLevel3"/>
      </w:pPr>
      <w:r>
        <w:t xml:space="preserve">The effect of a range of measures that could address any risks identified </w:t>
      </w:r>
      <w:r w:rsidR="00C3057F">
        <w:t>on the rate of uptake of EVs during the tail of the transition.</w:t>
      </w:r>
    </w:p>
    <w:p w14:paraId="0A86B375" w14:textId="660FF694" w:rsidR="00C3057F" w:rsidRDefault="00584FB9" w:rsidP="001D3CCF">
      <w:pPr>
        <w:pStyle w:val="BulletLevel3"/>
      </w:pPr>
      <w:r>
        <w:t>The costs, both to society and to consumers, of these measures.</w:t>
      </w:r>
    </w:p>
    <w:p w14:paraId="17257DAA" w14:textId="77777777" w:rsidR="003F5752" w:rsidRDefault="003F5752" w:rsidP="00911873">
      <w:pPr>
        <w:pStyle w:val="Norma"/>
      </w:pPr>
    </w:p>
    <w:p w14:paraId="669AC993" w14:textId="1D9A5CA9" w:rsidR="003A05B7" w:rsidRPr="0038388A" w:rsidRDefault="00966BFE" w:rsidP="00864903">
      <w:r>
        <w:t xml:space="preserve">Ideally, these quantitative outputs should (as far as possible) be </w:t>
      </w:r>
      <w:r w:rsidR="004E7E2F">
        <w:t xml:space="preserve">structured in such a way that we can easily </w:t>
      </w:r>
      <w:r w:rsidR="00E95332">
        <w:t xml:space="preserve">incorporate them into our existing modelling of EV uptake – either as modules that can be added on top of the resulting uptake and cost curves or </w:t>
      </w:r>
      <w:r w:rsidR="00587A1A">
        <w:t>as quantified adjustments that need to be made (</w:t>
      </w:r>
      <w:proofErr w:type="gramStart"/>
      <w:r w:rsidR="00587A1A">
        <w:t>e.g.</w:t>
      </w:r>
      <w:proofErr w:type="gramEnd"/>
      <w:r w:rsidR="00587A1A">
        <w:t xml:space="preserve"> scaling factors) to </w:t>
      </w:r>
      <w:r w:rsidR="00D903B6">
        <w:t xml:space="preserve">account for each of the risks and measures considered. This will allow us to incorporate some or </w:t>
      </w:r>
      <w:proofErr w:type="gramStart"/>
      <w:r w:rsidR="00D903B6">
        <w:t>all of</w:t>
      </w:r>
      <w:proofErr w:type="gramEnd"/>
      <w:r w:rsidR="00D903B6">
        <w:t xml:space="preserve"> the findings into our central pathway for EV uptake that will be used</w:t>
      </w:r>
      <w:r w:rsidR="0098454D">
        <w:t xml:space="preserve"> </w:t>
      </w:r>
      <w:r w:rsidR="003F1F93">
        <w:t>in our analysis to advise Government on the level of the Seventh Carbon</w:t>
      </w:r>
      <w:r w:rsidR="00901276">
        <w:t xml:space="preserve"> Budget.</w:t>
      </w:r>
    </w:p>
    <w:p w14:paraId="5B33FF1E" w14:textId="657CE8F0" w:rsidR="003A05B7" w:rsidRPr="008A3CA4" w:rsidRDefault="003A05B7" w:rsidP="00911873">
      <w:pPr>
        <w:pStyle w:val="Heading1"/>
        <w:numPr>
          <w:ilvl w:val="0"/>
          <w:numId w:val="1"/>
        </w:numPr>
      </w:pPr>
      <w:bookmarkStart w:id="13" w:name="_Ref357541705"/>
      <w:bookmarkStart w:id="14" w:name="_Toc381969510"/>
      <w:bookmarkStart w:id="15" w:name="_Toc405888459"/>
      <w:r w:rsidRPr="008A3CA4">
        <w:t>Outputs Required</w:t>
      </w:r>
      <w:bookmarkEnd w:id="13"/>
      <w:bookmarkEnd w:id="14"/>
      <w:bookmarkEnd w:id="15"/>
    </w:p>
    <w:p w14:paraId="040887B1" w14:textId="77777777" w:rsidR="008C4DC5" w:rsidRDefault="008C4DC5" w:rsidP="00864903">
      <w:r w:rsidRPr="008C4DC5">
        <w:t>The outputs required from the project include:</w:t>
      </w:r>
    </w:p>
    <w:p w14:paraId="6C133D52" w14:textId="7966CE97" w:rsidR="000D130E" w:rsidRDefault="000D130E" w:rsidP="001D3CCF">
      <w:pPr>
        <w:pStyle w:val="BulletLevel3"/>
        <w:numPr>
          <w:ilvl w:val="1"/>
          <w:numId w:val="25"/>
        </w:numPr>
      </w:pPr>
      <w:r>
        <w:t>Analytical outputs, including:</w:t>
      </w:r>
    </w:p>
    <w:p w14:paraId="59392E80" w14:textId="56585FF8" w:rsidR="00445444" w:rsidRDefault="003B3E64" w:rsidP="003B3E64">
      <w:pPr>
        <w:pStyle w:val="BulletLevel3"/>
      </w:pPr>
      <w:r>
        <w:t xml:space="preserve">A set of interim quantitative outputs, required by </w:t>
      </w:r>
      <w:r w:rsidR="001D3CCF">
        <w:t>early</w:t>
      </w:r>
      <w:r>
        <w:t xml:space="preserve">-March, setting out an initial assessment of the </w:t>
      </w:r>
      <w:r w:rsidR="00A412EB">
        <w:t xml:space="preserve">key </w:t>
      </w:r>
      <w:r w:rsidR="001C71FB">
        <w:t>impact</w:t>
      </w:r>
      <w:r w:rsidR="00A412EB">
        <w:t xml:space="preserve">s on the </w:t>
      </w:r>
      <w:r w:rsidR="001C71FB">
        <w:t>rate of uptake of EVs</w:t>
      </w:r>
      <w:r w:rsidR="0040636C">
        <w:t xml:space="preserve"> and a first </w:t>
      </w:r>
      <w:r w:rsidR="00014D4A">
        <w:t>draft of that rate of uptake</w:t>
      </w:r>
      <w:r w:rsidR="001C71FB">
        <w:t>.</w:t>
      </w:r>
    </w:p>
    <w:p w14:paraId="28F3E05F" w14:textId="3D13E49B" w:rsidR="000D130E" w:rsidRDefault="00563595" w:rsidP="003B3E64">
      <w:pPr>
        <w:pStyle w:val="BulletLevel3"/>
      </w:pPr>
      <w:r>
        <w:t>A full set of quantitative outputs alongside the final report</w:t>
      </w:r>
      <w:r w:rsidR="00D16892">
        <w:t xml:space="preserve">, setting out the detail of each of the impacts and mitigation measures studied in terms of </w:t>
      </w:r>
      <w:r w:rsidR="00A323DE">
        <w:t xml:space="preserve">their effect on the pace of the EV transition, their associated costs, and </w:t>
      </w:r>
      <w:r w:rsidR="00D3731D">
        <w:t>any wider consequences.</w:t>
      </w:r>
      <w:r w:rsidR="0040739F">
        <w:t xml:space="preserve"> These should be set out through a transparent set of tables or Excel spreadsheet (or other appropriate way of presenting the findings in sufficient detail to be incorporated into the CCC’s modelling of EV uptake).</w:t>
      </w:r>
    </w:p>
    <w:p w14:paraId="44236D41" w14:textId="1F968705" w:rsidR="003A05B7" w:rsidRDefault="00D3731D" w:rsidP="003E67D8">
      <w:pPr>
        <w:pStyle w:val="BulletLevel3"/>
        <w:numPr>
          <w:ilvl w:val="1"/>
          <w:numId w:val="25"/>
        </w:numPr>
      </w:pPr>
      <w:r>
        <w:t xml:space="preserve">A technical report summarising the research methodology, the outputs and findings, and the </w:t>
      </w:r>
      <w:r w:rsidR="009D53EE">
        <w:t xml:space="preserve">evidence and assumptions </w:t>
      </w:r>
      <w:r w:rsidR="0040739F">
        <w:t>upon which these</w:t>
      </w:r>
      <w:r w:rsidR="009D53EE">
        <w:t xml:space="preserve"> were based.</w:t>
      </w:r>
    </w:p>
    <w:p w14:paraId="06697866" w14:textId="77777777" w:rsidR="00A95769" w:rsidRDefault="00A95769" w:rsidP="00A95769">
      <w:pPr>
        <w:pStyle w:val="BulletLevel3"/>
        <w:numPr>
          <w:ilvl w:val="1"/>
          <w:numId w:val="25"/>
        </w:numPr>
      </w:pPr>
      <w:r>
        <w:t xml:space="preserve">Presentation of the interim and </w:t>
      </w:r>
      <w:proofErr w:type="gramStart"/>
      <w:r>
        <w:t>final results</w:t>
      </w:r>
      <w:proofErr w:type="gramEnd"/>
      <w:r>
        <w:t xml:space="preserve"> from the project to members of the CCC Secretariat and other interested parties.</w:t>
      </w:r>
    </w:p>
    <w:p w14:paraId="1E232E35" w14:textId="77777777" w:rsidR="003A05B7" w:rsidRPr="005359A7" w:rsidRDefault="003A05B7" w:rsidP="00911873">
      <w:pPr>
        <w:pStyle w:val="Heading1"/>
        <w:numPr>
          <w:ilvl w:val="0"/>
          <w:numId w:val="1"/>
        </w:numPr>
      </w:pPr>
      <w:bookmarkStart w:id="16" w:name="_Toc381969511"/>
      <w:bookmarkStart w:id="17" w:name="_Toc405888460"/>
      <w:bookmarkStart w:id="18" w:name="_Ref373505205"/>
      <w:bookmarkStart w:id="19" w:name="_Ref357541720"/>
      <w:r w:rsidRPr="005359A7">
        <w:t>Ownership and Publication</w:t>
      </w:r>
      <w:bookmarkEnd w:id="16"/>
      <w:bookmarkEnd w:id="17"/>
    </w:p>
    <w:p w14:paraId="7886D33B" w14:textId="752FCC86" w:rsidR="003A05B7" w:rsidRPr="005359A7" w:rsidRDefault="0033317E" w:rsidP="00474EB5">
      <w:r w:rsidRPr="3B892E06">
        <w:t>The CCC will publish the report to provide an evidenced view of</w:t>
      </w:r>
      <w:r w:rsidR="00BF72DB">
        <w:t xml:space="preserve"> potential tail impacts on the EV rollout, as well as measures that could address these. The quantified outputs from the </w:t>
      </w:r>
      <w:r w:rsidR="002266B5">
        <w:t xml:space="preserve">research will also be incorporated into the CCC’s uptake assumptions for EVs, which will be used within our </w:t>
      </w:r>
      <w:r w:rsidR="002266B5">
        <w:lastRenderedPageBreak/>
        <w:t>analysis to advise Government on the level of the Seventh Carbon Budget</w:t>
      </w:r>
      <w:r w:rsidR="00841486">
        <w:t>.</w:t>
      </w:r>
    </w:p>
    <w:p w14:paraId="676267C8" w14:textId="77777777" w:rsidR="003A05B7" w:rsidRPr="005359A7" w:rsidRDefault="003A05B7" w:rsidP="00911873">
      <w:pPr>
        <w:pStyle w:val="Heading1"/>
        <w:numPr>
          <w:ilvl w:val="0"/>
          <w:numId w:val="1"/>
        </w:numPr>
      </w:pPr>
      <w:r w:rsidRPr="005359A7">
        <w:t xml:space="preserve">Quality Assurance </w:t>
      </w:r>
      <w:bookmarkEnd w:id="18"/>
    </w:p>
    <w:p w14:paraId="4FCFD14D" w14:textId="77777777" w:rsidR="007317B3" w:rsidRPr="008C4DC5" w:rsidRDefault="007317B3" w:rsidP="00864903">
      <w:r w:rsidRPr="008C4DC5">
        <w:t>All research tasks and modelling must be quality assured and documented. Contractors should:</w:t>
      </w:r>
    </w:p>
    <w:p w14:paraId="729D560E" w14:textId="4E0DAF9C" w:rsidR="007317B3" w:rsidRPr="007327B1" w:rsidRDefault="007317B3" w:rsidP="00474EB5">
      <w:pPr>
        <w:pStyle w:val="BulletLevel3"/>
      </w:pPr>
      <w:r w:rsidRPr="007327B1">
        <w:t>Include a quality assurance (QA) plan that they will apply to the modelling</w:t>
      </w:r>
      <w:r w:rsidR="00E32188" w:rsidRPr="007327B1">
        <w:t xml:space="preserve"> and analysis.</w:t>
      </w:r>
    </w:p>
    <w:p w14:paraId="18FB442F" w14:textId="77777777" w:rsidR="007317B3" w:rsidRPr="00A93704" w:rsidRDefault="007317B3" w:rsidP="00474EB5">
      <w:pPr>
        <w:pStyle w:val="BulletLevel3"/>
      </w:pPr>
      <w:r w:rsidRPr="007327B1">
        <w:t>Specify who will take lead responsibility for ensuring</w:t>
      </w:r>
      <w:r w:rsidRPr="00A93704">
        <w:t xml:space="preserve"> quality assurance. This responsibility should rest with an individual not directly involved in the research or analysis.</w:t>
      </w:r>
    </w:p>
    <w:p w14:paraId="7A738488" w14:textId="77777777" w:rsidR="007317B3" w:rsidRPr="00A93704" w:rsidRDefault="007317B3" w:rsidP="00474EB5">
      <w:pPr>
        <w:pStyle w:val="BulletLevel3"/>
      </w:pPr>
      <w:r w:rsidRPr="00A93704">
        <w:t xml:space="preserve">Provide a QA log to demonstrate the QA undertaken, which must identify who undertook the QA and the scope, type and level of QA that has been undertaken. </w:t>
      </w:r>
    </w:p>
    <w:p w14:paraId="3CB03DDB" w14:textId="77777777" w:rsidR="007317B3" w:rsidRDefault="007317B3" w:rsidP="00911873">
      <w:pPr>
        <w:pStyle w:val="BodyText"/>
      </w:pPr>
    </w:p>
    <w:p w14:paraId="5041DC7D" w14:textId="77777777" w:rsidR="007317B3" w:rsidRPr="008C4DC5" w:rsidRDefault="007317B3" w:rsidP="00911873">
      <w:pPr>
        <w:pStyle w:val="Norma"/>
      </w:pPr>
      <w:r w:rsidRPr="008C4DC5">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09B490C3" w14:textId="77777777" w:rsidR="007317B3" w:rsidRPr="008C4DC5" w:rsidRDefault="007317B3" w:rsidP="00911873">
      <w:pPr>
        <w:pStyle w:val="Norma"/>
      </w:pPr>
    </w:p>
    <w:p w14:paraId="6F224B26" w14:textId="77777777" w:rsidR="007317B3" w:rsidRPr="008C4DC5" w:rsidRDefault="007317B3" w:rsidP="00911873">
      <w:pPr>
        <w:pStyle w:val="Norma"/>
      </w:pPr>
      <w:r w:rsidRPr="008C4DC5">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11A9E77F" w14:textId="77777777" w:rsidR="007317B3" w:rsidRPr="008C4DC5" w:rsidRDefault="007317B3" w:rsidP="00911873">
      <w:pPr>
        <w:pStyle w:val="Norma"/>
      </w:pPr>
    </w:p>
    <w:p w14:paraId="3E229BD3" w14:textId="77777777" w:rsidR="007317B3" w:rsidRPr="008C4DC5" w:rsidRDefault="007317B3" w:rsidP="00911873">
      <w:pPr>
        <w:pStyle w:val="Norma"/>
      </w:pPr>
      <w:r w:rsidRPr="008C4DC5">
        <w:t>The CCC expects that:</w:t>
      </w:r>
    </w:p>
    <w:p w14:paraId="50C0B954" w14:textId="138B73F8" w:rsidR="007317B3" w:rsidRPr="008C4DC5" w:rsidRDefault="0090540F" w:rsidP="00474EB5">
      <w:pPr>
        <w:pStyle w:val="BulletLevel3"/>
      </w:pPr>
      <w:r>
        <w:t xml:space="preserve">All </w:t>
      </w:r>
      <w:r w:rsidR="007317B3" w:rsidRPr="008C4DC5">
        <w:t xml:space="preserve">analysis must be delivered in a simple, transparent Excel spreadsheet, where key assumptions (agreed with the CCC) are clearly stated. All assumptions and figures should be adequately </w:t>
      </w:r>
      <w:proofErr w:type="gramStart"/>
      <w:r w:rsidR="007317B3" w:rsidRPr="008C4DC5">
        <w:t>referenced, and</w:t>
      </w:r>
      <w:proofErr w:type="gramEnd"/>
      <w:r w:rsidR="007317B3" w:rsidRPr="008C4DC5">
        <w:t xml:space="preserve"> include any supporting workings. Any such spreadsheets will be the property of the CCC.</w:t>
      </w:r>
    </w:p>
    <w:p w14:paraId="0C92B6E4" w14:textId="6B507C5E" w:rsidR="007317B3" w:rsidRPr="008C4DC5" w:rsidRDefault="007317B3" w:rsidP="00474EB5">
      <w:pPr>
        <w:pStyle w:val="BulletLevel3"/>
      </w:pPr>
      <w:r w:rsidRPr="008C4DC5">
        <w:t>Existing analysis and published research should be reviewed and considered in developing the scenarios and approaches to be analysed within this assignment.</w:t>
      </w:r>
    </w:p>
    <w:p w14:paraId="0266E8F3" w14:textId="1DC8AE26" w:rsidR="003A05B7" w:rsidRPr="0038388A" w:rsidRDefault="007317B3" w:rsidP="00474EB5">
      <w:pPr>
        <w:pStyle w:val="BulletLevel3"/>
      </w:pPr>
      <w:r w:rsidRPr="008C4DC5">
        <w:t>Analysis should appropriately reflect uncertainty regarding model inputs. Where appropriate, a sensitivity analysis of key parameters should be conducted.</w:t>
      </w:r>
    </w:p>
    <w:p w14:paraId="410352B9" w14:textId="41350C10" w:rsidR="003A05B7" w:rsidRPr="00A432F7" w:rsidRDefault="003A05B7" w:rsidP="00911873">
      <w:pPr>
        <w:pStyle w:val="Heading1"/>
        <w:numPr>
          <w:ilvl w:val="0"/>
          <w:numId w:val="1"/>
        </w:numPr>
      </w:pPr>
      <w:bookmarkStart w:id="20" w:name="_Ref373505215"/>
      <w:bookmarkStart w:id="21" w:name="_Toc381969513"/>
      <w:bookmarkStart w:id="22" w:name="_Toc405888462"/>
      <w:r w:rsidRPr="00A432F7">
        <w:t>Timetable</w:t>
      </w:r>
      <w:bookmarkEnd w:id="19"/>
      <w:bookmarkEnd w:id="20"/>
      <w:bookmarkEnd w:id="21"/>
      <w:bookmarkEnd w:id="22"/>
    </w:p>
    <w:p w14:paraId="24668971" w14:textId="77777777" w:rsidR="00E23EDC" w:rsidRPr="008C4DC5" w:rsidRDefault="00E23EDC" w:rsidP="00911873">
      <w:pPr>
        <w:pStyle w:val="Norma"/>
        <w:rPr>
          <w:rFonts w:eastAsiaTheme="minorHAnsi"/>
        </w:rPr>
      </w:pPr>
      <w:r w:rsidRPr="008C4DC5">
        <w:rPr>
          <w:rFonts w:eastAsiaTheme="minorHAnsi"/>
        </w:rPr>
        <w:t>The proposed timetable for the project is set out in the following table:</w:t>
      </w:r>
    </w:p>
    <w:p w14:paraId="0CB37C36" w14:textId="77777777" w:rsidR="00E23EDC" w:rsidRDefault="00E23EDC" w:rsidP="00911873">
      <w:pPr>
        <w:pStyle w:val="Norma"/>
      </w:pPr>
    </w:p>
    <w:tbl>
      <w:tblPr>
        <w:tblStyle w:val="CCCTable"/>
        <w:tblW w:w="9623" w:type="dxa"/>
        <w:tblInd w:w="720" w:type="dxa"/>
        <w:tblLook w:val="04A0" w:firstRow="1" w:lastRow="0" w:firstColumn="1" w:lastColumn="0" w:noHBand="0" w:noVBand="1"/>
      </w:tblPr>
      <w:tblGrid>
        <w:gridCol w:w="2268"/>
        <w:gridCol w:w="7355"/>
      </w:tblGrid>
      <w:tr w:rsidR="00E23EDC" w14:paraId="751B3133" w14:textId="77777777" w:rsidTr="46905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CB0D405" w14:textId="77777777" w:rsidR="00E23EDC" w:rsidRPr="00860066" w:rsidRDefault="00E23EDC" w:rsidP="00911873">
            <w:pPr>
              <w:pStyle w:val="BodyText"/>
            </w:pPr>
            <w:r w:rsidRPr="00860066">
              <w:t>Date</w:t>
            </w:r>
          </w:p>
        </w:tc>
        <w:tc>
          <w:tcPr>
            <w:tcW w:w="7355" w:type="dxa"/>
          </w:tcPr>
          <w:p w14:paraId="06C2AAB2" w14:textId="77777777" w:rsidR="00E23EDC" w:rsidRPr="00860066" w:rsidRDefault="00E23EDC" w:rsidP="00911873">
            <w:pPr>
              <w:pStyle w:val="BodyText"/>
              <w:cnfStyle w:val="100000000000" w:firstRow="1" w:lastRow="0" w:firstColumn="0" w:lastColumn="0" w:oddVBand="0" w:evenVBand="0" w:oddHBand="0" w:evenHBand="0" w:firstRowFirstColumn="0" w:firstRowLastColumn="0" w:lastRowFirstColumn="0" w:lastRowLastColumn="0"/>
            </w:pPr>
            <w:r w:rsidRPr="00860066">
              <w:t>Action/deliverable</w:t>
            </w:r>
          </w:p>
        </w:tc>
      </w:tr>
      <w:tr w:rsidR="00E23EDC" w14:paraId="3CFADEEE"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3B56C2" w14:textId="40470864" w:rsidR="00E23EDC" w:rsidRPr="0090540F" w:rsidRDefault="00E23EDC" w:rsidP="00474EB5">
            <w:pPr>
              <w:pStyle w:val="BodyText"/>
              <w:ind w:left="0"/>
              <w:rPr>
                <w:color w:val="FFFFFF" w:themeColor="background1"/>
              </w:rPr>
            </w:pPr>
            <w:r w:rsidRPr="00474EB5">
              <w:rPr>
                <w:color w:val="FFFFFF" w:themeColor="background1"/>
              </w:rPr>
              <w:t xml:space="preserve">w/c </w:t>
            </w:r>
            <w:r w:rsidR="00844706">
              <w:rPr>
                <w:color w:val="FFFFFF" w:themeColor="background1"/>
              </w:rPr>
              <w:t>9</w:t>
            </w:r>
            <w:r w:rsidR="00844706" w:rsidRPr="003C44CB">
              <w:rPr>
                <w:color w:val="FFFFFF" w:themeColor="background1"/>
                <w:vertAlign w:val="superscript"/>
              </w:rPr>
              <w:t>th</w:t>
            </w:r>
            <w:r w:rsidR="00844706">
              <w:rPr>
                <w:color w:val="FFFFFF" w:themeColor="background1"/>
              </w:rPr>
              <w:t xml:space="preserve"> </w:t>
            </w:r>
            <w:r w:rsidR="009C38A5">
              <w:rPr>
                <w:color w:val="FFFFFF" w:themeColor="background1"/>
              </w:rPr>
              <w:t>October</w:t>
            </w:r>
          </w:p>
        </w:tc>
        <w:tc>
          <w:tcPr>
            <w:tcW w:w="7355" w:type="dxa"/>
          </w:tcPr>
          <w:p w14:paraId="127C133E"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Advertise tender</w:t>
            </w:r>
          </w:p>
        </w:tc>
      </w:tr>
      <w:tr w:rsidR="00E23EDC" w14:paraId="3DD6542D"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472D25" w14:textId="6B6CF944" w:rsidR="00E23EDC" w:rsidRPr="0090540F" w:rsidRDefault="002C721C" w:rsidP="00474EB5">
            <w:pPr>
              <w:pStyle w:val="BodyText"/>
              <w:ind w:left="0"/>
              <w:rPr>
                <w:color w:val="FFFFFF" w:themeColor="background1"/>
              </w:rPr>
            </w:pPr>
            <w:r w:rsidRPr="00474EB5">
              <w:rPr>
                <w:color w:val="FFFFFF" w:themeColor="background1"/>
              </w:rPr>
              <w:t>1</w:t>
            </w:r>
            <w:r w:rsidR="009C38A5">
              <w:rPr>
                <w:color w:val="FFFFFF" w:themeColor="background1"/>
              </w:rPr>
              <w:t>7</w:t>
            </w:r>
            <w:r w:rsidR="2178E51C" w:rsidRPr="00474EB5">
              <w:rPr>
                <w:color w:val="FFFFFF" w:themeColor="background1"/>
                <w:vertAlign w:val="superscript"/>
              </w:rPr>
              <w:t>th</w:t>
            </w:r>
            <w:r w:rsidR="2178E51C" w:rsidRPr="00474EB5">
              <w:rPr>
                <w:color w:val="FFFFFF" w:themeColor="background1"/>
              </w:rPr>
              <w:t xml:space="preserve"> </w:t>
            </w:r>
            <w:r w:rsidRPr="00474EB5">
              <w:rPr>
                <w:color w:val="FFFFFF" w:themeColor="background1"/>
              </w:rPr>
              <w:t>November</w:t>
            </w:r>
          </w:p>
        </w:tc>
        <w:tc>
          <w:tcPr>
            <w:tcW w:w="7355" w:type="dxa"/>
          </w:tcPr>
          <w:p w14:paraId="689BD8BA"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Deadline for responses to tender</w:t>
            </w:r>
          </w:p>
        </w:tc>
      </w:tr>
      <w:tr w:rsidR="00E23EDC" w14:paraId="01D298BD"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681ECF" w14:textId="73D08D1A" w:rsidR="00E23EDC" w:rsidRPr="0090540F" w:rsidRDefault="00E23EDC" w:rsidP="00474EB5">
            <w:pPr>
              <w:pStyle w:val="BodyText"/>
              <w:ind w:left="0"/>
              <w:rPr>
                <w:color w:val="FFFFFF" w:themeColor="background1"/>
              </w:rPr>
            </w:pPr>
            <w:r w:rsidRPr="00474EB5">
              <w:rPr>
                <w:color w:val="FFFFFF" w:themeColor="background1"/>
              </w:rPr>
              <w:t xml:space="preserve">w/c </w:t>
            </w:r>
            <w:r w:rsidR="002C721C" w:rsidRPr="00474EB5">
              <w:rPr>
                <w:color w:val="FFFFFF" w:themeColor="background1"/>
              </w:rPr>
              <w:t>2</w:t>
            </w:r>
            <w:r w:rsidR="009C38A5">
              <w:rPr>
                <w:color w:val="FFFFFF" w:themeColor="background1"/>
              </w:rPr>
              <w:t>7</w:t>
            </w:r>
            <w:r w:rsidR="4B744C96" w:rsidRPr="00474EB5">
              <w:rPr>
                <w:color w:val="FFFFFF" w:themeColor="background1"/>
                <w:vertAlign w:val="superscript"/>
              </w:rPr>
              <w:t>th</w:t>
            </w:r>
            <w:r w:rsidR="4B744C96" w:rsidRPr="00474EB5">
              <w:rPr>
                <w:color w:val="FFFFFF" w:themeColor="background1"/>
              </w:rPr>
              <w:t xml:space="preserve"> </w:t>
            </w:r>
            <w:r w:rsidR="002C721C" w:rsidRPr="00474EB5">
              <w:rPr>
                <w:color w:val="FFFFFF" w:themeColor="background1"/>
              </w:rPr>
              <w:t>November</w:t>
            </w:r>
          </w:p>
        </w:tc>
        <w:tc>
          <w:tcPr>
            <w:tcW w:w="7355" w:type="dxa"/>
          </w:tcPr>
          <w:p w14:paraId="4F72CA95"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Interviews (if required)</w:t>
            </w:r>
          </w:p>
        </w:tc>
      </w:tr>
      <w:tr w:rsidR="00E23EDC" w14:paraId="2B0C8A2A"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3A3FA3" w14:textId="236ED301" w:rsidR="00E23EDC" w:rsidRPr="0090540F" w:rsidRDefault="00E23EDC" w:rsidP="00474EB5">
            <w:pPr>
              <w:pStyle w:val="BodyText"/>
              <w:ind w:left="0"/>
              <w:rPr>
                <w:color w:val="FFFFFF" w:themeColor="background1"/>
              </w:rPr>
            </w:pPr>
            <w:r w:rsidRPr="00474EB5">
              <w:rPr>
                <w:color w:val="FFFFFF" w:themeColor="background1"/>
              </w:rPr>
              <w:t xml:space="preserve">w/c </w:t>
            </w:r>
            <w:r w:rsidR="002C721C" w:rsidRPr="00474EB5">
              <w:rPr>
                <w:color w:val="FFFFFF" w:themeColor="background1"/>
              </w:rPr>
              <w:t>8</w:t>
            </w:r>
            <w:r w:rsidR="00CB57B5" w:rsidRPr="00474EB5">
              <w:rPr>
                <w:color w:val="FFFFFF" w:themeColor="background1"/>
                <w:vertAlign w:val="superscript"/>
              </w:rPr>
              <w:t>th</w:t>
            </w:r>
            <w:r w:rsidR="00CB57B5" w:rsidRPr="00474EB5">
              <w:rPr>
                <w:color w:val="FFFFFF" w:themeColor="background1"/>
              </w:rPr>
              <w:t xml:space="preserve"> </w:t>
            </w:r>
            <w:r w:rsidR="002C721C" w:rsidRPr="00474EB5">
              <w:rPr>
                <w:color w:val="FFFFFF" w:themeColor="background1"/>
              </w:rPr>
              <w:t>January</w:t>
            </w:r>
          </w:p>
        </w:tc>
        <w:tc>
          <w:tcPr>
            <w:tcW w:w="7355" w:type="dxa"/>
          </w:tcPr>
          <w:p w14:paraId="60A813CD"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Kick-off meeting</w:t>
            </w:r>
          </w:p>
        </w:tc>
      </w:tr>
      <w:tr w:rsidR="00E23EDC" w14:paraId="1570A60E"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B1D2AA0" w14:textId="59A87FD9" w:rsidR="00E23EDC" w:rsidRPr="0090540F" w:rsidRDefault="00E23EDC" w:rsidP="00474EB5">
            <w:pPr>
              <w:pStyle w:val="BodyText"/>
              <w:ind w:left="0"/>
              <w:rPr>
                <w:color w:val="FFFFFF" w:themeColor="background1"/>
              </w:rPr>
            </w:pPr>
            <w:r w:rsidRPr="00474EB5">
              <w:rPr>
                <w:color w:val="FFFFFF" w:themeColor="background1"/>
              </w:rPr>
              <w:t xml:space="preserve">w/c </w:t>
            </w:r>
            <w:r w:rsidR="00466237">
              <w:rPr>
                <w:color w:val="FFFFFF" w:themeColor="background1"/>
              </w:rPr>
              <w:t>4</w:t>
            </w:r>
            <w:r w:rsidR="601DCA4D" w:rsidRPr="00474EB5">
              <w:rPr>
                <w:color w:val="FFFFFF" w:themeColor="background1"/>
                <w:vertAlign w:val="superscript"/>
              </w:rPr>
              <w:t>th</w:t>
            </w:r>
            <w:r w:rsidR="601DCA4D" w:rsidRPr="00474EB5">
              <w:rPr>
                <w:color w:val="FFFFFF" w:themeColor="background1"/>
              </w:rPr>
              <w:t xml:space="preserve"> March</w:t>
            </w:r>
          </w:p>
        </w:tc>
        <w:tc>
          <w:tcPr>
            <w:tcW w:w="7355" w:type="dxa"/>
          </w:tcPr>
          <w:p w14:paraId="48F90CE6"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Interim meeting</w:t>
            </w:r>
          </w:p>
        </w:tc>
      </w:tr>
      <w:tr w:rsidR="00E23EDC" w14:paraId="2BDFD2B4"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D9F1A0A" w14:textId="33FE384D" w:rsidR="00E23EDC" w:rsidRPr="0090540F" w:rsidRDefault="00E23EDC" w:rsidP="00474EB5">
            <w:pPr>
              <w:pStyle w:val="BodyText"/>
              <w:ind w:left="0"/>
              <w:rPr>
                <w:color w:val="FFFFFF" w:themeColor="background1"/>
              </w:rPr>
            </w:pPr>
            <w:r w:rsidRPr="00474EB5">
              <w:rPr>
                <w:color w:val="FFFFFF" w:themeColor="background1"/>
              </w:rPr>
              <w:t xml:space="preserve">w/c </w:t>
            </w:r>
            <w:r w:rsidR="00466237">
              <w:rPr>
                <w:color w:val="FFFFFF" w:themeColor="background1"/>
              </w:rPr>
              <w:t>4</w:t>
            </w:r>
            <w:r w:rsidR="0D98847D" w:rsidRPr="00474EB5">
              <w:rPr>
                <w:color w:val="FFFFFF" w:themeColor="background1"/>
                <w:vertAlign w:val="superscript"/>
              </w:rPr>
              <w:t>th</w:t>
            </w:r>
            <w:r w:rsidR="0D98847D" w:rsidRPr="00474EB5">
              <w:rPr>
                <w:color w:val="FFFFFF" w:themeColor="background1"/>
              </w:rPr>
              <w:t xml:space="preserve"> March</w:t>
            </w:r>
          </w:p>
        </w:tc>
        <w:tc>
          <w:tcPr>
            <w:tcW w:w="7355" w:type="dxa"/>
          </w:tcPr>
          <w:p w14:paraId="7BB6B8E3" w14:textId="5A5E1FAF" w:rsidR="00E23EDC" w:rsidRPr="00157906" w:rsidRDefault="002C721C" w:rsidP="00474EB5">
            <w:pPr>
              <w:pStyle w:val="BodyText"/>
              <w:ind w:left="0"/>
              <w:cnfStyle w:val="000000010000" w:firstRow="0" w:lastRow="0" w:firstColumn="0" w:lastColumn="0" w:oddVBand="0" w:evenVBand="0" w:oddHBand="0" w:evenHBand="1" w:firstRowFirstColumn="0" w:firstRowLastColumn="0" w:lastRowFirstColumn="0" w:lastRowLastColumn="0"/>
            </w:pPr>
            <w:r>
              <w:t>Interim quantitative outputs setting out initial assessment of the impact that key risks and mitigation measures studied could have on EV uptake</w:t>
            </w:r>
          </w:p>
        </w:tc>
      </w:tr>
      <w:tr w:rsidR="00E23EDC" w14:paraId="20CA4BC1"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A30F25" w14:textId="332CB6C2" w:rsidR="00E23EDC" w:rsidRPr="0090540F" w:rsidRDefault="00E23EDC" w:rsidP="00474EB5">
            <w:pPr>
              <w:pStyle w:val="BodyText"/>
              <w:ind w:left="0"/>
              <w:rPr>
                <w:color w:val="FFFFFF" w:themeColor="background1"/>
              </w:rPr>
            </w:pPr>
            <w:r w:rsidRPr="00474EB5">
              <w:rPr>
                <w:color w:val="FFFFFF" w:themeColor="background1"/>
              </w:rPr>
              <w:t xml:space="preserve">w/c </w:t>
            </w:r>
            <w:r w:rsidR="002C721C" w:rsidRPr="00474EB5">
              <w:rPr>
                <w:color w:val="FFFFFF" w:themeColor="background1"/>
              </w:rPr>
              <w:t>22</w:t>
            </w:r>
            <w:r w:rsidR="002C721C" w:rsidRPr="00474EB5">
              <w:rPr>
                <w:color w:val="FFFFFF" w:themeColor="background1"/>
                <w:vertAlign w:val="superscript"/>
              </w:rPr>
              <w:t>nd</w:t>
            </w:r>
            <w:r w:rsidR="439D9F71" w:rsidRPr="00474EB5">
              <w:rPr>
                <w:color w:val="FFFFFF" w:themeColor="background1"/>
              </w:rPr>
              <w:t xml:space="preserve"> April</w:t>
            </w:r>
          </w:p>
        </w:tc>
        <w:tc>
          <w:tcPr>
            <w:tcW w:w="7355" w:type="dxa"/>
          </w:tcPr>
          <w:p w14:paraId="3E88CA6B" w14:textId="3918D882" w:rsidR="00E23EDC" w:rsidRPr="00157906" w:rsidRDefault="00445444" w:rsidP="00474EB5">
            <w:pPr>
              <w:pStyle w:val="BodyText"/>
              <w:ind w:left="0"/>
              <w:cnfStyle w:val="000000100000" w:firstRow="0" w:lastRow="0" w:firstColumn="0" w:lastColumn="0" w:oddVBand="0" w:evenVBand="0" w:oddHBand="1" w:evenHBand="0" w:firstRowFirstColumn="0" w:firstRowLastColumn="0" w:lastRowFirstColumn="0" w:lastRowLastColumn="0"/>
            </w:pPr>
            <w:r>
              <w:t xml:space="preserve">Initial version of </w:t>
            </w:r>
            <w:r w:rsidR="00563595">
              <w:t>final</w:t>
            </w:r>
            <w:r w:rsidR="00E23EDC" w:rsidRPr="00157906">
              <w:t xml:space="preserve"> report</w:t>
            </w:r>
          </w:p>
        </w:tc>
      </w:tr>
      <w:tr w:rsidR="00E23EDC" w14:paraId="5FD63637"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C8FFA3" w14:textId="4425E4A2" w:rsidR="00E23EDC" w:rsidRPr="0090540F" w:rsidRDefault="00E23EDC" w:rsidP="00474EB5">
            <w:pPr>
              <w:pStyle w:val="BodyText"/>
              <w:ind w:left="0"/>
              <w:rPr>
                <w:color w:val="FFFFFF" w:themeColor="background1"/>
              </w:rPr>
            </w:pPr>
            <w:r w:rsidRPr="00474EB5">
              <w:rPr>
                <w:color w:val="FFFFFF" w:themeColor="background1"/>
              </w:rPr>
              <w:t xml:space="preserve">w/c </w:t>
            </w:r>
            <w:r w:rsidR="00911873" w:rsidRPr="00474EB5">
              <w:rPr>
                <w:color w:val="FFFFFF" w:themeColor="background1"/>
              </w:rPr>
              <w:t>6</w:t>
            </w:r>
            <w:r w:rsidR="6E7A1CE6" w:rsidRPr="00474EB5">
              <w:rPr>
                <w:color w:val="FFFFFF" w:themeColor="background1"/>
                <w:vertAlign w:val="superscript"/>
              </w:rPr>
              <w:t>th</w:t>
            </w:r>
            <w:r w:rsidR="6E7A1CE6" w:rsidRPr="00474EB5">
              <w:rPr>
                <w:color w:val="FFFFFF" w:themeColor="background1"/>
              </w:rPr>
              <w:t xml:space="preserve"> May</w:t>
            </w:r>
          </w:p>
        </w:tc>
        <w:tc>
          <w:tcPr>
            <w:tcW w:w="7355" w:type="dxa"/>
          </w:tcPr>
          <w:p w14:paraId="3903BF7F"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Final report agreed with CCC, ready for publication</w:t>
            </w:r>
          </w:p>
        </w:tc>
      </w:tr>
    </w:tbl>
    <w:p w14:paraId="37EAB5F8" w14:textId="77777777" w:rsidR="00E23EDC" w:rsidRDefault="00E23EDC" w:rsidP="00911873">
      <w:pPr>
        <w:pStyle w:val="Norma"/>
      </w:pPr>
    </w:p>
    <w:p w14:paraId="29C0F52F" w14:textId="0AA972F7" w:rsidR="003A05B7" w:rsidRPr="0038388A" w:rsidRDefault="00E23EDC" w:rsidP="0040739F">
      <w:pPr>
        <w:pStyle w:val="Norma"/>
      </w:pPr>
      <w:r w:rsidRPr="008C4DC5">
        <w:t>The CCC is willing to be flexible with timelines and will consider alternative timetable proposals.</w:t>
      </w:r>
    </w:p>
    <w:p w14:paraId="6A8AE529" w14:textId="5D4B7155" w:rsidR="003A05B7" w:rsidRPr="005359A7" w:rsidRDefault="003A05B7" w:rsidP="00911873">
      <w:pPr>
        <w:pStyle w:val="Heading1"/>
        <w:numPr>
          <w:ilvl w:val="0"/>
          <w:numId w:val="1"/>
        </w:numPr>
      </w:pPr>
      <w:bookmarkStart w:id="23" w:name="_Ref357541731"/>
      <w:bookmarkStart w:id="24" w:name="_Toc381969514"/>
      <w:bookmarkStart w:id="25" w:name="_Toc405888463"/>
      <w:r w:rsidRPr="005359A7">
        <w:lastRenderedPageBreak/>
        <w:t>Challenges</w:t>
      </w:r>
      <w:bookmarkEnd w:id="23"/>
      <w:bookmarkEnd w:id="24"/>
      <w:bookmarkEnd w:id="25"/>
    </w:p>
    <w:p w14:paraId="06AEFA2E" w14:textId="08702195" w:rsidR="0038388A" w:rsidRPr="0038388A" w:rsidRDefault="007317B3" w:rsidP="0040739F">
      <w:pPr>
        <w:pStyle w:val="Norma"/>
      </w:pPr>
      <w:r w:rsidRPr="008C4DC5">
        <w:t xml:space="preserve">Tenderers should highlight any challenges or risks that they envisage in delivering all the outputs of the project, whether in terms of scope of the work, </w:t>
      </w:r>
      <w:proofErr w:type="gramStart"/>
      <w:r w:rsidRPr="008C4DC5">
        <w:t>resources</w:t>
      </w:r>
      <w:proofErr w:type="gramEnd"/>
      <w:r w:rsidRPr="008C4DC5">
        <w:t xml:space="preserve"> or timelines. Alternative suggestions will be considered if the risks are such that the project is unlikely to be able to be delivered in its current form.</w:t>
      </w:r>
    </w:p>
    <w:p w14:paraId="01C079ED" w14:textId="2003555E" w:rsidR="0038388A" w:rsidRPr="005359A7" w:rsidRDefault="0038388A" w:rsidP="00857AD6">
      <w:pPr>
        <w:pStyle w:val="Heading1"/>
        <w:numPr>
          <w:ilvl w:val="0"/>
          <w:numId w:val="1"/>
        </w:numPr>
      </w:pPr>
      <w:bookmarkStart w:id="26" w:name="_Ref338852517"/>
      <w:bookmarkStart w:id="27" w:name="_Toc381969516"/>
      <w:bookmarkStart w:id="28" w:name="_Toc405888465"/>
      <w:r w:rsidRPr="005359A7">
        <w:t>Working Arrangements</w:t>
      </w:r>
      <w:bookmarkEnd w:id="26"/>
      <w:bookmarkEnd w:id="27"/>
      <w:bookmarkEnd w:id="28"/>
    </w:p>
    <w:p w14:paraId="63E0399A" w14:textId="77777777" w:rsidR="0038388A" w:rsidRPr="0038388A" w:rsidRDefault="0038388A" w:rsidP="00911873">
      <w:pPr>
        <w:pStyle w:val="Norma"/>
      </w:pPr>
      <w:r w:rsidRPr="0038388A">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77777777" w:rsidR="0038388A" w:rsidRPr="005359A7" w:rsidRDefault="0038388A" w:rsidP="00857AD6">
      <w:pPr>
        <w:pStyle w:val="Heading1"/>
        <w:numPr>
          <w:ilvl w:val="0"/>
          <w:numId w:val="1"/>
        </w:numPr>
      </w:pPr>
      <w:r w:rsidRPr="005359A7">
        <w:t>Skills and experience</w:t>
      </w:r>
    </w:p>
    <w:p w14:paraId="045E359F" w14:textId="4DD1BE6B" w:rsidR="0038388A" w:rsidRPr="00911873" w:rsidRDefault="0038388A" w:rsidP="00911873">
      <w:pPr>
        <w:pStyle w:val="Norma"/>
      </w:pPr>
      <w:r w:rsidRPr="0038388A">
        <w:t>CCC would like you to demonstrate that you have the experience and capabilities to undertake the project. Your tender response should include a summary of each proposed team members experience and capabilities.</w:t>
      </w:r>
      <w:r w:rsidRPr="00911873">
        <w:t xml:space="preserve"> </w:t>
      </w:r>
    </w:p>
    <w:p w14:paraId="2D3BD37A" w14:textId="77777777" w:rsidR="0038388A" w:rsidRPr="0038388A" w:rsidRDefault="0038388A" w:rsidP="00911873">
      <w:pPr>
        <w:pStyle w:val="Norma"/>
      </w:pPr>
    </w:p>
    <w:p w14:paraId="6B2CCA6E" w14:textId="0282DB27" w:rsidR="0038388A" w:rsidRPr="0038388A" w:rsidRDefault="0038388A" w:rsidP="00911873">
      <w:pPr>
        <w:pStyle w:val="Norma"/>
      </w:pPr>
      <w:r w:rsidRPr="0038388A">
        <w:t xml:space="preserve">Contractors should propose named members of the project </w:t>
      </w:r>
      <w:proofErr w:type="gramStart"/>
      <w:r w:rsidRPr="0038388A">
        <w:t>team, and</w:t>
      </w:r>
      <w:proofErr w:type="gramEnd"/>
      <w:r w:rsidRPr="0038388A">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911873">
      <w:pPr>
        <w:pStyle w:val="PTablebodyCharCharChar"/>
      </w:pPr>
    </w:p>
    <w:p w14:paraId="5C1464B8" w14:textId="5D2DCDFC" w:rsidR="0038388A" w:rsidRPr="0038388A" w:rsidRDefault="0038388A" w:rsidP="0040739F">
      <w:pPr>
        <w:pStyle w:val="Norma"/>
      </w:pPr>
      <w:r w:rsidRPr="0038388A">
        <w:t>Contractors should identify the individual(s) who will be responsible for managing the project.</w:t>
      </w:r>
      <w:bookmarkStart w:id="29" w:name="_Ref338852499"/>
    </w:p>
    <w:p w14:paraId="1568BF56" w14:textId="77777777" w:rsidR="0038388A" w:rsidRPr="0038388A" w:rsidRDefault="0038388A" w:rsidP="00857AD6">
      <w:pPr>
        <w:pStyle w:val="Heading1"/>
        <w:numPr>
          <w:ilvl w:val="0"/>
          <w:numId w:val="1"/>
        </w:numPr>
        <w:rPr>
          <w:color w:val="FF0000"/>
        </w:rPr>
      </w:pPr>
      <w:bookmarkStart w:id="30" w:name="_Ref373505239"/>
      <w:bookmarkStart w:id="31" w:name="_Toc381969518"/>
      <w:bookmarkStart w:id="32" w:name="_Toc405888467"/>
      <w:r w:rsidRPr="005359A7">
        <w:t>Consortium Bids</w:t>
      </w:r>
      <w:bookmarkEnd w:id="30"/>
      <w:bookmarkEnd w:id="31"/>
      <w:bookmarkEnd w:id="32"/>
    </w:p>
    <w:p w14:paraId="67F2973E" w14:textId="77777777" w:rsidR="0038388A" w:rsidRPr="00911873" w:rsidRDefault="0038388A" w:rsidP="00911873">
      <w:pPr>
        <w:pStyle w:val="Norma"/>
      </w:pPr>
      <w:r w:rsidRPr="00911873">
        <w:t xml:space="preserve">In the case of a consortium tender, only one submission covering </w:t>
      </w:r>
      <w:proofErr w:type="gramStart"/>
      <w:r w:rsidRPr="00911873">
        <w:t>all of</w:t>
      </w:r>
      <w:proofErr w:type="gramEnd"/>
      <w:r w:rsidRPr="00911873">
        <w:t xml:space="preserve">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14:paraId="60A11371" w14:textId="77777777" w:rsidR="0038388A" w:rsidRPr="00911873" w:rsidRDefault="0038388A" w:rsidP="00911873">
      <w:pPr>
        <w:pStyle w:val="Norma"/>
      </w:pPr>
    </w:p>
    <w:p w14:paraId="59DE9097" w14:textId="3382F432" w:rsidR="0038388A" w:rsidRDefault="0038388A" w:rsidP="00911873">
      <w:pPr>
        <w:pStyle w:val="Norma"/>
      </w:pPr>
      <w:r w:rsidRPr="00911873">
        <w:t>Contractors must provide details as to how they will manage any sub-contractors and what percentage of the tendered activity (in terms of monetary value) will be sub-contracted.</w:t>
      </w:r>
    </w:p>
    <w:p w14:paraId="41DEEEBE" w14:textId="77777777" w:rsidR="00911873" w:rsidRPr="00911873" w:rsidRDefault="00911873" w:rsidP="00911873">
      <w:pPr>
        <w:pStyle w:val="Norma"/>
      </w:pPr>
    </w:p>
    <w:p w14:paraId="4A5DD6C2" w14:textId="77777777" w:rsidR="0038388A" w:rsidRPr="00911873" w:rsidRDefault="0038388A" w:rsidP="00911873">
      <w:pPr>
        <w:pStyle w:val="Norma"/>
      </w:pPr>
      <w:r w:rsidRPr="00911873">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911873" w:rsidRDefault="0038388A" w:rsidP="00911873">
      <w:pPr>
        <w:pStyle w:val="Norma"/>
      </w:pPr>
    </w:p>
    <w:p w14:paraId="0734B508" w14:textId="068ED6DD" w:rsidR="0038388A" w:rsidRPr="00911873" w:rsidRDefault="0038388A" w:rsidP="00911873">
      <w:pPr>
        <w:pStyle w:val="Norma"/>
      </w:pPr>
      <w:r w:rsidRPr="00911873">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5359A7" w:rsidRDefault="0038388A" w:rsidP="00857AD6">
      <w:pPr>
        <w:pStyle w:val="Heading1"/>
        <w:numPr>
          <w:ilvl w:val="0"/>
          <w:numId w:val="1"/>
        </w:numPr>
      </w:pPr>
      <w:bookmarkStart w:id="33" w:name="_Ref357541811"/>
      <w:bookmarkStart w:id="34" w:name="_Toc381969519"/>
      <w:bookmarkStart w:id="35" w:name="_Toc405888468"/>
      <w:bookmarkStart w:id="36" w:name="_Toc246831559"/>
      <w:bookmarkStart w:id="37" w:name="_Toc271272917"/>
      <w:bookmarkStart w:id="38" w:name="_Ref338852577"/>
      <w:bookmarkEnd w:id="29"/>
      <w:r w:rsidRPr="005359A7">
        <w:t>Budget</w:t>
      </w:r>
      <w:bookmarkEnd w:id="33"/>
      <w:bookmarkEnd w:id="34"/>
      <w:bookmarkEnd w:id="35"/>
      <w:r w:rsidRPr="005359A7">
        <w:t xml:space="preserve"> </w:t>
      </w:r>
    </w:p>
    <w:p w14:paraId="32334C7F" w14:textId="72D8199D" w:rsidR="0038388A" w:rsidRPr="00911873" w:rsidRDefault="0038388A" w:rsidP="00911873">
      <w:r w:rsidRPr="00911873">
        <w:t>The budget for this project is £</w:t>
      </w:r>
      <w:r w:rsidR="00F154B2">
        <w:t>66</w:t>
      </w:r>
      <w:r w:rsidR="0069254D" w:rsidRPr="00911873">
        <w:t>,</w:t>
      </w:r>
      <w:r w:rsidR="00F154B2">
        <w:t>667</w:t>
      </w:r>
      <w:r w:rsidR="0069254D" w:rsidRPr="00911873">
        <w:t xml:space="preserve"> </w:t>
      </w:r>
      <w:r w:rsidR="00F154B2" w:rsidRPr="00F154B2">
        <w:rPr>
          <w:u w:val="single"/>
        </w:rPr>
        <w:t>ex</w:t>
      </w:r>
      <w:r w:rsidR="00911873" w:rsidRPr="00F154B2">
        <w:rPr>
          <w:u w:val="single"/>
        </w:rPr>
        <w:t>cluding</w:t>
      </w:r>
      <w:r w:rsidRPr="00911873">
        <w:t xml:space="preserve"> VAT.</w:t>
      </w:r>
    </w:p>
    <w:p w14:paraId="750A7CA0" w14:textId="77777777" w:rsidR="0038388A" w:rsidRPr="00911873" w:rsidRDefault="0038388A" w:rsidP="00911873"/>
    <w:p w14:paraId="2E5BF3D2" w14:textId="23157969" w:rsidR="0038388A" w:rsidRPr="00911873" w:rsidRDefault="0038388A" w:rsidP="00911873">
      <w:r w:rsidRPr="00911873">
        <w:t xml:space="preserve">Contractors should provide a full and detailed breakdown of costs (including options where appropriate). This should include staff (and day rate) allocated to specific tasks. </w:t>
      </w:r>
      <w:bookmarkEnd w:id="36"/>
      <w:bookmarkEnd w:id="37"/>
      <w:bookmarkEnd w:id="38"/>
    </w:p>
    <w:p w14:paraId="18A59622" w14:textId="77777777" w:rsidR="0038388A" w:rsidRPr="00911873" w:rsidRDefault="0038388A" w:rsidP="00911873"/>
    <w:p w14:paraId="237D5DD6" w14:textId="77777777" w:rsidR="0038388A" w:rsidRPr="00911873" w:rsidRDefault="0038388A" w:rsidP="00911873">
      <w:r w:rsidRPr="00911873">
        <w:t xml:space="preserve">Cost will be a criterion against which bids which will be assessed. </w:t>
      </w:r>
    </w:p>
    <w:p w14:paraId="1B859929" w14:textId="77777777" w:rsidR="0038388A" w:rsidRPr="00911873" w:rsidRDefault="0038388A" w:rsidP="00911873"/>
    <w:p w14:paraId="6F517922" w14:textId="77777777" w:rsidR="0038388A" w:rsidRPr="00911873" w:rsidRDefault="0038388A" w:rsidP="00911873">
      <w:r w:rsidRPr="00911873">
        <w:lastRenderedPageBreak/>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911873" w:rsidRDefault="0038388A" w:rsidP="00911873"/>
    <w:p w14:paraId="7092805F" w14:textId="77777777" w:rsidR="0038388A" w:rsidRPr="00911873" w:rsidRDefault="0038388A" w:rsidP="00911873">
      <w:pPr>
        <w:rPr>
          <w:rFonts w:eastAsia="MS Mincho"/>
        </w:rPr>
      </w:pPr>
      <w:r w:rsidRPr="00911873">
        <w:rPr>
          <w:rFonts w:eastAsia="MS Mincho"/>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911873" w:rsidRDefault="0038388A" w:rsidP="00911873">
      <w:pPr>
        <w:rPr>
          <w:rFonts w:eastAsia="MS Mincho"/>
        </w:rPr>
      </w:pPr>
    </w:p>
    <w:p w14:paraId="18E669ED" w14:textId="4B7AC9C1" w:rsidR="0038388A" w:rsidRPr="0040739F" w:rsidRDefault="0038388A" w:rsidP="0040739F">
      <w:pPr>
        <w:rPr>
          <w:rFonts w:eastAsia="MS Mincho"/>
        </w:rPr>
      </w:pPr>
      <w:r w:rsidRPr="00911873">
        <w:rPr>
          <w:rFonts w:eastAsia="MS Mincho"/>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3F4C5AA" w:rsidR="0038388A" w:rsidRPr="005359A7" w:rsidRDefault="0038388A" w:rsidP="00857AD6">
      <w:pPr>
        <w:pStyle w:val="Heading1"/>
        <w:numPr>
          <w:ilvl w:val="0"/>
          <w:numId w:val="1"/>
        </w:numPr>
      </w:pPr>
      <w:bookmarkStart w:id="39" w:name="_Ref357541836"/>
      <w:bookmarkStart w:id="40" w:name="_Toc381969520"/>
      <w:bookmarkStart w:id="41" w:name="_Toc405888469"/>
      <w:r w:rsidRPr="005359A7">
        <w:t>Evaluation of Tenders</w:t>
      </w:r>
      <w:bookmarkEnd w:id="39"/>
      <w:bookmarkEnd w:id="40"/>
      <w:bookmarkEnd w:id="41"/>
    </w:p>
    <w:p w14:paraId="1CCEBD71" w14:textId="6DD32808" w:rsidR="0038388A" w:rsidRPr="0038388A" w:rsidRDefault="0038388A" w:rsidP="00911873">
      <w:r w:rsidRPr="0033317E">
        <w:t xml:space="preserve">Contractors are invited to submit full tenders of no more than </w:t>
      </w:r>
      <w:r w:rsidR="0027435F">
        <w:t>2</w:t>
      </w:r>
      <w:r w:rsidRPr="0033317E">
        <w:t xml:space="preserve">5 </w:t>
      </w:r>
      <w:r w:rsidRPr="0038388A">
        <w:t>pages, excluding declarations and CV’s. Tenders will be evaluated by at least three CCC staff.</w:t>
      </w:r>
    </w:p>
    <w:p w14:paraId="42464FDF" w14:textId="77777777" w:rsidR="0038388A" w:rsidRPr="0038388A" w:rsidRDefault="0038388A" w:rsidP="00911873"/>
    <w:p w14:paraId="1E730437" w14:textId="77777777" w:rsidR="0038388A" w:rsidRPr="0038388A" w:rsidRDefault="0038388A" w:rsidP="00911873">
      <w:r w:rsidRPr="0038388A">
        <w:t>CCC will select the bidder that scores highest against the criteria and weighting listed below, see the ITT for further information.</w:t>
      </w:r>
    </w:p>
    <w:p w14:paraId="3D758287" w14:textId="77777777" w:rsidR="0038388A" w:rsidRDefault="0038388A" w:rsidP="00911873"/>
    <w:p w14:paraId="60EC1450" w14:textId="44D66780" w:rsidR="0038388A" w:rsidRPr="00911873" w:rsidRDefault="00911873" w:rsidP="00911873">
      <w:pPr>
        <w:rPr>
          <w:b/>
          <w:bCs/>
        </w:rPr>
      </w:pPr>
      <w:r w:rsidRPr="00911873">
        <w:rPr>
          <w:b/>
          <w:bCs/>
        </w:rPr>
        <w:t>Evaluation criteria</w:t>
      </w:r>
    </w:p>
    <w:p w14:paraId="5BD42D8F" w14:textId="531ED810" w:rsidR="0038388A" w:rsidRDefault="0038388A" w:rsidP="00911873">
      <w:pPr>
        <w:pStyle w:val="Norma"/>
      </w:pPr>
    </w:p>
    <w:tbl>
      <w:tblPr>
        <w:tblStyle w:val="CCCTable"/>
        <w:tblW w:w="9481" w:type="dxa"/>
        <w:tblInd w:w="720" w:type="dxa"/>
        <w:tblLook w:val="04A0" w:firstRow="1" w:lastRow="0" w:firstColumn="1" w:lastColumn="0" w:noHBand="0" w:noVBand="1"/>
      </w:tblPr>
      <w:tblGrid>
        <w:gridCol w:w="1706"/>
        <w:gridCol w:w="5650"/>
        <w:gridCol w:w="2125"/>
      </w:tblGrid>
      <w:tr w:rsidR="0033317E" w:rsidRPr="008059A3" w14:paraId="0FD127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790671C" w14:textId="77777777" w:rsidR="0033317E" w:rsidRPr="00644C65" w:rsidRDefault="0033317E" w:rsidP="00911873">
            <w:pPr>
              <w:pStyle w:val="BodyText"/>
            </w:pPr>
            <w:r w:rsidRPr="00644C65">
              <w:t>Criterion</w:t>
            </w:r>
          </w:p>
        </w:tc>
        <w:tc>
          <w:tcPr>
            <w:tcW w:w="5670" w:type="dxa"/>
          </w:tcPr>
          <w:p w14:paraId="29D0809A"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Description</w:t>
            </w:r>
          </w:p>
        </w:tc>
        <w:tc>
          <w:tcPr>
            <w:tcW w:w="2126" w:type="dxa"/>
          </w:tcPr>
          <w:p w14:paraId="3EE26F35"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Weighting</w:t>
            </w:r>
          </w:p>
        </w:tc>
      </w:tr>
      <w:tr w:rsidR="0033317E" w:rsidRPr="008059A3" w14:paraId="64D02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5DB009C" w14:textId="77777777" w:rsidR="0033317E" w:rsidRPr="008059A3" w:rsidRDefault="0033317E" w:rsidP="00911873">
            <w:pPr>
              <w:pStyle w:val="BodyText"/>
            </w:pPr>
            <w:r w:rsidRPr="008059A3">
              <w:t>1</w:t>
            </w:r>
          </w:p>
        </w:tc>
        <w:tc>
          <w:tcPr>
            <w:tcW w:w="5670" w:type="dxa"/>
          </w:tcPr>
          <w:p w14:paraId="1DB35C62"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RELEVANT EXPERIENCE / DEMONSTRATION OF CABABILITY</w:t>
            </w:r>
          </w:p>
        </w:tc>
        <w:tc>
          <w:tcPr>
            <w:tcW w:w="2126" w:type="dxa"/>
          </w:tcPr>
          <w:p w14:paraId="04EBCACF" w14:textId="5B5C97F3" w:rsidR="0033317E" w:rsidRPr="008059A3" w:rsidRDefault="002958D6" w:rsidP="00911873">
            <w:pPr>
              <w:pStyle w:val="BodyText"/>
              <w:cnfStyle w:val="000000100000" w:firstRow="0" w:lastRow="0" w:firstColumn="0" w:lastColumn="0" w:oddVBand="0" w:evenVBand="0" w:oddHBand="1" w:evenHBand="0" w:firstRowFirstColumn="0" w:firstRowLastColumn="0" w:lastRowFirstColumn="0" w:lastRowLastColumn="0"/>
            </w:pPr>
            <w:r>
              <w:t>15</w:t>
            </w:r>
            <w:r w:rsidR="0033317E" w:rsidRPr="008059A3">
              <w:t>%</w:t>
            </w:r>
          </w:p>
        </w:tc>
      </w:tr>
      <w:tr w:rsidR="0033317E" w:rsidRPr="008059A3" w14:paraId="4C9074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11A53D0" w14:textId="77777777" w:rsidR="0033317E" w:rsidRPr="008059A3" w:rsidRDefault="0033317E" w:rsidP="00911873">
            <w:pPr>
              <w:pStyle w:val="BodyText"/>
            </w:pPr>
            <w:r w:rsidRPr="008059A3">
              <w:t>2</w:t>
            </w:r>
          </w:p>
        </w:tc>
        <w:tc>
          <w:tcPr>
            <w:tcW w:w="5670" w:type="dxa"/>
          </w:tcPr>
          <w:p w14:paraId="0A0E0B70" w14:textId="77777777"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MANAGING YOUR RELATIONSHIP WITH THE CCC</w:t>
            </w:r>
          </w:p>
        </w:tc>
        <w:tc>
          <w:tcPr>
            <w:tcW w:w="2126" w:type="dxa"/>
          </w:tcPr>
          <w:p w14:paraId="57D975FE" w14:textId="5CFEC64C" w:rsidR="0033317E" w:rsidRPr="008059A3" w:rsidRDefault="00FB26E1" w:rsidP="00911873">
            <w:pPr>
              <w:pStyle w:val="BodyText"/>
              <w:cnfStyle w:val="000000010000" w:firstRow="0" w:lastRow="0" w:firstColumn="0" w:lastColumn="0" w:oddVBand="0" w:evenVBand="0" w:oddHBand="0" w:evenHBand="1" w:firstRowFirstColumn="0" w:firstRowLastColumn="0" w:lastRowFirstColumn="0" w:lastRowLastColumn="0"/>
            </w:pPr>
            <w:r>
              <w:t>5</w:t>
            </w:r>
            <w:r w:rsidR="0033317E" w:rsidRPr="008059A3">
              <w:t>%</w:t>
            </w:r>
          </w:p>
        </w:tc>
      </w:tr>
      <w:tr w:rsidR="0033317E" w:rsidRPr="008059A3" w14:paraId="4521CA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DFB865" w14:textId="77777777" w:rsidR="0033317E" w:rsidRPr="008059A3" w:rsidRDefault="0033317E" w:rsidP="00911873">
            <w:pPr>
              <w:pStyle w:val="BodyText"/>
            </w:pPr>
            <w:r w:rsidRPr="008059A3">
              <w:t>3</w:t>
            </w:r>
          </w:p>
        </w:tc>
        <w:tc>
          <w:tcPr>
            <w:tcW w:w="5670" w:type="dxa"/>
          </w:tcPr>
          <w:p w14:paraId="0DB1D56F"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QUALITY ASSURING THE SERVICES YOU PROVIDE</w:t>
            </w:r>
          </w:p>
        </w:tc>
        <w:tc>
          <w:tcPr>
            <w:tcW w:w="2126" w:type="dxa"/>
          </w:tcPr>
          <w:p w14:paraId="7A55B586" w14:textId="77777777" w:rsidR="0033317E" w:rsidRPr="008059A3" w:rsidRDefault="0033317E" w:rsidP="00911873">
            <w:pPr>
              <w:pStyle w:val="BodyText"/>
              <w:cnfStyle w:val="000000100000" w:firstRow="0" w:lastRow="0" w:firstColumn="0" w:lastColumn="0" w:oddVBand="0" w:evenVBand="0" w:oddHBand="1" w:evenHBand="0" w:firstRowFirstColumn="0" w:firstRowLastColumn="0" w:lastRowFirstColumn="0" w:lastRowLastColumn="0"/>
            </w:pPr>
            <w:r w:rsidRPr="008059A3">
              <w:t>10%</w:t>
            </w:r>
          </w:p>
        </w:tc>
      </w:tr>
      <w:tr w:rsidR="0033317E" w:rsidRPr="008059A3" w14:paraId="11CC9B9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C5C64C4" w14:textId="77777777" w:rsidR="0033317E" w:rsidRPr="008059A3" w:rsidRDefault="0033317E" w:rsidP="00911873">
            <w:pPr>
              <w:pStyle w:val="BodyText"/>
            </w:pPr>
            <w:r w:rsidRPr="008059A3">
              <w:t>4</w:t>
            </w:r>
          </w:p>
        </w:tc>
        <w:tc>
          <w:tcPr>
            <w:tcW w:w="5670" w:type="dxa"/>
          </w:tcPr>
          <w:p w14:paraId="3F928207" w14:textId="77777777"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MANAGEMENT STRUCTURE</w:t>
            </w:r>
          </w:p>
        </w:tc>
        <w:tc>
          <w:tcPr>
            <w:tcW w:w="2126" w:type="dxa"/>
          </w:tcPr>
          <w:p w14:paraId="729323AD" w14:textId="4D3C67E1" w:rsidR="0033317E" w:rsidRPr="008059A3" w:rsidRDefault="00FB26E1" w:rsidP="00911873">
            <w:pPr>
              <w:pStyle w:val="BodyText"/>
              <w:cnfStyle w:val="000000010000" w:firstRow="0" w:lastRow="0" w:firstColumn="0" w:lastColumn="0" w:oddVBand="0" w:evenVBand="0" w:oddHBand="0" w:evenHBand="1" w:firstRowFirstColumn="0" w:firstRowLastColumn="0" w:lastRowFirstColumn="0" w:lastRowLastColumn="0"/>
            </w:pPr>
            <w:r>
              <w:t>5</w:t>
            </w:r>
            <w:r w:rsidR="0033317E" w:rsidRPr="008059A3">
              <w:t>%</w:t>
            </w:r>
          </w:p>
        </w:tc>
      </w:tr>
      <w:tr w:rsidR="0033317E" w:rsidRPr="008059A3" w14:paraId="5826C7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1798728" w14:textId="77777777" w:rsidR="0033317E" w:rsidRPr="008059A3" w:rsidRDefault="0033317E" w:rsidP="00911873">
            <w:pPr>
              <w:pStyle w:val="BodyText"/>
            </w:pPr>
            <w:r w:rsidRPr="008059A3">
              <w:t>5</w:t>
            </w:r>
          </w:p>
        </w:tc>
        <w:tc>
          <w:tcPr>
            <w:tcW w:w="5670" w:type="dxa"/>
          </w:tcPr>
          <w:p w14:paraId="5E42F62D"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PROJECT TEAM – SKILLS AND KNOWLEDGE</w:t>
            </w:r>
          </w:p>
        </w:tc>
        <w:tc>
          <w:tcPr>
            <w:tcW w:w="2126" w:type="dxa"/>
          </w:tcPr>
          <w:p w14:paraId="49EB04DF" w14:textId="78234B55" w:rsidR="0033317E" w:rsidRPr="008059A3" w:rsidRDefault="002958D6" w:rsidP="00911873">
            <w:pPr>
              <w:pStyle w:val="BodyText"/>
              <w:cnfStyle w:val="000000100000" w:firstRow="0" w:lastRow="0" w:firstColumn="0" w:lastColumn="0" w:oddVBand="0" w:evenVBand="0" w:oddHBand="1" w:evenHBand="0" w:firstRowFirstColumn="0" w:firstRowLastColumn="0" w:lastRowFirstColumn="0" w:lastRowLastColumn="0"/>
            </w:pPr>
            <w:r>
              <w:t>15</w:t>
            </w:r>
            <w:r w:rsidR="0033317E" w:rsidRPr="008059A3">
              <w:t>%</w:t>
            </w:r>
          </w:p>
        </w:tc>
      </w:tr>
      <w:tr w:rsidR="0033317E" w:rsidRPr="008059A3" w14:paraId="4B98591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2CA5B21" w14:textId="77777777" w:rsidR="0033317E" w:rsidRPr="008059A3" w:rsidRDefault="0033317E" w:rsidP="00911873">
            <w:pPr>
              <w:pStyle w:val="BodyText"/>
            </w:pPr>
            <w:r w:rsidRPr="008059A3">
              <w:t>6</w:t>
            </w:r>
          </w:p>
        </w:tc>
        <w:tc>
          <w:tcPr>
            <w:tcW w:w="5670" w:type="dxa"/>
          </w:tcPr>
          <w:p w14:paraId="0816F249" w14:textId="74B80CB0"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METHOD, ABILITY AND TECHNICAL CAPACITY</w:t>
            </w:r>
          </w:p>
        </w:tc>
        <w:tc>
          <w:tcPr>
            <w:tcW w:w="2126" w:type="dxa"/>
          </w:tcPr>
          <w:p w14:paraId="73598035" w14:textId="6496EA81" w:rsidR="0033317E" w:rsidRPr="008059A3" w:rsidRDefault="00F21B55" w:rsidP="00911873">
            <w:pPr>
              <w:pStyle w:val="BodyText"/>
              <w:cnfStyle w:val="000000010000" w:firstRow="0" w:lastRow="0" w:firstColumn="0" w:lastColumn="0" w:oddVBand="0" w:evenVBand="0" w:oddHBand="0" w:evenHBand="1" w:firstRowFirstColumn="0" w:firstRowLastColumn="0" w:lastRowFirstColumn="0" w:lastRowLastColumn="0"/>
            </w:pPr>
            <w:r>
              <w:t>25</w:t>
            </w:r>
            <w:r w:rsidR="0033317E" w:rsidRPr="008059A3">
              <w:t>%</w:t>
            </w:r>
          </w:p>
        </w:tc>
      </w:tr>
      <w:tr w:rsidR="0033317E" w:rsidRPr="008059A3" w14:paraId="2AF637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E9F315C" w14:textId="77777777" w:rsidR="0033317E" w:rsidRPr="008059A3" w:rsidRDefault="0033317E" w:rsidP="00911873">
            <w:pPr>
              <w:pStyle w:val="BodyText"/>
            </w:pPr>
            <w:r w:rsidRPr="008059A3">
              <w:t>7</w:t>
            </w:r>
          </w:p>
        </w:tc>
        <w:tc>
          <w:tcPr>
            <w:tcW w:w="5670" w:type="dxa"/>
          </w:tcPr>
          <w:p w14:paraId="2C355404"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UNDERSTANDING OF REQUIREMENTS</w:t>
            </w:r>
          </w:p>
        </w:tc>
        <w:tc>
          <w:tcPr>
            <w:tcW w:w="2126" w:type="dxa"/>
          </w:tcPr>
          <w:p w14:paraId="14E4DCC5" w14:textId="319FEDF3" w:rsidR="0033317E" w:rsidRPr="008059A3" w:rsidRDefault="0033317E" w:rsidP="00911873">
            <w:pPr>
              <w:pStyle w:val="BodyText"/>
              <w:cnfStyle w:val="000000100000" w:firstRow="0" w:lastRow="0" w:firstColumn="0" w:lastColumn="0" w:oddVBand="0" w:evenVBand="0" w:oddHBand="1" w:evenHBand="0" w:firstRowFirstColumn="0" w:firstRowLastColumn="0" w:lastRowFirstColumn="0" w:lastRowLastColumn="0"/>
            </w:pPr>
            <w:r w:rsidRPr="008059A3">
              <w:t>1</w:t>
            </w:r>
            <w:r w:rsidR="00FB26E1">
              <w:t>5</w:t>
            </w:r>
            <w:r w:rsidRPr="008059A3">
              <w:t>%</w:t>
            </w:r>
          </w:p>
        </w:tc>
      </w:tr>
      <w:tr w:rsidR="0033317E" w:rsidRPr="008059A3" w14:paraId="5D81748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2C3A877" w14:textId="77777777" w:rsidR="0033317E" w:rsidRPr="008059A3" w:rsidRDefault="0033317E" w:rsidP="00911873">
            <w:pPr>
              <w:pStyle w:val="BodyText"/>
            </w:pPr>
            <w:r w:rsidRPr="008059A3">
              <w:t>8</w:t>
            </w:r>
          </w:p>
        </w:tc>
        <w:tc>
          <w:tcPr>
            <w:tcW w:w="5670" w:type="dxa"/>
          </w:tcPr>
          <w:p w14:paraId="6722C049" w14:textId="77777777"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RISK AND CHALLENGES</w:t>
            </w:r>
          </w:p>
        </w:tc>
        <w:tc>
          <w:tcPr>
            <w:tcW w:w="2126" w:type="dxa"/>
          </w:tcPr>
          <w:p w14:paraId="3B378F4E" w14:textId="77777777" w:rsidR="0033317E" w:rsidRPr="008059A3" w:rsidRDefault="0033317E" w:rsidP="00911873">
            <w:pPr>
              <w:pStyle w:val="BodyText"/>
              <w:cnfStyle w:val="000000010000" w:firstRow="0" w:lastRow="0" w:firstColumn="0" w:lastColumn="0" w:oddVBand="0" w:evenVBand="0" w:oddHBand="0" w:evenHBand="1" w:firstRowFirstColumn="0" w:firstRowLastColumn="0" w:lastRowFirstColumn="0" w:lastRowLastColumn="0"/>
            </w:pPr>
            <w:r w:rsidRPr="008059A3">
              <w:t>10%</w:t>
            </w:r>
          </w:p>
        </w:tc>
      </w:tr>
    </w:tbl>
    <w:p w14:paraId="0F141D3E" w14:textId="77777777" w:rsidR="0038388A" w:rsidRDefault="0038388A" w:rsidP="00911873">
      <w:pPr>
        <w:pStyle w:val="BodyText"/>
      </w:pPr>
    </w:p>
    <w:p w14:paraId="11B27F82" w14:textId="7AC3E886" w:rsidR="0038388A" w:rsidRPr="00911873" w:rsidRDefault="0038388A" w:rsidP="00911873">
      <w:pPr>
        <w:rPr>
          <w:b/>
          <w:bCs/>
        </w:rPr>
      </w:pPr>
      <w:r w:rsidRPr="00911873">
        <w:rPr>
          <w:b/>
          <w:bCs/>
        </w:rPr>
        <w:t xml:space="preserve">Scoring </w:t>
      </w:r>
      <w:r w:rsidR="00911873">
        <w:rPr>
          <w:b/>
          <w:bCs/>
        </w:rPr>
        <w:t>m</w:t>
      </w:r>
      <w:r w:rsidRPr="00911873">
        <w:rPr>
          <w:b/>
          <w:bCs/>
        </w:rPr>
        <w:t>ethod</w:t>
      </w:r>
    </w:p>
    <w:p w14:paraId="2E2A2ECF" w14:textId="77777777" w:rsidR="0038388A" w:rsidRPr="0038388A" w:rsidRDefault="0038388A" w:rsidP="00911873">
      <w:pPr>
        <w:pStyle w:val="Norma"/>
      </w:pPr>
      <w:r w:rsidRPr="0038388A">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911873">
      <w:pPr>
        <w:pStyle w:val="Norma"/>
      </w:pPr>
    </w:p>
    <w:p w14:paraId="04533D31" w14:textId="541C4AB2" w:rsidR="00911873" w:rsidRPr="0038388A" w:rsidRDefault="0038388A" w:rsidP="0040739F">
      <w:pPr>
        <w:pStyle w:val="Norma"/>
      </w:pPr>
      <w:r w:rsidRPr="0038388A">
        <w:t>The total score will be calculated by applying the weighting set against each criterion, outlined above; the maximum number of marks possible will be 100.  Should any contractor score 1 in any of the criteria, they will be excluded from the tender competition.</w:t>
      </w:r>
    </w:p>
    <w:p w14:paraId="37F9D9A9" w14:textId="77777777" w:rsidR="002035FE" w:rsidRDefault="002035FE" w:rsidP="00911873">
      <w:pPr>
        <w:pStyle w:val="BodyText"/>
      </w:pPr>
      <w:r>
        <w:tab/>
      </w:r>
    </w:p>
    <w:tbl>
      <w:tblPr>
        <w:tblStyle w:val="CCCTable"/>
        <w:tblW w:w="9623" w:type="dxa"/>
        <w:tblInd w:w="720" w:type="dxa"/>
        <w:tblLook w:val="04A0" w:firstRow="1" w:lastRow="0" w:firstColumn="1" w:lastColumn="0" w:noHBand="0" w:noVBand="1"/>
      </w:tblPr>
      <w:tblGrid>
        <w:gridCol w:w="1685"/>
        <w:gridCol w:w="7938"/>
      </w:tblGrid>
      <w:tr w:rsidR="002035FE" w:rsidRPr="008059A3" w14:paraId="19875B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720042F" w14:textId="77777777" w:rsidR="002035FE" w:rsidRPr="00911873" w:rsidRDefault="002035FE" w:rsidP="00911873">
            <w:pPr>
              <w:pStyle w:val="BodyText"/>
              <w:ind w:left="0"/>
              <w:jc w:val="center"/>
              <w:rPr>
                <w:color w:val="FFFFFF" w:themeColor="background1"/>
              </w:rPr>
            </w:pPr>
            <w:r w:rsidRPr="00911873">
              <w:rPr>
                <w:color w:val="FFFFFF" w:themeColor="background1"/>
              </w:rPr>
              <w:t>Score</w:t>
            </w:r>
          </w:p>
        </w:tc>
        <w:tc>
          <w:tcPr>
            <w:tcW w:w="7938" w:type="dxa"/>
          </w:tcPr>
          <w:p w14:paraId="724D461A" w14:textId="77777777" w:rsidR="002035FE" w:rsidRPr="00911873" w:rsidRDefault="002035FE"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color w:val="FFFFFF" w:themeColor="background1"/>
              </w:rPr>
              <w:t>Description</w:t>
            </w:r>
          </w:p>
        </w:tc>
      </w:tr>
      <w:tr w:rsidR="002035FE" w:rsidRPr="008059A3" w14:paraId="01134C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8C04C1E" w14:textId="77777777" w:rsidR="002035FE" w:rsidRPr="008059A3" w:rsidRDefault="002035FE" w:rsidP="00911873">
            <w:pPr>
              <w:pStyle w:val="BodyText"/>
            </w:pPr>
            <w:r w:rsidRPr="008059A3">
              <w:t>1</w:t>
            </w:r>
          </w:p>
        </w:tc>
        <w:tc>
          <w:tcPr>
            <w:tcW w:w="7938" w:type="dxa"/>
            <w:tcMar>
              <w:right w:w="113" w:type="dxa"/>
            </w:tcMar>
          </w:tcPr>
          <w:p w14:paraId="04350527"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Not Satisfactory: Proposal contains significant shortcomings and does not meet the required standard</w:t>
            </w:r>
          </w:p>
        </w:tc>
      </w:tr>
      <w:tr w:rsidR="002035FE" w:rsidRPr="008059A3" w14:paraId="3E5911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5D9410" w14:textId="77777777" w:rsidR="002035FE" w:rsidRPr="008059A3" w:rsidRDefault="002035FE" w:rsidP="00911873">
            <w:pPr>
              <w:pStyle w:val="BodyText"/>
            </w:pPr>
            <w:r w:rsidRPr="008059A3">
              <w:t>2</w:t>
            </w:r>
          </w:p>
        </w:tc>
        <w:tc>
          <w:tcPr>
            <w:tcW w:w="7938" w:type="dxa"/>
            <w:tcMar>
              <w:right w:w="113" w:type="dxa"/>
            </w:tcMar>
          </w:tcPr>
          <w:p w14:paraId="0D061B7C"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 xml:space="preserve">Partially Satisfactory: Proposal partially meets the required standard, with one or more moderate weaknesses or gaps </w:t>
            </w:r>
          </w:p>
        </w:tc>
      </w:tr>
      <w:tr w:rsidR="002035FE" w:rsidRPr="008059A3" w14:paraId="527CF1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A080B70" w14:textId="77777777" w:rsidR="002035FE" w:rsidRPr="008059A3" w:rsidRDefault="002035FE" w:rsidP="00911873">
            <w:pPr>
              <w:pStyle w:val="BodyText"/>
            </w:pPr>
            <w:r w:rsidRPr="008059A3">
              <w:t>3</w:t>
            </w:r>
          </w:p>
        </w:tc>
        <w:tc>
          <w:tcPr>
            <w:tcW w:w="7938" w:type="dxa"/>
            <w:tcMar>
              <w:right w:w="113" w:type="dxa"/>
            </w:tcMar>
          </w:tcPr>
          <w:p w14:paraId="21ABAF9D"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Satisfactory: Proposal mostly meets the required standard, with one or more minor weaknesses or gaps.</w:t>
            </w:r>
          </w:p>
        </w:tc>
      </w:tr>
      <w:tr w:rsidR="002035FE" w:rsidRPr="008059A3" w14:paraId="293AF8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E48AE30" w14:textId="77777777" w:rsidR="002035FE" w:rsidRPr="008059A3" w:rsidRDefault="002035FE" w:rsidP="00911873">
            <w:pPr>
              <w:pStyle w:val="BodyText"/>
            </w:pPr>
            <w:r w:rsidRPr="008059A3">
              <w:t>4</w:t>
            </w:r>
          </w:p>
        </w:tc>
        <w:tc>
          <w:tcPr>
            <w:tcW w:w="7938" w:type="dxa"/>
            <w:tcMar>
              <w:right w:w="113" w:type="dxa"/>
            </w:tcMar>
          </w:tcPr>
          <w:p w14:paraId="654F2B3F"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Good: Proposal meets the required standard, with moderate levels of assurance</w:t>
            </w:r>
          </w:p>
        </w:tc>
      </w:tr>
      <w:tr w:rsidR="002035FE" w:rsidRPr="008059A3" w14:paraId="10F4D4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65B9CC4" w14:textId="77777777" w:rsidR="002035FE" w:rsidRPr="008059A3" w:rsidRDefault="002035FE" w:rsidP="00911873">
            <w:pPr>
              <w:pStyle w:val="BodyText"/>
            </w:pPr>
            <w:r w:rsidRPr="008059A3">
              <w:t>5</w:t>
            </w:r>
          </w:p>
        </w:tc>
        <w:tc>
          <w:tcPr>
            <w:tcW w:w="7938" w:type="dxa"/>
            <w:tcMar>
              <w:right w:w="113" w:type="dxa"/>
            </w:tcMar>
          </w:tcPr>
          <w:p w14:paraId="1399DE60"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Excellent: Proposal fully meets the required standard with high levels of assurance</w:t>
            </w:r>
          </w:p>
        </w:tc>
      </w:tr>
    </w:tbl>
    <w:p w14:paraId="02D727CE" w14:textId="40592C00" w:rsidR="0038388A" w:rsidRDefault="0038388A" w:rsidP="00911873">
      <w:pPr>
        <w:pStyle w:val="BodyText"/>
      </w:pPr>
    </w:p>
    <w:p w14:paraId="57EED380" w14:textId="77777777" w:rsidR="004711FD" w:rsidRPr="004711FD" w:rsidRDefault="004711FD" w:rsidP="00911873">
      <w:r w:rsidRPr="00911873">
        <w:rPr>
          <w:b/>
          <w:bCs/>
        </w:rPr>
        <w:t>Scoring for Pricing Evaluation</w:t>
      </w:r>
    </w:p>
    <w:p w14:paraId="72B3902E" w14:textId="76D33A50" w:rsidR="004711FD" w:rsidRDefault="004711FD" w:rsidP="00911873">
      <w:pPr>
        <w:pStyle w:val="Norma"/>
      </w:pPr>
      <w:r w:rsidRPr="004711FD">
        <w:t>Price will be marked using proportionate pricing</w:t>
      </w:r>
      <w:r w:rsidR="00911873">
        <w:t xml:space="preserve">, </w:t>
      </w:r>
      <w:r w:rsidRPr="004711FD">
        <w:t xml:space="preserve">as set out </w:t>
      </w:r>
      <w:r w:rsidR="00911873">
        <w:t xml:space="preserve">in the example </w:t>
      </w:r>
      <w:r w:rsidRPr="004711FD">
        <w:t>below.</w:t>
      </w:r>
    </w:p>
    <w:p w14:paraId="20711077" w14:textId="77777777" w:rsidR="00911873" w:rsidRPr="004711FD" w:rsidRDefault="00911873" w:rsidP="00911873">
      <w:pPr>
        <w:pStyle w:val="Norma"/>
      </w:pPr>
    </w:p>
    <w:p w14:paraId="74064E52" w14:textId="6A49EC4E" w:rsidR="004711FD" w:rsidRPr="004711FD" w:rsidRDefault="004711FD" w:rsidP="00911873">
      <w:pPr>
        <w:pStyle w:val="Norma"/>
      </w:pPr>
      <w:r w:rsidRPr="004711FD">
        <w:t xml:space="preserve">There will be a maximum of </w:t>
      </w:r>
      <w:proofErr w:type="gramStart"/>
      <w:r w:rsidRPr="004711FD">
        <w:t>e.g.</w:t>
      </w:r>
      <w:proofErr w:type="gramEnd"/>
      <w:r w:rsidRPr="004711FD">
        <w:t xml:space="preserve"> 20 marks</w:t>
      </w:r>
      <w:r w:rsidR="00911873">
        <w:t xml:space="preserve">. </w:t>
      </w:r>
      <w:r w:rsidRPr="004711FD">
        <w:t xml:space="preserve">The lowest priced bid will receive the full 20 marks, all other bids will then be marked </w:t>
      </w:r>
      <w:r w:rsidR="00911873">
        <w:t>following the method illustrated in the table below.</w:t>
      </w:r>
    </w:p>
    <w:p w14:paraId="14BBE82D" w14:textId="77777777" w:rsidR="00857AD6" w:rsidRPr="004711FD" w:rsidRDefault="00857AD6" w:rsidP="00911873"/>
    <w:p w14:paraId="27E6D7D5" w14:textId="5DD4DEB7" w:rsidR="004711FD" w:rsidRDefault="004711FD" w:rsidP="0040739F">
      <w:r w:rsidRPr="004711FD">
        <w:t>Proportionate Pricing scoring example</w:t>
      </w:r>
      <w:r w:rsidR="00911873">
        <w:t>:</w:t>
      </w:r>
    </w:p>
    <w:p w14:paraId="4A70F65C" w14:textId="77777777" w:rsidR="00911873" w:rsidRPr="004711FD" w:rsidRDefault="00911873" w:rsidP="0040739F"/>
    <w:p w14:paraId="5DF2C205" w14:textId="3699976F" w:rsidR="004711FD" w:rsidRDefault="004711FD" w:rsidP="0040739F">
      <w:r w:rsidRPr="004711FD">
        <w:t>If 20% = 20 marks</w:t>
      </w:r>
    </w:p>
    <w:tbl>
      <w:tblPr>
        <w:tblStyle w:val="CCCTable"/>
        <w:tblW w:w="9481" w:type="dxa"/>
        <w:tblInd w:w="720" w:type="dxa"/>
        <w:tblLook w:val="04A0" w:firstRow="1" w:lastRow="0" w:firstColumn="1" w:lastColumn="0" w:noHBand="0" w:noVBand="1"/>
      </w:tblPr>
      <w:tblGrid>
        <w:gridCol w:w="1685"/>
        <w:gridCol w:w="5670"/>
        <w:gridCol w:w="2126"/>
      </w:tblGrid>
      <w:tr w:rsidR="00E23EDC" w:rsidRPr="00644C65" w14:paraId="2EE208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1801537" w14:textId="77777777" w:rsidR="00E23EDC" w:rsidRPr="00911873" w:rsidRDefault="00E23EDC" w:rsidP="00911873">
            <w:pPr>
              <w:pStyle w:val="BodyText"/>
              <w:ind w:left="0"/>
              <w:jc w:val="center"/>
              <w:rPr>
                <w:color w:val="FFFFFF" w:themeColor="background1"/>
              </w:rPr>
            </w:pPr>
            <w:r w:rsidRPr="00911873">
              <w:rPr>
                <w:rFonts w:eastAsia="Calibri"/>
                <w:color w:val="FFFFFF" w:themeColor="background1"/>
              </w:rPr>
              <w:t>Supplier</w:t>
            </w:r>
          </w:p>
        </w:tc>
        <w:tc>
          <w:tcPr>
            <w:tcW w:w="5670" w:type="dxa"/>
          </w:tcPr>
          <w:p w14:paraId="69BAAE8D"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Price</w:t>
            </w:r>
          </w:p>
        </w:tc>
        <w:tc>
          <w:tcPr>
            <w:tcW w:w="2126" w:type="dxa"/>
          </w:tcPr>
          <w:p w14:paraId="39C753AE"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Marks</w:t>
            </w:r>
          </w:p>
        </w:tc>
      </w:tr>
      <w:tr w:rsidR="00E23EDC" w:rsidRPr="00644C65" w14:paraId="3438DF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075FBED" w14:textId="77777777" w:rsidR="00E23EDC" w:rsidRPr="00644C65" w:rsidRDefault="00E23EDC" w:rsidP="00911873">
            <w:pPr>
              <w:pStyle w:val="BodyText"/>
              <w:ind w:left="0"/>
              <w:jc w:val="center"/>
            </w:pPr>
            <w:r w:rsidRPr="00644C65">
              <w:rPr>
                <w:rFonts w:eastAsia="Calibri"/>
              </w:rPr>
              <w:t>1 (lowest bid)</w:t>
            </w:r>
          </w:p>
        </w:tc>
        <w:tc>
          <w:tcPr>
            <w:tcW w:w="5670" w:type="dxa"/>
          </w:tcPr>
          <w:p w14:paraId="394E6E97" w14:textId="265D8391"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50</w:t>
            </w:r>
            <w:r w:rsidRPr="004711FD">
              <w:rPr>
                <w:rFonts w:eastAsia="Calibri"/>
              </w:rPr>
              <w:t>,000</w:t>
            </w:r>
          </w:p>
        </w:tc>
        <w:tc>
          <w:tcPr>
            <w:tcW w:w="2126" w:type="dxa"/>
          </w:tcPr>
          <w:p w14:paraId="10F5793D" w14:textId="410E9EDA"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20</w:t>
            </w:r>
          </w:p>
        </w:tc>
      </w:tr>
      <w:tr w:rsidR="00E23EDC" w:rsidRPr="00644C65" w14:paraId="57DDCD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4E69A2C" w14:textId="77777777" w:rsidR="00E23EDC" w:rsidRPr="00644C65" w:rsidRDefault="00E23EDC" w:rsidP="00911873">
            <w:pPr>
              <w:pStyle w:val="BodyText"/>
              <w:ind w:left="0"/>
              <w:jc w:val="center"/>
            </w:pPr>
            <w:r w:rsidRPr="00644C65">
              <w:rPr>
                <w:rFonts w:eastAsia="Calibri"/>
              </w:rPr>
              <w:t>2</w:t>
            </w:r>
          </w:p>
        </w:tc>
        <w:tc>
          <w:tcPr>
            <w:tcW w:w="5670" w:type="dxa"/>
          </w:tcPr>
          <w:p w14:paraId="1DB53632" w14:textId="7B97FD7B" w:rsidR="00E23EDC" w:rsidRPr="00644C65" w:rsidRDefault="00E23EDC"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sidRPr="004711FD">
              <w:rPr>
                <w:rFonts w:eastAsia="Calibri"/>
              </w:rPr>
              <w:t>£</w:t>
            </w:r>
            <w:r w:rsidR="00262DF6">
              <w:rPr>
                <w:rFonts w:eastAsia="Calibri"/>
              </w:rPr>
              <w:t>6</w:t>
            </w:r>
            <w:r>
              <w:rPr>
                <w:rFonts w:eastAsia="Calibri"/>
              </w:rPr>
              <w:t>0</w:t>
            </w:r>
            <w:r w:rsidRPr="004711FD">
              <w:rPr>
                <w:rFonts w:eastAsia="Calibri"/>
              </w:rPr>
              <w:t>,000</w:t>
            </w:r>
          </w:p>
        </w:tc>
        <w:tc>
          <w:tcPr>
            <w:tcW w:w="2126" w:type="dxa"/>
          </w:tcPr>
          <w:p w14:paraId="4BECD615" w14:textId="748916CC" w:rsidR="00E23EDC" w:rsidRPr="00644C65" w:rsidRDefault="00262DF6"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Pr>
                <w:rFonts w:eastAsia="Calibri"/>
              </w:rPr>
              <w:t>50</w:t>
            </w:r>
            <w:r w:rsidR="00E23EDC" w:rsidRPr="004711FD">
              <w:rPr>
                <w:rFonts w:eastAsia="Calibri"/>
              </w:rPr>
              <w:t>/</w:t>
            </w:r>
            <w:r>
              <w:rPr>
                <w:rFonts w:eastAsia="Calibri"/>
              </w:rPr>
              <w:t>6</w:t>
            </w:r>
            <w:r w:rsidR="00E23EDC" w:rsidRPr="004711FD">
              <w:rPr>
                <w:rFonts w:eastAsia="Calibri"/>
              </w:rPr>
              <w:t>0 * 20 = 16.7</w:t>
            </w:r>
          </w:p>
        </w:tc>
      </w:tr>
      <w:tr w:rsidR="00E23EDC" w:rsidRPr="00644C65" w14:paraId="27ECD9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3133B3C" w14:textId="77777777" w:rsidR="00E23EDC" w:rsidRPr="00644C65" w:rsidRDefault="00E23EDC" w:rsidP="00911873">
            <w:pPr>
              <w:pStyle w:val="BodyText"/>
              <w:ind w:left="0"/>
              <w:jc w:val="center"/>
            </w:pPr>
            <w:r w:rsidRPr="00644C65">
              <w:rPr>
                <w:rFonts w:eastAsia="Calibri"/>
              </w:rPr>
              <w:t>3</w:t>
            </w:r>
          </w:p>
        </w:tc>
        <w:tc>
          <w:tcPr>
            <w:tcW w:w="5670" w:type="dxa"/>
          </w:tcPr>
          <w:p w14:paraId="43D45B3E" w14:textId="0C1D7A35"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7</w:t>
            </w:r>
            <w:r w:rsidR="00250482">
              <w:rPr>
                <w:rFonts w:eastAsia="Calibri"/>
              </w:rPr>
              <w:t>0</w:t>
            </w:r>
            <w:r w:rsidRPr="004711FD">
              <w:rPr>
                <w:rFonts w:eastAsia="Calibri"/>
              </w:rPr>
              <w:t>,000</w:t>
            </w:r>
          </w:p>
        </w:tc>
        <w:tc>
          <w:tcPr>
            <w:tcW w:w="2126" w:type="dxa"/>
          </w:tcPr>
          <w:p w14:paraId="44BD2979" w14:textId="6C108D40" w:rsidR="00E23EDC" w:rsidRPr="00644C65" w:rsidRDefault="00262DF6"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Pr>
                <w:rFonts w:eastAsia="Calibri"/>
              </w:rPr>
              <w:t>50</w:t>
            </w:r>
            <w:r w:rsidR="00E23EDC" w:rsidRPr="004711FD">
              <w:rPr>
                <w:rFonts w:eastAsia="Calibri"/>
              </w:rPr>
              <w:t>/</w:t>
            </w:r>
            <w:r w:rsidR="00250482">
              <w:rPr>
                <w:rFonts w:eastAsia="Calibri"/>
              </w:rPr>
              <w:t>70</w:t>
            </w:r>
            <w:r w:rsidR="00E23EDC" w:rsidRPr="004711FD">
              <w:rPr>
                <w:rFonts w:eastAsia="Calibri"/>
              </w:rPr>
              <w:t xml:space="preserve"> * 20 = 1</w:t>
            </w:r>
            <w:r w:rsidR="00E23EDC">
              <w:rPr>
                <w:rFonts w:eastAsia="Calibri"/>
              </w:rPr>
              <w:t>4</w:t>
            </w:r>
            <w:r w:rsidR="00E23EDC" w:rsidRPr="004711FD">
              <w:rPr>
                <w:rFonts w:eastAsia="Calibri"/>
              </w:rPr>
              <w:t>.3</w:t>
            </w:r>
          </w:p>
        </w:tc>
      </w:tr>
    </w:tbl>
    <w:p w14:paraId="3D5358BD" w14:textId="77777777" w:rsidR="00E23EDC" w:rsidRDefault="00E23EDC" w:rsidP="00911873">
      <w:pPr>
        <w:pStyle w:val="BodyText"/>
      </w:pPr>
    </w:p>
    <w:p w14:paraId="61F77B03" w14:textId="77777777" w:rsidR="004711FD" w:rsidRPr="00911873" w:rsidRDefault="004711FD" w:rsidP="00911873">
      <w:pPr>
        <w:pStyle w:val="Norma"/>
        <w:rPr>
          <w:b/>
          <w:bCs/>
        </w:rPr>
      </w:pPr>
      <w:r w:rsidRPr="00911873">
        <w:rPr>
          <w:b/>
          <w:bCs/>
        </w:rPr>
        <w:t>Structure of Tenders</w:t>
      </w:r>
    </w:p>
    <w:p w14:paraId="52767C93" w14:textId="77777777" w:rsidR="004711FD" w:rsidRPr="004711FD" w:rsidRDefault="004711FD" w:rsidP="00911873">
      <w:pPr>
        <w:pStyle w:val="Norma"/>
        <w:rPr>
          <w:rFonts w:eastAsia="Calibri"/>
        </w:rPr>
      </w:pPr>
      <w:r w:rsidRPr="004711FD">
        <w:t xml:space="preserve">Contractors are strongly advised to structure their tender submissions to cover each of the criteria above and supply a price </w:t>
      </w:r>
      <w:r w:rsidRPr="004711FD">
        <w:rPr>
          <w:rFonts w:eastAsia="Calibri"/>
        </w:rPr>
        <w:t xml:space="preserve">schedule specifying the daily rates (ex-VAT) you will charge for each level of your staff. </w:t>
      </w:r>
    </w:p>
    <w:p w14:paraId="62929FFC" w14:textId="77777777" w:rsidR="004711FD" w:rsidRPr="004711FD" w:rsidRDefault="004711FD" w:rsidP="00911873">
      <w:pPr>
        <w:pStyle w:val="Norma"/>
      </w:pPr>
    </w:p>
    <w:p w14:paraId="2E106EA0" w14:textId="77777777" w:rsidR="004711FD" w:rsidRPr="00911873" w:rsidRDefault="004711FD" w:rsidP="00911873">
      <w:pPr>
        <w:pStyle w:val="Norma"/>
        <w:rPr>
          <w:b/>
          <w:bCs/>
        </w:rPr>
      </w:pPr>
      <w:r w:rsidRPr="00911873">
        <w:rPr>
          <w:b/>
          <w:bCs/>
        </w:rPr>
        <w:t xml:space="preserve">Evaluation for Interviews, if held </w:t>
      </w:r>
    </w:p>
    <w:p w14:paraId="48F8E8D4" w14:textId="77777777" w:rsidR="004711FD" w:rsidRPr="004711FD" w:rsidRDefault="004711FD" w:rsidP="00911873">
      <w:pPr>
        <w:pStyle w:val="Norma"/>
      </w:pPr>
      <w:r w:rsidRPr="004711FD">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911873">
      <w:pPr>
        <w:pStyle w:val="Norma"/>
      </w:pPr>
    </w:p>
    <w:p w14:paraId="43BAACA2" w14:textId="2386B583" w:rsidR="004711FD" w:rsidRPr="004711FD" w:rsidRDefault="004711FD" w:rsidP="00911873">
      <w:pPr>
        <w:pStyle w:val="Norma"/>
      </w:pPr>
      <w:r w:rsidRPr="004711FD">
        <w:t xml:space="preserve">Should interviews go ahead, CCC will shortlist the top three suppliers with the highest marks from the written proposals. Interviews are provisionally expected to be held </w:t>
      </w:r>
      <w:r w:rsidR="00F964F5">
        <w:t>in the week commencing</w:t>
      </w:r>
      <w:r w:rsidR="008A3CA4" w:rsidRPr="008A3CA4">
        <w:t xml:space="preserve"> </w:t>
      </w:r>
      <w:r w:rsidR="00CF0FBA">
        <w:t>2</w:t>
      </w:r>
      <w:r w:rsidR="00C42A67">
        <w:t>7</w:t>
      </w:r>
      <w:r w:rsidR="00A432F7" w:rsidRPr="00A432F7">
        <w:rPr>
          <w:vertAlign w:val="superscript"/>
        </w:rPr>
        <w:t>th</w:t>
      </w:r>
      <w:r w:rsidR="00A432F7">
        <w:t xml:space="preserve"> </w:t>
      </w:r>
      <w:r w:rsidR="00CF0FBA">
        <w:t xml:space="preserve">November </w:t>
      </w:r>
      <w:r w:rsidR="00A432F7">
        <w:t>2023</w:t>
      </w:r>
      <w:r w:rsidRPr="008A3CA4">
        <w:t xml:space="preserve">. If </w:t>
      </w:r>
      <w:r w:rsidRPr="004711FD">
        <w:t xml:space="preserve">this date changes, CCC will notify applicants. </w:t>
      </w:r>
    </w:p>
    <w:p w14:paraId="6B7D8CE1" w14:textId="77777777" w:rsidR="004711FD" w:rsidRPr="004711FD" w:rsidRDefault="004711FD" w:rsidP="00911873">
      <w:pPr>
        <w:pStyle w:val="Norma"/>
      </w:pPr>
    </w:p>
    <w:p w14:paraId="4A927F43" w14:textId="77777777" w:rsidR="004711FD" w:rsidRPr="004711FD" w:rsidRDefault="004711FD" w:rsidP="00911873">
      <w:pPr>
        <w:pStyle w:val="Norma"/>
      </w:pPr>
      <w:r w:rsidRPr="004711FD">
        <w:t>The areas to be covered in the interview, and markings allocated to each topic area will be sent to the shortlisted supplier prior to interview.</w:t>
      </w:r>
    </w:p>
    <w:p w14:paraId="7128F9FD" w14:textId="77777777" w:rsidR="004711FD" w:rsidRPr="004711FD" w:rsidRDefault="004711FD" w:rsidP="00911873">
      <w:pPr>
        <w:pStyle w:val="Norma"/>
      </w:pPr>
    </w:p>
    <w:p w14:paraId="4C0B5825" w14:textId="77777777" w:rsidR="004711FD" w:rsidRPr="004711FD" w:rsidRDefault="004711FD" w:rsidP="00911873">
      <w:pPr>
        <w:pStyle w:val="Norma"/>
      </w:pPr>
      <w:r w:rsidRPr="004711FD">
        <w:t xml:space="preserve">Further details of interviews will be sent to successful applicants on selection. </w:t>
      </w:r>
    </w:p>
    <w:p w14:paraId="6A415962" w14:textId="77777777" w:rsidR="004711FD" w:rsidRPr="004711FD" w:rsidRDefault="004711FD" w:rsidP="00911873">
      <w:pPr>
        <w:pStyle w:val="Norma"/>
      </w:pPr>
    </w:p>
    <w:p w14:paraId="680EEB8D" w14:textId="77777777" w:rsidR="004711FD" w:rsidRPr="004711FD" w:rsidRDefault="004711FD" w:rsidP="00911873">
      <w:pPr>
        <w:pStyle w:val="Norma"/>
      </w:pPr>
      <w:r w:rsidRPr="00911873">
        <w:rPr>
          <w:b/>
          <w:bCs/>
        </w:rPr>
        <w:t>Feedback</w:t>
      </w:r>
    </w:p>
    <w:p w14:paraId="608DAF4A" w14:textId="4CD0F6F5" w:rsidR="004711FD" w:rsidRPr="004711FD" w:rsidRDefault="004711FD" w:rsidP="00CF0FBA">
      <w:pPr>
        <w:pStyle w:val="Norma"/>
      </w:pPr>
      <w:r w:rsidRPr="004711FD">
        <w:t>Feedback will be given in the unsuccessful letters</w:t>
      </w:r>
      <w:r w:rsidRPr="004711FD" w:rsidDel="00AA6AF5">
        <w:t xml:space="preserve"> </w:t>
      </w:r>
      <w:r w:rsidRPr="004711FD">
        <w:t>or emails.</w:t>
      </w:r>
    </w:p>
    <w:sectPr w:rsidR="004711FD" w:rsidRPr="004711FD" w:rsidSect="002F41A0">
      <w:headerReference w:type="default" r:id="rId12"/>
      <w:headerReference w:type="first" r:id="rId13"/>
      <w:footerReference w:type="first" r:id="rId1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4449" w14:textId="77777777" w:rsidR="006A74BE" w:rsidRDefault="006A74BE" w:rsidP="00911873">
      <w:r>
        <w:separator/>
      </w:r>
    </w:p>
  </w:endnote>
  <w:endnote w:type="continuationSeparator" w:id="0">
    <w:p w14:paraId="580BD92A" w14:textId="77777777" w:rsidR="006A74BE" w:rsidRDefault="006A74BE" w:rsidP="00911873">
      <w:r>
        <w:continuationSeparator/>
      </w:r>
    </w:p>
  </w:endnote>
  <w:endnote w:type="continuationNotice" w:id="1">
    <w:p w14:paraId="10D73951" w14:textId="77777777" w:rsidR="006A74BE" w:rsidRDefault="006A7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11873">
    <w:pPr>
      <w:pStyle w:val="Footer"/>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59AD" w14:textId="77777777" w:rsidR="006A74BE" w:rsidRDefault="006A74BE" w:rsidP="00911873">
      <w:r>
        <w:separator/>
      </w:r>
    </w:p>
  </w:footnote>
  <w:footnote w:type="continuationSeparator" w:id="0">
    <w:p w14:paraId="0EFA410F" w14:textId="77777777" w:rsidR="006A74BE" w:rsidRDefault="006A74BE" w:rsidP="00911873">
      <w:r>
        <w:continuationSeparator/>
      </w:r>
    </w:p>
  </w:footnote>
  <w:footnote w:type="continuationNotice" w:id="1">
    <w:p w14:paraId="2CD8D3B1" w14:textId="77777777" w:rsidR="006A74BE" w:rsidRDefault="006A74BE"/>
  </w:footnote>
  <w:footnote w:id="2">
    <w:p w14:paraId="0D58DB3A" w14:textId="7B37D78B" w:rsidR="00860FD2" w:rsidRPr="00C42A67" w:rsidRDefault="00860FD2">
      <w:pPr>
        <w:pStyle w:val="FootnoteText"/>
        <w:rPr>
          <w:rFonts w:asciiTheme="minorHAnsi" w:hAnsiTheme="minorHAnsi"/>
          <w:sz w:val="16"/>
          <w:szCs w:val="16"/>
        </w:rPr>
      </w:pPr>
      <w:r w:rsidRPr="00C42A67">
        <w:rPr>
          <w:rStyle w:val="FootnoteReference"/>
          <w:rFonts w:asciiTheme="minorHAnsi" w:hAnsiTheme="minorHAnsi"/>
          <w:sz w:val="16"/>
          <w:szCs w:val="16"/>
        </w:rPr>
        <w:footnoteRef/>
      </w:r>
      <w:r w:rsidRPr="00C42A67">
        <w:rPr>
          <w:rFonts w:asciiTheme="minorHAnsi" w:hAnsiTheme="minorHAnsi"/>
          <w:sz w:val="16"/>
          <w:szCs w:val="16"/>
        </w:rPr>
        <w:t xml:space="preserve"> Department for Transport (2023)</w:t>
      </w:r>
      <w:r w:rsidR="009E7220" w:rsidRPr="00C42A67">
        <w:rPr>
          <w:rFonts w:asciiTheme="minorHAnsi" w:hAnsiTheme="minorHAnsi"/>
          <w:sz w:val="16"/>
          <w:szCs w:val="16"/>
        </w:rPr>
        <w:t xml:space="preserve"> </w:t>
      </w:r>
      <w:r w:rsidR="009E7220" w:rsidRPr="00C42A67">
        <w:rPr>
          <w:rFonts w:asciiTheme="minorHAnsi" w:hAnsiTheme="minorHAnsi"/>
          <w:i/>
          <w:iCs/>
          <w:sz w:val="16"/>
          <w:szCs w:val="16"/>
        </w:rPr>
        <w:t>Vehicle licensing statistics</w:t>
      </w:r>
      <w:r w:rsidR="009E7220" w:rsidRPr="00C42A67">
        <w:rPr>
          <w:rFonts w:asciiTheme="minorHAnsi" w:hAnsiTheme="minorHAnsi"/>
          <w:sz w:val="16"/>
          <w:szCs w:val="16"/>
        </w:rPr>
        <w:t xml:space="preserve">, </w:t>
      </w:r>
      <w:hyperlink r:id="rId1" w:history="1">
        <w:r w:rsidR="00B609DD" w:rsidRPr="00C42A67">
          <w:rPr>
            <w:rStyle w:val="Hyperlink"/>
            <w:rFonts w:asciiTheme="minorHAnsi" w:hAnsiTheme="minorHAnsi"/>
            <w:sz w:val="16"/>
            <w:szCs w:val="16"/>
          </w:rPr>
          <w:t>https://www.gov.uk/government/statistical-data-sets/vehicle-licensing-statistics-data-tables</w:t>
        </w:r>
      </w:hyperlink>
    </w:p>
  </w:footnote>
  <w:footnote w:id="3">
    <w:p w14:paraId="5CD0B501" w14:textId="30F482E1" w:rsidR="007B694A" w:rsidRPr="00C42A67" w:rsidRDefault="007B694A">
      <w:pPr>
        <w:pStyle w:val="FootnoteText"/>
        <w:rPr>
          <w:rFonts w:asciiTheme="minorHAnsi" w:hAnsiTheme="minorHAnsi"/>
          <w:sz w:val="16"/>
          <w:szCs w:val="16"/>
        </w:rPr>
      </w:pPr>
      <w:r w:rsidRPr="00C42A67">
        <w:rPr>
          <w:rStyle w:val="FootnoteReference"/>
          <w:rFonts w:asciiTheme="minorHAnsi" w:hAnsiTheme="minorHAnsi"/>
          <w:sz w:val="16"/>
          <w:szCs w:val="16"/>
        </w:rPr>
        <w:footnoteRef/>
      </w:r>
      <w:r w:rsidRPr="00C42A67">
        <w:rPr>
          <w:rFonts w:asciiTheme="minorHAnsi" w:hAnsiTheme="minorHAnsi"/>
          <w:sz w:val="16"/>
          <w:szCs w:val="16"/>
        </w:rPr>
        <w:t xml:space="preserve"> </w:t>
      </w:r>
      <w:r w:rsidR="00CB134D" w:rsidRPr="00C42A67">
        <w:rPr>
          <w:rFonts w:asciiTheme="minorHAnsi" w:hAnsiTheme="minorHAnsi"/>
          <w:sz w:val="16"/>
          <w:szCs w:val="16"/>
        </w:rPr>
        <w:t xml:space="preserve">Ernst &amp; Young (2023) </w:t>
      </w:r>
      <w:r w:rsidR="00CB134D" w:rsidRPr="00C42A67">
        <w:rPr>
          <w:rFonts w:asciiTheme="minorHAnsi" w:hAnsiTheme="minorHAnsi"/>
          <w:i/>
          <w:iCs/>
          <w:sz w:val="16"/>
          <w:szCs w:val="16"/>
        </w:rPr>
        <w:t>Mobility consumer index 2023</w:t>
      </w:r>
      <w:r w:rsidR="00CB134D" w:rsidRPr="00C42A67">
        <w:rPr>
          <w:rFonts w:asciiTheme="minorHAnsi" w:hAnsiTheme="minorHAnsi"/>
          <w:sz w:val="16"/>
          <w:szCs w:val="16"/>
        </w:rPr>
        <w:t xml:space="preserve">, </w:t>
      </w:r>
      <w:hyperlink r:id="rId2" w:history="1">
        <w:r w:rsidR="00CB134D" w:rsidRPr="00C42A67">
          <w:rPr>
            <w:rStyle w:val="Hyperlink"/>
            <w:rFonts w:asciiTheme="minorHAnsi" w:hAnsiTheme="minorHAnsi"/>
            <w:sz w:val="16"/>
            <w:szCs w:val="16"/>
          </w:rPr>
          <w:t>https://www.ey.com/en_gl/automotive-transportation/how-mapping-the-evolving-consumer-mindset-is-key-to-ev-mass-market-appeal</w:t>
        </w:r>
      </w:hyperlink>
    </w:p>
  </w:footnote>
  <w:footnote w:id="4">
    <w:p w14:paraId="0BC76CE3" w14:textId="2117CB3F" w:rsidR="00B4557D" w:rsidRPr="00A52B41" w:rsidRDefault="00B4557D" w:rsidP="009777B5">
      <w:pPr>
        <w:pStyle w:val="FootnoteText"/>
        <w:rPr>
          <w:rFonts w:asciiTheme="minorHAnsi" w:hAnsiTheme="minorHAnsi"/>
          <w:i/>
          <w:iCs/>
        </w:rPr>
      </w:pPr>
      <w:r w:rsidRPr="00C42A67">
        <w:rPr>
          <w:rStyle w:val="FootnoteReference"/>
          <w:rFonts w:asciiTheme="minorHAnsi" w:hAnsiTheme="minorHAnsi"/>
          <w:sz w:val="16"/>
          <w:szCs w:val="16"/>
        </w:rPr>
        <w:footnoteRef/>
      </w:r>
      <w:r w:rsidRPr="00C42A67">
        <w:rPr>
          <w:rFonts w:asciiTheme="minorHAnsi" w:hAnsiTheme="minorHAnsi"/>
          <w:sz w:val="16"/>
          <w:szCs w:val="16"/>
        </w:rPr>
        <w:t xml:space="preserve"> Ricardo Energy &amp; Environment for the CCC (2022) </w:t>
      </w:r>
      <w:r w:rsidR="009777B5" w:rsidRPr="00C42A67">
        <w:rPr>
          <w:rFonts w:asciiTheme="minorHAnsi" w:hAnsiTheme="minorHAnsi"/>
          <w:i/>
          <w:iCs/>
          <w:sz w:val="16"/>
          <w:szCs w:val="16"/>
        </w:rPr>
        <w:t>Understanding the costs and impacts of potential approaches to providing electric vehicle charging for households without private off-street parking</w:t>
      </w:r>
      <w:r w:rsidR="009777B5" w:rsidRPr="00C42A67">
        <w:rPr>
          <w:rFonts w:asciiTheme="minorHAnsi" w:hAnsiTheme="minorHAnsi"/>
          <w:sz w:val="16"/>
          <w:szCs w:val="16"/>
        </w:rPr>
        <w:t>,</w:t>
      </w:r>
      <w:r w:rsidR="0065375E">
        <w:rPr>
          <w:rFonts w:asciiTheme="minorHAnsi" w:hAnsiTheme="minorHAnsi"/>
          <w:sz w:val="16"/>
          <w:szCs w:val="16"/>
        </w:rPr>
        <w:t xml:space="preserve"> </w:t>
      </w:r>
      <w:hyperlink r:id="rId3" w:history="1">
        <w:r w:rsidR="0065375E" w:rsidRPr="00CC0A77">
          <w:rPr>
            <w:rStyle w:val="Hyperlink"/>
            <w:sz w:val="16"/>
            <w:szCs w:val="16"/>
          </w:rPr>
          <w:t>https://www.theccc.org.uk/publication/costs-and-impacts-of-on-street-charging-ricardo-energy-environment/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911873">
    <w:pPr>
      <w:pStyle w:val="BodyText"/>
    </w:pPr>
    <w:r w:rsidRPr="00DA2FBB">
      <w:rPr>
        <w:noProof/>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911873">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72A8F6FA"/>
    <w:lvl w:ilvl="0" w:tplc="6868E6A6">
      <w:start w:val="11"/>
      <w:numFmt w:val="decimal"/>
      <w:lvlText w:val="%1."/>
      <w:lvlJc w:val="left"/>
      <w:pPr>
        <w:ind w:left="1095" w:hanging="375"/>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6000AF"/>
    <w:multiLevelType w:val="hybridMultilevel"/>
    <w:tmpl w:val="E86E4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339DE"/>
    <w:multiLevelType w:val="hybridMultilevel"/>
    <w:tmpl w:val="982AFC0A"/>
    <w:lvl w:ilvl="0" w:tplc="06427D6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0A78E8"/>
    <w:multiLevelType w:val="multilevel"/>
    <w:tmpl w:val="35766D4A"/>
    <w:styleLink w:val="CCCBullets"/>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4" w15:restartNumberingAfterBreak="0">
    <w:nsid w:val="0FD63B8B"/>
    <w:multiLevelType w:val="hybridMultilevel"/>
    <w:tmpl w:val="95A68010"/>
    <w:lvl w:ilvl="0" w:tplc="62C49028">
      <w:start w:val="1"/>
      <w:numFmt w:val="decimal"/>
      <w:lvlText w:val="%1)"/>
      <w:lvlJc w:val="left"/>
      <w:pPr>
        <w:ind w:left="1069" w:hanging="360"/>
      </w:pPr>
      <w:rPr>
        <w:rFonts w:ascii="Century Gothic" w:eastAsiaTheme="minorHAnsi" w:hAnsi="Century Gothic" w:cstheme="minorBidi"/>
      </w:rPr>
    </w:lvl>
    <w:lvl w:ilvl="1" w:tplc="08090003">
      <w:start w:val="1"/>
      <w:numFmt w:val="bullet"/>
      <w:lvlText w:val="o"/>
      <w:lvlJc w:val="left"/>
      <w:pPr>
        <w:ind w:left="1789" w:hanging="360"/>
      </w:pPr>
      <w:rPr>
        <w:rFonts w:ascii="Courier New" w:hAnsi="Courier New" w:cs="Times New Roman"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Times New Roman"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Times New Roman" w:hint="default"/>
      </w:rPr>
    </w:lvl>
    <w:lvl w:ilvl="8" w:tplc="08090005">
      <w:start w:val="1"/>
      <w:numFmt w:val="bullet"/>
      <w:lvlText w:val=""/>
      <w:lvlJc w:val="left"/>
      <w:pPr>
        <w:ind w:left="6829" w:hanging="360"/>
      </w:pPr>
      <w:rPr>
        <w:rFonts w:ascii="Wingdings" w:hAnsi="Wingdings" w:hint="default"/>
      </w:rPr>
    </w:lvl>
  </w:abstractNum>
  <w:abstractNum w:abstractNumId="5" w15:restartNumberingAfterBreak="0">
    <w:nsid w:val="13F70C4F"/>
    <w:multiLevelType w:val="hybridMultilevel"/>
    <w:tmpl w:val="C5A82F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C62A4A"/>
    <w:multiLevelType w:val="hybridMultilevel"/>
    <w:tmpl w:val="37007B88"/>
    <w:lvl w:ilvl="0" w:tplc="68BEB9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E95036"/>
    <w:multiLevelType w:val="hybridMultilevel"/>
    <w:tmpl w:val="E48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60761"/>
    <w:multiLevelType w:val="hybridMultilevel"/>
    <w:tmpl w:val="A73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9336C"/>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10" w15:restartNumberingAfterBreak="0">
    <w:nsid w:val="1E64104A"/>
    <w:multiLevelType w:val="hybridMultilevel"/>
    <w:tmpl w:val="B71E83FC"/>
    <w:lvl w:ilvl="0" w:tplc="F0208934">
      <w:start w:val="1"/>
      <w:numFmt w:val="bullet"/>
      <w:pStyle w:val="BulletLevel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A694F"/>
    <w:multiLevelType w:val="multilevel"/>
    <w:tmpl w:val="AE1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D4D81"/>
    <w:multiLevelType w:val="hybridMultilevel"/>
    <w:tmpl w:val="5944DA4E"/>
    <w:lvl w:ilvl="0" w:tplc="31A636BC">
      <w:start w:val="3"/>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6B3875"/>
    <w:multiLevelType w:val="hybridMultilevel"/>
    <w:tmpl w:val="008EC7BE"/>
    <w:lvl w:ilvl="0" w:tplc="E332A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BB2EC7"/>
    <w:multiLevelType w:val="hybridMultilevel"/>
    <w:tmpl w:val="636225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1691AEC"/>
    <w:multiLevelType w:val="hybridMultilevel"/>
    <w:tmpl w:val="FEAA8A46"/>
    <w:lvl w:ilvl="0" w:tplc="BE44D03A">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E23F1"/>
    <w:multiLevelType w:val="hybridMultilevel"/>
    <w:tmpl w:val="D2F69F92"/>
    <w:lvl w:ilvl="0" w:tplc="F024345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56B57"/>
    <w:multiLevelType w:val="multilevel"/>
    <w:tmpl w:val="47F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3152EA"/>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20" w15:restartNumberingAfterBreak="0">
    <w:nsid w:val="66756A37"/>
    <w:multiLevelType w:val="hybridMultilevel"/>
    <w:tmpl w:val="3148FD76"/>
    <w:lvl w:ilvl="0" w:tplc="18EC81D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5C581F"/>
    <w:multiLevelType w:val="hybridMultilevel"/>
    <w:tmpl w:val="68AAE09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4FE0D7C"/>
    <w:multiLevelType w:val="singleLevel"/>
    <w:tmpl w:val="DC288608"/>
    <w:lvl w:ilvl="0">
      <w:start w:val="1"/>
      <w:numFmt w:val="bullet"/>
      <w:lvlText w:val=""/>
      <w:lvlJc w:val="left"/>
      <w:pPr>
        <w:ind w:left="1704" w:hanging="360"/>
      </w:pPr>
      <w:rPr>
        <w:rFonts w:ascii="Symbol" w:hAnsi="Symbol" w:hint="default"/>
      </w:rPr>
    </w:lvl>
  </w:abstractNum>
  <w:num w:numId="1" w16cid:durableId="1023750452">
    <w:abstractNumId w:val="17"/>
  </w:num>
  <w:num w:numId="2" w16cid:durableId="1355612963">
    <w:abstractNumId w:val="15"/>
  </w:num>
  <w:num w:numId="3" w16cid:durableId="3167371">
    <w:abstractNumId w:val="0"/>
  </w:num>
  <w:num w:numId="4" w16cid:durableId="1269510343">
    <w:abstractNumId w:val="7"/>
  </w:num>
  <w:num w:numId="5" w16cid:durableId="1615988554">
    <w:abstractNumId w:val="3"/>
  </w:num>
  <w:num w:numId="6" w16cid:durableId="867835989">
    <w:abstractNumId w:val="22"/>
  </w:num>
  <w:num w:numId="7" w16cid:durableId="91242631">
    <w:abstractNumId w:val="4"/>
  </w:num>
  <w:num w:numId="8" w16cid:durableId="1655640137">
    <w:abstractNumId w:val="8"/>
  </w:num>
  <w:num w:numId="9" w16cid:durableId="1890530518">
    <w:abstractNumId w:val="22"/>
  </w:num>
  <w:num w:numId="10" w16cid:durableId="112790657">
    <w:abstractNumId w:val="22"/>
  </w:num>
  <w:num w:numId="11" w16cid:durableId="2110008643">
    <w:abstractNumId w:val="19"/>
  </w:num>
  <w:num w:numId="12" w16cid:durableId="942804767">
    <w:abstractNumId w:val="22"/>
  </w:num>
  <w:num w:numId="13" w16cid:durableId="585112399">
    <w:abstractNumId w:val="1"/>
  </w:num>
  <w:num w:numId="14" w16cid:durableId="1824351886">
    <w:abstractNumId w:val="9"/>
  </w:num>
  <w:num w:numId="15" w16cid:durableId="626356690">
    <w:abstractNumId w:val="18"/>
  </w:num>
  <w:num w:numId="16" w16cid:durableId="980228633">
    <w:abstractNumId w:val="11"/>
  </w:num>
  <w:num w:numId="17" w16cid:durableId="1676691033">
    <w:abstractNumId w:val="20"/>
  </w:num>
  <w:num w:numId="18" w16cid:durableId="1161387153">
    <w:abstractNumId w:val="13"/>
  </w:num>
  <w:num w:numId="19" w16cid:durableId="1831946535">
    <w:abstractNumId w:val="6"/>
  </w:num>
  <w:num w:numId="20" w16cid:durableId="1454639721">
    <w:abstractNumId w:val="2"/>
  </w:num>
  <w:num w:numId="21" w16cid:durableId="548147481">
    <w:abstractNumId w:val="5"/>
  </w:num>
  <w:num w:numId="22" w16cid:durableId="1613705670">
    <w:abstractNumId w:val="14"/>
  </w:num>
  <w:num w:numId="23" w16cid:durableId="780221398">
    <w:abstractNumId w:val="16"/>
  </w:num>
  <w:num w:numId="24" w16cid:durableId="1126312598">
    <w:abstractNumId w:val="21"/>
  </w:num>
  <w:num w:numId="25" w16cid:durableId="1122311517">
    <w:abstractNumId w:val="10"/>
  </w:num>
  <w:num w:numId="26" w16cid:durableId="1656489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1FEA"/>
    <w:rsid w:val="00002C4D"/>
    <w:rsid w:val="00002D52"/>
    <w:rsid w:val="00007A49"/>
    <w:rsid w:val="00011674"/>
    <w:rsid w:val="00014D4A"/>
    <w:rsid w:val="000169DE"/>
    <w:rsid w:val="0002046C"/>
    <w:rsid w:val="000207C6"/>
    <w:rsid w:val="00020B30"/>
    <w:rsid w:val="00027ACC"/>
    <w:rsid w:val="00033593"/>
    <w:rsid w:val="0003559A"/>
    <w:rsid w:val="0003665A"/>
    <w:rsid w:val="000431D7"/>
    <w:rsid w:val="00050E01"/>
    <w:rsid w:val="00055C66"/>
    <w:rsid w:val="000563ED"/>
    <w:rsid w:val="0005718F"/>
    <w:rsid w:val="000610B7"/>
    <w:rsid w:val="00062D9E"/>
    <w:rsid w:val="00062DD0"/>
    <w:rsid w:val="000672DE"/>
    <w:rsid w:val="00080924"/>
    <w:rsid w:val="0008104C"/>
    <w:rsid w:val="00091670"/>
    <w:rsid w:val="00095D40"/>
    <w:rsid w:val="00097422"/>
    <w:rsid w:val="00097773"/>
    <w:rsid w:val="000A65B8"/>
    <w:rsid w:val="000A67F5"/>
    <w:rsid w:val="000C038F"/>
    <w:rsid w:val="000C75B8"/>
    <w:rsid w:val="000D130E"/>
    <w:rsid w:val="000D633D"/>
    <w:rsid w:val="000D6B9D"/>
    <w:rsid w:val="000E4044"/>
    <w:rsid w:val="000E4278"/>
    <w:rsid w:val="000E49C7"/>
    <w:rsid w:val="000F3259"/>
    <w:rsid w:val="0010220A"/>
    <w:rsid w:val="001041A9"/>
    <w:rsid w:val="00104362"/>
    <w:rsid w:val="001057F8"/>
    <w:rsid w:val="001110D5"/>
    <w:rsid w:val="0011174C"/>
    <w:rsid w:val="00114110"/>
    <w:rsid w:val="00115770"/>
    <w:rsid w:val="00116F97"/>
    <w:rsid w:val="00124259"/>
    <w:rsid w:val="001244DF"/>
    <w:rsid w:val="00136795"/>
    <w:rsid w:val="001509A7"/>
    <w:rsid w:val="001550E8"/>
    <w:rsid w:val="00160EB1"/>
    <w:rsid w:val="001661E9"/>
    <w:rsid w:val="001746F6"/>
    <w:rsid w:val="00177188"/>
    <w:rsid w:val="00182C63"/>
    <w:rsid w:val="00195620"/>
    <w:rsid w:val="0019574E"/>
    <w:rsid w:val="0019728D"/>
    <w:rsid w:val="00197578"/>
    <w:rsid w:val="001A56B7"/>
    <w:rsid w:val="001A6FE4"/>
    <w:rsid w:val="001B7FB3"/>
    <w:rsid w:val="001C1BC7"/>
    <w:rsid w:val="001C71FB"/>
    <w:rsid w:val="001D0E68"/>
    <w:rsid w:val="001D3CCF"/>
    <w:rsid w:val="001D69B8"/>
    <w:rsid w:val="001D6D2C"/>
    <w:rsid w:val="001D706C"/>
    <w:rsid w:val="001E1C09"/>
    <w:rsid w:val="001E404F"/>
    <w:rsid w:val="001E419B"/>
    <w:rsid w:val="001E6A91"/>
    <w:rsid w:val="001E7AB6"/>
    <w:rsid w:val="001F3FCE"/>
    <w:rsid w:val="001F77EE"/>
    <w:rsid w:val="002002CB"/>
    <w:rsid w:val="002035FE"/>
    <w:rsid w:val="00204886"/>
    <w:rsid w:val="0020539A"/>
    <w:rsid w:val="00213882"/>
    <w:rsid w:val="00221AEB"/>
    <w:rsid w:val="002266B5"/>
    <w:rsid w:val="00236FBF"/>
    <w:rsid w:val="002436D6"/>
    <w:rsid w:val="00250482"/>
    <w:rsid w:val="00251B58"/>
    <w:rsid w:val="002536F3"/>
    <w:rsid w:val="0025432B"/>
    <w:rsid w:val="002607DA"/>
    <w:rsid w:val="00262DF6"/>
    <w:rsid w:val="00263C8C"/>
    <w:rsid w:val="00264CF7"/>
    <w:rsid w:val="00272C58"/>
    <w:rsid w:val="00273AFD"/>
    <w:rsid w:val="0027435F"/>
    <w:rsid w:val="002844AA"/>
    <w:rsid w:val="002870CD"/>
    <w:rsid w:val="002958D6"/>
    <w:rsid w:val="00297123"/>
    <w:rsid w:val="002A0BF4"/>
    <w:rsid w:val="002A203E"/>
    <w:rsid w:val="002A4D13"/>
    <w:rsid w:val="002A644B"/>
    <w:rsid w:val="002B08F8"/>
    <w:rsid w:val="002B2B74"/>
    <w:rsid w:val="002C1C0D"/>
    <w:rsid w:val="002C2240"/>
    <w:rsid w:val="002C2D08"/>
    <w:rsid w:val="002C3F7E"/>
    <w:rsid w:val="002C640F"/>
    <w:rsid w:val="002C721C"/>
    <w:rsid w:val="002E2F50"/>
    <w:rsid w:val="002E3C98"/>
    <w:rsid w:val="002F41A0"/>
    <w:rsid w:val="002F7CE7"/>
    <w:rsid w:val="00300D1A"/>
    <w:rsid w:val="00302340"/>
    <w:rsid w:val="00303FDB"/>
    <w:rsid w:val="0031765B"/>
    <w:rsid w:val="003254BC"/>
    <w:rsid w:val="003261BD"/>
    <w:rsid w:val="0033317E"/>
    <w:rsid w:val="00334B29"/>
    <w:rsid w:val="00337F7C"/>
    <w:rsid w:val="00350910"/>
    <w:rsid w:val="00355A09"/>
    <w:rsid w:val="00356A86"/>
    <w:rsid w:val="00364E0F"/>
    <w:rsid w:val="00367EA8"/>
    <w:rsid w:val="003778A7"/>
    <w:rsid w:val="0038388A"/>
    <w:rsid w:val="003876A6"/>
    <w:rsid w:val="003936B7"/>
    <w:rsid w:val="003A05B7"/>
    <w:rsid w:val="003B33B8"/>
    <w:rsid w:val="003B3E64"/>
    <w:rsid w:val="003B5823"/>
    <w:rsid w:val="003B77CF"/>
    <w:rsid w:val="003C0907"/>
    <w:rsid w:val="003C44CB"/>
    <w:rsid w:val="003D1140"/>
    <w:rsid w:val="003E278F"/>
    <w:rsid w:val="003E310F"/>
    <w:rsid w:val="003E3E04"/>
    <w:rsid w:val="003E5FB9"/>
    <w:rsid w:val="003E67D8"/>
    <w:rsid w:val="003F1034"/>
    <w:rsid w:val="003F1F93"/>
    <w:rsid w:val="003F38EA"/>
    <w:rsid w:val="003F3AE2"/>
    <w:rsid w:val="003F4FF9"/>
    <w:rsid w:val="003F5752"/>
    <w:rsid w:val="003F58F3"/>
    <w:rsid w:val="004045E3"/>
    <w:rsid w:val="0040636C"/>
    <w:rsid w:val="00407110"/>
    <w:rsid w:val="0040739F"/>
    <w:rsid w:val="00410189"/>
    <w:rsid w:val="004138BB"/>
    <w:rsid w:val="00413ABD"/>
    <w:rsid w:val="0041526A"/>
    <w:rsid w:val="0042547A"/>
    <w:rsid w:val="00425EB3"/>
    <w:rsid w:val="00432832"/>
    <w:rsid w:val="004338EF"/>
    <w:rsid w:val="004426FA"/>
    <w:rsid w:val="00443A49"/>
    <w:rsid w:val="00443FC6"/>
    <w:rsid w:val="004446C6"/>
    <w:rsid w:val="00444B40"/>
    <w:rsid w:val="00445444"/>
    <w:rsid w:val="00446F96"/>
    <w:rsid w:val="00450CCC"/>
    <w:rsid w:val="00451737"/>
    <w:rsid w:val="00453BDA"/>
    <w:rsid w:val="00460CDB"/>
    <w:rsid w:val="004622A4"/>
    <w:rsid w:val="004625BA"/>
    <w:rsid w:val="004637F6"/>
    <w:rsid w:val="00465492"/>
    <w:rsid w:val="00465E0C"/>
    <w:rsid w:val="0046613B"/>
    <w:rsid w:val="00466237"/>
    <w:rsid w:val="004711FD"/>
    <w:rsid w:val="00474EB5"/>
    <w:rsid w:val="004816A4"/>
    <w:rsid w:val="004831E8"/>
    <w:rsid w:val="00485471"/>
    <w:rsid w:val="004A51CE"/>
    <w:rsid w:val="004A64EA"/>
    <w:rsid w:val="004B4F1F"/>
    <w:rsid w:val="004B5E59"/>
    <w:rsid w:val="004C145E"/>
    <w:rsid w:val="004C6377"/>
    <w:rsid w:val="004C7CD3"/>
    <w:rsid w:val="004D1891"/>
    <w:rsid w:val="004D3765"/>
    <w:rsid w:val="004D38AE"/>
    <w:rsid w:val="004D5310"/>
    <w:rsid w:val="004E0D08"/>
    <w:rsid w:val="004E6806"/>
    <w:rsid w:val="004E7852"/>
    <w:rsid w:val="004E7E2F"/>
    <w:rsid w:val="004F16F1"/>
    <w:rsid w:val="004F315D"/>
    <w:rsid w:val="004F4948"/>
    <w:rsid w:val="004F713C"/>
    <w:rsid w:val="004F75F2"/>
    <w:rsid w:val="00500806"/>
    <w:rsid w:val="00501B46"/>
    <w:rsid w:val="00507357"/>
    <w:rsid w:val="00514723"/>
    <w:rsid w:val="00520FAC"/>
    <w:rsid w:val="00521506"/>
    <w:rsid w:val="005237BF"/>
    <w:rsid w:val="00523E02"/>
    <w:rsid w:val="005259D7"/>
    <w:rsid w:val="00525B41"/>
    <w:rsid w:val="00533AB1"/>
    <w:rsid w:val="005359A7"/>
    <w:rsid w:val="00535F81"/>
    <w:rsid w:val="005440F2"/>
    <w:rsid w:val="00550D97"/>
    <w:rsid w:val="005511BE"/>
    <w:rsid w:val="00553392"/>
    <w:rsid w:val="00562234"/>
    <w:rsid w:val="00563595"/>
    <w:rsid w:val="00563CCF"/>
    <w:rsid w:val="00573E25"/>
    <w:rsid w:val="005830B0"/>
    <w:rsid w:val="00584FB9"/>
    <w:rsid w:val="00587A1A"/>
    <w:rsid w:val="005903F4"/>
    <w:rsid w:val="005904D3"/>
    <w:rsid w:val="00590984"/>
    <w:rsid w:val="00591FB5"/>
    <w:rsid w:val="0059426D"/>
    <w:rsid w:val="005A0207"/>
    <w:rsid w:val="005A10D3"/>
    <w:rsid w:val="005A2B5B"/>
    <w:rsid w:val="005A4781"/>
    <w:rsid w:val="005A7C19"/>
    <w:rsid w:val="005B259B"/>
    <w:rsid w:val="005C4685"/>
    <w:rsid w:val="005C4816"/>
    <w:rsid w:val="005C50C2"/>
    <w:rsid w:val="005C519D"/>
    <w:rsid w:val="005C52CF"/>
    <w:rsid w:val="005C77E7"/>
    <w:rsid w:val="005D3874"/>
    <w:rsid w:val="005D3AC8"/>
    <w:rsid w:val="005D7F77"/>
    <w:rsid w:val="005E61CF"/>
    <w:rsid w:val="005E71D7"/>
    <w:rsid w:val="005F574B"/>
    <w:rsid w:val="00605B4A"/>
    <w:rsid w:val="00610516"/>
    <w:rsid w:val="00613D14"/>
    <w:rsid w:val="00614F2D"/>
    <w:rsid w:val="00620B55"/>
    <w:rsid w:val="006250C0"/>
    <w:rsid w:val="00625629"/>
    <w:rsid w:val="006333CE"/>
    <w:rsid w:val="00641921"/>
    <w:rsid w:val="0064357F"/>
    <w:rsid w:val="00651AF2"/>
    <w:rsid w:val="00652CFD"/>
    <w:rsid w:val="0065375E"/>
    <w:rsid w:val="00661809"/>
    <w:rsid w:val="00670904"/>
    <w:rsid w:val="0067435C"/>
    <w:rsid w:val="006757F3"/>
    <w:rsid w:val="006809EB"/>
    <w:rsid w:val="00680B83"/>
    <w:rsid w:val="00690FEF"/>
    <w:rsid w:val="00691AEC"/>
    <w:rsid w:val="00692257"/>
    <w:rsid w:val="0069254D"/>
    <w:rsid w:val="0069725A"/>
    <w:rsid w:val="006A1EA9"/>
    <w:rsid w:val="006A2E04"/>
    <w:rsid w:val="006A33C3"/>
    <w:rsid w:val="006A74BE"/>
    <w:rsid w:val="006B007B"/>
    <w:rsid w:val="006B5185"/>
    <w:rsid w:val="006B719A"/>
    <w:rsid w:val="006B7435"/>
    <w:rsid w:val="006B7E0A"/>
    <w:rsid w:val="006D6653"/>
    <w:rsid w:val="006D7091"/>
    <w:rsid w:val="006D763E"/>
    <w:rsid w:val="006E0E3A"/>
    <w:rsid w:val="006E3156"/>
    <w:rsid w:val="006E4D80"/>
    <w:rsid w:val="006F0AEC"/>
    <w:rsid w:val="006F2779"/>
    <w:rsid w:val="006F4B31"/>
    <w:rsid w:val="006F5960"/>
    <w:rsid w:val="006F638E"/>
    <w:rsid w:val="0070287A"/>
    <w:rsid w:val="00704B82"/>
    <w:rsid w:val="00705C78"/>
    <w:rsid w:val="00712933"/>
    <w:rsid w:val="007317B3"/>
    <w:rsid w:val="007327B1"/>
    <w:rsid w:val="007464B1"/>
    <w:rsid w:val="00750E1B"/>
    <w:rsid w:val="007523D2"/>
    <w:rsid w:val="007528EC"/>
    <w:rsid w:val="00752925"/>
    <w:rsid w:val="00753F04"/>
    <w:rsid w:val="00765EEE"/>
    <w:rsid w:val="00770A28"/>
    <w:rsid w:val="00776CAF"/>
    <w:rsid w:val="00785BE1"/>
    <w:rsid w:val="00792334"/>
    <w:rsid w:val="00792AEF"/>
    <w:rsid w:val="0079308B"/>
    <w:rsid w:val="007950C0"/>
    <w:rsid w:val="007A1A80"/>
    <w:rsid w:val="007A2D68"/>
    <w:rsid w:val="007A53C3"/>
    <w:rsid w:val="007B384A"/>
    <w:rsid w:val="007B5FD8"/>
    <w:rsid w:val="007B694A"/>
    <w:rsid w:val="007D09A3"/>
    <w:rsid w:val="007D2C5E"/>
    <w:rsid w:val="007F1A6C"/>
    <w:rsid w:val="007F3EFB"/>
    <w:rsid w:val="007F55B9"/>
    <w:rsid w:val="007F6086"/>
    <w:rsid w:val="0080681A"/>
    <w:rsid w:val="00806F4C"/>
    <w:rsid w:val="00811FC2"/>
    <w:rsid w:val="00815E90"/>
    <w:rsid w:val="00817334"/>
    <w:rsid w:val="00820FE6"/>
    <w:rsid w:val="00822490"/>
    <w:rsid w:val="00823518"/>
    <w:rsid w:val="0082747C"/>
    <w:rsid w:val="0083151A"/>
    <w:rsid w:val="00841486"/>
    <w:rsid w:val="00841B32"/>
    <w:rsid w:val="00841B40"/>
    <w:rsid w:val="00842E35"/>
    <w:rsid w:val="008436FB"/>
    <w:rsid w:val="0084452F"/>
    <w:rsid w:val="00844706"/>
    <w:rsid w:val="00844BEB"/>
    <w:rsid w:val="008455F6"/>
    <w:rsid w:val="00850FB8"/>
    <w:rsid w:val="00855900"/>
    <w:rsid w:val="008578CD"/>
    <w:rsid w:val="00857A81"/>
    <w:rsid w:val="00857AD6"/>
    <w:rsid w:val="00860FD2"/>
    <w:rsid w:val="00864903"/>
    <w:rsid w:val="00873AC6"/>
    <w:rsid w:val="008742FF"/>
    <w:rsid w:val="008760D8"/>
    <w:rsid w:val="00882832"/>
    <w:rsid w:val="00884256"/>
    <w:rsid w:val="0089420E"/>
    <w:rsid w:val="008960A9"/>
    <w:rsid w:val="008A2514"/>
    <w:rsid w:val="008A2ACC"/>
    <w:rsid w:val="008A3CA4"/>
    <w:rsid w:val="008A6CBC"/>
    <w:rsid w:val="008A750E"/>
    <w:rsid w:val="008B1A7B"/>
    <w:rsid w:val="008B6757"/>
    <w:rsid w:val="008C0B1F"/>
    <w:rsid w:val="008C4DC5"/>
    <w:rsid w:val="008D7492"/>
    <w:rsid w:val="008E01C3"/>
    <w:rsid w:val="008E3397"/>
    <w:rsid w:val="008E5D72"/>
    <w:rsid w:val="008E663E"/>
    <w:rsid w:val="008F1EFA"/>
    <w:rsid w:val="008F5E6D"/>
    <w:rsid w:val="008F6FAE"/>
    <w:rsid w:val="00901276"/>
    <w:rsid w:val="00901BF5"/>
    <w:rsid w:val="0090540F"/>
    <w:rsid w:val="00906185"/>
    <w:rsid w:val="009065FD"/>
    <w:rsid w:val="00911873"/>
    <w:rsid w:val="00911DFC"/>
    <w:rsid w:val="00913B37"/>
    <w:rsid w:val="00915B61"/>
    <w:rsid w:val="00916F68"/>
    <w:rsid w:val="00922EB4"/>
    <w:rsid w:val="00925066"/>
    <w:rsid w:val="00926266"/>
    <w:rsid w:val="0093570D"/>
    <w:rsid w:val="00935FC6"/>
    <w:rsid w:val="00937DD0"/>
    <w:rsid w:val="00940CD3"/>
    <w:rsid w:val="00950D1F"/>
    <w:rsid w:val="009530E5"/>
    <w:rsid w:val="00964613"/>
    <w:rsid w:val="00965173"/>
    <w:rsid w:val="00965D66"/>
    <w:rsid w:val="00966BFE"/>
    <w:rsid w:val="00967C11"/>
    <w:rsid w:val="00970927"/>
    <w:rsid w:val="00970D9D"/>
    <w:rsid w:val="009777B5"/>
    <w:rsid w:val="009777D2"/>
    <w:rsid w:val="0098429D"/>
    <w:rsid w:val="0098454D"/>
    <w:rsid w:val="00987C55"/>
    <w:rsid w:val="00991045"/>
    <w:rsid w:val="00992360"/>
    <w:rsid w:val="00994C96"/>
    <w:rsid w:val="0099611F"/>
    <w:rsid w:val="00997577"/>
    <w:rsid w:val="009A027B"/>
    <w:rsid w:val="009B2627"/>
    <w:rsid w:val="009B73B6"/>
    <w:rsid w:val="009C3292"/>
    <w:rsid w:val="009C38A5"/>
    <w:rsid w:val="009C3C19"/>
    <w:rsid w:val="009C446D"/>
    <w:rsid w:val="009C57AE"/>
    <w:rsid w:val="009D046A"/>
    <w:rsid w:val="009D413D"/>
    <w:rsid w:val="009D53EE"/>
    <w:rsid w:val="009E127B"/>
    <w:rsid w:val="009E1308"/>
    <w:rsid w:val="009E130B"/>
    <w:rsid w:val="009E292A"/>
    <w:rsid w:val="009E2FCB"/>
    <w:rsid w:val="009E409F"/>
    <w:rsid w:val="009E437B"/>
    <w:rsid w:val="009E7220"/>
    <w:rsid w:val="009E7778"/>
    <w:rsid w:val="009F61C0"/>
    <w:rsid w:val="00A0023A"/>
    <w:rsid w:val="00A008FB"/>
    <w:rsid w:val="00A06E17"/>
    <w:rsid w:val="00A16EC0"/>
    <w:rsid w:val="00A17A6E"/>
    <w:rsid w:val="00A223B9"/>
    <w:rsid w:val="00A23481"/>
    <w:rsid w:val="00A23987"/>
    <w:rsid w:val="00A323DE"/>
    <w:rsid w:val="00A33931"/>
    <w:rsid w:val="00A34974"/>
    <w:rsid w:val="00A3793D"/>
    <w:rsid w:val="00A412EB"/>
    <w:rsid w:val="00A432F7"/>
    <w:rsid w:val="00A442F8"/>
    <w:rsid w:val="00A44A26"/>
    <w:rsid w:val="00A44F3E"/>
    <w:rsid w:val="00A456DE"/>
    <w:rsid w:val="00A45ADF"/>
    <w:rsid w:val="00A4657A"/>
    <w:rsid w:val="00A52B41"/>
    <w:rsid w:val="00A55EF7"/>
    <w:rsid w:val="00A56031"/>
    <w:rsid w:val="00A649E5"/>
    <w:rsid w:val="00A67B13"/>
    <w:rsid w:val="00A75AAC"/>
    <w:rsid w:val="00A76F2E"/>
    <w:rsid w:val="00A844F6"/>
    <w:rsid w:val="00A85738"/>
    <w:rsid w:val="00A91C64"/>
    <w:rsid w:val="00A91D60"/>
    <w:rsid w:val="00A926E3"/>
    <w:rsid w:val="00A93704"/>
    <w:rsid w:val="00A95769"/>
    <w:rsid w:val="00A9689E"/>
    <w:rsid w:val="00A9730B"/>
    <w:rsid w:val="00AA1D56"/>
    <w:rsid w:val="00AB539A"/>
    <w:rsid w:val="00AC2F56"/>
    <w:rsid w:val="00AC5ECD"/>
    <w:rsid w:val="00AD1274"/>
    <w:rsid w:val="00AD4A79"/>
    <w:rsid w:val="00AE10FA"/>
    <w:rsid w:val="00AE12A8"/>
    <w:rsid w:val="00AE5168"/>
    <w:rsid w:val="00AF3625"/>
    <w:rsid w:val="00AF436B"/>
    <w:rsid w:val="00B02A39"/>
    <w:rsid w:val="00B11330"/>
    <w:rsid w:val="00B1530A"/>
    <w:rsid w:val="00B2005A"/>
    <w:rsid w:val="00B270FB"/>
    <w:rsid w:val="00B30F69"/>
    <w:rsid w:val="00B35E4C"/>
    <w:rsid w:val="00B4557D"/>
    <w:rsid w:val="00B46B70"/>
    <w:rsid w:val="00B51017"/>
    <w:rsid w:val="00B605B1"/>
    <w:rsid w:val="00B609DD"/>
    <w:rsid w:val="00B60EB0"/>
    <w:rsid w:val="00B60F3B"/>
    <w:rsid w:val="00B73181"/>
    <w:rsid w:val="00B736FE"/>
    <w:rsid w:val="00B77DD9"/>
    <w:rsid w:val="00B875D7"/>
    <w:rsid w:val="00B9244C"/>
    <w:rsid w:val="00BA1A91"/>
    <w:rsid w:val="00BA20A7"/>
    <w:rsid w:val="00BA38DF"/>
    <w:rsid w:val="00BB12D8"/>
    <w:rsid w:val="00BB2821"/>
    <w:rsid w:val="00BB528B"/>
    <w:rsid w:val="00BB5D07"/>
    <w:rsid w:val="00BC40D6"/>
    <w:rsid w:val="00BC4853"/>
    <w:rsid w:val="00BD0A83"/>
    <w:rsid w:val="00BD14B6"/>
    <w:rsid w:val="00BD1AC5"/>
    <w:rsid w:val="00BD261D"/>
    <w:rsid w:val="00BD5AD7"/>
    <w:rsid w:val="00BD61D6"/>
    <w:rsid w:val="00BD62E7"/>
    <w:rsid w:val="00BE16AF"/>
    <w:rsid w:val="00BE64D3"/>
    <w:rsid w:val="00BF065F"/>
    <w:rsid w:val="00BF72DB"/>
    <w:rsid w:val="00C0022C"/>
    <w:rsid w:val="00C01F33"/>
    <w:rsid w:val="00C03DFD"/>
    <w:rsid w:val="00C06C81"/>
    <w:rsid w:val="00C10893"/>
    <w:rsid w:val="00C122AA"/>
    <w:rsid w:val="00C135FA"/>
    <w:rsid w:val="00C213AF"/>
    <w:rsid w:val="00C2489C"/>
    <w:rsid w:val="00C271F0"/>
    <w:rsid w:val="00C3057F"/>
    <w:rsid w:val="00C33106"/>
    <w:rsid w:val="00C37B13"/>
    <w:rsid w:val="00C42A67"/>
    <w:rsid w:val="00C50C16"/>
    <w:rsid w:val="00C50FB6"/>
    <w:rsid w:val="00C518D3"/>
    <w:rsid w:val="00C63888"/>
    <w:rsid w:val="00C638B9"/>
    <w:rsid w:val="00C65F20"/>
    <w:rsid w:val="00C662F6"/>
    <w:rsid w:val="00C668A6"/>
    <w:rsid w:val="00C711E8"/>
    <w:rsid w:val="00C77C5A"/>
    <w:rsid w:val="00C82706"/>
    <w:rsid w:val="00C829B9"/>
    <w:rsid w:val="00C85EB7"/>
    <w:rsid w:val="00C85EE5"/>
    <w:rsid w:val="00C92673"/>
    <w:rsid w:val="00CA49F6"/>
    <w:rsid w:val="00CA770B"/>
    <w:rsid w:val="00CB134D"/>
    <w:rsid w:val="00CB4FCA"/>
    <w:rsid w:val="00CB57B5"/>
    <w:rsid w:val="00CC6C70"/>
    <w:rsid w:val="00CC7A4C"/>
    <w:rsid w:val="00CE0AFA"/>
    <w:rsid w:val="00CE3F89"/>
    <w:rsid w:val="00CE4851"/>
    <w:rsid w:val="00CE4ED1"/>
    <w:rsid w:val="00CE5C84"/>
    <w:rsid w:val="00CF0FBA"/>
    <w:rsid w:val="00CF1ABB"/>
    <w:rsid w:val="00CF23CB"/>
    <w:rsid w:val="00CF40B2"/>
    <w:rsid w:val="00D0409E"/>
    <w:rsid w:val="00D16892"/>
    <w:rsid w:val="00D21D7D"/>
    <w:rsid w:val="00D2323E"/>
    <w:rsid w:val="00D24761"/>
    <w:rsid w:val="00D259BB"/>
    <w:rsid w:val="00D35471"/>
    <w:rsid w:val="00D372EA"/>
    <w:rsid w:val="00D3731D"/>
    <w:rsid w:val="00D43B3C"/>
    <w:rsid w:val="00D44362"/>
    <w:rsid w:val="00D5186B"/>
    <w:rsid w:val="00D529B5"/>
    <w:rsid w:val="00D57CF4"/>
    <w:rsid w:val="00D60D9D"/>
    <w:rsid w:val="00D76E70"/>
    <w:rsid w:val="00D76FD4"/>
    <w:rsid w:val="00D77676"/>
    <w:rsid w:val="00D903B6"/>
    <w:rsid w:val="00D93B5D"/>
    <w:rsid w:val="00DA2FBB"/>
    <w:rsid w:val="00DA5892"/>
    <w:rsid w:val="00DB2B40"/>
    <w:rsid w:val="00DB5892"/>
    <w:rsid w:val="00DB69D9"/>
    <w:rsid w:val="00DC1B05"/>
    <w:rsid w:val="00DC550D"/>
    <w:rsid w:val="00DD33BC"/>
    <w:rsid w:val="00DD7A49"/>
    <w:rsid w:val="00DD7AE9"/>
    <w:rsid w:val="00DE32D4"/>
    <w:rsid w:val="00DE6C73"/>
    <w:rsid w:val="00DE7DDA"/>
    <w:rsid w:val="00DF36A3"/>
    <w:rsid w:val="00DF5439"/>
    <w:rsid w:val="00DF66F5"/>
    <w:rsid w:val="00DF6C28"/>
    <w:rsid w:val="00DF6D16"/>
    <w:rsid w:val="00DF780F"/>
    <w:rsid w:val="00DF7CDF"/>
    <w:rsid w:val="00E00EF9"/>
    <w:rsid w:val="00E0735B"/>
    <w:rsid w:val="00E222C8"/>
    <w:rsid w:val="00E23AC1"/>
    <w:rsid w:val="00E23EDC"/>
    <w:rsid w:val="00E260AB"/>
    <w:rsid w:val="00E27ADE"/>
    <w:rsid w:val="00E30C23"/>
    <w:rsid w:val="00E32188"/>
    <w:rsid w:val="00E372B7"/>
    <w:rsid w:val="00E47122"/>
    <w:rsid w:val="00E53795"/>
    <w:rsid w:val="00E5693C"/>
    <w:rsid w:val="00E602BE"/>
    <w:rsid w:val="00E776A9"/>
    <w:rsid w:val="00E90C81"/>
    <w:rsid w:val="00E9218B"/>
    <w:rsid w:val="00E921D0"/>
    <w:rsid w:val="00E95332"/>
    <w:rsid w:val="00E97E3D"/>
    <w:rsid w:val="00EA4634"/>
    <w:rsid w:val="00EB033A"/>
    <w:rsid w:val="00EB3457"/>
    <w:rsid w:val="00EB5F91"/>
    <w:rsid w:val="00EB7A67"/>
    <w:rsid w:val="00EC02BF"/>
    <w:rsid w:val="00EC04E5"/>
    <w:rsid w:val="00ED3F56"/>
    <w:rsid w:val="00EE1050"/>
    <w:rsid w:val="00EE427C"/>
    <w:rsid w:val="00EE71FF"/>
    <w:rsid w:val="00EE768D"/>
    <w:rsid w:val="00EF637D"/>
    <w:rsid w:val="00F00F1F"/>
    <w:rsid w:val="00F010BB"/>
    <w:rsid w:val="00F12BFD"/>
    <w:rsid w:val="00F1311E"/>
    <w:rsid w:val="00F154B2"/>
    <w:rsid w:val="00F21B55"/>
    <w:rsid w:val="00F22A43"/>
    <w:rsid w:val="00F25E1C"/>
    <w:rsid w:val="00F31D20"/>
    <w:rsid w:val="00F3307C"/>
    <w:rsid w:val="00F3560F"/>
    <w:rsid w:val="00F373FB"/>
    <w:rsid w:val="00F37798"/>
    <w:rsid w:val="00F40CCE"/>
    <w:rsid w:val="00F54BE8"/>
    <w:rsid w:val="00F6040C"/>
    <w:rsid w:val="00F6138D"/>
    <w:rsid w:val="00F6380D"/>
    <w:rsid w:val="00F64D85"/>
    <w:rsid w:val="00F6750B"/>
    <w:rsid w:val="00F70157"/>
    <w:rsid w:val="00F718E9"/>
    <w:rsid w:val="00F74301"/>
    <w:rsid w:val="00F755A3"/>
    <w:rsid w:val="00F75C02"/>
    <w:rsid w:val="00F75C4A"/>
    <w:rsid w:val="00F80CE5"/>
    <w:rsid w:val="00F81042"/>
    <w:rsid w:val="00F92C41"/>
    <w:rsid w:val="00F93827"/>
    <w:rsid w:val="00F94C8E"/>
    <w:rsid w:val="00F964F5"/>
    <w:rsid w:val="00FA03ED"/>
    <w:rsid w:val="00FA23E4"/>
    <w:rsid w:val="00FA2B00"/>
    <w:rsid w:val="00FA6592"/>
    <w:rsid w:val="00FB26E1"/>
    <w:rsid w:val="00FC38C1"/>
    <w:rsid w:val="00FC4DB8"/>
    <w:rsid w:val="00FC5013"/>
    <w:rsid w:val="00FC686E"/>
    <w:rsid w:val="00FD340B"/>
    <w:rsid w:val="00FE1296"/>
    <w:rsid w:val="00FE18A8"/>
    <w:rsid w:val="00FE2723"/>
    <w:rsid w:val="00FE3323"/>
    <w:rsid w:val="00FE4114"/>
    <w:rsid w:val="00FE4868"/>
    <w:rsid w:val="00FE70C3"/>
    <w:rsid w:val="00FF152D"/>
    <w:rsid w:val="0832BEC0"/>
    <w:rsid w:val="0B7768A5"/>
    <w:rsid w:val="0D133906"/>
    <w:rsid w:val="0D98847D"/>
    <w:rsid w:val="0E8FF2C3"/>
    <w:rsid w:val="0F1D8746"/>
    <w:rsid w:val="1724EC80"/>
    <w:rsid w:val="182C1A2D"/>
    <w:rsid w:val="19E8B6BE"/>
    <w:rsid w:val="19F9A994"/>
    <w:rsid w:val="1AE7614E"/>
    <w:rsid w:val="2178E51C"/>
    <w:rsid w:val="2B199085"/>
    <w:rsid w:val="2CB560E6"/>
    <w:rsid w:val="2F48C99B"/>
    <w:rsid w:val="3159A978"/>
    <w:rsid w:val="343419FE"/>
    <w:rsid w:val="35C9F20E"/>
    <w:rsid w:val="36B5C77B"/>
    <w:rsid w:val="3A31303C"/>
    <w:rsid w:val="3B892E06"/>
    <w:rsid w:val="439D9F71"/>
    <w:rsid w:val="44443ADF"/>
    <w:rsid w:val="45C23A2C"/>
    <w:rsid w:val="469054B0"/>
    <w:rsid w:val="475E0A8D"/>
    <w:rsid w:val="48F9DAEE"/>
    <w:rsid w:val="4B744C96"/>
    <w:rsid w:val="4F5BC009"/>
    <w:rsid w:val="553503D7"/>
    <w:rsid w:val="5E33D8AF"/>
    <w:rsid w:val="601DCA4D"/>
    <w:rsid w:val="6A5F93A4"/>
    <w:rsid w:val="6AF9335A"/>
    <w:rsid w:val="6C7268CB"/>
    <w:rsid w:val="6D325E04"/>
    <w:rsid w:val="6DA8273C"/>
    <w:rsid w:val="6DEBC7BC"/>
    <w:rsid w:val="6E7A1CE6"/>
    <w:rsid w:val="6EBB05DE"/>
    <w:rsid w:val="6F43F79D"/>
    <w:rsid w:val="7A39D3E6"/>
    <w:rsid w:val="7C095248"/>
    <w:rsid w:val="7F3AB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EE41CFE5-87BD-4C0A-93DD-9064E6C0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11873"/>
    <w:pPr>
      <w:spacing w:after="0" w:line="240" w:lineRule="auto"/>
      <w:ind w:left="720"/>
    </w:pPr>
    <w:rPr>
      <w:rFonts w:asciiTheme="majorHAnsi" w:eastAsia="Times New Roman" w:hAnsiTheme="majorHAnsi" w:cs="Times New Roman"/>
      <w:sz w:val="20"/>
      <w:szCs w:val="20"/>
    </w:rPr>
  </w:style>
  <w:style w:type="paragraph" w:styleId="Heading1">
    <w:name w:val="heading 1"/>
    <w:basedOn w:val="Normal"/>
    <w:next w:val="Normal"/>
    <w:link w:val="Heading1Char"/>
    <w:uiPriority w:val="1"/>
    <w:qFormat/>
    <w:rsid w:val="002C721C"/>
    <w:pPr>
      <w:keepNext/>
      <w:widowControl w:val="0"/>
      <w:tabs>
        <w:tab w:val="left" w:pos="1418"/>
      </w:tabs>
      <w:overflowPunct w:val="0"/>
      <w:autoSpaceDE w:val="0"/>
      <w:autoSpaceDN w:val="0"/>
      <w:adjustRightInd w:val="0"/>
      <w:spacing w:before="240" w:after="60"/>
      <w:ind w:left="709"/>
      <w:jc w:val="both"/>
      <w:textAlignment w:val="baseline"/>
      <w:outlineLvl w:val="0"/>
    </w:pPr>
    <w:rPr>
      <w:rFonts w:cs="Arial"/>
      <w:b/>
      <w:bCs/>
      <w:kern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hAnsi="Myriad Pro"/>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911873"/>
    <w:pPr>
      <w:spacing w:after="0" w:line="240" w:lineRule="auto"/>
      <w:ind w:left="720"/>
    </w:pPr>
    <w:rPr>
      <w:rFonts w:asciiTheme="majorHAnsi" w:eastAsia="Times New Roman" w:hAnsiTheme="majorHAnsi" w:cs="Times New Roman"/>
      <w:sz w:val="20"/>
      <w:szCs w:val="20"/>
    </w:rPr>
  </w:style>
  <w:style w:type="paragraph" w:styleId="TOC1">
    <w:name w:val="toc 1"/>
    <w:basedOn w:val="Normal"/>
    <w:next w:val="Normal"/>
    <w:autoRedefine/>
    <w:uiPriority w:val="39"/>
    <w:unhideWhenUsed/>
    <w:rsid w:val="003A05B7"/>
    <w:pPr>
      <w:spacing w:after="120"/>
    </w:pPr>
    <w:rPr>
      <w:rFonts w:ascii="Myriad Pro" w:hAnsi="Myriad Pro"/>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2C721C"/>
    <w:rPr>
      <w:rFonts w:eastAsia="Times New Roman" w:cs="Arial"/>
      <w:b/>
      <w:bCs/>
      <w:kern w:val="32"/>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contextualSpacing/>
    </w:pPr>
    <w:rPr>
      <w:rFonts w:ascii="Arial" w:eastAsia="Calibri" w:hAnsi="Arial"/>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hAnsi="Myriad Pro"/>
      <w:sz w:val="24"/>
      <w:szCs w:val="32"/>
    </w:rPr>
  </w:style>
  <w:style w:type="paragraph" w:styleId="FootnoteText">
    <w:name w:val="footnote text"/>
    <w:basedOn w:val="Normal"/>
    <w:link w:val="FootnoteTextChar"/>
    <w:uiPriority w:val="99"/>
    <w:unhideWhenUsed/>
    <w:rsid w:val="0038388A"/>
    <w:pPr>
      <w:spacing w:after="120"/>
    </w:pPr>
    <w:rPr>
      <w:rFonts w:ascii="Myriad Pro" w:hAnsi="Myriad Pro"/>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Bullet">
    <w:name w:val="Bullet"/>
    <w:basedOn w:val="BodyText"/>
    <w:uiPriority w:val="8"/>
    <w:qFormat/>
    <w:rsid w:val="00753F04"/>
    <w:pPr>
      <w:spacing w:before="170" w:line="260" w:lineRule="exact"/>
      <w:ind w:left="1418" w:hanging="284"/>
    </w:pPr>
    <w:rPr>
      <w:rFonts w:asciiTheme="minorHAnsi" w:eastAsiaTheme="minorHAnsi" w:hAnsiTheme="minorHAnsi" w:cstheme="minorBidi"/>
      <w:color w:val="auto"/>
      <w:szCs w:val="22"/>
    </w:rPr>
  </w:style>
  <w:style w:type="paragraph" w:customStyle="1" w:styleId="BulletLevel3">
    <w:name w:val="Bullet Level 3"/>
    <w:basedOn w:val="Bullet"/>
    <w:uiPriority w:val="11"/>
    <w:qFormat/>
    <w:rsid w:val="003B3E64"/>
    <w:pPr>
      <w:numPr>
        <w:numId w:val="25"/>
      </w:numPr>
      <w:ind w:left="1704"/>
    </w:pPr>
  </w:style>
  <w:style w:type="paragraph" w:customStyle="1" w:styleId="DashLevel3">
    <w:name w:val="Dash Level 3"/>
    <w:basedOn w:val="Bullet"/>
    <w:uiPriority w:val="12"/>
    <w:qFormat/>
    <w:rsid w:val="00965173"/>
    <w:pPr>
      <w:numPr>
        <w:ilvl w:val="4"/>
      </w:numPr>
      <w:tabs>
        <w:tab w:val="num" w:pos="360"/>
      </w:tabs>
      <w:ind w:left="1418" w:hanging="284"/>
    </w:pPr>
  </w:style>
  <w:style w:type="numbering" w:customStyle="1" w:styleId="CCCBullets">
    <w:name w:val="CCC Bullets"/>
    <w:uiPriority w:val="99"/>
    <w:rsid w:val="00965173"/>
    <w:pPr>
      <w:numPr>
        <w:numId w:val="5"/>
      </w:numPr>
    </w:pPr>
  </w:style>
  <w:style w:type="table" w:customStyle="1" w:styleId="CCCTable">
    <w:name w:val="CCC Table"/>
    <w:basedOn w:val="TableNormal"/>
    <w:uiPriority w:val="99"/>
    <w:rsid w:val="0033317E"/>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styleId="FootnoteReference">
    <w:name w:val="footnote reference"/>
    <w:basedOn w:val="DefaultParagraphFont"/>
    <w:uiPriority w:val="99"/>
    <w:semiHidden/>
    <w:unhideWhenUsed/>
    <w:rsid w:val="008E5D72"/>
    <w:rPr>
      <w:vertAlign w:val="superscript"/>
    </w:rPr>
  </w:style>
  <w:style w:type="character" w:styleId="Hyperlink">
    <w:name w:val="Hyperlink"/>
    <w:basedOn w:val="DefaultParagraphFont"/>
    <w:uiPriority w:val="99"/>
    <w:unhideWhenUsed/>
    <w:rsid w:val="008E5D72"/>
    <w:rPr>
      <w:color w:val="0000FF"/>
      <w:u w:val="single"/>
    </w:rPr>
  </w:style>
  <w:style w:type="character" w:styleId="CommentReference">
    <w:name w:val="annotation reference"/>
    <w:basedOn w:val="DefaultParagraphFont"/>
    <w:uiPriority w:val="99"/>
    <w:semiHidden/>
    <w:unhideWhenUsed/>
    <w:rsid w:val="00704B82"/>
    <w:rPr>
      <w:sz w:val="16"/>
      <w:szCs w:val="16"/>
    </w:rPr>
  </w:style>
  <w:style w:type="paragraph" w:styleId="CommentText">
    <w:name w:val="annotation text"/>
    <w:basedOn w:val="Normal"/>
    <w:link w:val="CommentTextChar"/>
    <w:uiPriority w:val="99"/>
    <w:unhideWhenUsed/>
    <w:rsid w:val="00704B82"/>
  </w:style>
  <w:style w:type="character" w:customStyle="1" w:styleId="CommentTextChar">
    <w:name w:val="Comment Text Char"/>
    <w:basedOn w:val="DefaultParagraphFont"/>
    <w:link w:val="CommentText"/>
    <w:uiPriority w:val="99"/>
    <w:rsid w:val="00704B82"/>
    <w:rPr>
      <w:sz w:val="20"/>
      <w:szCs w:val="20"/>
    </w:rPr>
  </w:style>
  <w:style w:type="paragraph" w:styleId="CommentSubject">
    <w:name w:val="annotation subject"/>
    <w:basedOn w:val="CommentText"/>
    <w:next w:val="CommentText"/>
    <w:link w:val="CommentSubjectChar"/>
    <w:uiPriority w:val="99"/>
    <w:semiHidden/>
    <w:unhideWhenUsed/>
    <w:rsid w:val="00704B82"/>
    <w:rPr>
      <w:b/>
      <w:bCs/>
    </w:rPr>
  </w:style>
  <w:style w:type="character" w:customStyle="1" w:styleId="CommentSubjectChar">
    <w:name w:val="Comment Subject Char"/>
    <w:basedOn w:val="CommentTextChar"/>
    <w:link w:val="CommentSubject"/>
    <w:uiPriority w:val="99"/>
    <w:semiHidden/>
    <w:rsid w:val="00704B82"/>
    <w:rPr>
      <w:b/>
      <w:bCs/>
      <w:sz w:val="20"/>
      <w:szCs w:val="20"/>
    </w:rPr>
  </w:style>
  <w:style w:type="character" w:customStyle="1" w:styleId="normaltextrun">
    <w:name w:val="normaltextrun"/>
    <w:basedOn w:val="DefaultParagraphFont"/>
    <w:rsid w:val="00D372EA"/>
  </w:style>
  <w:style w:type="paragraph" w:customStyle="1" w:styleId="paragraph0">
    <w:name w:val="paragraph"/>
    <w:basedOn w:val="Normal"/>
    <w:rsid w:val="00AE5168"/>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AE5168"/>
  </w:style>
  <w:style w:type="paragraph" w:styleId="Revision">
    <w:name w:val="Revision"/>
    <w:hidden/>
    <w:uiPriority w:val="99"/>
    <w:semiHidden/>
    <w:rsid w:val="00A16EC0"/>
    <w:pPr>
      <w:spacing w:after="0" w:line="240" w:lineRule="auto"/>
    </w:pPr>
    <w:rPr>
      <w:rFonts w:asciiTheme="majorHAnsi" w:eastAsia="Times New Roman" w:hAnsiTheme="majorHAnsi" w:cs="Times New Roman"/>
      <w:sz w:val="20"/>
      <w:szCs w:val="20"/>
    </w:rPr>
  </w:style>
  <w:style w:type="character" w:styleId="UnresolvedMention">
    <w:name w:val="Unresolved Mention"/>
    <w:basedOn w:val="DefaultParagraphFont"/>
    <w:uiPriority w:val="99"/>
    <w:semiHidden/>
    <w:unhideWhenUsed/>
    <w:rsid w:val="00CB134D"/>
    <w:rPr>
      <w:color w:val="605E5C"/>
      <w:shd w:val="clear" w:color="auto" w:fill="E1DFDD"/>
    </w:rPr>
  </w:style>
  <w:style w:type="character" w:styleId="FollowedHyperlink">
    <w:name w:val="FollowedHyperlink"/>
    <w:basedOn w:val="DefaultParagraphFont"/>
    <w:uiPriority w:val="99"/>
    <w:semiHidden/>
    <w:unhideWhenUsed/>
    <w:rsid w:val="00DF780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776">
      <w:bodyDiv w:val="1"/>
      <w:marLeft w:val="0"/>
      <w:marRight w:val="0"/>
      <w:marTop w:val="0"/>
      <w:marBottom w:val="0"/>
      <w:divBdr>
        <w:top w:val="none" w:sz="0" w:space="0" w:color="auto"/>
        <w:left w:val="none" w:sz="0" w:space="0" w:color="auto"/>
        <w:bottom w:val="none" w:sz="0" w:space="0" w:color="auto"/>
        <w:right w:val="none" w:sz="0" w:space="0" w:color="auto"/>
      </w:divBdr>
      <w:divsChild>
        <w:div w:id="506360760">
          <w:marLeft w:val="0"/>
          <w:marRight w:val="0"/>
          <w:marTop w:val="0"/>
          <w:marBottom w:val="0"/>
          <w:divBdr>
            <w:top w:val="none" w:sz="0" w:space="0" w:color="auto"/>
            <w:left w:val="none" w:sz="0" w:space="0" w:color="auto"/>
            <w:bottom w:val="none" w:sz="0" w:space="0" w:color="auto"/>
            <w:right w:val="none" w:sz="0" w:space="0" w:color="auto"/>
          </w:divBdr>
        </w:div>
        <w:div w:id="2047607716">
          <w:marLeft w:val="0"/>
          <w:marRight w:val="0"/>
          <w:marTop w:val="0"/>
          <w:marBottom w:val="0"/>
          <w:divBdr>
            <w:top w:val="none" w:sz="0" w:space="0" w:color="auto"/>
            <w:left w:val="none" w:sz="0" w:space="0" w:color="auto"/>
            <w:bottom w:val="none" w:sz="0" w:space="0" w:color="auto"/>
            <w:right w:val="none" w:sz="0" w:space="0" w:color="auto"/>
          </w:divBdr>
        </w:div>
      </w:divsChild>
    </w:div>
    <w:div w:id="1845585663">
      <w:bodyDiv w:val="1"/>
      <w:marLeft w:val="0"/>
      <w:marRight w:val="0"/>
      <w:marTop w:val="0"/>
      <w:marBottom w:val="0"/>
      <w:divBdr>
        <w:top w:val="none" w:sz="0" w:space="0" w:color="auto"/>
        <w:left w:val="none" w:sz="0" w:space="0" w:color="auto"/>
        <w:bottom w:val="none" w:sz="0" w:space="0" w:color="auto"/>
        <w:right w:val="none" w:sz="0" w:space="0" w:color="auto"/>
      </w:divBdr>
      <w:divsChild>
        <w:div w:id="232011045">
          <w:marLeft w:val="0"/>
          <w:marRight w:val="0"/>
          <w:marTop w:val="0"/>
          <w:marBottom w:val="0"/>
          <w:divBdr>
            <w:top w:val="none" w:sz="0" w:space="0" w:color="auto"/>
            <w:left w:val="none" w:sz="0" w:space="0" w:color="auto"/>
            <w:bottom w:val="none" w:sz="0" w:space="0" w:color="auto"/>
            <w:right w:val="none" w:sz="0" w:space="0" w:color="auto"/>
          </w:divBdr>
        </w:div>
        <w:div w:id="202377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publication/costs-and-impacts-of-on-street-charging-ricardo-energy-environment/" TargetMode="External"/><Relationship Id="rId2" Type="http://schemas.openxmlformats.org/officeDocument/2006/relationships/hyperlink" Target="https://www.ey.com/en_gl/automotive-transportation/how-mapping-the-evolving-consumer-mindset-is-key-to-ev-mass-market-appeal" TargetMode="External"/><Relationship Id="rId1" Type="http://schemas.openxmlformats.org/officeDocument/2006/relationships/hyperlink" Target="https://www.gov.uk/government/statistical-data-sets/vehicle-licensing-statistics-data-ta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lcf76f155ced4ddcb4097134ff3c332f xmlns="7a4ed3e5-8539-4056-add8-8824f7d44d37">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C4DC5-6B99-44AE-A785-41892D00C6D4}">
  <ds:schemaRefs>
    <ds:schemaRef ds:uri="Microsoft.SharePoint.Taxonomy.ContentTypeSync"/>
  </ds:schemaRefs>
</ds:datastoreItem>
</file>

<file path=customXml/itemProps2.xml><?xml version="1.0" encoding="utf-8"?>
<ds:datastoreItem xmlns:ds="http://schemas.openxmlformats.org/officeDocument/2006/customXml" ds:itemID="{9AF5B2D9-7ECE-4747-8790-6BB3E9958077}">
  <ds:schemaRefs>
    <ds:schemaRef ds:uri="http://schemas.openxmlformats.org/officeDocument/2006/bibliography"/>
  </ds:schemaRefs>
</ds:datastoreItem>
</file>

<file path=customXml/itemProps3.xml><?xml version="1.0" encoding="utf-8"?>
<ds:datastoreItem xmlns:ds="http://schemas.openxmlformats.org/officeDocument/2006/customXml" ds:itemID="{2A7C77E3-A222-4FA7-98CF-4D21B2DEADF3}">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4.xml><?xml version="1.0" encoding="utf-8"?>
<ds:datastoreItem xmlns:ds="http://schemas.openxmlformats.org/officeDocument/2006/customXml" ds:itemID="{45D1C420-5603-4D25-A6D8-533AFAF60C47}">
  <ds:schemaRefs>
    <ds:schemaRef ds:uri="http://schemas.microsoft.com/sharepoint/v3/contenttype/forms"/>
  </ds:schemaRefs>
</ds:datastoreItem>
</file>

<file path=customXml/itemProps5.xml><?xml version="1.0" encoding="utf-8"?>
<ds:datastoreItem xmlns:ds="http://schemas.openxmlformats.org/officeDocument/2006/customXml" ds:itemID="{B63B0134-39DC-450E-8A90-0379B595A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28807</CharactersWithSpaces>
  <SharedDoc>false</SharedDoc>
  <HLinks>
    <vt:vector size="18" baseType="variant">
      <vt:variant>
        <vt:i4>4259845</vt:i4>
      </vt:variant>
      <vt:variant>
        <vt:i4>6</vt:i4>
      </vt:variant>
      <vt:variant>
        <vt:i4>0</vt:i4>
      </vt:variant>
      <vt:variant>
        <vt:i4>5</vt:i4>
      </vt:variant>
      <vt:variant>
        <vt:lpwstr>https://www.theccc.org.uk/publication/costs-and-impacts-of-on-street-charging-ricardo-energy-environment/</vt:lpwstr>
      </vt:variant>
      <vt:variant>
        <vt:lpwstr/>
      </vt:variant>
      <vt:variant>
        <vt:i4>7602202</vt:i4>
      </vt:variant>
      <vt:variant>
        <vt:i4>3</vt:i4>
      </vt:variant>
      <vt:variant>
        <vt:i4>0</vt:i4>
      </vt:variant>
      <vt:variant>
        <vt:i4>5</vt:i4>
      </vt:variant>
      <vt:variant>
        <vt:lpwstr>https://www.ey.com/en_gl/automotive-transportation/how-mapping-the-evolving-consumer-mindset-is-key-to-ev-mass-market-appeal</vt:lpwstr>
      </vt:variant>
      <vt:variant>
        <vt:lpwstr/>
      </vt:variant>
      <vt:variant>
        <vt:i4>524304</vt:i4>
      </vt:variant>
      <vt:variant>
        <vt:i4>0</vt:i4>
      </vt:variant>
      <vt:variant>
        <vt:i4>0</vt:i4>
      </vt:variant>
      <vt:variant>
        <vt:i4>5</vt:i4>
      </vt:variant>
      <vt:variant>
        <vt:lpwstr>https://www.gov.uk/government/statistical-data-sets/vehicle-licensing-statistics-data-tables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3</cp:revision>
  <dcterms:created xsi:type="dcterms:W3CDTF">2023-10-10T10:19:00Z</dcterms:created>
  <dcterms:modified xsi:type="dcterms:W3CDTF">2023-10-10T10:21:00Z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