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9A (Security)</w:t>
      </w:r>
    </w:p>
    <w:bookmarkStart w:colFirst="0" w:colLast="0" w:name="bookmark=id.30j0zll" w:id="0"/>
    <w:bookmarkEnd w:id="0"/>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240" w:lineRule="auto"/>
        <w:ind w:left="0" w:firstLine="0"/>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06">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031.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07">
            <w:pPr>
              <w:spacing w:after="120" w:lineRule="auto"/>
              <w:ind w:left="-108" w:firstLine="108"/>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t>
            </w:r>
            <w:r w:rsidDel="00000000" w:rsidR="00000000" w:rsidRPr="00000000">
              <w:rPr>
                <w:rFonts w:ascii="Arial" w:cs="Arial" w:eastAsia="Arial" w:hAnsi="Arial"/>
                <w:sz w:val="24"/>
                <w:szCs w:val="24"/>
                <w:rtl w:val="0"/>
              </w:rPr>
              <w:t xml:space="preserve">Breach of Security</w:t>
            </w:r>
            <w:r w:rsidDel="00000000" w:rsidR="00000000" w:rsidRPr="00000000">
              <w:rPr>
                <w:rFonts w:ascii="Arial" w:cs="Arial" w:eastAsia="Arial" w:hAnsi="Arial"/>
                <w:b w:val="0"/>
                <w:sz w:val="24"/>
                <w:szCs w:val="24"/>
                <w:rtl w:val="0"/>
              </w:rPr>
              <w:t xml:space="preserve">"</w:t>
            </w:r>
          </w:p>
        </w:tc>
        <w:tc>
          <w:tcPr/>
          <w:p w:rsidR="00000000" w:rsidDel="00000000" w:rsidP="00000000" w:rsidRDefault="00000000" w:rsidRPr="00000000" w14:paraId="00000008">
            <w:pPr>
              <w:tabs>
                <w:tab w:val="left" w:leader="none" w:pos="-9"/>
              </w:tabs>
              <w:spacing w:after="120" w:lineRule="auto"/>
              <w:ind w:lef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means the occurrence of:</w:t>
            </w:r>
          </w:p>
          <w:p w:rsidR="00000000" w:rsidDel="00000000" w:rsidP="00000000" w:rsidRDefault="00000000" w:rsidRPr="00000000" w14:paraId="00000009">
            <w:pPr>
              <w:pStyle w:val="Heading2"/>
              <w:numPr>
                <w:ilvl w:val="1"/>
                <w:numId w:val="1"/>
              </w:numPr>
              <w:tabs>
                <w:tab w:val="left" w:leader="none" w:pos="144"/>
              </w:tabs>
              <w:spacing w:after="12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unauthorised access to or use of the Goods and/or Deliverables, the Sites and/or any Information and Communication Technology ("</w:t>
            </w:r>
            <w:r w:rsidDel="00000000" w:rsidR="00000000" w:rsidRPr="00000000">
              <w:rPr>
                <w:rFonts w:ascii="Arial" w:cs="Arial" w:eastAsia="Arial" w:hAnsi="Arial"/>
                <w:b w:val="1"/>
                <w:sz w:val="24"/>
                <w:szCs w:val="24"/>
                <w:rtl w:val="0"/>
              </w:rPr>
              <w:t xml:space="preserve">ICT</w:t>
            </w:r>
            <w:r w:rsidDel="00000000" w:rsidR="00000000" w:rsidRPr="00000000">
              <w:rPr>
                <w:rFonts w:ascii="Arial" w:cs="Arial" w:eastAsia="Arial" w:hAnsi="Arial"/>
                <w:sz w:val="24"/>
                <w:szCs w:val="24"/>
                <w:rtl w:val="0"/>
              </w:rPr>
              <w:t xml:space="preserve">"), information or data (including the Confidential Information and the Government Data) used by the Buyer and/or the Supplier in connection with this Contract; and/or</w:t>
            </w:r>
          </w:p>
          <w:p w:rsidR="00000000" w:rsidDel="00000000" w:rsidP="00000000" w:rsidRDefault="00000000" w:rsidRPr="00000000" w14:paraId="0000000A">
            <w:pPr>
              <w:numPr>
                <w:ilvl w:val="1"/>
                <w:numId w:val="1"/>
              </w:numPr>
              <w:tabs>
                <w:tab w:val="left" w:leader="none" w:pos="144"/>
              </w:tabs>
              <w:spacing w:after="120" w:lineRule="auto"/>
              <w:ind w:left="720" w:hanging="36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B">
            <w:pPr>
              <w:tabs>
                <w:tab w:val="left" w:leader="none" w:pos="-9"/>
              </w:tabs>
              <w:spacing w:after="120" w:lineRule="auto"/>
              <w:ind w:lef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in either case as more particularly set out in the security requirements in the Security Policy where the Buyer has required compliance therewith in accordance with Paragraph 3.4.3(d);</w:t>
            </w:r>
          </w:p>
        </w:tc>
      </w:tr>
      <w:tr>
        <w:trPr>
          <w:cantSplit w:val="0"/>
          <w:tblHeader w:val="0"/>
        </w:trPr>
        <w:tc>
          <w:tcPr/>
          <w:p w:rsidR="00000000" w:rsidDel="00000000" w:rsidP="00000000" w:rsidRDefault="00000000" w:rsidRPr="00000000" w14:paraId="0000000C">
            <w:pPr>
              <w:spacing w:after="120" w:lineRule="auto"/>
              <w:ind w:left="-108" w:firstLine="108"/>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t>
            </w:r>
            <w:r w:rsidDel="00000000" w:rsidR="00000000" w:rsidRPr="00000000">
              <w:rPr>
                <w:rFonts w:ascii="Arial" w:cs="Arial" w:eastAsia="Arial" w:hAnsi="Arial"/>
                <w:sz w:val="24"/>
                <w:szCs w:val="24"/>
                <w:rtl w:val="0"/>
              </w:rPr>
              <w:t xml:space="preserve">ISMS</w:t>
            </w:r>
            <w:r w:rsidDel="00000000" w:rsidR="00000000" w:rsidRPr="00000000">
              <w:rPr>
                <w:rFonts w:ascii="Arial" w:cs="Arial" w:eastAsia="Arial" w:hAnsi="Arial"/>
                <w:b w:val="0"/>
                <w:sz w:val="24"/>
                <w:szCs w:val="24"/>
                <w:rtl w:val="0"/>
              </w:rPr>
              <w:t xml:space="preserve">"</w:t>
            </w:r>
          </w:p>
        </w:tc>
        <w:tc>
          <w:tcPr/>
          <w:p w:rsidR="00000000" w:rsidDel="00000000" w:rsidP="00000000" w:rsidRDefault="00000000" w:rsidRPr="00000000" w14:paraId="0000000D">
            <w:pPr>
              <w:tabs>
                <w:tab w:val="left" w:leader="none" w:pos="-9"/>
              </w:tabs>
              <w:spacing w:after="120" w:lineRule="auto"/>
              <w:ind w:lef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0E">
            <w:pPr>
              <w:spacing w:after="120" w:lineRule="auto"/>
              <w:ind w:left="-108" w:firstLine="108"/>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t>
            </w:r>
            <w:r w:rsidDel="00000000" w:rsidR="00000000" w:rsidRPr="00000000">
              <w:rPr>
                <w:rFonts w:ascii="Arial" w:cs="Arial" w:eastAsia="Arial" w:hAnsi="Arial"/>
                <w:sz w:val="24"/>
                <w:szCs w:val="24"/>
                <w:rtl w:val="0"/>
              </w:rPr>
              <w:t xml:space="preserve">Security Tests</w:t>
            </w:r>
            <w:r w:rsidDel="00000000" w:rsidR="00000000" w:rsidRPr="00000000">
              <w:rPr>
                <w:rFonts w:ascii="Arial" w:cs="Arial" w:eastAsia="Arial" w:hAnsi="Arial"/>
                <w:b w:val="0"/>
                <w:sz w:val="24"/>
                <w:szCs w:val="24"/>
                <w:rtl w:val="0"/>
              </w:rPr>
              <w:t xml:space="preserve">"</w:t>
            </w:r>
          </w:p>
        </w:tc>
        <w:tc>
          <w:tcPr/>
          <w:p w:rsidR="00000000" w:rsidDel="00000000" w:rsidP="00000000" w:rsidRDefault="00000000" w:rsidRPr="00000000" w14:paraId="0000000F">
            <w:pPr>
              <w:tabs>
                <w:tab w:val="left" w:leader="none" w:pos="-9"/>
              </w:tabs>
              <w:spacing w:after="120" w:lineRule="auto"/>
              <w:ind w:lef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10">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bookmarkStart w:colFirst="0" w:colLast="0" w:name="_heading=h.4i7ojhp" w:id="2"/>
      <w:bookmarkEnd w:id="2"/>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13">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14">
      <w:pPr>
        <w:tabs>
          <w:tab w:val="left" w:leader="none" w:pos="2257"/>
        </w:tabs>
        <w:spacing w:after="0" w:line="259" w:lineRule="auto"/>
        <w:ind w:left="0"/>
        <w:jc w:val="left"/>
        <w:rPr>
          <w:sz w:val="24"/>
          <w:szCs w:val="24"/>
        </w:rPr>
      </w:pPr>
      <w:r w:rsidDel="00000000" w:rsidR="00000000" w:rsidRPr="00000000">
        <w:rPr>
          <w:sz w:val="24"/>
          <w:szCs w:val="24"/>
          <w:highlight w:val="yellow"/>
          <w:rtl w:val="0"/>
        </w:rPr>
        <w:t xml:space="preserve">Redacted Text </w:t>
      </w:r>
      <w:r w:rsidDel="00000000" w:rsidR="00000000" w:rsidRPr="00000000">
        <w:rPr>
          <w:color w:val="ffffff"/>
          <w:sz w:val="24"/>
          <w:szCs w:val="24"/>
          <w:highlight w:val="black"/>
          <w:rtl w:val="0"/>
        </w:rPr>
        <w:t xml:space="preserve">Under FOIA, Section 40, Personal Information </w:t>
      </w:r>
      <w:r w:rsidDel="00000000" w:rsidR="00000000" w:rsidRPr="00000000">
        <w:rPr>
          <w:rtl w:val="0"/>
        </w:rPr>
      </w:r>
    </w:p>
    <w:p w:rsidR="00000000" w:rsidDel="00000000" w:rsidP="00000000" w:rsidRDefault="00000000" w:rsidRPr="00000000" w14:paraId="00000015">
      <w:pPr>
        <w:tabs>
          <w:tab w:val="left" w:leader="none" w:pos="2257"/>
        </w:tabs>
        <w:spacing w:after="0" w:line="259" w:lineRule="auto"/>
        <w:ind w:left="0"/>
        <w:jc w:val="left"/>
        <w:rPr>
          <w:b w:val="1"/>
          <w:sz w:val="24"/>
          <w:szCs w:val="24"/>
        </w:rPr>
      </w:pPr>
      <w:r w:rsidDel="00000000" w:rsidR="00000000" w:rsidRPr="00000000">
        <w:rPr>
          <w:rtl w:val="0"/>
        </w:rPr>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1B">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bookmarkStart w:colFirst="0" w:colLast="0" w:name="_heading=h.3whwml4" w:id="3"/>
      <w:bookmarkEnd w:id="3"/>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bn6wsx" w:id="4"/>
      <w:bookmarkEnd w:id="4"/>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21">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qsh70q" w:id="5"/>
      <w:bookmarkEnd w:id="5"/>
      <w:r w:rsidDel="00000000" w:rsidR="00000000" w:rsidRPr="00000000">
        <w:rPr>
          <w:color w:val="000000"/>
          <w:sz w:val="24"/>
          <w:szCs w:val="24"/>
          <w:rtl w:val="0"/>
        </w:rPr>
        <w:t xml:space="preserve">The ISMS shall:</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25">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26">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27">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28">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29">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2A">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2B">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2C">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2D">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2E">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bookmarkStart w:colFirst="0" w:colLast="0" w:name="_heading=h.3as4poj" w:id="6"/>
      <w:bookmarkEnd w:id="6"/>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1pxezwc" w:id="7"/>
      <w:bookmarkEnd w:id="7"/>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49x2ik5" w:id="8"/>
      <w:bookmarkEnd w:id="8"/>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36">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p2csry" w:id="9"/>
      <w:bookmarkEnd w:id="9"/>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38">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147n2zr" w:id="10"/>
      <w:bookmarkEnd w:id="10"/>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3.4.3(d), the Security Policy;</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4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3o7alnk" w:id="11"/>
      <w:bookmarkEnd w:id="11"/>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46">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47">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3ckvvd" w:id="12"/>
      <w:bookmarkEnd w:id="12"/>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4A">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where required in accordance with Paragraph 3.4.3(d), any changes to the Security Policy;</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ihv636" w:id="13"/>
      <w:bookmarkEnd w:id="13"/>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4F">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5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51">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5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32hioqz" w:id="14"/>
      <w:bookmarkEnd w:id="14"/>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(Baseline Security Requirements) or otherwise) shall be subject to the Variation Procedure and shall not be implemented until Approved in writing by the Buyer.</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1hmsyys" w:id="15"/>
      <w:bookmarkEnd w:id="15"/>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55">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41mghml" w:id="16"/>
      <w:bookmarkEnd w:id="16"/>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relevant Service Level Performance Indicators, the Supplier shall be granted relief against any resultant under-performance for the period of the Security Tests.</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grqrue" w:id="17"/>
      <w:bookmarkEnd w:id="17"/>
      <w:r w:rsidDel="00000000" w:rsidR="00000000" w:rsidRPr="00000000">
        <w:rPr>
          <w:color w:val="000000"/>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vx1227" w:id="18"/>
      <w:bookmarkEnd w:id="18"/>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relevant Service Level Performance Indicators, the Supplier shall be granted relief against any resultant under-performance for the period of the Buyer’s test.</w:t>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3fwokq0" w:id="19"/>
      <w:bookmarkEnd w:id="19"/>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5B">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3.4.3(d).</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1v1yuxt" w:id="20"/>
      <w:bookmarkEnd w:id="20"/>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5F">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4f1mdlm" w:id="21"/>
      <w:bookmarkEnd w:id="21"/>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61">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6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63">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64">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65">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66">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67">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68">
      <w:pPr>
        <w:numPr>
          <w:ilvl w:val="3"/>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6A">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6D">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u6wntf" w:id="22"/>
      <w:bookmarkEnd w:id="22"/>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7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71">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74">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75">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76">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77">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79">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7A">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w:t>
      </w:r>
    </w:p>
    <w:p w:rsidR="00000000" w:rsidDel="00000000" w:rsidP="00000000" w:rsidRDefault="00000000" w:rsidRPr="00000000" w14:paraId="0000007B">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7C">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7E">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7F">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0" w:firstLine="0"/>
        <w:rPr>
          <w:rFonts w:ascii="Arial Bold" w:cs="Arial Bold" w:eastAsia="Arial Bold" w:hAnsi="Arial Bold"/>
          <w:b w:val="1"/>
          <w:color w:val="000000"/>
          <w:sz w:val="36"/>
          <w:szCs w:val="36"/>
        </w:rPr>
      </w:pPr>
      <w:bookmarkStart w:colFirst="0" w:colLast="0" w:name="_heading=h.19c6y18" w:id="24"/>
      <w:bookmarkEnd w:id="24"/>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23"/>
      <w:bookmarkEnd w:id="23"/>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0" w:firstLine="0"/>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0" w:firstLine="0"/>
        <w:rPr>
          <w:color w:val="000000"/>
          <w:sz w:val="24"/>
          <w:szCs w:val="24"/>
        </w:rPr>
      </w:pPr>
      <w:r w:rsidDel="00000000" w:rsidR="00000000" w:rsidRPr="00000000">
        <w:rPr>
          <w:rtl w:val="0"/>
        </w:rPr>
      </w:r>
    </w:p>
    <w:p w:rsidR="00000000" w:rsidDel="00000000" w:rsidP="00000000" w:rsidRDefault="00000000" w:rsidRPr="00000000" w14:paraId="00000084">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86">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89">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8B">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8C">
      <w:pPr>
        <w:keepNext w:val="1"/>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8E">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8F">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90">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91">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93">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94">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95">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96">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97">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99">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9A">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9B">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9C">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9D">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9E">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9F">
      <w:pPr>
        <w:keepNext w:val="1"/>
        <w:numPr>
          <w:ilvl w:val="0"/>
          <w:numId w:val="3"/>
        </w:numPr>
        <w:pBdr>
          <w:top w:space="0" w:sz="0" w:val="nil"/>
          <w:left w:space="0" w:sz="0" w:val="nil"/>
          <w:bottom w:space="0" w:sz="0" w:val="nil"/>
          <w:right w:space="0" w:sz="0" w:val="nil"/>
          <w:between w:space="0" w:sz="0" w:val="nil"/>
        </w:pBdr>
        <w:tabs>
          <w:tab w:val="left" w:leader="none" w:pos="0"/>
        </w:tabs>
        <w:spacing w:before="240" w:lineRule="auto"/>
        <w:ind w:left="360" w:hanging="360"/>
        <w:rPr>
          <w:rFonts w:ascii="Arial Bold" w:cs="Arial Bold" w:eastAsia="Arial Bold" w:hAnsi="Arial Bold"/>
          <w:b w:val="1"/>
          <w:color w:val="000000"/>
          <w:sz w:val="24"/>
          <w:szCs w:val="24"/>
        </w:rPr>
      </w:pPr>
      <w:bookmarkStart w:colFirst="0" w:colLast="0" w:name="_heading=h.28h4qwu" w:id="25"/>
      <w:bookmarkEnd w:id="25"/>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A0">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A1">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A2">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A4">
      <w:pPr>
        <w:numPr>
          <w:ilvl w:val="1"/>
          <w:numId w:val="3"/>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rtl w:val="0"/>
        </w:rPr>
        <w:t xml:space="preserve">[ Supplier Security Management Plan]</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27"/>
  <w:bookmarkEnd w:id="27"/>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142"/>
      <w:rPr>
        <w:color w:val="000000"/>
        <w:sz w:val="20"/>
        <w:szCs w:val="20"/>
      </w:rPr>
    </w:pPr>
    <w:r w:rsidDel="00000000" w:rsidR="00000000" w:rsidRPr="00000000">
      <w:rPr>
        <w:color w:val="000000"/>
        <w:sz w:val="20"/>
        <w:szCs w:val="20"/>
        <w:rtl w:val="0"/>
      </w:rPr>
      <w:t xml:space="preserve">Framework Ref: RM6217</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142"/>
      <w:jc w:val="left"/>
      <w:rPr>
        <w:color w:val="000000"/>
        <w:sz w:val="20"/>
        <w:szCs w:val="20"/>
      </w:rPr>
    </w:pPr>
    <w:r w:rsidDel="00000000" w:rsidR="00000000" w:rsidRPr="00000000">
      <w:rPr>
        <w:color w:val="000000"/>
        <w:sz w:val="20"/>
        <w:szCs w:val="20"/>
        <w:rtl w:val="0"/>
      </w:rPr>
      <w:t xml:space="preserve">Project Version: </w:t>
    </w:r>
    <w:r w:rsidDel="00000000" w:rsidR="00000000" w:rsidRPr="00000000">
      <w:rPr>
        <w:sz w:val="20"/>
        <w:szCs w:val="20"/>
        <w:rtl w:val="0"/>
      </w:rPr>
      <w:t xml:space="preserve">v1.0</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142"/>
      <w:jc w:val="left"/>
      <w:rPr>
        <w:color w:val="a6a6a6"/>
        <w:sz w:val="20"/>
        <w:szCs w:val="20"/>
      </w:rPr>
    </w:pPr>
    <w:bookmarkStart w:colFirst="0" w:colLast="0" w:name="_heading=h.37m2jsg" w:id="28"/>
    <w:bookmarkEnd w:id="28"/>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leader="none" w:pos="4513"/>
        <w:tab w:val="right" w:leader="none"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leader="none" w:pos="4513"/>
        <w:tab w:val="right" w:leader="none" w:pos="9026"/>
      </w:tabs>
      <w:spacing w:after="0" w:lineRule="auto"/>
      <w:ind w:left="0" w:firstLine="0"/>
      <w:rPr>
        <w:b w:val="1"/>
        <w:sz w:val="20"/>
        <w:szCs w:val="20"/>
      </w:rPr>
    </w:pPr>
    <w:r w:rsidDel="00000000" w:rsidR="00000000" w:rsidRPr="00000000">
      <w:rPr>
        <w:b w:val="1"/>
        <w:sz w:val="20"/>
        <w:szCs w:val="20"/>
        <w:rtl w:val="0"/>
      </w:rPr>
      <w:t xml:space="preserve">Call-Off Schedule 9A (Security)</w:t>
    </w:r>
  </w:p>
  <w:p w:rsidR="00000000" w:rsidDel="00000000" w:rsidP="00000000" w:rsidRDefault="00000000" w:rsidRPr="00000000" w14:paraId="000000AD">
    <w:pPr>
      <w:tabs>
        <w:tab w:val="center" w:leader="none" w:pos="4513"/>
        <w:tab w:val="right" w:leader="none" w:pos="9026"/>
      </w:tabs>
      <w:spacing w:after="0" w:lineRule="auto"/>
      <w:ind w:left="0" w:firstLine="0"/>
      <w:rPr>
        <w:sz w:val="20"/>
        <w:szCs w:val="20"/>
      </w:rPr>
    </w:pPr>
    <w:r w:rsidDel="00000000" w:rsidR="00000000" w:rsidRPr="00000000">
      <w:rPr>
        <w:sz w:val="20"/>
        <w:szCs w:val="20"/>
        <w:rtl w:val="0"/>
      </w:rPr>
      <w:t xml:space="preserve">Call-Off Ref: CCCC21B23 </w:t>
    </w:r>
  </w:p>
  <w:p w:rsidR="00000000" w:rsidDel="00000000" w:rsidP="00000000" w:rsidRDefault="00000000" w:rsidRPr="00000000" w14:paraId="000000AE">
    <w:pPr>
      <w:tabs>
        <w:tab w:val="center" w:leader="none" w:pos="4513"/>
        <w:tab w:val="right" w:leader="none" w:pos="9026"/>
      </w:tabs>
      <w:spacing w:after="0" w:lineRule="auto"/>
      <w:ind w:left="0" w:firstLine="0"/>
      <w:rPr>
        <w:sz w:val="20"/>
        <w:szCs w:val="20"/>
      </w:rPr>
    </w:pPr>
    <w:bookmarkStart w:colFirst="0" w:colLast="0" w:name="_heading=h.30j0zll" w:id="26"/>
    <w:bookmarkEnd w:id="26"/>
    <w:r w:rsidDel="00000000" w:rsidR="00000000" w:rsidRPr="00000000">
      <w:rPr>
        <w:sz w:val="20"/>
        <w:szCs w:val="20"/>
        <w:rtl w:val="0"/>
      </w:rPr>
      <w:t xml:space="preserve">Crown Copyright 2022</w:t>
    </w:r>
  </w:p>
  <w:p w:rsidR="00000000" w:rsidDel="00000000" w:rsidP="00000000" w:rsidRDefault="00000000" w:rsidRPr="00000000" w14:paraId="000000AF">
    <w:pPr>
      <w:tabs>
        <w:tab w:val="center" w:leader="none" w:pos="4513"/>
        <w:tab w:val="right" w:leader="none" w:pos="9026"/>
      </w:tabs>
      <w:spacing w:after="0" w:lineRule="auto"/>
      <w:ind w:left="0" w:firstLine="0"/>
      <w:rPr>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9999999999998"/>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9999999999998"/>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jc w:val="left"/>
    </w:pPr>
    <w:rPr>
      <w:b w:val="1"/>
      <w:sz w:val="20"/>
      <w:szCs w:val="20"/>
    </w:rPr>
  </w:style>
  <w:style w:type="paragraph" w:styleId="Heading2">
    <w:name w:val="heading 2"/>
    <w:basedOn w:val="Normal"/>
    <w:next w:val="Normal"/>
    <w:pPr>
      <w:keepNext w:val="1"/>
      <w:keepLines w:val="1"/>
      <w:spacing w:after="0" w:before="240" w:lineRule="auto"/>
      <w:ind w:left="0"/>
      <w:jc w:val="left"/>
    </w:pPr>
    <w:rPr>
      <w:b w:val="1"/>
      <w:sz w:val="20"/>
      <w:szCs w:val="2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jc w:val="left"/>
    </w:pPr>
    <w:rPr>
      <w:b w:val="1"/>
      <w:sz w:val="20"/>
      <w:szCs w:val="20"/>
    </w:rPr>
  </w:style>
  <w:style w:type="paragraph" w:styleId="Heading2">
    <w:name w:val="heading 2"/>
    <w:basedOn w:val="Normal"/>
    <w:next w:val="Normal"/>
    <w:pPr>
      <w:keepNext w:val="1"/>
      <w:keepLines w:val="1"/>
      <w:spacing w:after="0" w:before="240" w:lineRule="auto"/>
      <w:ind w:left="0"/>
      <w:jc w:val="left"/>
    </w:pPr>
    <w:rPr>
      <w:b w:val="1"/>
      <w:sz w:val="20"/>
      <w:szCs w:val="2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170"/>
      <w:jc w:val="left"/>
    </w:pPr>
    <w:rPr>
      <w:b w:val="1"/>
      <w:sz w:val="20"/>
      <w:szCs w:val="20"/>
    </w:rPr>
  </w:style>
  <w:style w:type="paragraph" w:styleId="Heading2">
    <w:name w:val="heading 2"/>
    <w:basedOn w:val="Normal"/>
    <w:next w:val="Normal"/>
    <w:pPr>
      <w:keepNext w:val="1"/>
      <w:keepLines w:val="1"/>
      <w:spacing w:after="0" w:before="240" w:lineRule="auto"/>
      <w:ind w:left="0" w:hanging="360"/>
      <w:jc w:val="left"/>
    </w:pPr>
    <w:rPr>
      <w:b w:val="1"/>
      <w:sz w:val="20"/>
      <w:szCs w:val="20"/>
    </w:rPr>
  </w:style>
  <w:style w:type="paragraph" w:styleId="Heading3">
    <w:name w:val="heading 3"/>
    <w:basedOn w:val="Normal"/>
    <w:next w:val="Normal"/>
    <w:pPr>
      <w:keepNext w:val="1"/>
      <w:keepLines w:val="1"/>
      <w:spacing w:after="0" w:before="200" w:lineRule="auto"/>
      <w:ind w:left="1080" w:hanging="36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1440" w:hanging="36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6"/>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6"/>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table" w:styleId="a2" w:customStyle="1">
    <w:basedOn w:val="TableNormal"/>
    <w:pPr>
      <w:pBdr>
        <w:top w:space="0" w:sz="0" w:val="nil"/>
        <w:left w:space="0" w:sz="0" w:val="nil"/>
        <w:bottom w:space="0" w:sz="0" w:val="nil"/>
        <w:right w:space="0" w:sz="0" w:val="nil"/>
        <w:between w:space="0" w:sz="0" w:val="nil"/>
      </w:pBdr>
      <w:spacing w:after="0" w:before="240"/>
    </w:pPr>
    <w:rPr>
      <w:rFonts w:ascii="Cambria" w:cs="Cambria" w:eastAsia="Cambria" w:hAnsi="Cambria"/>
      <w:b w:val="1"/>
      <w:color w:val="000000"/>
      <w:sz w:val="20"/>
      <w:szCs w:val="20"/>
    </w:rPr>
    <w:tblPr>
      <w:tblStyleRowBandSize w:val="1"/>
      <w:tblStyleColBandSize w:val="1"/>
      <w:tblCellMar>
        <w:left w:w="115.0" w:type="dxa"/>
        <w:right w:w="115.0" w:type="dxa"/>
      </w:tblCellMar>
    </w:tblPr>
    <w:tcPr>
      <w:shd w:color="auto"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bor3zhpPrIJBeQQo4W7HIrmLA==">CgMxLjAyCmlkLjMwajB6bGwyCGguZ2pkZ3hzMgloLjRpN29qaHA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ppZC4zdGJ1Z3AxMgloLjE5YzZ5MTgyCWguMjhoNHF3dTIJaC4zMGowemxsMglpZC5ubWYxNG4yCWguMzdtMmpzZzgAciExdUgxeVlGZU1nZ0FUV3hqVy1hSnZqWjNSLXF3YUdKU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2022-08-18T10:46:00Z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