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E46E8" w14:textId="6B8BCE02" w:rsidR="00E71B0C" w:rsidRPr="00457068" w:rsidRDefault="00AF4C0F" w:rsidP="000F2133">
      <w:pPr>
        <w:pStyle w:val="TSNumberedParagraph11"/>
        <w:numPr>
          <w:ilvl w:val="0"/>
          <w:numId w:val="0"/>
        </w:numPr>
        <w:tabs>
          <w:tab w:val="left" w:pos="2724"/>
          <w:tab w:val="center" w:pos="5233"/>
        </w:tabs>
        <w:ind w:left="567" w:hanging="567"/>
        <w:jc w:val="center"/>
        <w:rPr>
          <w:rFonts w:asciiTheme="minorHAnsi" w:hAnsiTheme="minorHAnsi" w:cstheme="minorHAnsi"/>
          <w:b/>
          <w:sz w:val="28"/>
          <w:szCs w:val="28"/>
        </w:rPr>
      </w:pPr>
      <w:bookmarkStart w:id="0" w:name="_GoBack"/>
      <w:bookmarkEnd w:id="0"/>
      <w:r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Pr="00457068">
        <w:rPr>
          <w:rFonts w:asciiTheme="minorHAnsi" w:hAnsiTheme="minorHAnsi" w:cstheme="minorHAnsi"/>
          <w:b/>
          <w:sz w:val="28"/>
          <w:szCs w:val="28"/>
        </w:rPr>
        <w:t>Specification</w:t>
      </w:r>
      <w:r w:rsidR="000F2133">
        <w:rPr>
          <w:rFonts w:asciiTheme="minorHAnsi" w:hAnsiTheme="minorHAnsi" w:cstheme="minorHAnsi"/>
          <w:b/>
          <w:sz w:val="28"/>
          <w:szCs w:val="28"/>
        </w:rPr>
        <w:t xml:space="preserve"> – ONR/T3476</w:t>
      </w:r>
    </w:p>
    <w:tbl>
      <w:tblPr>
        <w:tblStyle w:val="TableGrid"/>
        <w:tblW w:w="0" w:type="auto"/>
        <w:jc w:val="center"/>
        <w:tblLook w:val="04A0" w:firstRow="1" w:lastRow="0" w:firstColumn="1" w:lastColumn="0" w:noHBand="0" w:noVBand="1"/>
      </w:tblPr>
      <w:tblGrid>
        <w:gridCol w:w="9709"/>
      </w:tblGrid>
      <w:tr w:rsidR="00AF4C0F" w:rsidRPr="003F1457" w14:paraId="475F5DFC" w14:textId="77777777" w:rsidTr="00971BA8">
        <w:trPr>
          <w:jc w:val="center"/>
        </w:trPr>
        <w:tc>
          <w:tcPr>
            <w:tcW w:w="9709" w:type="dxa"/>
            <w:shd w:val="clear" w:color="auto" w:fill="006D68"/>
          </w:tcPr>
          <w:p w14:paraId="31132AD8" w14:textId="77777777" w:rsidR="00AF4C0F" w:rsidRPr="002C62C2" w:rsidRDefault="009B2503" w:rsidP="00971BA8">
            <w:pPr>
              <w:pStyle w:val="Header"/>
              <w:tabs>
                <w:tab w:val="left" w:pos="0"/>
              </w:tabs>
              <w:spacing w:before="120" w:after="120"/>
              <w:jc w:val="both"/>
              <w:rPr>
                <w:rFonts w:asciiTheme="minorHAnsi" w:hAnsiTheme="minorHAnsi" w:cstheme="minorHAnsi"/>
                <w:b/>
                <w:iCs/>
                <w:color w:val="FFFFFF" w:themeColor="background1"/>
                <w:sz w:val="24"/>
              </w:rPr>
            </w:pPr>
            <w:r>
              <w:rPr>
                <w:rFonts w:asciiTheme="minorHAnsi" w:hAnsiTheme="minorHAnsi" w:cstheme="minorHAnsi"/>
                <w:b/>
                <w:iCs/>
                <w:color w:val="FFFFFF" w:themeColor="background1"/>
                <w:sz w:val="24"/>
              </w:rPr>
              <w:t xml:space="preserve">Title:  Provision of Phase 2 of ONR-RRR-052 – Delivery of a guidance document on remediation techniques for radioactively contaminated land on nuclear licensed sites. </w:t>
            </w:r>
          </w:p>
        </w:tc>
      </w:tr>
      <w:tr w:rsidR="00AF4C0F" w14:paraId="52DCF7A9" w14:textId="77777777" w:rsidTr="00971BA8">
        <w:trPr>
          <w:jc w:val="center"/>
        </w:trPr>
        <w:tc>
          <w:tcPr>
            <w:tcW w:w="9709" w:type="dxa"/>
          </w:tcPr>
          <w:p w14:paraId="30A56B42" w14:textId="77777777" w:rsidR="00AF4C0F" w:rsidRPr="002C62C2" w:rsidRDefault="00AF4C0F" w:rsidP="000F2133">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Background to the project</w:t>
            </w:r>
          </w:p>
          <w:p w14:paraId="55108D3B" w14:textId="77777777"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 xml:space="preserve">The ONR has vires for regulating radioactively contaminated land on GB nuclear sites under the Nuclear Installations Act 1965 and the Energy Act 2013. ONR’s inspectors must form their regulatory judgements confidently and effectively using sound scientific and technical information. </w:t>
            </w:r>
          </w:p>
          <w:p w14:paraId="7706EA7F" w14:textId="77777777"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Land Quality Management (LQM) is defined by ONR to include the prevention of new contamination and the management of existing contamination of both land and groundwater, and extends to remediation (including control and monitoring). ONR requires technical knowledge of remediation techniques that may be utilised on nuclear licensed sites to enable effective ALARP decisions to be made. Innovative solutions to land quality remediation offer alternatives to ‘tried and tested’ methods, but the implications from their utilisation on nuclear licensed sites is not fully understood by ONR, which represents a risk when making ALARP judgements relating to LQM at nuclear licensed sites. To mitigate this risk, ONR has instigated Regulatory Research Register project (RRR-052).</w:t>
            </w:r>
          </w:p>
          <w:p w14:paraId="5F5EF0B6" w14:textId="77777777"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The output from ONR-RRR-052 will support future regulatory decisions regarding LQM by providing ONR with a comprehensive review of remediation techniques for radioactively contaminated land currently available and those that could be implemented within the nuclear industry in the future, including information on the effectiveness of these techniques and their applicability.</w:t>
            </w:r>
          </w:p>
          <w:p w14:paraId="58456995" w14:textId="77777777"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The first stage of this project was the production of an internal review of the remediation techniques applicable to radioactively contaminated land, both currently implemented and in development, to mitigate any potential gap in ONR’s understanding and ascertain whether further work and external research in this area is required [2018/119503].</w:t>
            </w:r>
          </w:p>
          <w:p w14:paraId="79F04F71" w14:textId="31A4009D" w:rsidR="00207E8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 xml:space="preserve">‘Phase 1’ of the project was </w:t>
            </w:r>
            <w:r w:rsidR="00C97958">
              <w:rPr>
                <w:rFonts w:asciiTheme="minorHAnsi" w:hAnsiTheme="minorHAnsi" w:cstheme="minorHAnsi"/>
              </w:rPr>
              <w:t>for</w:t>
            </w:r>
            <w:r w:rsidR="00C97958" w:rsidRPr="009B2503">
              <w:rPr>
                <w:rFonts w:asciiTheme="minorHAnsi" w:hAnsiTheme="minorHAnsi" w:cstheme="minorHAnsi"/>
              </w:rPr>
              <w:t xml:space="preserve"> </w:t>
            </w:r>
            <w:r w:rsidRPr="009B2503">
              <w:rPr>
                <w:rFonts w:asciiTheme="minorHAnsi" w:hAnsiTheme="minorHAnsi" w:cstheme="minorHAnsi"/>
              </w:rPr>
              <w:t>external review of th</w:t>
            </w:r>
            <w:r w:rsidR="00C97958">
              <w:rPr>
                <w:rFonts w:asciiTheme="minorHAnsi" w:hAnsiTheme="minorHAnsi" w:cstheme="minorHAnsi"/>
              </w:rPr>
              <w:t>e</w:t>
            </w:r>
            <w:r w:rsidRPr="009B2503">
              <w:rPr>
                <w:rFonts w:asciiTheme="minorHAnsi" w:hAnsiTheme="minorHAnsi" w:cstheme="minorHAnsi"/>
              </w:rPr>
              <w:t xml:space="preserve"> internal ONR </w:t>
            </w:r>
            <w:r w:rsidR="00C97958">
              <w:rPr>
                <w:rFonts w:asciiTheme="minorHAnsi" w:hAnsiTheme="minorHAnsi" w:cstheme="minorHAnsi"/>
              </w:rPr>
              <w:t>review</w:t>
            </w:r>
            <w:r w:rsidR="00C97958" w:rsidRPr="009B2503">
              <w:rPr>
                <w:rFonts w:asciiTheme="minorHAnsi" w:hAnsiTheme="minorHAnsi" w:cstheme="minorHAnsi"/>
              </w:rPr>
              <w:t xml:space="preserve"> </w:t>
            </w:r>
            <w:r w:rsidRPr="009B2503">
              <w:rPr>
                <w:rFonts w:asciiTheme="minorHAnsi" w:hAnsiTheme="minorHAnsi" w:cstheme="minorHAnsi"/>
              </w:rPr>
              <w:t xml:space="preserve">on the remediation techniques applicable to radioactively contaminated land to identify gaps in ONR’s current understanding of the topic [2018/191021]. TUV SUD Nuclear Technologies (NT) was engaged by ONR to undertake </w:t>
            </w:r>
            <w:r w:rsidR="00C97958">
              <w:rPr>
                <w:rFonts w:asciiTheme="minorHAnsi" w:hAnsiTheme="minorHAnsi" w:cstheme="minorHAnsi"/>
              </w:rPr>
              <w:t>Phase 1</w:t>
            </w:r>
            <w:r w:rsidR="00207E83">
              <w:rPr>
                <w:rFonts w:asciiTheme="minorHAnsi" w:hAnsiTheme="minorHAnsi" w:cstheme="minorHAnsi"/>
              </w:rPr>
              <w:t xml:space="preserve">, which </w:t>
            </w:r>
            <w:r w:rsidR="00207E83" w:rsidRPr="009B2503">
              <w:rPr>
                <w:rFonts w:asciiTheme="minorHAnsi" w:hAnsiTheme="minorHAnsi" w:cstheme="minorHAnsi"/>
              </w:rPr>
              <w:t xml:space="preserve">was completed in March 2019. </w:t>
            </w:r>
          </w:p>
          <w:p w14:paraId="1324ABD9" w14:textId="17DD024B" w:rsidR="00C97958" w:rsidRDefault="009B2503" w:rsidP="000F2133">
            <w:pPr>
              <w:pStyle w:val="TSNumberedParagraph11"/>
              <w:tabs>
                <w:tab w:val="left" w:pos="0"/>
              </w:tabs>
              <w:ind w:left="0" w:firstLine="0"/>
              <w:jc w:val="both"/>
              <w:rPr>
                <w:rFonts w:asciiTheme="minorHAnsi" w:hAnsiTheme="minorHAnsi" w:cstheme="minorHAnsi"/>
              </w:rPr>
            </w:pPr>
            <w:r w:rsidRPr="00207E83">
              <w:rPr>
                <w:rFonts w:asciiTheme="minorHAnsi" w:hAnsiTheme="minorHAnsi" w:cstheme="minorHAnsi"/>
              </w:rPr>
              <w:t xml:space="preserve"> </w:t>
            </w:r>
            <w:r w:rsidR="00C97958" w:rsidRPr="00207E83">
              <w:rPr>
                <w:rFonts w:asciiTheme="minorHAnsi" w:hAnsiTheme="minorHAnsi" w:cstheme="minorHAnsi"/>
              </w:rPr>
              <w:t xml:space="preserve">The output of Phase 1 was a report by NT </w:t>
            </w:r>
            <w:r w:rsidR="00207E83" w:rsidRPr="00207E83">
              <w:rPr>
                <w:rFonts w:asciiTheme="minorHAnsi" w:hAnsiTheme="minorHAnsi" w:cstheme="minorHAnsi"/>
              </w:rPr>
              <w:t xml:space="preserve">[2019/74815] </w:t>
            </w:r>
            <w:r w:rsidR="00C97958" w:rsidRPr="00207E83">
              <w:rPr>
                <w:rFonts w:asciiTheme="minorHAnsi" w:hAnsiTheme="minorHAnsi" w:cstheme="minorHAnsi"/>
              </w:rPr>
              <w:t xml:space="preserve">that made recommendations </w:t>
            </w:r>
            <w:r w:rsidRPr="00207E83">
              <w:rPr>
                <w:rFonts w:asciiTheme="minorHAnsi" w:hAnsiTheme="minorHAnsi" w:cstheme="minorHAnsi"/>
              </w:rPr>
              <w:t>to refine and develop</w:t>
            </w:r>
            <w:r w:rsidR="00C97958" w:rsidRPr="00207E83">
              <w:rPr>
                <w:rFonts w:asciiTheme="minorHAnsi" w:hAnsiTheme="minorHAnsi" w:cstheme="minorHAnsi"/>
              </w:rPr>
              <w:t xml:space="preserve"> the structure, format</w:t>
            </w:r>
            <w:r w:rsidRPr="00207E83">
              <w:rPr>
                <w:rFonts w:asciiTheme="minorHAnsi" w:hAnsiTheme="minorHAnsi" w:cstheme="minorHAnsi"/>
              </w:rPr>
              <w:t xml:space="preserve"> </w:t>
            </w:r>
            <w:r w:rsidR="00C97958" w:rsidRPr="00207E83">
              <w:rPr>
                <w:rFonts w:asciiTheme="minorHAnsi" w:hAnsiTheme="minorHAnsi" w:cstheme="minorHAnsi"/>
              </w:rPr>
              <w:t>and</w:t>
            </w:r>
            <w:r w:rsidRPr="00207E83">
              <w:rPr>
                <w:rFonts w:asciiTheme="minorHAnsi" w:hAnsiTheme="minorHAnsi" w:cstheme="minorHAnsi"/>
              </w:rPr>
              <w:t xml:space="preserve"> </w:t>
            </w:r>
            <w:r w:rsidR="00C97958" w:rsidRPr="00207E83">
              <w:rPr>
                <w:rFonts w:asciiTheme="minorHAnsi" w:hAnsiTheme="minorHAnsi" w:cstheme="minorHAnsi"/>
              </w:rPr>
              <w:t xml:space="preserve">information within the </w:t>
            </w:r>
            <w:r w:rsidRPr="00207E83">
              <w:rPr>
                <w:rFonts w:asciiTheme="minorHAnsi" w:hAnsiTheme="minorHAnsi" w:cstheme="minorHAnsi"/>
              </w:rPr>
              <w:t xml:space="preserve">existing internal </w:t>
            </w:r>
            <w:r w:rsidR="00C97958" w:rsidRPr="00207E83">
              <w:rPr>
                <w:rFonts w:asciiTheme="minorHAnsi" w:hAnsiTheme="minorHAnsi" w:cstheme="minorHAnsi"/>
              </w:rPr>
              <w:t xml:space="preserve">review </w:t>
            </w:r>
            <w:r w:rsidRPr="00207E83">
              <w:rPr>
                <w:rFonts w:asciiTheme="minorHAnsi" w:hAnsiTheme="minorHAnsi" w:cstheme="minorHAnsi"/>
              </w:rPr>
              <w:t xml:space="preserve">to create a </w:t>
            </w:r>
            <w:r w:rsidR="0056057B">
              <w:rPr>
                <w:rFonts w:asciiTheme="minorHAnsi" w:hAnsiTheme="minorHAnsi" w:cstheme="minorHAnsi"/>
              </w:rPr>
              <w:t xml:space="preserve">comprehensive report on land quality remediation techniques applicable to the UK nuclear industry. This report will be delivered as part of Phase 2 and used to generate </w:t>
            </w:r>
            <w:r w:rsidRPr="00207E83">
              <w:rPr>
                <w:rFonts w:asciiTheme="minorHAnsi" w:hAnsiTheme="minorHAnsi" w:cstheme="minorHAnsi"/>
              </w:rPr>
              <w:t xml:space="preserve">guidance </w:t>
            </w:r>
            <w:r w:rsidR="00C97958" w:rsidRPr="00207E83">
              <w:rPr>
                <w:rFonts w:asciiTheme="minorHAnsi" w:hAnsiTheme="minorHAnsi" w:cstheme="minorHAnsi"/>
              </w:rPr>
              <w:t>for</w:t>
            </w:r>
            <w:r w:rsidRPr="00207E83">
              <w:rPr>
                <w:rFonts w:asciiTheme="minorHAnsi" w:hAnsiTheme="minorHAnsi" w:cstheme="minorHAnsi"/>
              </w:rPr>
              <w:t xml:space="preserve"> use by ONR inspectors </w:t>
            </w:r>
            <w:r w:rsidR="00C97958" w:rsidRPr="00207E83">
              <w:rPr>
                <w:rFonts w:asciiTheme="minorHAnsi" w:hAnsiTheme="minorHAnsi" w:cstheme="minorHAnsi"/>
              </w:rPr>
              <w:t xml:space="preserve">when </w:t>
            </w:r>
            <w:r w:rsidRPr="00207E83">
              <w:rPr>
                <w:rFonts w:asciiTheme="minorHAnsi" w:hAnsiTheme="minorHAnsi" w:cstheme="minorHAnsi"/>
              </w:rPr>
              <w:t>assess</w:t>
            </w:r>
            <w:r w:rsidR="00C97958" w:rsidRPr="00207E83">
              <w:rPr>
                <w:rFonts w:asciiTheme="minorHAnsi" w:hAnsiTheme="minorHAnsi" w:cstheme="minorHAnsi"/>
              </w:rPr>
              <w:t>ing</w:t>
            </w:r>
            <w:r w:rsidRPr="00207E83">
              <w:rPr>
                <w:rFonts w:asciiTheme="minorHAnsi" w:hAnsiTheme="minorHAnsi" w:cstheme="minorHAnsi"/>
              </w:rPr>
              <w:t xml:space="preserve"> remediation schemes proposed by duty holders</w:t>
            </w:r>
            <w:proofErr w:type="gramStart"/>
            <w:r w:rsidR="0056057B">
              <w:rPr>
                <w:rFonts w:asciiTheme="minorHAnsi" w:hAnsiTheme="minorHAnsi" w:cstheme="minorHAnsi"/>
              </w:rPr>
              <w:t>.</w:t>
            </w:r>
            <w:r w:rsidR="00C97958" w:rsidRPr="00207E83">
              <w:rPr>
                <w:rFonts w:asciiTheme="minorHAnsi" w:hAnsiTheme="minorHAnsi" w:cstheme="minorHAnsi"/>
              </w:rPr>
              <w:t>.</w:t>
            </w:r>
            <w:proofErr w:type="gramEnd"/>
            <w:r w:rsidRPr="00207E83">
              <w:rPr>
                <w:rFonts w:asciiTheme="minorHAnsi" w:hAnsiTheme="minorHAnsi" w:cstheme="minorHAnsi"/>
              </w:rPr>
              <w:t xml:space="preserve"> </w:t>
            </w:r>
            <w:r w:rsidR="00C97958" w:rsidRPr="00207E83">
              <w:rPr>
                <w:rFonts w:asciiTheme="minorHAnsi" w:hAnsiTheme="minorHAnsi" w:cstheme="minorHAnsi"/>
              </w:rPr>
              <w:t xml:space="preserve">NT recommended </w:t>
            </w:r>
            <w:r w:rsidR="00207E83" w:rsidRPr="00207E83">
              <w:rPr>
                <w:rFonts w:asciiTheme="minorHAnsi" w:hAnsiTheme="minorHAnsi" w:cstheme="minorHAnsi"/>
              </w:rPr>
              <w:t>that the Phase 2</w:t>
            </w:r>
            <w:r w:rsidR="00C97958" w:rsidRPr="00207E83">
              <w:rPr>
                <w:rFonts w:asciiTheme="minorHAnsi" w:hAnsiTheme="minorHAnsi" w:cstheme="minorHAnsi"/>
              </w:rPr>
              <w:t xml:space="preserve"> scope be constrained to those </w:t>
            </w:r>
            <w:r w:rsidR="00207E83" w:rsidRPr="00207E83">
              <w:rPr>
                <w:rFonts w:asciiTheme="minorHAnsi" w:hAnsiTheme="minorHAnsi" w:cstheme="minorHAnsi"/>
              </w:rPr>
              <w:t xml:space="preserve">techniques </w:t>
            </w:r>
            <w:r w:rsidR="00C97958" w:rsidRPr="00207E83">
              <w:rPr>
                <w:rFonts w:asciiTheme="minorHAnsi" w:hAnsiTheme="minorHAnsi" w:cstheme="minorHAnsi"/>
              </w:rPr>
              <w:t>applicable to the UK context</w:t>
            </w:r>
            <w:r w:rsidR="00207E83" w:rsidRPr="00207E83">
              <w:rPr>
                <w:rFonts w:asciiTheme="minorHAnsi" w:hAnsiTheme="minorHAnsi" w:cstheme="minorHAnsi"/>
              </w:rPr>
              <w:t>, to allow focus on relevance to sites regulated by ONR. The Phase 1 report also suggested a further research into the LQM techniques identified in the report to assist in the understanding of their applicability in a radioactive contaminated land remediation.</w:t>
            </w:r>
          </w:p>
          <w:p w14:paraId="6D6B2480" w14:textId="77777777" w:rsidR="000F2133" w:rsidRDefault="000F2133" w:rsidP="000F2133">
            <w:pPr>
              <w:pStyle w:val="TSHeadingNumbered1"/>
              <w:numPr>
                <w:ilvl w:val="0"/>
                <w:numId w:val="0"/>
              </w:numPr>
              <w:ind w:left="862"/>
            </w:pPr>
          </w:p>
          <w:p w14:paraId="54A56C19" w14:textId="77777777" w:rsidR="000F2133" w:rsidRDefault="000F2133" w:rsidP="000F2133">
            <w:pPr>
              <w:pStyle w:val="TSHeadingNumbered1"/>
              <w:numPr>
                <w:ilvl w:val="0"/>
                <w:numId w:val="0"/>
              </w:numPr>
              <w:ind w:left="862"/>
            </w:pPr>
          </w:p>
          <w:p w14:paraId="6930EF4B" w14:textId="77777777" w:rsidR="000F2133" w:rsidRDefault="000F2133" w:rsidP="000F2133">
            <w:pPr>
              <w:pStyle w:val="TSHeadingNumbered1"/>
              <w:numPr>
                <w:ilvl w:val="0"/>
                <w:numId w:val="0"/>
              </w:numPr>
              <w:ind w:left="862"/>
            </w:pPr>
          </w:p>
          <w:p w14:paraId="30A8B2B8" w14:textId="14ADB12B" w:rsidR="002C62C2"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lastRenderedPageBreak/>
              <w:t xml:space="preserve">Phase 2 of the project will be to address the recommendations set out in the Phase 1 report and deliver </w:t>
            </w:r>
            <w:r w:rsidR="00207E83">
              <w:rPr>
                <w:rFonts w:asciiTheme="minorHAnsi" w:hAnsiTheme="minorHAnsi" w:cstheme="minorHAnsi"/>
              </w:rPr>
              <w:t>a</w:t>
            </w:r>
            <w:r w:rsidRPr="009B2503">
              <w:rPr>
                <w:rFonts w:asciiTheme="minorHAnsi" w:hAnsiTheme="minorHAnsi" w:cstheme="minorHAnsi"/>
              </w:rPr>
              <w:t xml:space="preserve"> </w:t>
            </w:r>
            <w:r w:rsidR="0056057B">
              <w:rPr>
                <w:rFonts w:asciiTheme="minorHAnsi" w:hAnsiTheme="minorHAnsi" w:cstheme="minorHAnsi"/>
              </w:rPr>
              <w:t>report</w:t>
            </w:r>
            <w:r w:rsidRPr="009B2503">
              <w:rPr>
                <w:rFonts w:asciiTheme="minorHAnsi" w:hAnsiTheme="minorHAnsi" w:cstheme="minorHAnsi"/>
              </w:rPr>
              <w:t xml:space="preserve"> that will inform </w:t>
            </w:r>
            <w:proofErr w:type="gramStart"/>
            <w:r w:rsidRPr="009B2503">
              <w:rPr>
                <w:rFonts w:asciiTheme="minorHAnsi" w:hAnsiTheme="minorHAnsi" w:cstheme="minorHAnsi"/>
              </w:rPr>
              <w:t>ONR’s understanding</w:t>
            </w:r>
            <w:proofErr w:type="gramEnd"/>
            <w:r w:rsidRPr="009B2503">
              <w:rPr>
                <w:rFonts w:asciiTheme="minorHAnsi" w:hAnsiTheme="minorHAnsi" w:cstheme="minorHAnsi"/>
              </w:rPr>
              <w:t xml:space="preserve"> of the remediation techniques for radioactively contaminated land in the </w:t>
            </w:r>
            <w:r w:rsidR="00207E83">
              <w:rPr>
                <w:rFonts w:asciiTheme="minorHAnsi" w:hAnsiTheme="minorHAnsi" w:cstheme="minorHAnsi"/>
              </w:rPr>
              <w:t xml:space="preserve">UK </w:t>
            </w:r>
            <w:r w:rsidRPr="009B2503">
              <w:rPr>
                <w:rFonts w:asciiTheme="minorHAnsi" w:hAnsiTheme="minorHAnsi" w:cstheme="minorHAnsi"/>
              </w:rPr>
              <w:t xml:space="preserve">nuclear industry. This </w:t>
            </w:r>
            <w:r w:rsidR="0056057B">
              <w:rPr>
                <w:rFonts w:asciiTheme="minorHAnsi" w:hAnsiTheme="minorHAnsi" w:cstheme="minorHAnsi"/>
              </w:rPr>
              <w:t xml:space="preserve">report will be used by ONR to generate guidance that </w:t>
            </w:r>
            <w:r w:rsidRPr="009B2503">
              <w:rPr>
                <w:rFonts w:asciiTheme="minorHAnsi" w:hAnsiTheme="minorHAnsi" w:cstheme="minorHAnsi"/>
              </w:rPr>
              <w:t xml:space="preserve">will enable ONR inspectors to carry out their regulatory duties effectively and make ALARP judgements relating to LQM at nuclear licensed sites. </w:t>
            </w:r>
          </w:p>
        </w:tc>
      </w:tr>
      <w:tr w:rsidR="00AF4C0F" w14:paraId="36B75677" w14:textId="77777777" w:rsidTr="00971BA8">
        <w:trPr>
          <w:jc w:val="center"/>
        </w:trPr>
        <w:tc>
          <w:tcPr>
            <w:tcW w:w="9709" w:type="dxa"/>
          </w:tcPr>
          <w:p w14:paraId="0215FECB" w14:textId="77777777" w:rsidR="00AF4C0F" w:rsidRPr="002C62C2" w:rsidRDefault="00AF4C0F" w:rsidP="000F2133">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lastRenderedPageBreak/>
              <w:t>SCOPE OF THE SERVICES REQUIRED</w:t>
            </w:r>
          </w:p>
          <w:p w14:paraId="20DC508B" w14:textId="667281C1"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 xml:space="preserve">The scope of ONR-RRR-052 </w:t>
            </w:r>
            <w:r w:rsidR="00207E83" w:rsidRPr="009B2503">
              <w:rPr>
                <w:rFonts w:asciiTheme="minorHAnsi" w:hAnsiTheme="minorHAnsi" w:cstheme="minorHAnsi"/>
              </w:rPr>
              <w:t xml:space="preserve">Phase 2 </w:t>
            </w:r>
            <w:r w:rsidRPr="009B2503">
              <w:rPr>
                <w:rFonts w:asciiTheme="minorHAnsi" w:hAnsiTheme="minorHAnsi" w:cstheme="minorHAnsi"/>
              </w:rPr>
              <w:t xml:space="preserve">is to produce a </w:t>
            </w:r>
            <w:r w:rsidR="0056057B">
              <w:rPr>
                <w:rFonts w:asciiTheme="minorHAnsi" w:hAnsiTheme="minorHAnsi" w:cstheme="minorHAnsi"/>
              </w:rPr>
              <w:t>report</w:t>
            </w:r>
            <w:r w:rsidRPr="009B2503">
              <w:rPr>
                <w:rFonts w:asciiTheme="minorHAnsi" w:hAnsiTheme="minorHAnsi" w:cstheme="minorHAnsi"/>
              </w:rPr>
              <w:t xml:space="preserve"> based on the recommendations identified in the Phase 1 report [2019/74815]. NT made 26 recommendations for developing the</w:t>
            </w:r>
            <w:r w:rsidR="00207E83">
              <w:rPr>
                <w:rFonts w:asciiTheme="minorHAnsi" w:hAnsiTheme="minorHAnsi" w:cstheme="minorHAnsi"/>
              </w:rPr>
              <w:t xml:space="preserve"> original ONR review into</w:t>
            </w:r>
            <w:r w:rsidRPr="009B2503">
              <w:rPr>
                <w:rFonts w:asciiTheme="minorHAnsi" w:hAnsiTheme="minorHAnsi" w:cstheme="minorHAnsi"/>
              </w:rPr>
              <w:t xml:space="preserve"> guidance</w:t>
            </w:r>
            <w:r w:rsidR="00AB641B">
              <w:rPr>
                <w:rFonts w:asciiTheme="minorHAnsi" w:hAnsiTheme="minorHAnsi" w:cstheme="minorHAnsi"/>
              </w:rPr>
              <w:t>;</w:t>
            </w:r>
            <w:r w:rsidR="00207E83">
              <w:rPr>
                <w:rFonts w:asciiTheme="minorHAnsi" w:hAnsiTheme="minorHAnsi" w:cstheme="minorHAnsi"/>
              </w:rPr>
              <w:t xml:space="preserve"> </w:t>
            </w:r>
            <w:r w:rsidR="00AB641B">
              <w:rPr>
                <w:rFonts w:asciiTheme="minorHAnsi" w:hAnsiTheme="minorHAnsi" w:cstheme="minorHAnsi"/>
              </w:rPr>
              <w:t>t</w:t>
            </w:r>
            <w:r w:rsidR="00207E83">
              <w:rPr>
                <w:rFonts w:asciiTheme="minorHAnsi" w:hAnsiTheme="minorHAnsi" w:cstheme="minorHAnsi"/>
              </w:rPr>
              <w:t>hese were</w:t>
            </w:r>
            <w:r w:rsidRPr="009B2503">
              <w:rPr>
                <w:rFonts w:asciiTheme="minorHAnsi" w:hAnsiTheme="minorHAnsi" w:cstheme="minorHAnsi"/>
              </w:rPr>
              <w:t xml:space="preserve"> prioritised </w:t>
            </w:r>
            <w:r w:rsidR="00207E83">
              <w:rPr>
                <w:rFonts w:asciiTheme="minorHAnsi" w:hAnsiTheme="minorHAnsi" w:cstheme="minorHAnsi"/>
              </w:rPr>
              <w:t xml:space="preserve">by NT </w:t>
            </w:r>
            <w:r w:rsidRPr="009B2503">
              <w:rPr>
                <w:rFonts w:asciiTheme="minorHAnsi" w:hAnsiTheme="minorHAnsi" w:cstheme="minorHAnsi"/>
              </w:rPr>
              <w:t xml:space="preserve">using a red-amber-green </w:t>
            </w:r>
            <w:r w:rsidR="00207E83">
              <w:rPr>
                <w:rFonts w:asciiTheme="minorHAnsi" w:hAnsiTheme="minorHAnsi" w:cstheme="minorHAnsi"/>
              </w:rPr>
              <w:t>rating</w:t>
            </w:r>
            <w:r w:rsidR="00AB641B">
              <w:rPr>
                <w:rFonts w:asciiTheme="minorHAnsi" w:hAnsiTheme="minorHAnsi" w:cstheme="minorHAnsi"/>
              </w:rPr>
              <w:t>,</w:t>
            </w:r>
            <w:r w:rsidR="00207E83">
              <w:rPr>
                <w:rFonts w:asciiTheme="minorHAnsi" w:hAnsiTheme="minorHAnsi" w:cstheme="minorHAnsi"/>
              </w:rPr>
              <w:t xml:space="preserve"> where</w:t>
            </w:r>
            <w:r w:rsidRPr="009B2503">
              <w:rPr>
                <w:rFonts w:asciiTheme="minorHAnsi" w:hAnsiTheme="minorHAnsi" w:cstheme="minorHAnsi"/>
              </w:rPr>
              <w:t xml:space="preserve"> green </w:t>
            </w:r>
            <w:r w:rsidR="00AB641B">
              <w:rPr>
                <w:rFonts w:asciiTheme="minorHAnsi" w:hAnsiTheme="minorHAnsi" w:cstheme="minorHAnsi"/>
              </w:rPr>
              <w:t>(10) is high priority, amber (7) is medium priority and red (9) is low priority</w:t>
            </w:r>
            <w:r w:rsidRPr="009B2503">
              <w:rPr>
                <w:rFonts w:asciiTheme="minorHAnsi" w:hAnsiTheme="minorHAnsi" w:cstheme="minorHAnsi"/>
              </w:rPr>
              <w:t xml:space="preserve">. </w:t>
            </w:r>
          </w:p>
          <w:p w14:paraId="3F0AB113" w14:textId="27757878"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 xml:space="preserve">The output of Phase 2 will be a </w:t>
            </w:r>
            <w:r w:rsidR="0056057B">
              <w:rPr>
                <w:rFonts w:asciiTheme="minorHAnsi" w:hAnsiTheme="minorHAnsi" w:cstheme="minorHAnsi"/>
              </w:rPr>
              <w:t xml:space="preserve">report on the land remediation techniques that are applicable to the UK nuclear </w:t>
            </w:r>
            <w:proofErr w:type="gramStart"/>
            <w:r w:rsidR="0056057B">
              <w:rPr>
                <w:rFonts w:asciiTheme="minorHAnsi" w:hAnsiTheme="minorHAnsi" w:cstheme="minorHAnsi"/>
              </w:rPr>
              <w:t>industry,</w:t>
            </w:r>
            <w:proofErr w:type="gramEnd"/>
            <w:r w:rsidR="0056057B">
              <w:rPr>
                <w:rFonts w:asciiTheme="minorHAnsi" w:hAnsiTheme="minorHAnsi" w:cstheme="minorHAnsi"/>
              </w:rPr>
              <w:t xml:space="preserve"> this will be used within ONR to generate guidance</w:t>
            </w:r>
            <w:r w:rsidRPr="009B2503">
              <w:rPr>
                <w:rFonts w:asciiTheme="minorHAnsi" w:hAnsiTheme="minorHAnsi" w:cstheme="minorHAnsi"/>
              </w:rPr>
              <w:t xml:space="preserve"> for use by ONR inspectors </w:t>
            </w:r>
            <w:r w:rsidR="00AB641B">
              <w:rPr>
                <w:rFonts w:asciiTheme="minorHAnsi" w:hAnsiTheme="minorHAnsi" w:cstheme="minorHAnsi"/>
              </w:rPr>
              <w:t>when considering</w:t>
            </w:r>
            <w:r w:rsidR="00AB641B" w:rsidRPr="009B2503">
              <w:rPr>
                <w:rFonts w:asciiTheme="minorHAnsi" w:hAnsiTheme="minorHAnsi" w:cstheme="minorHAnsi"/>
              </w:rPr>
              <w:t xml:space="preserve"> </w:t>
            </w:r>
            <w:r w:rsidR="00AB641B">
              <w:rPr>
                <w:rFonts w:asciiTheme="minorHAnsi" w:hAnsiTheme="minorHAnsi" w:cstheme="minorHAnsi"/>
              </w:rPr>
              <w:t>duty holder proposals regarding</w:t>
            </w:r>
            <w:r w:rsidR="00AB641B" w:rsidRPr="009B2503">
              <w:rPr>
                <w:rFonts w:asciiTheme="minorHAnsi" w:hAnsiTheme="minorHAnsi" w:cstheme="minorHAnsi"/>
              </w:rPr>
              <w:t xml:space="preserve"> </w:t>
            </w:r>
            <w:r w:rsidRPr="009B2503">
              <w:rPr>
                <w:rFonts w:asciiTheme="minorHAnsi" w:hAnsiTheme="minorHAnsi" w:cstheme="minorHAnsi"/>
              </w:rPr>
              <w:t xml:space="preserve">remediation techniques, enabling inspectors to carry out their regulatory duties effectively. The structure of the </w:t>
            </w:r>
            <w:r w:rsidR="0056057B">
              <w:rPr>
                <w:rFonts w:asciiTheme="minorHAnsi" w:hAnsiTheme="minorHAnsi" w:cstheme="minorHAnsi"/>
              </w:rPr>
              <w:t>report</w:t>
            </w:r>
            <w:r w:rsidRPr="009B2503">
              <w:rPr>
                <w:rFonts w:asciiTheme="minorHAnsi" w:hAnsiTheme="minorHAnsi" w:cstheme="minorHAnsi"/>
              </w:rPr>
              <w:t xml:space="preserve"> will be in line with th</w:t>
            </w:r>
            <w:r w:rsidR="00AB641B">
              <w:rPr>
                <w:rFonts w:asciiTheme="minorHAnsi" w:hAnsiTheme="minorHAnsi" w:cstheme="minorHAnsi"/>
              </w:rPr>
              <w:t>at</w:t>
            </w:r>
            <w:r w:rsidRPr="009B2503">
              <w:rPr>
                <w:rFonts w:asciiTheme="minorHAnsi" w:hAnsiTheme="minorHAnsi" w:cstheme="minorHAnsi"/>
              </w:rPr>
              <w:t xml:space="preserve"> proposed in the Phase 1 report and follow the template format enabl</w:t>
            </w:r>
            <w:r w:rsidR="00AB641B">
              <w:rPr>
                <w:rFonts w:asciiTheme="minorHAnsi" w:hAnsiTheme="minorHAnsi" w:cstheme="minorHAnsi"/>
              </w:rPr>
              <w:t>ing</w:t>
            </w:r>
            <w:r w:rsidRPr="009B2503">
              <w:rPr>
                <w:rFonts w:asciiTheme="minorHAnsi" w:hAnsiTheme="minorHAnsi" w:cstheme="minorHAnsi"/>
              </w:rPr>
              <w:t xml:space="preserve"> each remediation technique to be summarised on one page </w:t>
            </w:r>
            <w:r w:rsidR="00AB641B">
              <w:rPr>
                <w:rFonts w:asciiTheme="minorHAnsi" w:hAnsiTheme="minorHAnsi" w:cstheme="minorHAnsi"/>
              </w:rPr>
              <w:t>[</w:t>
            </w:r>
            <w:r w:rsidRPr="009B2503">
              <w:rPr>
                <w:rFonts w:asciiTheme="minorHAnsi" w:hAnsiTheme="minorHAnsi" w:cstheme="minorHAnsi"/>
              </w:rPr>
              <w:t>2019/74815</w:t>
            </w:r>
            <w:r w:rsidR="00AB641B">
              <w:rPr>
                <w:rFonts w:asciiTheme="minorHAnsi" w:hAnsiTheme="minorHAnsi" w:cstheme="minorHAnsi"/>
              </w:rPr>
              <w:t>]</w:t>
            </w:r>
            <w:r w:rsidRPr="009B2503">
              <w:rPr>
                <w:rFonts w:asciiTheme="minorHAnsi" w:hAnsiTheme="minorHAnsi" w:cstheme="minorHAnsi"/>
              </w:rPr>
              <w:t xml:space="preserve">. </w:t>
            </w:r>
          </w:p>
          <w:p w14:paraId="183808CF" w14:textId="5EE3BAD2" w:rsidR="009B2503" w:rsidRPr="009B2503" w:rsidRDefault="009B2503" w:rsidP="000F2133">
            <w:pPr>
              <w:pStyle w:val="TSNumberedParagraph11"/>
              <w:tabs>
                <w:tab w:val="left" w:pos="0"/>
              </w:tabs>
              <w:ind w:left="0" w:firstLine="0"/>
              <w:jc w:val="both"/>
              <w:rPr>
                <w:rFonts w:asciiTheme="minorHAnsi" w:hAnsiTheme="minorHAnsi" w:cstheme="minorHAnsi"/>
              </w:rPr>
            </w:pPr>
            <w:r w:rsidRPr="009B2503">
              <w:rPr>
                <w:rFonts w:asciiTheme="minorHAnsi" w:hAnsiTheme="minorHAnsi" w:cstheme="minorHAnsi"/>
              </w:rPr>
              <w:t>The guidance document will include reference data and information from a number of sources, many of which will be copyright protected, subject to intellectual property protection or include material against a registered trademark. All such sources should be replicated with the permission of the originator and only reproduced with such permissions in place. Any infringements will be</w:t>
            </w:r>
            <w:r w:rsidR="00147E1A">
              <w:rPr>
                <w:rFonts w:asciiTheme="minorHAnsi" w:hAnsiTheme="minorHAnsi" w:cstheme="minorHAnsi"/>
              </w:rPr>
              <w:t xml:space="preserve"> the responsibility of </w:t>
            </w:r>
            <w:r w:rsidR="00AB641B">
              <w:rPr>
                <w:rFonts w:asciiTheme="minorHAnsi" w:hAnsiTheme="minorHAnsi" w:cstheme="minorHAnsi"/>
              </w:rPr>
              <w:t>the TSC</w:t>
            </w:r>
            <w:r w:rsidR="00147E1A">
              <w:rPr>
                <w:rFonts w:asciiTheme="minorHAnsi" w:hAnsiTheme="minorHAnsi" w:cstheme="minorHAnsi"/>
              </w:rPr>
              <w:t xml:space="preserve">. </w:t>
            </w:r>
          </w:p>
          <w:p w14:paraId="38B6BE0C" w14:textId="6182FB5B" w:rsidR="009B2503" w:rsidRPr="009B2503" w:rsidRDefault="00AB641B" w:rsidP="000F213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TSC </w:t>
            </w:r>
            <w:r w:rsidR="009B2503" w:rsidRPr="009B2503">
              <w:rPr>
                <w:rFonts w:asciiTheme="minorHAnsi" w:hAnsiTheme="minorHAnsi" w:cstheme="minorHAnsi"/>
              </w:rPr>
              <w:t>shall provide updates on the progress of the project to</w:t>
            </w:r>
            <w:r w:rsidR="009B2503">
              <w:rPr>
                <w:rFonts w:asciiTheme="minorHAnsi" w:hAnsiTheme="minorHAnsi" w:cstheme="minorHAnsi"/>
              </w:rPr>
              <w:t xml:space="preserve"> ONR via monthly meetings. The</w:t>
            </w:r>
            <w:r w:rsidR="009B2503" w:rsidRPr="009B2503">
              <w:rPr>
                <w:rFonts w:asciiTheme="minorHAnsi" w:hAnsiTheme="minorHAnsi" w:cstheme="minorHAnsi"/>
              </w:rPr>
              <w:t xml:space="preserve"> format and structure of these meetings shall be agreed before commencement of the contract. </w:t>
            </w:r>
          </w:p>
          <w:p w14:paraId="55A5ABD3" w14:textId="58A25CF8" w:rsidR="00AB641B" w:rsidRPr="0056057B" w:rsidRDefault="009B2503" w:rsidP="000F2133">
            <w:pPr>
              <w:pStyle w:val="TSNumberedParagraph11"/>
              <w:tabs>
                <w:tab w:val="left" w:pos="0"/>
              </w:tabs>
              <w:ind w:left="0" w:firstLine="0"/>
              <w:jc w:val="both"/>
            </w:pPr>
            <w:r>
              <w:rPr>
                <w:rFonts w:asciiTheme="minorHAnsi" w:hAnsiTheme="minorHAnsi" w:cstheme="minorHAnsi"/>
              </w:rPr>
              <w:t xml:space="preserve">The </w:t>
            </w:r>
            <w:r w:rsidR="0056057B">
              <w:rPr>
                <w:rFonts w:asciiTheme="minorHAnsi" w:hAnsiTheme="minorHAnsi" w:cstheme="minorHAnsi"/>
              </w:rPr>
              <w:t>Phase 2 report</w:t>
            </w:r>
            <w:r w:rsidRPr="009B2503">
              <w:rPr>
                <w:rFonts w:asciiTheme="minorHAnsi" w:hAnsiTheme="minorHAnsi" w:cstheme="minorHAnsi"/>
              </w:rPr>
              <w:t xml:space="preserve"> presented to ONR shall not be considered complete until ONR has confirmed i</w:t>
            </w:r>
            <w:r>
              <w:rPr>
                <w:rFonts w:asciiTheme="minorHAnsi" w:hAnsiTheme="minorHAnsi" w:cstheme="minorHAnsi"/>
              </w:rPr>
              <w:t xml:space="preserve">t is satisfied. The final </w:t>
            </w:r>
            <w:r w:rsidR="0056057B">
              <w:rPr>
                <w:rFonts w:asciiTheme="minorHAnsi" w:hAnsiTheme="minorHAnsi" w:cstheme="minorHAnsi"/>
              </w:rPr>
              <w:t xml:space="preserve">report </w:t>
            </w:r>
            <w:r w:rsidRPr="009B2503">
              <w:rPr>
                <w:rFonts w:asciiTheme="minorHAnsi" w:hAnsiTheme="minorHAnsi" w:cstheme="minorHAnsi"/>
              </w:rPr>
              <w:t xml:space="preserve">in all likelihood will be subject to iterations and as such </w:t>
            </w:r>
            <w:r w:rsidR="00AB641B">
              <w:rPr>
                <w:rFonts w:asciiTheme="minorHAnsi" w:hAnsiTheme="minorHAnsi" w:cstheme="minorHAnsi"/>
              </w:rPr>
              <w:t>the TSC</w:t>
            </w:r>
            <w:r w:rsidR="00AB641B" w:rsidRPr="009B2503">
              <w:rPr>
                <w:rFonts w:asciiTheme="minorHAnsi" w:hAnsiTheme="minorHAnsi" w:cstheme="minorHAnsi"/>
              </w:rPr>
              <w:t xml:space="preserve"> </w:t>
            </w:r>
            <w:r w:rsidRPr="009B2503">
              <w:rPr>
                <w:rFonts w:asciiTheme="minorHAnsi" w:hAnsiTheme="minorHAnsi" w:cstheme="minorHAnsi"/>
              </w:rPr>
              <w:t xml:space="preserve">should include time and cost in addressing supplementary enquiries </w:t>
            </w:r>
            <w:r w:rsidR="00147E1A">
              <w:rPr>
                <w:rFonts w:asciiTheme="minorHAnsi" w:hAnsiTheme="minorHAnsi" w:cstheme="minorHAnsi"/>
              </w:rPr>
              <w:t xml:space="preserve">and follow ups within </w:t>
            </w:r>
            <w:r w:rsidR="00AB641B">
              <w:rPr>
                <w:rFonts w:asciiTheme="minorHAnsi" w:hAnsiTheme="minorHAnsi" w:cstheme="minorHAnsi"/>
              </w:rPr>
              <w:t xml:space="preserve">its </w:t>
            </w:r>
            <w:r w:rsidR="00147E1A">
              <w:rPr>
                <w:rFonts w:asciiTheme="minorHAnsi" w:hAnsiTheme="minorHAnsi" w:cstheme="minorHAnsi"/>
              </w:rPr>
              <w:t xml:space="preserve">costed response. </w:t>
            </w:r>
          </w:p>
          <w:p w14:paraId="4FBD92D8" w14:textId="7370275F" w:rsidR="00AF4C0F" w:rsidRPr="009B2503" w:rsidRDefault="00AB641B" w:rsidP="000F2133">
            <w:pPr>
              <w:pStyle w:val="TSNumberedParagraph11"/>
              <w:tabs>
                <w:tab w:val="left" w:pos="0"/>
              </w:tabs>
              <w:ind w:left="0" w:firstLine="0"/>
              <w:jc w:val="both"/>
            </w:pPr>
            <w:r>
              <w:rPr>
                <w:rFonts w:asciiTheme="minorHAnsi" w:hAnsiTheme="minorHAnsi" w:cstheme="minorHAnsi"/>
              </w:rPr>
              <w:t xml:space="preserve">It is proposed that the contract for </w:t>
            </w:r>
            <w:r w:rsidRPr="009B2503">
              <w:rPr>
                <w:rFonts w:asciiTheme="minorHAnsi" w:hAnsiTheme="minorHAnsi" w:cstheme="minorHAnsi"/>
              </w:rPr>
              <w:t xml:space="preserve">ONR-RRR-052 Phase 2 </w:t>
            </w:r>
            <w:r>
              <w:rPr>
                <w:rFonts w:asciiTheme="minorHAnsi" w:hAnsiTheme="minorHAnsi" w:cstheme="minorHAnsi"/>
              </w:rPr>
              <w:t>be directly awarded to NT via ONR’s new Technical Support Framework</w:t>
            </w:r>
            <w:r w:rsidR="00034964">
              <w:rPr>
                <w:rFonts w:asciiTheme="minorHAnsi" w:hAnsiTheme="minorHAnsi" w:cstheme="minorHAnsi"/>
              </w:rPr>
              <w:t>, subject to ONR’s decision to proceed with the contract</w:t>
            </w:r>
            <w:r>
              <w:rPr>
                <w:rFonts w:asciiTheme="minorHAnsi" w:hAnsiTheme="minorHAnsi" w:cstheme="minorHAnsi"/>
              </w:rPr>
              <w:t>.</w:t>
            </w:r>
          </w:p>
        </w:tc>
      </w:tr>
      <w:tr w:rsidR="00AF4C0F" w:rsidRPr="002C62C2" w14:paraId="35F36F18" w14:textId="77777777" w:rsidTr="00971BA8">
        <w:trPr>
          <w:jc w:val="center"/>
        </w:trPr>
        <w:tc>
          <w:tcPr>
            <w:tcW w:w="9709" w:type="dxa"/>
          </w:tcPr>
          <w:p w14:paraId="327CDF95" w14:textId="77777777" w:rsidR="00AF4C0F" w:rsidRPr="002C62C2" w:rsidRDefault="00AF4C0F" w:rsidP="000F2133">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OBJECTIVES</w:t>
            </w:r>
          </w:p>
          <w:p w14:paraId="7B9A347C" w14:textId="714AEF39" w:rsidR="00AF4C0F" w:rsidRDefault="00147E1A" w:rsidP="000F213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will require an initial outline of the strategy taken to complete the work two weeks after the start of the contract, followed by an initial draft of the guidance document for comment at a date agreed </w:t>
            </w:r>
            <w:r w:rsidR="003106C1">
              <w:rPr>
                <w:rFonts w:asciiTheme="minorHAnsi" w:hAnsiTheme="minorHAnsi" w:cstheme="minorHAnsi"/>
              </w:rPr>
              <w:t xml:space="preserve">with </w:t>
            </w:r>
            <w:r>
              <w:rPr>
                <w:rFonts w:asciiTheme="minorHAnsi" w:hAnsiTheme="minorHAnsi" w:cstheme="minorHAnsi"/>
              </w:rPr>
              <w:t xml:space="preserve">ONR. The final guidance document </w:t>
            </w:r>
            <w:r w:rsidR="003106C1">
              <w:rPr>
                <w:rFonts w:asciiTheme="minorHAnsi" w:hAnsiTheme="minorHAnsi" w:cstheme="minorHAnsi"/>
              </w:rPr>
              <w:t>is</w:t>
            </w:r>
            <w:r>
              <w:rPr>
                <w:rFonts w:asciiTheme="minorHAnsi" w:hAnsiTheme="minorHAnsi" w:cstheme="minorHAnsi"/>
              </w:rPr>
              <w:t xml:space="preserve"> expected </w:t>
            </w:r>
            <w:r w:rsidR="003106C1">
              <w:rPr>
                <w:rFonts w:asciiTheme="minorHAnsi" w:hAnsiTheme="minorHAnsi" w:cstheme="minorHAnsi"/>
              </w:rPr>
              <w:t xml:space="preserve">to be </w:t>
            </w:r>
            <w:r>
              <w:rPr>
                <w:rFonts w:asciiTheme="minorHAnsi" w:hAnsiTheme="minorHAnsi" w:cstheme="minorHAnsi"/>
              </w:rPr>
              <w:t>deliver</w:t>
            </w:r>
            <w:r w:rsidR="003106C1">
              <w:rPr>
                <w:rFonts w:asciiTheme="minorHAnsi" w:hAnsiTheme="minorHAnsi" w:cstheme="minorHAnsi"/>
              </w:rPr>
              <w:t>ed</w:t>
            </w:r>
            <w:r>
              <w:rPr>
                <w:rFonts w:asciiTheme="minorHAnsi" w:hAnsiTheme="minorHAnsi" w:cstheme="minorHAnsi"/>
              </w:rPr>
              <w:t xml:space="preserve"> </w:t>
            </w:r>
            <w:r w:rsidR="003E1CE3">
              <w:rPr>
                <w:rFonts w:asciiTheme="minorHAnsi" w:hAnsiTheme="minorHAnsi" w:cstheme="minorHAnsi"/>
              </w:rPr>
              <w:t xml:space="preserve">6 </w:t>
            </w:r>
            <w:r>
              <w:rPr>
                <w:rFonts w:asciiTheme="minorHAnsi" w:hAnsiTheme="minorHAnsi" w:cstheme="minorHAnsi"/>
              </w:rPr>
              <w:t xml:space="preserve">months after the contract start. </w:t>
            </w:r>
          </w:p>
          <w:p w14:paraId="65DC85AF" w14:textId="445038BA" w:rsidR="003673DD" w:rsidRDefault="00147E1A" w:rsidP="000F213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Phase 1 </w:t>
            </w:r>
            <w:r w:rsidR="003106C1">
              <w:rPr>
                <w:rFonts w:asciiTheme="minorHAnsi" w:hAnsiTheme="minorHAnsi" w:cstheme="minorHAnsi"/>
              </w:rPr>
              <w:t xml:space="preserve">report </w:t>
            </w:r>
            <w:r>
              <w:rPr>
                <w:rFonts w:asciiTheme="minorHAnsi" w:hAnsiTheme="minorHAnsi" w:cstheme="minorHAnsi"/>
              </w:rPr>
              <w:t xml:space="preserve">made a number of recommendations </w:t>
            </w:r>
            <w:r w:rsidR="003106C1">
              <w:rPr>
                <w:rFonts w:asciiTheme="minorHAnsi" w:hAnsiTheme="minorHAnsi" w:cstheme="minorHAnsi"/>
              </w:rPr>
              <w:t>regarding development of a</w:t>
            </w:r>
            <w:r>
              <w:rPr>
                <w:rFonts w:asciiTheme="minorHAnsi" w:hAnsiTheme="minorHAnsi" w:cstheme="minorHAnsi"/>
              </w:rPr>
              <w:t xml:space="preserve"> guidance document in addition to a proposed format and structure</w:t>
            </w:r>
            <w:r w:rsidR="003673DD">
              <w:rPr>
                <w:rFonts w:asciiTheme="minorHAnsi" w:hAnsiTheme="minorHAnsi" w:cstheme="minorHAnsi"/>
              </w:rPr>
              <w:t xml:space="preserve">. </w:t>
            </w:r>
            <w:r w:rsidR="003E1CE3">
              <w:rPr>
                <w:rFonts w:asciiTheme="minorHAnsi" w:hAnsiTheme="minorHAnsi" w:cstheme="minorHAnsi"/>
              </w:rPr>
              <w:t xml:space="preserve">The TSC </w:t>
            </w:r>
            <w:r w:rsidR="003673DD">
              <w:rPr>
                <w:rFonts w:asciiTheme="minorHAnsi" w:hAnsiTheme="minorHAnsi" w:cstheme="minorHAnsi"/>
              </w:rPr>
              <w:t xml:space="preserve">should take account of </w:t>
            </w:r>
            <w:r w:rsidR="00034964">
              <w:rPr>
                <w:rFonts w:asciiTheme="minorHAnsi" w:hAnsiTheme="minorHAnsi" w:cstheme="minorHAnsi"/>
              </w:rPr>
              <w:t xml:space="preserve">ONR sentencing of </w:t>
            </w:r>
            <w:r w:rsidR="003673DD">
              <w:rPr>
                <w:rFonts w:asciiTheme="minorHAnsi" w:hAnsiTheme="minorHAnsi" w:cstheme="minorHAnsi"/>
              </w:rPr>
              <w:t>the recommendations set out in the Phase 1 report</w:t>
            </w:r>
            <w:r w:rsidR="00A85A88">
              <w:rPr>
                <w:rFonts w:asciiTheme="minorHAnsi" w:hAnsiTheme="minorHAnsi" w:cstheme="minorHAnsi"/>
              </w:rPr>
              <w:t xml:space="preserve"> (see A</w:t>
            </w:r>
            <w:r w:rsidR="00034964">
              <w:rPr>
                <w:rFonts w:asciiTheme="minorHAnsi" w:hAnsiTheme="minorHAnsi" w:cstheme="minorHAnsi"/>
              </w:rPr>
              <w:t>ppendix 1)</w:t>
            </w:r>
            <w:r w:rsidR="003673DD">
              <w:rPr>
                <w:rFonts w:asciiTheme="minorHAnsi" w:hAnsiTheme="minorHAnsi" w:cstheme="minorHAnsi"/>
              </w:rPr>
              <w:t xml:space="preserve"> </w:t>
            </w:r>
            <w:r w:rsidR="003106C1">
              <w:rPr>
                <w:rFonts w:asciiTheme="minorHAnsi" w:hAnsiTheme="minorHAnsi" w:cstheme="minorHAnsi"/>
              </w:rPr>
              <w:t>in conjunction with</w:t>
            </w:r>
            <w:r w:rsidR="003673DD">
              <w:rPr>
                <w:rFonts w:asciiTheme="minorHAnsi" w:hAnsiTheme="minorHAnsi" w:cstheme="minorHAnsi"/>
              </w:rPr>
              <w:t xml:space="preserve"> additional resources </w:t>
            </w:r>
            <w:r w:rsidR="003106C1">
              <w:rPr>
                <w:rFonts w:asciiTheme="minorHAnsi" w:hAnsiTheme="minorHAnsi" w:cstheme="minorHAnsi"/>
              </w:rPr>
              <w:t xml:space="preserve">it </w:t>
            </w:r>
            <w:r w:rsidR="003673DD">
              <w:rPr>
                <w:rFonts w:asciiTheme="minorHAnsi" w:hAnsiTheme="minorHAnsi" w:cstheme="minorHAnsi"/>
              </w:rPr>
              <w:t>consider</w:t>
            </w:r>
            <w:r w:rsidR="003106C1">
              <w:rPr>
                <w:rFonts w:asciiTheme="minorHAnsi" w:hAnsiTheme="minorHAnsi" w:cstheme="minorHAnsi"/>
              </w:rPr>
              <w:t>s</w:t>
            </w:r>
            <w:r w:rsidR="003673DD">
              <w:rPr>
                <w:rFonts w:asciiTheme="minorHAnsi" w:hAnsiTheme="minorHAnsi" w:cstheme="minorHAnsi"/>
              </w:rPr>
              <w:t xml:space="preserve"> necessary to produce the Phase 2 </w:t>
            </w:r>
            <w:r w:rsidR="00034964">
              <w:rPr>
                <w:rFonts w:asciiTheme="minorHAnsi" w:hAnsiTheme="minorHAnsi" w:cstheme="minorHAnsi"/>
              </w:rPr>
              <w:t>report</w:t>
            </w:r>
            <w:r w:rsidR="003673DD">
              <w:rPr>
                <w:rFonts w:asciiTheme="minorHAnsi" w:hAnsiTheme="minorHAnsi" w:cstheme="minorHAnsi"/>
              </w:rPr>
              <w:t xml:space="preserve">. </w:t>
            </w:r>
          </w:p>
          <w:p w14:paraId="58018887" w14:textId="4EF6025B" w:rsidR="003673DD" w:rsidRDefault="003673DD" w:rsidP="000F213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will undertake internal validations of each draft of the Phase 2 guidance document within its Nuclear Liabilities Regulation specialism. As such, NT shall make arrangements for addressing </w:t>
            </w:r>
            <w:r w:rsidR="003106C1">
              <w:rPr>
                <w:rFonts w:asciiTheme="minorHAnsi" w:hAnsiTheme="minorHAnsi" w:cstheme="minorHAnsi"/>
              </w:rPr>
              <w:t xml:space="preserve">ONR </w:t>
            </w:r>
            <w:r>
              <w:rPr>
                <w:rFonts w:asciiTheme="minorHAnsi" w:hAnsiTheme="minorHAnsi" w:cstheme="minorHAnsi"/>
              </w:rPr>
              <w:t xml:space="preserve">feedback </w:t>
            </w:r>
            <w:r w:rsidR="003106C1">
              <w:rPr>
                <w:rFonts w:asciiTheme="minorHAnsi" w:hAnsiTheme="minorHAnsi" w:cstheme="minorHAnsi"/>
              </w:rPr>
              <w:t>from</w:t>
            </w:r>
            <w:r>
              <w:rPr>
                <w:rFonts w:asciiTheme="minorHAnsi" w:hAnsiTheme="minorHAnsi" w:cstheme="minorHAnsi"/>
              </w:rPr>
              <w:t xml:space="preserve"> the peer </w:t>
            </w:r>
            <w:r w:rsidR="003106C1">
              <w:rPr>
                <w:rFonts w:asciiTheme="minorHAnsi" w:hAnsiTheme="minorHAnsi" w:cstheme="minorHAnsi"/>
              </w:rPr>
              <w:t xml:space="preserve">review </w:t>
            </w:r>
            <w:r>
              <w:rPr>
                <w:rFonts w:asciiTheme="minorHAnsi" w:hAnsiTheme="minorHAnsi" w:cstheme="minorHAnsi"/>
              </w:rPr>
              <w:t>process</w:t>
            </w:r>
            <w:r w:rsidR="003106C1">
              <w:rPr>
                <w:rFonts w:asciiTheme="minorHAnsi" w:hAnsiTheme="minorHAnsi" w:cstheme="minorHAnsi"/>
              </w:rPr>
              <w:t>,</w:t>
            </w:r>
            <w:r>
              <w:rPr>
                <w:rFonts w:asciiTheme="minorHAnsi" w:hAnsiTheme="minorHAnsi" w:cstheme="minorHAnsi"/>
              </w:rPr>
              <w:t xml:space="preserve"> before completion of the report. </w:t>
            </w:r>
          </w:p>
          <w:p w14:paraId="4DDF89D8" w14:textId="17FDF1EC" w:rsidR="003673DD" w:rsidRDefault="003673DD" w:rsidP="000F213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The contract for Phase 2 of the project shall commence with a face-to-face kick off meeting</w:t>
            </w:r>
            <w:r w:rsidR="003E1CE3">
              <w:rPr>
                <w:rFonts w:asciiTheme="minorHAnsi" w:hAnsiTheme="minorHAnsi" w:cstheme="minorHAnsi"/>
              </w:rPr>
              <w:t>.</w:t>
            </w:r>
            <w:r>
              <w:rPr>
                <w:rFonts w:asciiTheme="minorHAnsi" w:hAnsiTheme="minorHAnsi" w:cstheme="minorHAnsi"/>
              </w:rPr>
              <w:t xml:space="preserve"> </w:t>
            </w:r>
            <w:r w:rsidR="003E1CE3">
              <w:rPr>
                <w:rFonts w:asciiTheme="minorHAnsi" w:hAnsiTheme="minorHAnsi" w:cstheme="minorHAnsi"/>
              </w:rPr>
              <w:t xml:space="preserve">This </w:t>
            </w:r>
            <w:r>
              <w:rPr>
                <w:rFonts w:asciiTheme="minorHAnsi" w:hAnsiTheme="minorHAnsi" w:cstheme="minorHAnsi"/>
              </w:rPr>
              <w:t xml:space="preserve">will be followed by monthly progress meetings (via teleconference), as required. The provision of at least two </w:t>
            </w:r>
            <w:r w:rsidR="003E1CE3">
              <w:rPr>
                <w:rFonts w:asciiTheme="minorHAnsi" w:hAnsiTheme="minorHAnsi" w:cstheme="minorHAnsi"/>
              </w:rPr>
              <w:t xml:space="preserve">further </w:t>
            </w:r>
            <w:r>
              <w:rPr>
                <w:rFonts w:asciiTheme="minorHAnsi" w:hAnsiTheme="minorHAnsi" w:cstheme="minorHAnsi"/>
              </w:rPr>
              <w:t xml:space="preserve">face-to-face meetings should be </w:t>
            </w:r>
            <w:r w:rsidR="003106C1">
              <w:rPr>
                <w:rFonts w:asciiTheme="minorHAnsi" w:hAnsiTheme="minorHAnsi" w:cstheme="minorHAnsi"/>
              </w:rPr>
              <w:t>included in</w:t>
            </w:r>
            <w:r>
              <w:rPr>
                <w:rFonts w:asciiTheme="minorHAnsi" w:hAnsiTheme="minorHAnsi" w:cstheme="minorHAnsi"/>
              </w:rPr>
              <w:t xml:space="preserve"> the costs for Phase 2.</w:t>
            </w:r>
          </w:p>
          <w:p w14:paraId="15B40368" w14:textId="22A57C61" w:rsidR="00AF4C0F" w:rsidRPr="002C62C2" w:rsidRDefault="003673DD" w:rsidP="000F2133">
            <w:pPr>
              <w:pStyle w:val="TSNumberedParagraph11"/>
              <w:tabs>
                <w:tab w:val="left" w:pos="0"/>
              </w:tabs>
              <w:ind w:left="0" w:firstLine="0"/>
              <w:jc w:val="both"/>
              <w:rPr>
                <w:rFonts w:asciiTheme="minorHAnsi" w:hAnsiTheme="minorHAnsi" w:cstheme="minorHAnsi"/>
                <w:iCs/>
                <w:sz w:val="20"/>
                <w:szCs w:val="20"/>
              </w:rPr>
            </w:pPr>
            <w:r>
              <w:rPr>
                <w:rFonts w:asciiTheme="minorHAnsi" w:hAnsiTheme="minorHAnsi" w:cstheme="minorHAnsi"/>
              </w:rPr>
              <w:lastRenderedPageBreak/>
              <w:t xml:space="preserve">The outcome of Phase 2 will be a </w:t>
            </w:r>
            <w:r w:rsidR="00034964">
              <w:rPr>
                <w:rFonts w:asciiTheme="minorHAnsi" w:hAnsiTheme="minorHAnsi" w:cstheme="minorHAnsi"/>
              </w:rPr>
              <w:t>report</w:t>
            </w:r>
            <w:r>
              <w:rPr>
                <w:rFonts w:asciiTheme="minorHAnsi" w:hAnsiTheme="minorHAnsi" w:cstheme="minorHAnsi"/>
              </w:rPr>
              <w:t xml:space="preserve"> on radioactively contaminated land remediation techniques in the context of the UK nuclear industry, for use by ONR inspectors. This</w:t>
            </w:r>
            <w:r w:rsidR="00034964">
              <w:rPr>
                <w:rFonts w:asciiTheme="minorHAnsi" w:hAnsiTheme="minorHAnsi" w:cstheme="minorHAnsi"/>
              </w:rPr>
              <w:t xml:space="preserve"> </w:t>
            </w:r>
            <w:proofErr w:type="spellStart"/>
            <w:r w:rsidR="00034964">
              <w:rPr>
                <w:rFonts w:asciiTheme="minorHAnsi" w:hAnsiTheme="minorHAnsi" w:cstheme="minorHAnsi"/>
              </w:rPr>
              <w:t>report</w:t>
            </w:r>
            <w:r>
              <w:rPr>
                <w:rFonts w:asciiTheme="minorHAnsi" w:hAnsiTheme="minorHAnsi" w:cstheme="minorHAnsi"/>
              </w:rPr>
              <w:t>will</w:t>
            </w:r>
            <w:proofErr w:type="spellEnd"/>
            <w:r>
              <w:rPr>
                <w:rFonts w:asciiTheme="minorHAnsi" w:hAnsiTheme="minorHAnsi" w:cstheme="minorHAnsi"/>
              </w:rPr>
              <w:t xml:space="preserve"> be based on the scope and recommendations identified in the Phase 1 report (2019/74815). </w:t>
            </w:r>
            <w:r w:rsidR="00147E1A">
              <w:rPr>
                <w:rFonts w:asciiTheme="minorHAnsi" w:hAnsiTheme="minorHAnsi" w:cstheme="minorHAnsi"/>
              </w:rPr>
              <w:t xml:space="preserve"> </w:t>
            </w:r>
          </w:p>
        </w:tc>
      </w:tr>
      <w:tr w:rsidR="00AF4C0F" w:rsidRPr="002C62C2" w14:paraId="359FADD9" w14:textId="77777777" w:rsidTr="00971BA8">
        <w:trPr>
          <w:jc w:val="center"/>
        </w:trPr>
        <w:tc>
          <w:tcPr>
            <w:tcW w:w="9709" w:type="dxa"/>
          </w:tcPr>
          <w:p w14:paraId="56F9BC0A" w14:textId="77777777" w:rsidR="00AF4C0F" w:rsidRPr="000F2133" w:rsidRDefault="00AF4C0F" w:rsidP="000F2133">
            <w:pPr>
              <w:pStyle w:val="TSHeadingNumbered1"/>
              <w:keepNext/>
              <w:tabs>
                <w:tab w:val="left" w:pos="0"/>
              </w:tabs>
              <w:ind w:left="0" w:firstLine="0"/>
              <w:jc w:val="both"/>
              <w:rPr>
                <w:rFonts w:asciiTheme="minorHAnsi" w:hAnsiTheme="minorHAnsi" w:cstheme="minorHAnsi"/>
                <w:szCs w:val="22"/>
              </w:rPr>
            </w:pPr>
            <w:r w:rsidRPr="000F2133">
              <w:rPr>
                <w:rFonts w:asciiTheme="minorHAnsi" w:hAnsiTheme="minorHAnsi" w:cstheme="minorHAnsi"/>
                <w:bCs/>
                <w:szCs w:val="22"/>
              </w:rPr>
              <w:lastRenderedPageBreak/>
              <w:t>CONSTRAINTS</w:t>
            </w:r>
            <w:r w:rsidRPr="000F2133">
              <w:rPr>
                <w:rFonts w:asciiTheme="minorHAnsi" w:hAnsiTheme="minorHAnsi" w:cstheme="minorHAnsi"/>
                <w:szCs w:val="22"/>
              </w:rPr>
              <w:t xml:space="preserve"> </w:t>
            </w:r>
          </w:p>
          <w:p w14:paraId="2FA3AFE5" w14:textId="04343DB4" w:rsidR="00AF4C0F" w:rsidRPr="000F2133" w:rsidRDefault="003E1CE3" w:rsidP="000F213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expects that the technical work shall be led by persons with significant expertise and experience in delivering land quality management projects within the UK, with a focus on deployment within the nuclear industry. </w:t>
            </w:r>
          </w:p>
        </w:tc>
      </w:tr>
      <w:tr w:rsidR="00AF4C0F" w:rsidRPr="002C62C2" w14:paraId="66F685F5" w14:textId="77777777" w:rsidTr="00971BA8">
        <w:trPr>
          <w:jc w:val="center"/>
        </w:trPr>
        <w:tc>
          <w:tcPr>
            <w:tcW w:w="9709" w:type="dxa"/>
          </w:tcPr>
          <w:p w14:paraId="49DD2683" w14:textId="77777777" w:rsidR="00AF4C0F" w:rsidRPr="002C62C2" w:rsidRDefault="00AF4C0F" w:rsidP="000F2133">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CONTRACT MANAGEMENT</w:t>
            </w:r>
          </w:p>
          <w:p w14:paraId="441B50C6" w14:textId="2A5BE581" w:rsidR="00AF4C0F" w:rsidRPr="003673DD" w:rsidRDefault="00AF4C0F" w:rsidP="000F2133">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will require to be kept updated about progress and delivery of the required work via monthly meetings, to include a contract start-up meeting at ONR’s offices at Bootle</w:t>
            </w:r>
            <w:r w:rsidR="003673DD">
              <w:rPr>
                <w:rFonts w:asciiTheme="minorHAnsi" w:hAnsiTheme="minorHAnsi" w:cstheme="minorHAnsi"/>
              </w:rPr>
              <w:t>, or at NT’s offices on Birchwood Park</w:t>
            </w:r>
            <w:r w:rsidRPr="002C62C2">
              <w:rPr>
                <w:rFonts w:asciiTheme="minorHAnsi" w:hAnsiTheme="minorHAnsi" w:cstheme="minorHAnsi"/>
              </w:rPr>
              <w:t>. Subsequent progress meeting</w:t>
            </w:r>
            <w:r w:rsidR="00F50CB2">
              <w:rPr>
                <w:rFonts w:asciiTheme="minorHAnsi" w:hAnsiTheme="minorHAnsi" w:cstheme="minorHAnsi"/>
              </w:rPr>
              <w:t>s</w:t>
            </w:r>
            <w:r w:rsidRPr="002C62C2">
              <w:rPr>
                <w:rFonts w:asciiTheme="minorHAnsi" w:hAnsiTheme="minorHAnsi" w:cstheme="minorHAnsi"/>
              </w:rPr>
              <w:t xml:space="preserve"> </w:t>
            </w:r>
            <w:r w:rsidR="00F50CB2">
              <w:rPr>
                <w:rFonts w:asciiTheme="minorHAnsi" w:hAnsiTheme="minorHAnsi" w:cstheme="minorHAnsi"/>
              </w:rPr>
              <w:t>shall</w:t>
            </w:r>
            <w:r w:rsidR="00F50CB2" w:rsidRPr="002C62C2">
              <w:rPr>
                <w:rFonts w:asciiTheme="minorHAnsi" w:hAnsiTheme="minorHAnsi" w:cstheme="minorHAnsi"/>
              </w:rPr>
              <w:t xml:space="preserve"> </w:t>
            </w:r>
            <w:r w:rsidRPr="002C62C2">
              <w:rPr>
                <w:rFonts w:asciiTheme="minorHAnsi" w:hAnsiTheme="minorHAnsi" w:cstheme="minorHAnsi"/>
              </w:rPr>
              <w:t>be arranged with the ONR Project Office</w:t>
            </w:r>
            <w:r w:rsidR="00F50CB2">
              <w:rPr>
                <w:rFonts w:asciiTheme="minorHAnsi" w:hAnsiTheme="minorHAnsi" w:cstheme="minorHAnsi"/>
              </w:rPr>
              <w:t>r</w:t>
            </w:r>
            <w:r w:rsidRPr="002C62C2">
              <w:rPr>
                <w:rFonts w:asciiTheme="minorHAnsi" w:hAnsiTheme="minorHAnsi" w:cstheme="minorHAnsi"/>
              </w:rPr>
              <w:t xml:space="preserve"> and </w:t>
            </w:r>
            <w:r w:rsidR="00F50CB2">
              <w:rPr>
                <w:rFonts w:asciiTheme="minorHAnsi" w:hAnsiTheme="minorHAnsi" w:cstheme="minorHAnsi"/>
              </w:rPr>
              <w:t>may</w:t>
            </w:r>
            <w:r w:rsidR="00F50CB2" w:rsidRPr="002C62C2">
              <w:rPr>
                <w:rFonts w:asciiTheme="minorHAnsi" w:hAnsiTheme="minorHAnsi" w:cstheme="minorHAnsi"/>
              </w:rPr>
              <w:t xml:space="preserve"> </w:t>
            </w:r>
            <w:r w:rsidRPr="002C62C2">
              <w:rPr>
                <w:rFonts w:asciiTheme="minorHAnsi" w:hAnsiTheme="minorHAnsi" w:cstheme="minorHAnsi"/>
              </w:rPr>
              <w:t>be held at ONR’s office</w:t>
            </w:r>
            <w:r w:rsidR="00F50CB2">
              <w:rPr>
                <w:rFonts w:asciiTheme="minorHAnsi" w:hAnsiTheme="minorHAnsi" w:cstheme="minorHAnsi"/>
              </w:rPr>
              <w:t>s</w:t>
            </w:r>
            <w:r w:rsidRPr="002C62C2">
              <w:rPr>
                <w:rFonts w:asciiTheme="minorHAnsi" w:hAnsiTheme="minorHAnsi" w:cstheme="minorHAnsi"/>
              </w:rPr>
              <w:t xml:space="preserve"> in Bootle, </w:t>
            </w:r>
            <w:r w:rsidR="003673DD">
              <w:rPr>
                <w:rFonts w:asciiTheme="minorHAnsi" w:hAnsiTheme="minorHAnsi" w:cstheme="minorHAnsi"/>
              </w:rPr>
              <w:t xml:space="preserve">or NT’s premises. </w:t>
            </w:r>
            <w:r w:rsidR="00F50CB2">
              <w:rPr>
                <w:rFonts w:asciiTheme="minorHAnsi" w:hAnsiTheme="minorHAnsi" w:cstheme="minorHAnsi"/>
              </w:rPr>
              <w:t>However, the final meeting for project close out shall be held at ONR’s offices in Bootle.</w:t>
            </w:r>
          </w:p>
        </w:tc>
      </w:tr>
      <w:tr w:rsidR="00863CDC" w:rsidRPr="002C62C2" w14:paraId="6CF44E9E" w14:textId="77777777" w:rsidTr="00971BA8">
        <w:trPr>
          <w:jc w:val="center"/>
        </w:trPr>
        <w:tc>
          <w:tcPr>
            <w:tcW w:w="9709" w:type="dxa"/>
            <w:tcBorders>
              <w:bottom w:val="single" w:sz="4" w:space="0" w:color="auto"/>
            </w:tcBorders>
            <w:shd w:val="clear" w:color="auto" w:fill="006D68"/>
          </w:tcPr>
          <w:p w14:paraId="1A7DF387"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14:paraId="514366AC" w14:textId="77777777" w:rsidTr="00971BA8">
        <w:trPr>
          <w:jc w:val="center"/>
        </w:trPr>
        <w:tc>
          <w:tcPr>
            <w:tcW w:w="9709" w:type="dxa"/>
            <w:shd w:val="clear" w:color="auto" w:fill="auto"/>
          </w:tcPr>
          <w:p w14:paraId="7378F5A9"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027554C0" w14:textId="77777777"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14:paraId="6A410311" w14:textId="77777777"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 xml:space="preserve">Please provide </w:t>
            </w:r>
          </w:p>
          <w:p w14:paraId="5B1FA1A8" w14:textId="77777777" w:rsidR="00971BA8" w:rsidRPr="002C62C2" w:rsidRDefault="00971BA8" w:rsidP="000F2133">
            <w:pPr>
              <w:pStyle w:val="TSBullet1Square"/>
              <w:spacing w:after="0"/>
              <w:ind w:left="698" w:hanging="708"/>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14:paraId="67898BE3" w14:textId="77777777"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description of proposed deliverables and/or outputs</w:t>
            </w:r>
          </w:p>
          <w:p w14:paraId="22C865D9" w14:textId="77777777"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an outline of anticipated engagement (project meetings &amp; management)</w:t>
            </w:r>
          </w:p>
          <w:p w14:paraId="7CF7FC43" w14:textId="77777777" w:rsidR="00971BA8" w:rsidRDefault="00971BA8" w:rsidP="000F2133">
            <w:pPr>
              <w:pStyle w:val="TSBullet1Square"/>
              <w:tabs>
                <w:tab w:val="left" w:pos="698"/>
              </w:tabs>
              <w:spacing w:after="0"/>
              <w:ind w:left="698" w:hanging="698"/>
              <w:rPr>
                <w:rFonts w:asciiTheme="minorHAnsi" w:hAnsiTheme="minorHAnsi" w:cstheme="minorHAnsi"/>
              </w:rPr>
            </w:pPr>
            <w:r>
              <w:rPr>
                <w:rFonts w:asciiTheme="minorHAnsi" w:hAnsiTheme="minorHAnsi" w:cstheme="minorHAnsi"/>
              </w:rPr>
              <w:t xml:space="preserve">details of proposed cost and associated effort assumptions </w:t>
            </w:r>
          </w:p>
          <w:p w14:paraId="50958CA7" w14:textId="77777777"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 xml:space="preserve">a project delivery plan showing activities and milestones </w:t>
            </w:r>
          </w:p>
          <w:p w14:paraId="1441B551" w14:textId="77777777" w:rsidR="00971BA8"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a planned invoice schedule</w:t>
            </w:r>
          </w:p>
          <w:p w14:paraId="37D5A551" w14:textId="77777777" w:rsidR="00971BA8" w:rsidRPr="002C62C2" w:rsidRDefault="00971BA8" w:rsidP="00971BA8">
            <w:pPr>
              <w:pStyle w:val="TSBullet1Square"/>
              <w:tabs>
                <w:tab w:val="left" w:pos="0"/>
              </w:tabs>
              <w:spacing w:after="0"/>
              <w:ind w:left="0" w:firstLine="0"/>
              <w:rPr>
                <w:rFonts w:asciiTheme="minorHAnsi" w:hAnsiTheme="minorHAnsi" w:cstheme="minorHAnsi"/>
              </w:rPr>
            </w:pPr>
            <w:r>
              <w:rPr>
                <w:rFonts w:asciiTheme="minorHAnsi" w:hAnsiTheme="minorHAnsi" w:cstheme="minorHAnsi"/>
              </w:rPr>
              <w:t>details of any assumptions or constraints</w:t>
            </w:r>
          </w:p>
          <w:p w14:paraId="1A33D371" w14:textId="77777777"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14:paraId="21C6BF69" w14:textId="61B09841" w:rsidR="00034964" w:rsidRDefault="00034964" w:rsidP="00457068">
      <w:pPr>
        <w:ind w:left="567" w:hanging="567"/>
        <w:rPr>
          <w:rFonts w:asciiTheme="minorHAnsi" w:hAnsiTheme="minorHAnsi" w:cstheme="minorHAnsi"/>
        </w:rPr>
      </w:pPr>
    </w:p>
    <w:p w14:paraId="103F178A" w14:textId="77777777" w:rsidR="005824A0" w:rsidRDefault="005824A0">
      <w:pPr>
        <w:rPr>
          <w:rFonts w:asciiTheme="minorHAnsi" w:hAnsiTheme="minorHAnsi" w:cstheme="minorHAnsi"/>
        </w:rPr>
        <w:sectPr w:rsidR="005824A0"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pPr>
    </w:p>
    <w:p w14:paraId="19BE937B" w14:textId="7C9A8C4C" w:rsidR="005824A0" w:rsidRPr="00F65334" w:rsidRDefault="005824A0" w:rsidP="005824A0">
      <w:pPr>
        <w:ind w:left="567" w:hanging="567"/>
        <w:rPr>
          <w:rFonts w:asciiTheme="minorHAnsi" w:hAnsiTheme="minorHAnsi" w:cstheme="minorHAnsi"/>
          <w:b/>
          <w:sz w:val="24"/>
        </w:rPr>
      </w:pPr>
      <w:r w:rsidRPr="00F65334">
        <w:rPr>
          <w:rFonts w:asciiTheme="minorHAnsi" w:hAnsiTheme="minorHAnsi" w:cstheme="minorHAnsi"/>
          <w:b/>
          <w:sz w:val="24"/>
        </w:rPr>
        <w:lastRenderedPageBreak/>
        <w:t>Appendix 1: ONR sentencing of the recommendations from the Phase 1 report</w:t>
      </w:r>
    </w:p>
    <w:p w14:paraId="74129C53" w14:textId="5CE1D2EC" w:rsidR="005824A0" w:rsidRDefault="005824A0" w:rsidP="005824A0">
      <w:pPr>
        <w:ind w:left="567" w:hanging="567"/>
        <w:rPr>
          <w:rFonts w:asciiTheme="minorHAnsi" w:hAnsiTheme="minorHAnsi" w:cstheme="minorHAnsi"/>
        </w:rPr>
      </w:pPr>
    </w:p>
    <w:p w14:paraId="392F80FF" w14:textId="77777777" w:rsidR="005824A0" w:rsidRDefault="005824A0" w:rsidP="005824A0">
      <w:pPr>
        <w:tabs>
          <w:tab w:val="left" w:pos="1454"/>
        </w:tabs>
        <w:ind w:left="567" w:hanging="567"/>
        <w:rPr>
          <w:rFonts w:asciiTheme="minorHAnsi" w:hAnsiTheme="minorHAnsi" w:cstheme="minorHAnsi"/>
        </w:rPr>
      </w:pPr>
      <w:r>
        <w:rPr>
          <w:rFonts w:asciiTheme="minorHAnsi" w:hAnsiTheme="minorHAnsi" w:cstheme="minorHAnsi"/>
        </w:rPr>
        <w:tab/>
      </w:r>
    </w:p>
    <w:tbl>
      <w:tblPr>
        <w:tblStyle w:val="TableGrid"/>
        <w:tblW w:w="0" w:type="auto"/>
        <w:tblLook w:val="04A0" w:firstRow="1" w:lastRow="0" w:firstColumn="1" w:lastColumn="0" w:noHBand="0" w:noVBand="1"/>
      </w:tblPr>
      <w:tblGrid>
        <w:gridCol w:w="776"/>
        <w:gridCol w:w="2626"/>
        <w:gridCol w:w="3686"/>
        <w:gridCol w:w="3969"/>
        <w:gridCol w:w="3969"/>
      </w:tblGrid>
      <w:tr w:rsidR="005824A0" w:rsidRPr="00DD0F0F" w14:paraId="4961A548" w14:textId="77777777" w:rsidTr="004B735E">
        <w:trPr>
          <w:trHeight w:val="232"/>
        </w:trPr>
        <w:tc>
          <w:tcPr>
            <w:tcW w:w="15026" w:type="dxa"/>
            <w:gridSpan w:val="5"/>
            <w:tcBorders>
              <w:top w:val="nil"/>
              <w:left w:val="nil"/>
              <w:bottom w:val="single" w:sz="4" w:space="0" w:color="auto"/>
              <w:right w:val="nil"/>
            </w:tcBorders>
            <w:shd w:val="clear" w:color="auto" w:fill="auto"/>
          </w:tcPr>
          <w:p w14:paraId="6E74878F" w14:textId="77777777" w:rsidR="005824A0" w:rsidRDefault="005824A0" w:rsidP="00675C51">
            <w:pPr>
              <w:autoSpaceDE w:val="0"/>
              <w:autoSpaceDN w:val="0"/>
              <w:adjustRightInd w:val="0"/>
              <w:rPr>
                <w:rFonts w:cs="Arial"/>
                <w:color w:val="000000"/>
                <w:sz w:val="20"/>
                <w:szCs w:val="20"/>
              </w:rPr>
            </w:pPr>
            <w:r>
              <w:rPr>
                <w:rFonts w:cs="Arial"/>
                <w:color w:val="000000"/>
                <w:sz w:val="20"/>
                <w:szCs w:val="20"/>
              </w:rPr>
              <w:t xml:space="preserve">Green = Essential </w:t>
            </w:r>
          </w:p>
          <w:p w14:paraId="07815963" w14:textId="77777777" w:rsidR="005824A0" w:rsidRDefault="005824A0" w:rsidP="00675C51">
            <w:pPr>
              <w:autoSpaceDE w:val="0"/>
              <w:autoSpaceDN w:val="0"/>
              <w:adjustRightInd w:val="0"/>
              <w:rPr>
                <w:rFonts w:cs="Arial"/>
                <w:color w:val="000000"/>
                <w:sz w:val="20"/>
                <w:szCs w:val="20"/>
              </w:rPr>
            </w:pPr>
            <w:r>
              <w:rPr>
                <w:rFonts w:cs="Arial"/>
                <w:color w:val="000000"/>
                <w:sz w:val="20"/>
                <w:szCs w:val="20"/>
              </w:rPr>
              <w:t>Amber = Preferable</w:t>
            </w:r>
          </w:p>
          <w:p w14:paraId="084ED5C1" w14:textId="77777777" w:rsidR="005824A0" w:rsidRDefault="005824A0" w:rsidP="00675C51">
            <w:pPr>
              <w:autoSpaceDE w:val="0"/>
              <w:autoSpaceDN w:val="0"/>
              <w:adjustRightInd w:val="0"/>
              <w:rPr>
                <w:rFonts w:cs="Arial"/>
                <w:color w:val="000000"/>
                <w:sz w:val="20"/>
                <w:szCs w:val="20"/>
              </w:rPr>
            </w:pPr>
            <w:r>
              <w:rPr>
                <w:rFonts w:cs="Arial"/>
                <w:color w:val="000000"/>
                <w:sz w:val="20"/>
                <w:szCs w:val="20"/>
              </w:rPr>
              <w:t xml:space="preserve">Red = Optional </w:t>
            </w:r>
          </w:p>
          <w:p w14:paraId="536AF5B9" w14:textId="77777777" w:rsidR="005824A0" w:rsidRDefault="005824A0" w:rsidP="00675C51">
            <w:pPr>
              <w:autoSpaceDE w:val="0"/>
              <w:autoSpaceDN w:val="0"/>
              <w:adjustRightInd w:val="0"/>
              <w:rPr>
                <w:rFonts w:cs="Arial"/>
                <w:color w:val="000000"/>
                <w:sz w:val="20"/>
                <w:szCs w:val="20"/>
              </w:rPr>
            </w:pPr>
          </w:p>
        </w:tc>
      </w:tr>
      <w:tr w:rsidR="005824A0" w:rsidRPr="00DD0F0F" w14:paraId="2D84E0F2" w14:textId="77777777" w:rsidTr="004B735E">
        <w:trPr>
          <w:trHeight w:val="232"/>
        </w:trPr>
        <w:tc>
          <w:tcPr>
            <w:tcW w:w="776" w:type="dxa"/>
            <w:tcBorders>
              <w:top w:val="single" w:sz="4" w:space="0" w:color="auto"/>
            </w:tcBorders>
            <w:shd w:val="clear" w:color="auto" w:fill="DEEAF6" w:themeFill="accent1" w:themeFillTint="33"/>
          </w:tcPr>
          <w:p w14:paraId="420E8449" w14:textId="77777777" w:rsidR="005824A0" w:rsidRPr="00DD0F0F" w:rsidRDefault="005824A0" w:rsidP="00675C51">
            <w:pPr>
              <w:autoSpaceDE w:val="0"/>
              <w:autoSpaceDN w:val="0"/>
              <w:adjustRightInd w:val="0"/>
              <w:rPr>
                <w:rFonts w:cs="Arial"/>
                <w:b/>
                <w:color w:val="000000"/>
                <w:sz w:val="20"/>
                <w:szCs w:val="20"/>
              </w:rPr>
            </w:pPr>
            <w:r w:rsidRPr="00DD0F0F">
              <w:rPr>
                <w:rFonts w:cs="Arial"/>
                <w:b/>
                <w:color w:val="000000"/>
                <w:sz w:val="20"/>
                <w:szCs w:val="20"/>
              </w:rPr>
              <w:t xml:space="preserve">Action No. </w:t>
            </w:r>
          </w:p>
        </w:tc>
        <w:tc>
          <w:tcPr>
            <w:tcW w:w="2626" w:type="dxa"/>
            <w:tcBorders>
              <w:top w:val="single" w:sz="4" w:space="0" w:color="auto"/>
            </w:tcBorders>
            <w:shd w:val="clear" w:color="auto" w:fill="DEEAF6" w:themeFill="accent1" w:themeFillTint="33"/>
          </w:tcPr>
          <w:p w14:paraId="41F5C926" w14:textId="77777777" w:rsidR="005824A0" w:rsidRPr="00DD0F0F" w:rsidRDefault="005824A0" w:rsidP="00675C51">
            <w:pPr>
              <w:autoSpaceDE w:val="0"/>
              <w:autoSpaceDN w:val="0"/>
              <w:adjustRightInd w:val="0"/>
              <w:rPr>
                <w:rFonts w:cs="Arial"/>
                <w:b/>
                <w:color w:val="000000"/>
                <w:sz w:val="20"/>
                <w:szCs w:val="20"/>
              </w:rPr>
            </w:pPr>
            <w:r w:rsidRPr="00DD0F0F">
              <w:rPr>
                <w:rFonts w:cs="Arial"/>
                <w:b/>
                <w:color w:val="000000"/>
                <w:sz w:val="20"/>
                <w:szCs w:val="20"/>
              </w:rPr>
              <w:t xml:space="preserve">Recommended Action </w:t>
            </w:r>
          </w:p>
        </w:tc>
        <w:tc>
          <w:tcPr>
            <w:tcW w:w="3686" w:type="dxa"/>
            <w:tcBorders>
              <w:top w:val="single" w:sz="4" w:space="0" w:color="auto"/>
            </w:tcBorders>
            <w:shd w:val="clear" w:color="auto" w:fill="DEEAF6" w:themeFill="accent1" w:themeFillTint="33"/>
          </w:tcPr>
          <w:p w14:paraId="0D328E79" w14:textId="77777777" w:rsidR="005824A0" w:rsidRPr="00DD0F0F" w:rsidRDefault="005824A0" w:rsidP="00675C51">
            <w:pPr>
              <w:autoSpaceDE w:val="0"/>
              <w:autoSpaceDN w:val="0"/>
              <w:adjustRightInd w:val="0"/>
              <w:rPr>
                <w:rFonts w:cs="Arial"/>
                <w:b/>
                <w:color w:val="000000"/>
                <w:sz w:val="20"/>
                <w:szCs w:val="20"/>
              </w:rPr>
            </w:pPr>
            <w:r w:rsidRPr="00DD0F0F">
              <w:rPr>
                <w:rFonts w:cs="Arial"/>
                <w:b/>
                <w:color w:val="000000"/>
                <w:sz w:val="20"/>
                <w:szCs w:val="20"/>
              </w:rPr>
              <w:t xml:space="preserve">Scope </w:t>
            </w:r>
          </w:p>
        </w:tc>
        <w:tc>
          <w:tcPr>
            <w:tcW w:w="3969" w:type="dxa"/>
            <w:tcBorders>
              <w:top w:val="single" w:sz="4" w:space="0" w:color="auto"/>
              <w:right w:val="single" w:sz="12" w:space="0" w:color="auto"/>
            </w:tcBorders>
            <w:shd w:val="clear" w:color="auto" w:fill="DEEAF6" w:themeFill="accent1" w:themeFillTint="33"/>
          </w:tcPr>
          <w:p w14:paraId="67907F5D" w14:textId="77777777" w:rsidR="005824A0" w:rsidRPr="00DD0F0F" w:rsidRDefault="005824A0" w:rsidP="00675C51">
            <w:pPr>
              <w:autoSpaceDE w:val="0"/>
              <w:autoSpaceDN w:val="0"/>
              <w:adjustRightInd w:val="0"/>
              <w:rPr>
                <w:rFonts w:cs="Arial"/>
                <w:b/>
                <w:color w:val="000000"/>
                <w:sz w:val="20"/>
                <w:szCs w:val="20"/>
              </w:rPr>
            </w:pPr>
            <w:r w:rsidRPr="00DD0F0F">
              <w:rPr>
                <w:rFonts w:cs="Arial"/>
                <w:b/>
                <w:color w:val="000000"/>
                <w:sz w:val="20"/>
                <w:szCs w:val="20"/>
              </w:rPr>
              <w:t xml:space="preserve">Expected Outcome </w:t>
            </w:r>
          </w:p>
        </w:tc>
        <w:tc>
          <w:tcPr>
            <w:tcW w:w="3969"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2D72F099" w14:textId="5925CCD5" w:rsidR="005824A0" w:rsidRPr="0023119B" w:rsidRDefault="005824A0" w:rsidP="00675C51">
            <w:pPr>
              <w:autoSpaceDE w:val="0"/>
              <w:autoSpaceDN w:val="0"/>
              <w:adjustRightInd w:val="0"/>
              <w:rPr>
                <w:rFonts w:cs="Arial"/>
                <w:b/>
                <w:color w:val="000000"/>
                <w:sz w:val="20"/>
                <w:szCs w:val="20"/>
              </w:rPr>
            </w:pPr>
            <w:r w:rsidRPr="0023119B">
              <w:rPr>
                <w:rFonts w:cs="Arial"/>
                <w:b/>
                <w:color w:val="000000"/>
                <w:sz w:val="20"/>
                <w:szCs w:val="20"/>
              </w:rPr>
              <w:t>ONR Rating</w:t>
            </w:r>
            <w:r>
              <w:rPr>
                <w:rFonts w:cs="Arial"/>
                <w:b/>
                <w:color w:val="000000"/>
                <w:sz w:val="20"/>
                <w:szCs w:val="20"/>
              </w:rPr>
              <w:t xml:space="preserve"> and Comments</w:t>
            </w:r>
          </w:p>
        </w:tc>
      </w:tr>
      <w:tr w:rsidR="005824A0" w:rsidRPr="00DD0F0F" w14:paraId="05A1C376" w14:textId="77777777" w:rsidTr="004B735E">
        <w:trPr>
          <w:trHeight w:val="706"/>
        </w:trPr>
        <w:tc>
          <w:tcPr>
            <w:tcW w:w="776" w:type="dxa"/>
            <w:shd w:val="clear" w:color="auto" w:fill="FFE599" w:themeFill="accent4" w:themeFillTint="66"/>
          </w:tcPr>
          <w:p w14:paraId="5DB662B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 </w:t>
            </w:r>
          </w:p>
        </w:tc>
        <w:tc>
          <w:tcPr>
            <w:tcW w:w="2626" w:type="dxa"/>
            <w:shd w:val="clear" w:color="auto" w:fill="FFE599" w:themeFill="accent4" w:themeFillTint="66"/>
          </w:tcPr>
          <w:p w14:paraId="38F5757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Structure the technical information to clearly distinguish between applicable media and whether the technique is in situ or ex situ. </w:t>
            </w:r>
          </w:p>
        </w:tc>
        <w:tc>
          <w:tcPr>
            <w:tcW w:w="3686" w:type="dxa"/>
            <w:shd w:val="clear" w:color="auto" w:fill="FFE599" w:themeFill="accent4" w:themeFillTint="66"/>
          </w:tcPr>
          <w:p w14:paraId="3BA873E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current Internal Report structure. Refer to existing guidance and agree structure for proposed guidance that best suits ONR requirements. </w:t>
            </w:r>
          </w:p>
        </w:tc>
        <w:tc>
          <w:tcPr>
            <w:tcW w:w="3969" w:type="dxa"/>
            <w:tcBorders>
              <w:right w:val="single" w:sz="12" w:space="0" w:color="auto"/>
            </w:tcBorders>
            <w:shd w:val="clear" w:color="auto" w:fill="FFE599" w:themeFill="accent4" w:themeFillTint="66"/>
          </w:tcPr>
          <w:p w14:paraId="48725F2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Revised structure to provide greater clarity on remediation implementation requirements, differentiating between in situ and ex situ, groundwater and soil. </w:t>
            </w:r>
          </w:p>
        </w:tc>
        <w:tc>
          <w:tcPr>
            <w:tcW w:w="3969" w:type="dxa"/>
            <w:tcBorders>
              <w:top w:val="single" w:sz="12" w:space="0" w:color="auto"/>
              <w:left w:val="single" w:sz="12" w:space="0" w:color="auto"/>
              <w:right w:val="single" w:sz="12" w:space="0" w:color="auto"/>
            </w:tcBorders>
            <w:shd w:val="clear" w:color="auto" w:fill="FFE599" w:themeFill="accent4" w:themeFillTint="66"/>
          </w:tcPr>
          <w:p w14:paraId="779C369B" w14:textId="1B367383" w:rsidR="005824A0" w:rsidRDefault="005824A0" w:rsidP="00675C51">
            <w:pPr>
              <w:autoSpaceDE w:val="0"/>
              <w:autoSpaceDN w:val="0"/>
              <w:adjustRightInd w:val="0"/>
              <w:rPr>
                <w:rFonts w:cs="Arial"/>
                <w:color w:val="000000"/>
                <w:sz w:val="20"/>
                <w:szCs w:val="20"/>
              </w:rPr>
            </w:pPr>
            <w:r>
              <w:rPr>
                <w:rFonts w:cs="Arial"/>
                <w:color w:val="000000"/>
                <w:sz w:val="20"/>
                <w:szCs w:val="20"/>
              </w:rPr>
              <w:t xml:space="preserve">Agree with amber rating. </w:t>
            </w:r>
          </w:p>
          <w:p w14:paraId="66B9EC0E" w14:textId="64DC6F06" w:rsidR="005824A0" w:rsidRPr="00DD0F0F" w:rsidRDefault="005824A0" w:rsidP="00675C51">
            <w:pPr>
              <w:autoSpaceDE w:val="0"/>
              <w:autoSpaceDN w:val="0"/>
              <w:adjustRightInd w:val="0"/>
              <w:rPr>
                <w:rFonts w:cs="Arial"/>
                <w:color w:val="000000"/>
                <w:sz w:val="20"/>
                <w:szCs w:val="20"/>
              </w:rPr>
            </w:pPr>
          </w:p>
        </w:tc>
      </w:tr>
      <w:tr w:rsidR="005824A0" w:rsidRPr="00DD0F0F" w14:paraId="101457B7" w14:textId="77777777" w:rsidTr="004B735E">
        <w:trPr>
          <w:trHeight w:val="1068"/>
        </w:trPr>
        <w:tc>
          <w:tcPr>
            <w:tcW w:w="776" w:type="dxa"/>
            <w:shd w:val="clear" w:color="auto" w:fill="C5E0B3" w:themeFill="accent6" w:themeFillTint="66"/>
          </w:tcPr>
          <w:p w14:paraId="29D4285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 </w:t>
            </w:r>
          </w:p>
        </w:tc>
        <w:tc>
          <w:tcPr>
            <w:tcW w:w="2626" w:type="dxa"/>
            <w:shd w:val="clear" w:color="auto" w:fill="C5E0B3" w:themeFill="accent6" w:themeFillTint="66"/>
          </w:tcPr>
          <w:p w14:paraId="4B1C33FF"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format of proposed guidance to make it useable and concise. </w:t>
            </w:r>
          </w:p>
        </w:tc>
        <w:tc>
          <w:tcPr>
            <w:tcW w:w="3686" w:type="dxa"/>
            <w:shd w:val="clear" w:color="auto" w:fill="C5E0B3" w:themeFill="accent6" w:themeFillTint="66"/>
          </w:tcPr>
          <w:p w14:paraId="1403A5CA"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other available guidance documents for good practice examples. Assemble library of usable diagrams and photographs. Refine proposed template. Develop matrix of remediation techniques. </w:t>
            </w:r>
          </w:p>
        </w:tc>
        <w:tc>
          <w:tcPr>
            <w:tcW w:w="3969" w:type="dxa"/>
            <w:tcBorders>
              <w:right w:val="single" w:sz="12" w:space="0" w:color="auto"/>
            </w:tcBorders>
            <w:shd w:val="clear" w:color="auto" w:fill="C5E0B3" w:themeFill="accent6" w:themeFillTint="66"/>
          </w:tcPr>
          <w:p w14:paraId="6AFBFC4A"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Diagrams and photographs to aid quick appreciation of science and practicalities involved in remediation techniques, template approach to aid consistency and matrices to allow quick comparison of viable LQM techniques. </w:t>
            </w:r>
          </w:p>
        </w:tc>
        <w:tc>
          <w:tcPr>
            <w:tcW w:w="3969" w:type="dxa"/>
            <w:tcBorders>
              <w:left w:val="single" w:sz="12" w:space="0" w:color="auto"/>
              <w:right w:val="single" w:sz="12" w:space="0" w:color="auto"/>
            </w:tcBorders>
            <w:shd w:val="clear" w:color="auto" w:fill="FFE599" w:themeFill="accent4" w:themeFillTint="66"/>
          </w:tcPr>
          <w:p w14:paraId="600A8EC7" w14:textId="2FD9EF87" w:rsidR="005824A0" w:rsidRPr="00DD0F0F" w:rsidRDefault="005824A0" w:rsidP="00675C51">
            <w:pPr>
              <w:autoSpaceDE w:val="0"/>
              <w:autoSpaceDN w:val="0"/>
              <w:adjustRightInd w:val="0"/>
              <w:rPr>
                <w:rFonts w:cs="Arial"/>
                <w:color w:val="000000"/>
                <w:sz w:val="20"/>
                <w:szCs w:val="20"/>
              </w:rPr>
            </w:pPr>
            <w:r>
              <w:rPr>
                <w:rFonts w:cs="Arial"/>
                <w:color w:val="000000"/>
                <w:sz w:val="20"/>
                <w:szCs w:val="20"/>
              </w:rPr>
              <w:t xml:space="preserve">Consider an amber rating would be more appropriate, recognising that the output report from Phase 1 will be used to generate ONR guidance, and therefore the format of the report is not essential. </w:t>
            </w:r>
          </w:p>
        </w:tc>
      </w:tr>
      <w:tr w:rsidR="005824A0" w:rsidRPr="00DD0F0F" w14:paraId="101E0425" w14:textId="77777777" w:rsidTr="004B735E">
        <w:trPr>
          <w:trHeight w:val="1188"/>
        </w:trPr>
        <w:tc>
          <w:tcPr>
            <w:tcW w:w="776" w:type="dxa"/>
            <w:shd w:val="clear" w:color="auto" w:fill="C5E0B3" w:themeFill="accent6" w:themeFillTint="66"/>
          </w:tcPr>
          <w:p w14:paraId="7775BEC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3 </w:t>
            </w:r>
          </w:p>
        </w:tc>
        <w:tc>
          <w:tcPr>
            <w:tcW w:w="2626" w:type="dxa"/>
            <w:shd w:val="clear" w:color="auto" w:fill="C5E0B3" w:themeFill="accent6" w:themeFillTint="66"/>
          </w:tcPr>
          <w:p w14:paraId="7B24B41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Include appropriate case studies for all key remediation techniques (or as many as possible). </w:t>
            </w:r>
          </w:p>
        </w:tc>
        <w:tc>
          <w:tcPr>
            <w:tcW w:w="3686" w:type="dxa"/>
            <w:shd w:val="clear" w:color="auto" w:fill="C5E0B3" w:themeFill="accent6" w:themeFillTint="66"/>
          </w:tcPr>
          <w:p w14:paraId="4A1D50B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Engage with suitable industry groups to establish availability of case study information (recognising that UK case studies will be limited). Consider applicability of each case study and provide explanatory narrative as required. </w:t>
            </w:r>
          </w:p>
        </w:tc>
        <w:tc>
          <w:tcPr>
            <w:tcW w:w="3969" w:type="dxa"/>
            <w:tcBorders>
              <w:right w:val="single" w:sz="12" w:space="0" w:color="auto"/>
            </w:tcBorders>
            <w:shd w:val="clear" w:color="auto" w:fill="C5E0B3" w:themeFill="accent6" w:themeFillTint="66"/>
          </w:tcPr>
          <w:p w14:paraId="61AF24A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Aim for a representative case study for each key technique using diagrams/photographs where available to show practicalities of implementation for each technique. </w:t>
            </w:r>
          </w:p>
        </w:tc>
        <w:tc>
          <w:tcPr>
            <w:tcW w:w="3969" w:type="dxa"/>
            <w:tcBorders>
              <w:left w:val="single" w:sz="12" w:space="0" w:color="auto"/>
              <w:right w:val="single" w:sz="12" w:space="0" w:color="auto"/>
            </w:tcBorders>
            <w:shd w:val="clear" w:color="auto" w:fill="C5E0B3" w:themeFill="accent6" w:themeFillTint="66"/>
          </w:tcPr>
          <w:p w14:paraId="171EB54D" w14:textId="6742C7BB" w:rsidR="005824A0" w:rsidRPr="00DD0F0F" w:rsidRDefault="00B5615B" w:rsidP="00675C51">
            <w:pPr>
              <w:autoSpaceDE w:val="0"/>
              <w:autoSpaceDN w:val="0"/>
              <w:adjustRightInd w:val="0"/>
              <w:rPr>
                <w:rFonts w:cs="Arial"/>
                <w:color w:val="000000"/>
                <w:sz w:val="20"/>
                <w:szCs w:val="20"/>
              </w:rPr>
            </w:pPr>
            <w:r>
              <w:rPr>
                <w:rFonts w:cs="Arial"/>
                <w:color w:val="000000"/>
                <w:sz w:val="20"/>
                <w:szCs w:val="20"/>
              </w:rPr>
              <w:t xml:space="preserve">Agree with green rating. </w:t>
            </w:r>
          </w:p>
        </w:tc>
      </w:tr>
      <w:tr w:rsidR="005824A0" w:rsidRPr="00DD0F0F" w14:paraId="7D665D36" w14:textId="77777777" w:rsidTr="004B735E">
        <w:trPr>
          <w:trHeight w:val="584"/>
        </w:trPr>
        <w:tc>
          <w:tcPr>
            <w:tcW w:w="776" w:type="dxa"/>
            <w:shd w:val="clear" w:color="auto" w:fill="FFE599" w:themeFill="accent4" w:themeFillTint="66"/>
          </w:tcPr>
          <w:p w14:paraId="6A91C99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4 </w:t>
            </w:r>
          </w:p>
        </w:tc>
        <w:tc>
          <w:tcPr>
            <w:tcW w:w="2626" w:type="dxa"/>
            <w:shd w:val="clear" w:color="auto" w:fill="FFE599" w:themeFill="accent4" w:themeFillTint="66"/>
          </w:tcPr>
          <w:p w14:paraId="75F0ABD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Expand text on process of risk assessment and how this relates to remediation </w:t>
            </w:r>
            <w:proofErr w:type="spellStart"/>
            <w:r w:rsidRPr="00DD0F0F">
              <w:rPr>
                <w:rFonts w:cs="Arial"/>
                <w:color w:val="000000"/>
                <w:sz w:val="20"/>
                <w:szCs w:val="20"/>
              </w:rPr>
              <w:t>optioneering</w:t>
            </w:r>
            <w:proofErr w:type="spellEnd"/>
            <w:r w:rsidRPr="00DD0F0F">
              <w:rPr>
                <w:rFonts w:cs="Arial"/>
                <w:color w:val="000000"/>
                <w:sz w:val="20"/>
                <w:szCs w:val="20"/>
              </w:rPr>
              <w:t xml:space="preserve">. </w:t>
            </w:r>
          </w:p>
        </w:tc>
        <w:tc>
          <w:tcPr>
            <w:tcW w:w="3686" w:type="dxa"/>
            <w:shd w:val="clear" w:color="auto" w:fill="FFE599" w:themeFill="accent4" w:themeFillTint="66"/>
          </w:tcPr>
          <w:p w14:paraId="2CFDDB4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Draft text to provide additional background to risk assessment process using existing available guidance information. </w:t>
            </w:r>
          </w:p>
        </w:tc>
        <w:tc>
          <w:tcPr>
            <w:tcW w:w="3969" w:type="dxa"/>
            <w:tcBorders>
              <w:right w:val="single" w:sz="12" w:space="0" w:color="auto"/>
            </w:tcBorders>
            <w:shd w:val="clear" w:color="auto" w:fill="FFE599" w:themeFill="accent4" w:themeFillTint="66"/>
          </w:tcPr>
          <w:p w14:paraId="21D13FA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Provide clear illustration of how risk assessment underpins the selection of a remediation technique to assist in understanding applicability of each technique. </w:t>
            </w:r>
          </w:p>
        </w:tc>
        <w:tc>
          <w:tcPr>
            <w:tcW w:w="3969" w:type="dxa"/>
            <w:tcBorders>
              <w:top w:val="single" w:sz="12" w:space="0" w:color="auto"/>
              <w:left w:val="single" w:sz="12" w:space="0" w:color="auto"/>
              <w:right w:val="single" w:sz="12" w:space="0" w:color="auto"/>
            </w:tcBorders>
            <w:shd w:val="clear" w:color="auto" w:fill="FFE599" w:themeFill="accent4" w:themeFillTint="66"/>
          </w:tcPr>
          <w:p w14:paraId="7382D65B" w14:textId="506C748E" w:rsidR="005824A0" w:rsidRPr="00DD0F0F" w:rsidRDefault="00B5615B" w:rsidP="00B5615B">
            <w:pPr>
              <w:autoSpaceDE w:val="0"/>
              <w:autoSpaceDN w:val="0"/>
              <w:adjustRightInd w:val="0"/>
              <w:rPr>
                <w:rFonts w:cs="Arial"/>
                <w:color w:val="000000"/>
                <w:sz w:val="20"/>
                <w:szCs w:val="20"/>
              </w:rPr>
            </w:pPr>
            <w:r>
              <w:rPr>
                <w:rFonts w:cs="Arial"/>
                <w:color w:val="000000"/>
                <w:sz w:val="20"/>
                <w:szCs w:val="20"/>
              </w:rPr>
              <w:t xml:space="preserve">Agree with amber rating. However, we note that there is already guidance on the risk assessment (e.g. </w:t>
            </w:r>
            <w:proofErr w:type="spellStart"/>
            <w:r>
              <w:rPr>
                <w:rFonts w:cs="Arial"/>
                <w:color w:val="000000"/>
                <w:sz w:val="20"/>
                <w:szCs w:val="20"/>
              </w:rPr>
              <w:t>Safegrounds</w:t>
            </w:r>
            <w:proofErr w:type="spellEnd"/>
            <w:r>
              <w:rPr>
                <w:rFonts w:cs="Arial"/>
                <w:color w:val="000000"/>
                <w:sz w:val="20"/>
                <w:szCs w:val="20"/>
              </w:rPr>
              <w:t xml:space="preserve"> guidance) so it is important that this is referenced rather than re-written for this report.</w:t>
            </w:r>
            <w:r w:rsidR="005824A0">
              <w:rPr>
                <w:rFonts w:cs="Arial"/>
                <w:color w:val="000000"/>
                <w:sz w:val="20"/>
                <w:szCs w:val="20"/>
              </w:rPr>
              <w:t xml:space="preserve"> </w:t>
            </w:r>
          </w:p>
        </w:tc>
      </w:tr>
      <w:tr w:rsidR="005824A0" w:rsidRPr="00DD0F0F" w14:paraId="5E4E89B9" w14:textId="77777777" w:rsidTr="004B735E">
        <w:trPr>
          <w:trHeight w:val="705"/>
        </w:trPr>
        <w:tc>
          <w:tcPr>
            <w:tcW w:w="776" w:type="dxa"/>
            <w:shd w:val="clear" w:color="auto" w:fill="C5E0B3" w:themeFill="accent6" w:themeFillTint="66"/>
          </w:tcPr>
          <w:p w14:paraId="5B12E01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lastRenderedPageBreak/>
              <w:t xml:space="preserve">5 </w:t>
            </w:r>
          </w:p>
        </w:tc>
        <w:tc>
          <w:tcPr>
            <w:tcW w:w="2626" w:type="dxa"/>
            <w:shd w:val="clear" w:color="auto" w:fill="C5E0B3" w:themeFill="accent6" w:themeFillTint="66"/>
          </w:tcPr>
          <w:p w14:paraId="7E2AEB53"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Explain the how the development of a CSM underpins the selection of a remediation strategy. </w:t>
            </w:r>
          </w:p>
        </w:tc>
        <w:tc>
          <w:tcPr>
            <w:tcW w:w="3686" w:type="dxa"/>
            <w:shd w:val="clear" w:color="auto" w:fill="C5E0B3" w:themeFill="accent6" w:themeFillTint="66"/>
          </w:tcPr>
          <w:p w14:paraId="4F92D8B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Linked to above action – introduce the use of CSM to illustrate pollutant linkages. Create a suitable generic CSM. </w:t>
            </w:r>
          </w:p>
        </w:tc>
        <w:tc>
          <w:tcPr>
            <w:tcW w:w="3969" w:type="dxa"/>
            <w:tcBorders>
              <w:right w:val="single" w:sz="12" w:space="0" w:color="auto"/>
            </w:tcBorders>
            <w:shd w:val="clear" w:color="auto" w:fill="C5E0B3" w:themeFill="accent6" w:themeFillTint="66"/>
          </w:tcPr>
          <w:p w14:paraId="4F90F790"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Reinforce the importance of understanding the Source-Pathway-Receptor model to assist in understanding applicability of each technique. </w:t>
            </w:r>
          </w:p>
        </w:tc>
        <w:tc>
          <w:tcPr>
            <w:tcW w:w="3969" w:type="dxa"/>
            <w:tcBorders>
              <w:left w:val="single" w:sz="12" w:space="0" w:color="auto"/>
              <w:right w:val="single" w:sz="12" w:space="0" w:color="auto"/>
            </w:tcBorders>
            <w:shd w:val="clear" w:color="auto" w:fill="C5E0B3" w:themeFill="accent6" w:themeFillTint="66"/>
          </w:tcPr>
          <w:p w14:paraId="07763EA9" w14:textId="63A7689C" w:rsidR="005824A0" w:rsidRPr="00DD0F0F" w:rsidRDefault="00B5615B" w:rsidP="00675C51">
            <w:pPr>
              <w:autoSpaceDE w:val="0"/>
              <w:autoSpaceDN w:val="0"/>
              <w:adjustRightInd w:val="0"/>
              <w:rPr>
                <w:rFonts w:cs="Arial"/>
                <w:color w:val="000000"/>
                <w:sz w:val="20"/>
                <w:szCs w:val="20"/>
              </w:rPr>
            </w:pPr>
            <w:r>
              <w:rPr>
                <w:rFonts w:cs="Arial"/>
                <w:color w:val="000000"/>
                <w:sz w:val="20"/>
                <w:szCs w:val="20"/>
              </w:rPr>
              <w:t xml:space="preserve">Agree with green rating. </w:t>
            </w:r>
          </w:p>
        </w:tc>
      </w:tr>
      <w:tr w:rsidR="005824A0" w:rsidRPr="00DD0F0F" w14:paraId="66677389" w14:textId="77777777" w:rsidTr="004B735E">
        <w:trPr>
          <w:trHeight w:val="827"/>
        </w:trPr>
        <w:tc>
          <w:tcPr>
            <w:tcW w:w="776" w:type="dxa"/>
            <w:shd w:val="clear" w:color="auto" w:fill="FFE599" w:themeFill="accent4" w:themeFillTint="66"/>
          </w:tcPr>
          <w:p w14:paraId="06065E1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6 </w:t>
            </w:r>
          </w:p>
        </w:tc>
        <w:tc>
          <w:tcPr>
            <w:tcW w:w="2626" w:type="dxa"/>
            <w:shd w:val="clear" w:color="auto" w:fill="FFE599" w:themeFill="accent4" w:themeFillTint="66"/>
          </w:tcPr>
          <w:p w14:paraId="3D556B8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Explain the influence that the overall site decommissioning and development strategy has on the scope of remediation. </w:t>
            </w:r>
          </w:p>
        </w:tc>
        <w:tc>
          <w:tcPr>
            <w:tcW w:w="3686" w:type="dxa"/>
            <w:shd w:val="clear" w:color="auto" w:fill="FFE599" w:themeFill="accent4" w:themeFillTint="66"/>
          </w:tcPr>
          <w:p w14:paraId="110C0B7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Draft additional text using examples where possible to show how differing end state requirements and timescales impact LQM approach. Use examples from UK where possible. </w:t>
            </w:r>
          </w:p>
        </w:tc>
        <w:tc>
          <w:tcPr>
            <w:tcW w:w="3969" w:type="dxa"/>
            <w:tcBorders>
              <w:right w:val="single" w:sz="12" w:space="0" w:color="auto"/>
            </w:tcBorders>
            <w:shd w:val="clear" w:color="auto" w:fill="FFE599" w:themeFill="accent4" w:themeFillTint="66"/>
          </w:tcPr>
          <w:p w14:paraId="161FB443"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Demonstrate how differing end state requirements, environmental, socio-economic and political drivers influence remediation strategies. </w:t>
            </w:r>
          </w:p>
        </w:tc>
        <w:tc>
          <w:tcPr>
            <w:tcW w:w="3969" w:type="dxa"/>
            <w:tcBorders>
              <w:left w:val="single" w:sz="12" w:space="0" w:color="auto"/>
              <w:right w:val="single" w:sz="12" w:space="0" w:color="auto"/>
            </w:tcBorders>
            <w:shd w:val="clear" w:color="auto" w:fill="FFE599" w:themeFill="accent4" w:themeFillTint="66"/>
          </w:tcPr>
          <w:p w14:paraId="59532962" w14:textId="79EFB64E" w:rsidR="005824A0" w:rsidRPr="00DD0F0F" w:rsidRDefault="00B5615B" w:rsidP="00675C51">
            <w:pPr>
              <w:autoSpaceDE w:val="0"/>
              <w:autoSpaceDN w:val="0"/>
              <w:adjustRightInd w:val="0"/>
              <w:rPr>
                <w:rFonts w:cs="Arial"/>
                <w:color w:val="000000"/>
                <w:sz w:val="20"/>
                <w:szCs w:val="20"/>
              </w:rPr>
            </w:pPr>
            <w:r>
              <w:rPr>
                <w:rFonts w:cs="Arial"/>
                <w:color w:val="000000"/>
                <w:sz w:val="20"/>
                <w:szCs w:val="20"/>
              </w:rPr>
              <w:t xml:space="preserve">Agree with amber rating. </w:t>
            </w:r>
          </w:p>
        </w:tc>
      </w:tr>
      <w:tr w:rsidR="005824A0" w:rsidRPr="00DD0F0F" w14:paraId="273C9BBF" w14:textId="77777777" w:rsidTr="004B735E">
        <w:trPr>
          <w:trHeight w:val="584"/>
        </w:trPr>
        <w:tc>
          <w:tcPr>
            <w:tcW w:w="776" w:type="dxa"/>
            <w:shd w:val="clear" w:color="auto" w:fill="C5E0B3" w:themeFill="accent6" w:themeFillTint="66"/>
          </w:tcPr>
          <w:p w14:paraId="29C82DE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7 </w:t>
            </w:r>
          </w:p>
        </w:tc>
        <w:tc>
          <w:tcPr>
            <w:tcW w:w="2626" w:type="dxa"/>
            <w:shd w:val="clear" w:color="auto" w:fill="C5E0B3" w:themeFill="accent6" w:themeFillTint="66"/>
          </w:tcPr>
          <w:p w14:paraId="7F96D12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Provide a UK context on the nature of the contamination risk that exists across the UK nuclear estate. </w:t>
            </w:r>
          </w:p>
        </w:tc>
        <w:tc>
          <w:tcPr>
            <w:tcW w:w="3686" w:type="dxa"/>
            <w:shd w:val="clear" w:color="auto" w:fill="C5E0B3" w:themeFill="accent6" w:themeFillTint="66"/>
          </w:tcPr>
          <w:p w14:paraId="57E2F99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Engage with site operators to establish what information can be gained on baseline conditions – geology, contaminant finger print etc. </w:t>
            </w:r>
          </w:p>
        </w:tc>
        <w:tc>
          <w:tcPr>
            <w:tcW w:w="3969" w:type="dxa"/>
            <w:tcBorders>
              <w:right w:val="single" w:sz="12" w:space="0" w:color="auto"/>
            </w:tcBorders>
            <w:shd w:val="clear" w:color="auto" w:fill="C5E0B3" w:themeFill="accent6" w:themeFillTint="66"/>
          </w:tcPr>
          <w:p w14:paraId="398E250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Prioritise LQM techniques for UK situation. </w:t>
            </w:r>
            <w:r w:rsidRPr="00B23562">
              <w:rPr>
                <w:rFonts w:cs="Arial"/>
                <w:color w:val="000000"/>
                <w:sz w:val="20"/>
                <w:szCs w:val="20"/>
              </w:rPr>
              <w:t>Focus further research effort on techniques most likely to be regularly deployed.</w:t>
            </w:r>
            <w:r w:rsidRPr="00DD0F0F">
              <w:rPr>
                <w:rFonts w:cs="Arial"/>
                <w:color w:val="000000"/>
                <w:sz w:val="20"/>
                <w:szCs w:val="20"/>
              </w:rPr>
              <w:t xml:space="preserve"> </w:t>
            </w:r>
          </w:p>
        </w:tc>
        <w:tc>
          <w:tcPr>
            <w:tcW w:w="3969" w:type="dxa"/>
            <w:tcBorders>
              <w:left w:val="single" w:sz="12" w:space="0" w:color="auto"/>
              <w:right w:val="single" w:sz="12" w:space="0" w:color="auto"/>
            </w:tcBorders>
            <w:shd w:val="clear" w:color="auto" w:fill="C5E0B3" w:themeFill="accent6" w:themeFillTint="66"/>
          </w:tcPr>
          <w:p w14:paraId="1D2FF542" w14:textId="2A75D304" w:rsidR="005824A0" w:rsidRDefault="00B5615B" w:rsidP="00675C51">
            <w:pPr>
              <w:autoSpaceDE w:val="0"/>
              <w:autoSpaceDN w:val="0"/>
              <w:adjustRightInd w:val="0"/>
              <w:rPr>
                <w:rFonts w:cs="Arial"/>
                <w:color w:val="000000"/>
                <w:sz w:val="20"/>
                <w:szCs w:val="20"/>
              </w:rPr>
            </w:pPr>
            <w:r>
              <w:rPr>
                <w:rFonts w:cs="Arial"/>
                <w:color w:val="000000"/>
                <w:sz w:val="20"/>
                <w:szCs w:val="20"/>
              </w:rPr>
              <w:t xml:space="preserve">Agree with green rating. </w:t>
            </w:r>
          </w:p>
          <w:p w14:paraId="6D2B0A72" w14:textId="5B41F45E" w:rsidR="005824A0" w:rsidRPr="00DD0F0F" w:rsidRDefault="00B5615B" w:rsidP="00675C51">
            <w:pPr>
              <w:autoSpaceDE w:val="0"/>
              <w:autoSpaceDN w:val="0"/>
              <w:adjustRightInd w:val="0"/>
              <w:rPr>
                <w:rFonts w:cs="Arial"/>
                <w:color w:val="000000"/>
                <w:sz w:val="20"/>
                <w:szCs w:val="20"/>
              </w:rPr>
            </w:pPr>
            <w:r>
              <w:rPr>
                <w:rFonts w:cs="Arial"/>
                <w:color w:val="000000"/>
                <w:sz w:val="20"/>
                <w:szCs w:val="20"/>
              </w:rPr>
              <w:t>We note that it is important to include information on novel and emerging techniques that could be utilised in the UK, as these are techniques that ONR inspectors will be less familiar with.</w:t>
            </w:r>
            <w:r w:rsidR="005824A0">
              <w:rPr>
                <w:rFonts w:cs="Arial"/>
                <w:color w:val="000000"/>
                <w:sz w:val="20"/>
                <w:szCs w:val="20"/>
              </w:rPr>
              <w:t xml:space="preserve"> </w:t>
            </w:r>
          </w:p>
        </w:tc>
      </w:tr>
      <w:tr w:rsidR="005824A0" w:rsidRPr="00DD0F0F" w14:paraId="53E27820" w14:textId="77777777" w:rsidTr="004B735E">
        <w:trPr>
          <w:trHeight w:val="827"/>
        </w:trPr>
        <w:tc>
          <w:tcPr>
            <w:tcW w:w="776" w:type="dxa"/>
            <w:shd w:val="clear" w:color="auto" w:fill="FF8181"/>
          </w:tcPr>
          <w:p w14:paraId="5B2FAA4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8 </w:t>
            </w:r>
          </w:p>
        </w:tc>
        <w:tc>
          <w:tcPr>
            <w:tcW w:w="2626" w:type="dxa"/>
            <w:shd w:val="clear" w:color="auto" w:fill="FF8181"/>
          </w:tcPr>
          <w:p w14:paraId="4EA35E7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Provide information on the cost of implementing each remediation solution. </w:t>
            </w:r>
          </w:p>
        </w:tc>
        <w:tc>
          <w:tcPr>
            <w:tcW w:w="3686" w:type="dxa"/>
            <w:shd w:val="clear" w:color="auto" w:fill="FF8181"/>
          </w:tcPr>
          <w:p w14:paraId="6C6C202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Explore sources of cost information for each identified technique. Use any existing published data and consider alternative sources of information (e.g. specialist contractors). </w:t>
            </w:r>
          </w:p>
        </w:tc>
        <w:tc>
          <w:tcPr>
            <w:tcW w:w="3969" w:type="dxa"/>
            <w:tcBorders>
              <w:right w:val="single" w:sz="12" w:space="0" w:color="auto"/>
            </w:tcBorders>
            <w:shd w:val="clear" w:color="auto" w:fill="FF8181"/>
          </w:tcPr>
          <w:p w14:paraId="0B1A23A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If no reliable sources of cost information can be obtained, use relative cost information for each remediation technique to assist in understanding cost-benefit position. </w:t>
            </w:r>
          </w:p>
        </w:tc>
        <w:tc>
          <w:tcPr>
            <w:tcW w:w="3969" w:type="dxa"/>
            <w:tcBorders>
              <w:left w:val="single" w:sz="12" w:space="0" w:color="auto"/>
              <w:right w:val="single" w:sz="12" w:space="0" w:color="auto"/>
            </w:tcBorders>
            <w:shd w:val="clear" w:color="auto" w:fill="FFE599" w:themeFill="accent4" w:themeFillTint="66"/>
          </w:tcPr>
          <w:p w14:paraId="11466020" w14:textId="53EFD5E9" w:rsidR="005824A0" w:rsidRPr="00DD0F0F" w:rsidRDefault="00B5615B" w:rsidP="00675C51">
            <w:pPr>
              <w:autoSpaceDE w:val="0"/>
              <w:autoSpaceDN w:val="0"/>
              <w:adjustRightInd w:val="0"/>
              <w:rPr>
                <w:rFonts w:cs="Arial"/>
                <w:color w:val="000000"/>
                <w:sz w:val="20"/>
                <w:szCs w:val="20"/>
              </w:rPr>
            </w:pPr>
            <w:r>
              <w:rPr>
                <w:rFonts w:cs="Arial"/>
                <w:color w:val="000000"/>
                <w:sz w:val="20"/>
                <w:szCs w:val="20"/>
              </w:rPr>
              <w:t xml:space="preserve">We consider that an amber rating would be more appropriate. Indication of the relative cost of the technique would be useful to have, recognising that it is </w:t>
            </w:r>
            <w:r w:rsidR="00B23562">
              <w:rPr>
                <w:rFonts w:cs="Arial"/>
                <w:color w:val="000000"/>
                <w:sz w:val="20"/>
                <w:szCs w:val="20"/>
              </w:rPr>
              <w:t>an ‘accurate’ cost.</w:t>
            </w:r>
          </w:p>
        </w:tc>
      </w:tr>
      <w:tr w:rsidR="005824A0" w:rsidRPr="00DD0F0F" w14:paraId="7FC8255F" w14:textId="77777777" w:rsidTr="004B735E">
        <w:trPr>
          <w:trHeight w:val="948"/>
        </w:trPr>
        <w:tc>
          <w:tcPr>
            <w:tcW w:w="776" w:type="dxa"/>
            <w:shd w:val="clear" w:color="auto" w:fill="C5E0B3" w:themeFill="accent6" w:themeFillTint="66"/>
          </w:tcPr>
          <w:p w14:paraId="32274EE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9 </w:t>
            </w:r>
          </w:p>
        </w:tc>
        <w:tc>
          <w:tcPr>
            <w:tcW w:w="2626" w:type="dxa"/>
            <w:shd w:val="clear" w:color="auto" w:fill="C5E0B3" w:themeFill="accent6" w:themeFillTint="66"/>
          </w:tcPr>
          <w:p w14:paraId="290B91C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Discuss waste disposal requirements arising from the implementation of each remediation technique. </w:t>
            </w:r>
          </w:p>
        </w:tc>
        <w:tc>
          <w:tcPr>
            <w:tcW w:w="3686" w:type="dxa"/>
            <w:shd w:val="clear" w:color="auto" w:fill="C5E0B3" w:themeFill="accent6" w:themeFillTint="66"/>
          </w:tcPr>
          <w:p w14:paraId="3BE40AD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Establish waste </w:t>
            </w:r>
            <w:proofErr w:type="spellStart"/>
            <w:r w:rsidRPr="00DD0F0F">
              <w:rPr>
                <w:rFonts w:cs="Arial"/>
                <w:color w:val="000000"/>
                <w:sz w:val="20"/>
                <w:szCs w:val="20"/>
              </w:rPr>
              <w:t>arisings</w:t>
            </w:r>
            <w:proofErr w:type="spellEnd"/>
            <w:r w:rsidRPr="00DD0F0F">
              <w:rPr>
                <w:rFonts w:cs="Arial"/>
                <w:color w:val="000000"/>
                <w:sz w:val="20"/>
                <w:szCs w:val="20"/>
              </w:rPr>
              <w:t xml:space="preserve"> where relevant to a remediation technique and availability/capacity of disposal routes. Discuss with contractors and waste disposal operators as required. </w:t>
            </w:r>
          </w:p>
        </w:tc>
        <w:tc>
          <w:tcPr>
            <w:tcW w:w="3969" w:type="dxa"/>
            <w:tcBorders>
              <w:right w:val="single" w:sz="12" w:space="0" w:color="auto"/>
            </w:tcBorders>
            <w:shd w:val="clear" w:color="auto" w:fill="C5E0B3" w:themeFill="accent6" w:themeFillTint="66"/>
          </w:tcPr>
          <w:p w14:paraId="3680662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Provide an indication of waste generation against each technique and implications on disposal routes to aid understanding of feasibility. </w:t>
            </w:r>
          </w:p>
        </w:tc>
        <w:tc>
          <w:tcPr>
            <w:tcW w:w="3969" w:type="dxa"/>
            <w:tcBorders>
              <w:left w:val="single" w:sz="12" w:space="0" w:color="auto"/>
              <w:right w:val="single" w:sz="12" w:space="0" w:color="auto"/>
            </w:tcBorders>
            <w:shd w:val="clear" w:color="auto" w:fill="C5E0B3" w:themeFill="accent6" w:themeFillTint="66"/>
          </w:tcPr>
          <w:p w14:paraId="76DC62D3" w14:textId="4E56F92F" w:rsidR="005824A0" w:rsidRPr="00DD0F0F" w:rsidRDefault="00355FC5" w:rsidP="00675C51">
            <w:pPr>
              <w:autoSpaceDE w:val="0"/>
              <w:autoSpaceDN w:val="0"/>
              <w:adjustRightInd w:val="0"/>
              <w:rPr>
                <w:rFonts w:cs="Arial"/>
                <w:color w:val="000000"/>
                <w:sz w:val="20"/>
                <w:szCs w:val="20"/>
              </w:rPr>
            </w:pPr>
            <w:r>
              <w:rPr>
                <w:rFonts w:cs="Arial"/>
                <w:color w:val="000000"/>
                <w:sz w:val="20"/>
                <w:szCs w:val="20"/>
              </w:rPr>
              <w:t xml:space="preserve">Agree with green rating. </w:t>
            </w:r>
          </w:p>
        </w:tc>
      </w:tr>
      <w:tr w:rsidR="005824A0" w:rsidRPr="00DD0F0F" w14:paraId="3050579F" w14:textId="77777777" w:rsidTr="00C707E3">
        <w:trPr>
          <w:trHeight w:val="585"/>
        </w:trPr>
        <w:tc>
          <w:tcPr>
            <w:tcW w:w="776" w:type="dxa"/>
            <w:shd w:val="clear" w:color="auto" w:fill="FF8181"/>
          </w:tcPr>
          <w:p w14:paraId="3C4E9CE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10 </w:t>
            </w:r>
          </w:p>
        </w:tc>
        <w:tc>
          <w:tcPr>
            <w:tcW w:w="2626" w:type="dxa"/>
            <w:shd w:val="clear" w:color="auto" w:fill="FF8181"/>
          </w:tcPr>
          <w:p w14:paraId="2EE73433"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Provide information on the key sustainability issues in relation to implementing LQM techniques. </w:t>
            </w:r>
          </w:p>
        </w:tc>
        <w:tc>
          <w:tcPr>
            <w:tcW w:w="3686" w:type="dxa"/>
            <w:shd w:val="clear" w:color="auto" w:fill="FF8181"/>
          </w:tcPr>
          <w:p w14:paraId="76CA44E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Identify the key sustainability metrics that should be considered in the demonstration of ALARP for an LQM scheme </w:t>
            </w:r>
          </w:p>
        </w:tc>
        <w:tc>
          <w:tcPr>
            <w:tcW w:w="3969" w:type="dxa"/>
            <w:tcBorders>
              <w:right w:val="single" w:sz="12" w:space="0" w:color="auto"/>
            </w:tcBorders>
            <w:shd w:val="clear" w:color="auto" w:fill="FF8181"/>
          </w:tcPr>
          <w:p w14:paraId="48C2D4A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Provide an understanding of the overall impacts and benefits of an LQM scheme to allow a robust assessment of ALARP. </w:t>
            </w:r>
          </w:p>
        </w:tc>
        <w:tc>
          <w:tcPr>
            <w:tcW w:w="3969" w:type="dxa"/>
            <w:tcBorders>
              <w:left w:val="single" w:sz="12" w:space="0" w:color="auto"/>
              <w:right w:val="single" w:sz="12" w:space="0" w:color="auto"/>
            </w:tcBorders>
            <w:shd w:val="clear" w:color="auto" w:fill="FF7C80"/>
          </w:tcPr>
          <w:p w14:paraId="75649FB8" w14:textId="1161EE86" w:rsidR="005824A0" w:rsidRPr="00DD0F0F" w:rsidRDefault="00C707E3" w:rsidP="00675C51">
            <w:pPr>
              <w:autoSpaceDE w:val="0"/>
              <w:autoSpaceDN w:val="0"/>
              <w:adjustRightInd w:val="0"/>
              <w:rPr>
                <w:rFonts w:cs="Arial"/>
                <w:color w:val="000000"/>
                <w:sz w:val="20"/>
                <w:szCs w:val="20"/>
              </w:rPr>
            </w:pPr>
            <w:r>
              <w:rPr>
                <w:rFonts w:cs="Arial"/>
                <w:color w:val="000000"/>
                <w:sz w:val="20"/>
                <w:szCs w:val="20"/>
              </w:rPr>
              <w:t>Agree with red rating.</w:t>
            </w:r>
            <w:r w:rsidR="00355FC5">
              <w:rPr>
                <w:rFonts w:cs="Arial"/>
                <w:color w:val="000000"/>
                <w:sz w:val="20"/>
                <w:szCs w:val="20"/>
              </w:rPr>
              <w:t xml:space="preserve"> </w:t>
            </w:r>
          </w:p>
        </w:tc>
      </w:tr>
      <w:tr w:rsidR="005824A0" w:rsidRPr="00DD0F0F" w14:paraId="0684F2AA" w14:textId="77777777" w:rsidTr="004B735E">
        <w:trPr>
          <w:trHeight w:val="706"/>
        </w:trPr>
        <w:tc>
          <w:tcPr>
            <w:tcW w:w="776" w:type="dxa"/>
            <w:shd w:val="clear" w:color="auto" w:fill="C5E0B3" w:themeFill="accent6" w:themeFillTint="66"/>
          </w:tcPr>
          <w:p w14:paraId="153E395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11 </w:t>
            </w:r>
          </w:p>
        </w:tc>
        <w:tc>
          <w:tcPr>
            <w:tcW w:w="2626" w:type="dxa"/>
            <w:shd w:val="clear" w:color="auto" w:fill="C5E0B3" w:themeFill="accent6" w:themeFillTint="66"/>
          </w:tcPr>
          <w:p w14:paraId="0F29A80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remediation verification and specific on-going maintenance and aftercare requirements. </w:t>
            </w:r>
          </w:p>
        </w:tc>
        <w:tc>
          <w:tcPr>
            <w:tcW w:w="3686" w:type="dxa"/>
            <w:shd w:val="clear" w:color="auto" w:fill="C5E0B3" w:themeFill="accent6" w:themeFillTint="66"/>
          </w:tcPr>
          <w:p w14:paraId="4C1EDE1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Establish typical verification and maintenance requirements using case study reviews, discussions with other environmental regulators. </w:t>
            </w:r>
          </w:p>
        </w:tc>
        <w:tc>
          <w:tcPr>
            <w:tcW w:w="3969" w:type="dxa"/>
            <w:tcBorders>
              <w:right w:val="single" w:sz="12" w:space="0" w:color="auto"/>
            </w:tcBorders>
            <w:shd w:val="clear" w:color="auto" w:fill="C5E0B3" w:themeFill="accent6" w:themeFillTint="66"/>
          </w:tcPr>
          <w:p w14:paraId="573B0D3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Include an indication of generic verification and aftercare requirements against each technique. </w:t>
            </w:r>
          </w:p>
        </w:tc>
        <w:tc>
          <w:tcPr>
            <w:tcW w:w="3969" w:type="dxa"/>
            <w:tcBorders>
              <w:left w:val="single" w:sz="12" w:space="0" w:color="auto"/>
              <w:right w:val="single" w:sz="12" w:space="0" w:color="auto"/>
            </w:tcBorders>
            <w:shd w:val="clear" w:color="auto" w:fill="C5E0B3" w:themeFill="accent6" w:themeFillTint="66"/>
          </w:tcPr>
          <w:p w14:paraId="0F77EB27" w14:textId="14B342C8" w:rsidR="005824A0" w:rsidRPr="00DD0F0F" w:rsidRDefault="00355FC5" w:rsidP="00355FC5">
            <w:pPr>
              <w:autoSpaceDE w:val="0"/>
              <w:autoSpaceDN w:val="0"/>
              <w:adjustRightInd w:val="0"/>
              <w:rPr>
                <w:rFonts w:cs="Arial"/>
                <w:color w:val="000000"/>
                <w:sz w:val="20"/>
                <w:szCs w:val="20"/>
              </w:rPr>
            </w:pPr>
            <w:r>
              <w:rPr>
                <w:rFonts w:cs="Arial"/>
                <w:color w:val="000000"/>
                <w:sz w:val="20"/>
                <w:szCs w:val="20"/>
              </w:rPr>
              <w:t>Agree with the green rating. This is a key part of the ALARP consideration.</w:t>
            </w:r>
          </w:p>
        </w:tc>
      </w:tr>
      <w:tr w:rsidR="005824A0" w:rsidRPr="00DD0F0F" w14:paraId="0999EEEB" w14:textId="77777777" w:rsidTr="004B735E">
        <w:trPr>
          <w:trHeight w:val="705"/>
        </w:trPr>
        <w:tc>
          <w:tcPr>
            <w:tcW w:w="776" w:type="dxa"/>
            <w:shd w:val="clear" w:color="auto" w:fill="C5E0B3" w:themeFill="accent6" w:themeFillTint="66"/>
          </w:tcPr>
          <w:p w14:paraId="355E1FC7"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12 </w:t>
            </w:r>
          </w:p>
        </w:tc>
        <w:tc>
          <w:tcPr>
            <w:tcW w:w="2626" w:type="dxa"/>
            <w:shd w:val="clear" w:color="auto" w:fill="C5E0B3" w:themeFill="accent6" w:themeFillTint="66"/>
          </w:tcPr>
          <w:p w14:paraId="76F5DBB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the durability of materials used to make up composite capping systems </w:t>
            </w:r>
            <w:r w:rsidRPr="00DD0F0F">
              <w:rPr>
                <w:rFonts w:cs="Arial"/>
                <w:color w:val="000000"/>
                <w:sz w:val="20"/>
                <w:szCs w:val="20"/>
              </w:rPr>
              <w:lastRenderedPageBreak/>
              <w:t xml:space="preserve">and in-ground barriers should be investigated. </w:t>
            </w:r>
          </w:p>
        </w:tc>
        <w:tc>
          <w:tcPr>
            <w:tcW w:w="3686" w:type="dxa"/>
            <w:shd w:val="clear" w:color="auto" w:fill="C5E0B3" w:themeFill="accent6" w:themeFillTint="66"/>
          </w:tcPr>
          <w:p w14:paraId="50FB3E8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lastRenderedPageBreak/>
              <w:t xml:space="preserve">Review existing information on material durability for typical material types by reference to published research and </w:t>
            </w:r>
            <w:r w:rsidRPr="00DD0F0F">
              <w:rPr>
                <w:rFonts w:cs="Arial"/>
                <w:color w:val="000000"/>
                <w:sz w:val="20"/>
                <w:szCs w:val="20"/>
              </w:rPr>
              <w:lastRenderedPageBreak/>
              <w:t xml:space="preserve">manufacturer product data. </w:t>
            </w:r>
          </w:p>
        </w:tc>
        <w:tc>
          <w:tcPr>
            <w:tcW w:w="3969" w:type="dxa"/>
            <w:tcBorders>
              <w:right w:val="single" w:sz="12" w:space="0" w:color="auto"/>
            </w:tcBorders>
            <w:shd w:val="clear" w:color="auto" w:fill="C5E0B3" w:themeFill="accent6" w:themeFillTint="66"/>
          </w:tcPr>
          <w:p w14:paraId="519A46F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lastRenderedPageBreak/>
              <w:t xml:space="preserve">Provide an understanding of the likely durability and longevity of containment. </w:t>
            </w:r>
          </w:p>
        </w:tc>
        <w:tc>
          <w:tcPr>
            <w:tcW w:w="3969" w:type="dxa"/>
            <w:tcBorders>
              <w:top w:val="single" w:sz="12" w:space="0" w:color="auto"/>
              <w:left w:val="single" w:sz="12" w:space="0" w:color="auto"/>
              <w:right w:val="single" w:sz="12" w:space="0" w:color="auto"/>
            </w:tcBorders>
            <w:shd w:val="clear" w:color="auto" w:fill="FFE599" w:themeFill="accent4" w:themeFillTint="66"/>
          </w:tcPr>
          <w:p w14:paraId="111FBCC8" w14:textId="44C9A7BD" w:rsidR="005824A0" w:rsidRPr="00DD0F0F" w:rsidRDefault="00B7664F" w:rsidP="00675C51">
            <w:pPr>
              <w:autoSpaceDE w:val="0"/>
              <w:autoSpaceDN w:val="0"/>
              <w:adjustRightInd w:val="0"/>
              <w:rPr>
                <w:rFonts w:cs="Arial"/>
                <w:color w:val="000000"/>
                <w:sz w:val="20"/>
                <w:szCs w:val="20"/>
              </w:rPr>
            </w:pPr>
            <w:r>
              <w:rPr>
                <w:rFonts w:cs="Arial"/>
                <w:color w:val="000000"/>
                <w:sz w:val="20"/>
                <w:szCs w:val="20"/>
              </w:rPr>
              <w:t xml:space="preserve">Prefer amber rating considering that the durability of a cap (i.e. where contamination will be left in-situ) will be </w:t>
            </w:r>
            <w:r>
              <w:rPr>
                <w:rFonts w:cs="Arial"/>
                <w:color w:val="000000"/>
                <w:sz w:val="20"/>
                <w:szCs w:val="20"/>
              </w:rPr>
              <w:lastRenderedPageBreak/>
              <w:t xml:space="preserve">more part of the BAT argument and in the EA’s remit. </w:t>
            </w:r>
          </w:p>
        </w:tc>
      </w:tr>
      <w:tr w:rsidR="005824A0" w:rsidRPr="00DD0F0F" w14:paraId="1AC2310D" w14:textId="77777777" w:rsidTr="004B735E">
        <w:trPr>
          <w:trHeight w:val="463"/>
        </w:trPr>
        <w:tc>
          <w:tcPr>
            <w:tcW w:w="776" w:type="dxa"/>
            <w:shd w:val="clear" w:color="auto" w:fill="FF8181"/>
          </w:tcPr>
          <w:p w14:paraId="716F71E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lastRenderedPageBreak/>
              <w:t xml:space="preserve">13 </w:t>
            </w:r>
          </w:p>
        </w:tc>
        <w:tc>
          <w:tcPr>
            <w:tcW w:w="2626" w:type="dxa"/>
            <w:shd w:val="clear" w:color="auto" w:fill="FF8181"/>
          </w:tcPr>
          <w:p w14:paraId="5B72990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the inclusion of hydraulic containment as a specific technique for contaminated groundwater. </w:t>
            </w:r>
          </w:p>
        </w:tc>
        <w:tc>
          <w:tcPr>
            <w:tcW w:w="3686" w:type="dxa"/>
            <w:shd w:val="clear" w:color="auto" w:fill="FF8181"/>
          </w:tcPr>
          <w:p w14:paraId="56651B7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existing guidance and seek out any examples of implementation to control radioactive contamination. </w:t>
            </w:r>
          </w:p>
        </w:tc>
        <w:tc>
          <w:tcPr>
            <w:tcW w:w="3969" w:type="dxa"/>
            <w:tcBorders>
              <w:right w:val="single" w:sz="12" w:space="0" w:color="auto"/>
            </w:tcBorders>
            <w:shd w:val="clear" w:color="auto" w:fill="FF8181"/>
          </w:tcPr>
          <w:p w14:paraId="7FDBD5CF"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Possible inclusion as an additional LQM technique. </w:t>
            </w:r>
          </w:p>
        </w:tc>
        <w:tc>
          <w:tcPr>
            <w:tcW w:w="3969" w:type="dxa"/>
            <w:tcBorders>
              <w:left w:val="single" w:sz="12" w:space="0" w:color="auto"/>
              <w:right w:val="single" w:sz="12" w:space="0" w:color="auto"/>
            </w:tcBorders>
            <w:shd w:val="clear" w:color="auto" w:fill="FF8181"/>
          </w:tcPr>
          <w:p w14:paraId="2FA652C6" w14:textId="7A778FE8" w:rsidR="005824A0" w:rsidRPr="00DD0F0F" w:rsidRDefault="00B7664F" w:rsidP="00675C51">
            <w:pPr>
              <w:autoSpaceDE w:val="0"/>
              <w:autoSpaceDN w:val="0"/>
              <w:adjustRightInd w:val="0"/>
              <w:rPr>
                <w:rFonts w:cs="Arial"/>
                <w:color w:val="000000"/>
                <w:sz w:val="20"/>
                <w:szCs w:val="20"/>
              </w:rPr>
            </w:pPr>
            <w:r>
              <w:rPr>
                <w:rFonts w:cs="Arial"/>
                <w:color w:val="000000"/>
                <w:sz w:val="20"/>
                <w:szCs w:val="20"/>
              </w:rPr>
              <w:t xml:space="preserve">Agree with the red rating. </w:t>
            </w:r>
            <w:r w:rsidR="005824A0">
              <w:rPr>
                <w:rFonts w:cs="Arial"/>
                <w:color w:val="000000"/>
                <w:sz w:val="20"/>
                <w:szCs w:val="20"/>
              </w:rPr>
              <w:t>We would be interested in what’s involve</w:t>
            </w:r>
            <w:r>
              <w:rPr>
                <w:rFonts w:cs="Arial"/>
                <w:color w:val="000000"/>
                <w:sz w:val="20"/>
                <w:szCs w:val="20"/>
              </w:rPr>
              <w:t xml:space="preserve">d in delivering this and the viability of this technique on Nuclear sites. </w:t>
            </w:r>
          </w:p>
        </w:tc>
      </w:tr>
      <w:tr w:rsidR="005824A0" w:rsidRPr="00DD0F0F" w14:paraId="77BA2327" w14:textId="77777777" w:rsidTr="004B735E">
        <w:trPr>
          <w:trHeight w:val="464"/>
        </w:trPr>
        <w:tc>
          <w:tcPr>
            <w:tcW w:w="776" w:type="dxa"/>
            <w:shd w:val="clear" w:color="auto" w:fill="C5E0B3" w:themeFill="accent6" w:themeFillTint="66"/>
          </w:tcPr>
          <w:p w14:paraId="26E07F4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14 </w:t>
            </w:r>
          </w:p>
        </w:tc>
        <w:tc>
          <w:tcPr>
            <w:tcW w:w="2626" w:type="dxa"/>
            <w:shd w:val="clear" w:color="auto" w:fill="C5E0B3" w:themeFill="accent6" w:themeFillTint="66"/>
          </w:tcPr>
          <w:p w14:paraId="0D7F086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the applicability of MNA to particular radionuclides. </w:t>
            </w:r>
          </w:p>
        </w:tc>
        <w:tc>
          <w:tcPr>
            <w:tcW w:w="3686" w:type="dxa"/>
            <w:shd w:val="clear" w:color="auto" w:fill="C5E0B3" w:themeFill="accent6" w:themeFillTint="66"/>
          </w:tcPr>
          <w:p w14:paraId="5D713F50"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Establish understanding of MNA practicality for different radionuclides. Further research as required. </w:t>
            </w:r>
          </w:p>
        </w:tc>
        <w:tc>
          <w:tcPr>
            <w:tcW w:w="3969" w:type="dxa"/>
            <w:tcBorders>
              <w:right w:val="single" w:sz="12" w:space="0" w:color="auto"/>
            </w:tcBorders>
            <w:shd w:val="clear" w:color="auto" w:fill="C5E0B3" w:themeFill="accent6" w:themeFillTint="66"/>
          </w:tcPr>
          <w:p w14:paraId="5C96C43D"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Refine list of applicable contaminants that MNA could be applied to (and those that it cannot). </w:t>
            </w:r>
          </w:p>
        </w:tc>
        <w:tc>
          <w:tcPr>
            <w:tcW w:w="3969" w:type="dxa"/>
            <w:tcBorders>
              <w:left w:val="single" w:sz="12" w:space="0" w:color="auto"/>
              <w:right w:val="single" w:sz="12" w:space="0" w:color="auto"/>
            </w:tcBorders>
            <w:shd w:val="clear" w:color="auto" w:fill="C5E0B3" w:themeFill="accent6" w:themeFillTint="66"/>
          </w:tcPr>
          <w:p w14:paraId="1EF352BF" w14:textId="3977BB57" w:rsidR="005824A0" w:rsidRPr="00DD0F0F" w:rsidRDefault="00B7664F" w:rsidP="00675C51">
            <w:pPr>
              <w:autoSpaceDE w:val="0"/>
              <w:autoSpaceDN w:val="0"/>
              <w:adjustRightInd w:val="0"/>
              <w:rPr>
                <w:rFonts w:cs="Arial"/>
                <w:color w:val="000000"/>
                <w:sz w:val="20"/>
                <w:szCs w:val="20"/>
              </w:rPr>
            </w:pPr>
            <w:r>
              <w:rPr>
                <w:rFonts w:cs="Arial"/>
                <w:color w:val="000000"/>
                <w:sz w:val="20"/>
                <w:szCs w:val="20"/>
              </w:rPr>
              <w:t xml:space="preserve">Agree with the green rating. </w:t>
            </w:r>
          </w:p>
        </w:tc>
      </w:tr>
      <w:tr w:rsidR="005824A0" w:rsidRPr="00DD0F0F" w14:paraId="1F55258B" w14:textId="77777777" w:rsidTr="004B735E">
        <w:trPr>
          <w:trHeight w:val="705"/>
        </w:trPr>
        <w:tc>
          <w:tcPr>
            <w:tcW w:w="776" w:type="dxa"/>
            <w:shd w:val="clear" w:color="auto" w:fill="FFE599" w:themeFill="accent4" w:themeFillTint="66"/>
          </w:tcPr>
          <w:p w14:paraId="3AE3911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15 </w:t>
            </w:r>
          </w:p>
        </w:tc>
        <w:tc>
          <w:tcPr>
            <w:tcW w:w="2626" w:type="dxa"/>
            <w:shd w:val="clear" w:color="auto" w:fill="FFE599" w:themeFill="accent4" w:themeFillTint="66"/>
          </w:tcPr>
          <w:p w14:paraId="47421E5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the work required to establish a monitoring network and research advances in monitoring techniques. </w:t>
            </w:r>
          </w:p>
        </w:tc>
        <w:tc>
          <w:tcPr>
            <w:tcW w:w="3686" w:type="dxa"/>
            <w:shd w:val="clear" w:color="auto" w:fill="FFE599" w:themeFill="accent4" w:themeFillTint="66"/>
          </w:tcPr>
          <w:p w14:paraId="4E9384B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Use examples of MNA implementation to assess typical monitoring network requirements. Research monitoring advances with specialist contractors. </w:t>
            </w:r>
          </w:p>
        </w:tc>
        <w:tc>
          <w:tcPr>
            <w:tcW w:w="3969" w:type="dxa"/>
            <w:tcBorders>
              <w:right w:val="single" w:sz="12" w:space="0" w:color="auto"/>
            </w:tcBorders>
            <w:shd w:val="clear" w:color="auto" w:fill="FFE599" w:themeFill="accent4" w:themeFillTint="66"/>
          </w:tcPr>
          <w:p w14:paraId="0C5648E7"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Allow the full scope of an MNA LQM scheme to be understood. </w:t>
            </w:r>
          </w:p>
        </w:tc>
        <w:tc>
          <w:tcPr>
            <w:tcW w:w="3969" w:type="dxa"/>
            <w:tcBorders>
              <w:left w:val="single" w:sz="12" w:space="0" w:color="auto"/>
              <w:right w:val="single" w:sz="12" w:space="0" w:color="auto"/>
            </w:tcBorders>
            <w:shd w:val="clear" w:color="auto" w:fill="FFE599" w:themeFill="accent4" w:themeFillTint="66"/>
          </w:tcPr>
          <w:p w14:paraId="65378E26" w14:textId="538632A4" w:rsidR="005824A0" w:rsidRPr="00DD0F0F" w:rsidRDefault="00B7664F" w:rsidP="00675C51">
            <w:pPr>
              <w:autoSpaceDE w:val="0"/>
              <w:autoSpaceDN w:val="0"/>
              <w:adjustRightInd w:val="0"/>
              <w:rPr>
                <w:rFonts w:cs="Arial"/>
                <w:color w:val="000000"/>
                <w:sz w:val="20"/>
                <w:szCs w:val="20"/>
              </w:rPr>
            </w:pPr>
            <w:r>
              <w:rPr>
                <w:rFonts w:cs="Arial"/>
                <w:color w:val="000000"/>
                <w:sz w:val="20"/>
                <w:szCs w:val="20"/>
              </w:rPr>
              <w:t xml:space="preserve">Agree with the amber rating. </w:t>
            </w:r>
          </w:p>
        </w:tc>
      </w:tr>
      <w:tr w:rsidR="005824A0" w:rsidRPr="00DD0F0F" w14:paraId="6E6DF760" w14:textId="77777777" w:rsidTr="004B735E">
        <w:trPr>
          <w:trHeight w:val="827"/>
        </w:trPr>
        <w:tc>
          <w:tcPr>
            <w:tcW w:w="776" w:type="dxa"/>
            <w:shd w:val="clear" w:color="auto" w:fill="FF8181"/>
          </w:tcPr>
          <w:p w14:paraId="208E01E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16 </w:t>
            </w:r>
          </w:p>
        </w:tc>
        <w:tc>
          <w:tcPr>
            <w:tcW w:w="2626" w:type="dxa"/>
            <w:shd w:val="clear" w:color="auto" w:fill="FF8181"/>
          </w:tcPr>
          <w:p w14:paraId="02EB4AB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Gather information on the applicability of </w:t>
            </w:r>
            <w:proofErr w:type="spellStart"/>
            <w:r w:rsidRPr="00DD0F0F">
              <w:rPr>
                <w:rFonts w:cs="Arial"/>
                <w:color w:val="000000"/>
                <w:sz w:val="20"/>
                <w:szCs w:val="20"/>
              </w:rPr>
              <w:t>bioaugmentation</w:t>
            </w:r>
            <w:proofErr w:type="spellEnd"/>
            <w:r w:rsidRPr="00DD0F0F">
              <w:rPr>
                <w:rFonts w:cs="Arial"/>
                <w:color w:val="000000"/>
                <w:sz w:val="20"/>
                <w:szCs w:val="20"/>
              </w:rPr>
              <w:t xml:space="preserve"> and </w:t>
            </w:r>
            <w:proofErr w:type="spellStart"/>
            <w:r w:rsidRPr="00DD0F0F">
              <w:rPr>
                <w:rFonts w:cs="Arial"/>
                <w:color w:val="000000"/>
                <w:sz w:val="20"/>
                <w:szCs w:val="20"/>
              </w:rPr>
              <w:t>biostimulation</w:t>
            </w:r>
            <w:proofErr w:type="spellEnd"/>
            <w:r w:rsidRPr="00DD0F0F">
              <w:rPr>
                <w:rFonts w:cs="Arial"/>
                <w:color w:val="000000"/>
                <w:sz w:val="20"/>
                <w:szCs w:val="20"/>
              </w:rPr>
              <w:t xml:space="preserve"> and the potential to accelerate MNA by reducing contaminant mobility. </w:t>
            </w:r>
          </w:p>
        </w:tc>
        <w:tc>
          <w:tcPr>
            <w:tcW w:w="3686" w:type="dxa"/>
            <w:shd w:val="clear" w:color="auto" w:fill="FF8181"/>
          </w:tcPr>
          <w:p w14:paraId="179F165F" w14:textId="77777777" w:rsidR="005824A0" w:rsidRPr="00DD0F0F" w:rsidRDefault="005824A0" w:rsidP="00675C51">
            <w:pPr>
              <w:autoSpaceDE w:val="0"/>
              <w:autoSpaceDN w:val="0"/>
              <w:adjustRightInd w:val="0"/>
              <w:rPr>
                <w:rFonts w:cs="Arial"/>
                <w:color w:val="000000"/>
                <w:sz w:val="20"/>
                <w:szCs w:val="20"/>
              </w:rPr>
            </w:pPr>
            <w:proofErr w:type="gramStart"/>
            <w:r w:rsidRPr="00DD0F0F">
              <w:rPr>
                <w:rFonts w:cs="Arial"/>
                <w:color w:val="000000"/>
                <w:sz w:val="20"/>
                <w:szCs w:val="20"/>
              </w:rPr>
              <w:t>Research enhanced MNA and consider</w:t>
            </w:r>
            <w:proofErr w:type="gramEnd"/>
            <w:r w:rsidRPr="00DD0F0F">
              <w:rPr>
                <w:rFonts w:cs="Arial"/>
                <w:color w:val="000000"/>
                <w:sz w:val="20"/>
                <w:szCs w:val="20"/>
              </w:rPr>
              <w:t xml:space="preserve"> application to radioactively contaminated land and UK context. Use case studies and engage with specialist contractors if beneficial. </w:t>
            </w:r>
          </w:p>
        </w:tc>
        <w:tc>
          <w:tcPr>
            <w:tcW w:w="3969" w:type="dxa"/>
            <w:tcBorders>
              <w:right w:val="single" w:sz="12" w:space="0" w:color="auto"/>
            </w:tcBorders>
            <w:shd w:val="clear" w:color="auto" w:fill="FF8181"/>
          </w:tcPr>
          <w:p w14:paraId="4D29E89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Add enhanced MNA to existing technique description if applicable to UK. </w:t>
            </w:r>
          </w:p>
        </w:tc>
        <w:tc>
          <w:tcPr>
            <w:tcW w:w="3969" w:type="dxa"/>
            <w:tcBorders>
              <w:left w:val="single" w:sz="12" w:space="0" w:color="auto"/>
              <w:right w:val="single" w:sz="12" w:space="0" w:color="auto"/>
            </w:tcBorders>
            <w:shd w:val="clear" w:color="auto" w:fill="FF8181"/>
          </w:tcPr>
          <w:p w14:paraId="5BCCF4E5" w14:textId="23050F0D" w:rsidR="005824A0" w:rsidRDefault="00B7664F" w:rsidP="00675C51">
            <w:pPr>
              <w:autoSpaceDE w:val="0"/>
              <w:autoSpaceDN w:val="0"/>
              <w:adjustRightInd w:val="0"/>
              <w:rPr>
                <w:rFonts w:cs="Arial"/>
                <w:color w:val="000000"/>
                <w:sz w:val="20"/>
                <w:szCs w:val="20"/>
              </w:rPr>
            </w:pPr>
            <w:r>
              <w:rPr>
                <w:rFonts w:cs="Arial"/>
                <w:color w:val="000000"/>
                <w:sz w:val="20"/>
                <w:szCs w:val="20"/>
              </w:rPr>
              <w:t xml:space="preserve">Agree with the red rating. </w:t>
            </w:r>
          </w:p>
          <w:p w14:paraId="60DBE1B0" w14:textId="5963D939" w:rsidR="005824A0" w:rsidRPr="00DD0F0F" w:rsidRDefault="005824A0" w:rsidP="00B7664F">
            <w:pPr>
              <w:autoSpaceDE w:val="0"/>
              <w:autoSpaceDN w:val="0"/>
              <w:adjustRightInd w:val="0"/>
              <w:rPr>
                <w:rFonts w:cs="Arial"/>
                <w:color w:val="000000"/>
                <w:sz w:val="20"/>
                <w:szCs w:val="20"/>
              </w:rPr>
            </w:pPr>
            <w:r>
              <w:rPr>
                <w:rFonts w:cs="Arial"/>
                <w:color w:val="000000"/>
                <w:sz w:val="20"/>
                <w:szCs w:val="20"/>
              </w:rPr>
              <w:t xml:space="preserve">This is a specific aspect of MNA and </w:t>
            </w:r>
            <w:proofErr w:type="spellStart"/>
            <w:r>
              <w:rPr>
                <w:rFonts w:cs="Arial"/>
                <w:color w:val="000000"/>
                <w:sz w:val="20"/>
                <w:szCs w:val="20"/>
              </w:rPr>
              <w:t>biostimulation</w:t>
            </w:r>
            <w:proofErr w:type="spellEnd"/>
            <w:r>
              <w:rPr>
                <w:rFonts w:cs="Arial"/>
                <w:color w:val="000000"/>
                <w:sz w:val="20"/>
                <w:szCs w:val="20"/>
              </w:rPr>
              <w:t xml:space="preserve"> has low TRL.</w:t>
            </w:r>
            <w:r w:rsidR="00B7664F">
              <w:rPr>
                <w:rFonts w:cs="Arial"/>
                <w:color w:val="000000"/>
                <w:sz w:val="20"/>
                <w:szCs w:val="20"/>
              </w:rPr>
              <w:t xml:space="preserve"> As it is already recommended that MNA is discussed in further detail in recommendation 14, this could be included as an ‘area to watch’.</w:t>
            </w:r>
            <w:r>
              <w:rPr>
                <w:rFonts w:cs="Arial"/>
                <w:color w:val="000000"/>
                <w:sz w:val="20"/>
                <w:szCs w:val="20"/>
              </w:rPr>
              <w:t xml:space="preserve"> </w:t>
            </w:r>
          </w:p>
        </w:tc>
      </w:tr>
      <w:tr w:rsidR="005824A0" w:rsidRPr="00DD0F0F" w14:paraId="03E6C1EF" w14:textId="77777777" w:rsidTr="004B735E">
        <w:trPr>
          <w:trHeight w:val="705"/>
        </w:trPr>
        <w:tc>
          <w:tcPr>
            <w:tcW w:w="776" w:type="dxa"/>
            <w:shd w:val="clear" w:color="auto" w:fill="FF8181"/>
          </w:tcPr>
          <w:p w14:paraId="0BB800EF"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17 </w:t>
            </w:r>
          </w:p>
        </w:tc>
        <w:tc>
          <w:tcPr>
            <w:tcW w:w="2626" w:type="dxa"/>
            <w:shd w:val="clear" w:color="auto" w:fill="FF8181"/>
          </w:tcPr>
          <w:p w14:paraId="2D08896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Examine the potential for difficult waste streams resulting from chemical processes and considered in the context of available disposal routes. </w:t>
            </w:r>
          </w:p>
        </w:tc>
        <w:tc>
          <w:tcPr>
            <w:tcW w:w="3686" w:type="dxa"/>
            <w:shd w:val="clear" w:color="auto" w:fill="FF8181"/>
          </w:tcPr>
          <w:p w14:paraId="3B8BC6DA"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solvent use in chemical extraction and determine waste form generated, assess this against disposal routes. </w:t>
            </w:r>
          </w:p>
        </w:tc>
        <w:tc>
          <w:tcPr>
            <w:tcW w:w="3969" w:type="dxa"/>
            <w:tcBorders>
              <w:right w:val="single" w:sz="12" w:space="0" w:color="auto"/>
            </w:tcBorders>
            <w:shd w:val="clear" w:color="auto" w:fill="FF8181"/>
          </w:tcPr>
          <w:p w14:paraId="7C5866E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Details on wastes generated by application of chemical extraction and availability of waste disposal facilities. </w:t>
            </w:r>
          </w:p>
        </w:tc>
        <w:tc>
          <w:tcPr>
            <w:tcW w:w="3969" w:type="dxa"/>
            <w:tcBorders>
              <w:left w:val="single" w:sz="12" w:space="0" w:color="auto"/>
              <w:right w:val="single" w:sz="12" w:space="0" w:color="auto"/>
            </w:tcBorders>
            <w:shd w:val="clear" w:color="auto" w:fill="auto"/>
          </w:tcPr>
          <w:p w14:paraId="7C5C81A6" w14:textId="3D72FEDD" w:rsidR="005824A0" w:rsidRPr="00DD0F0F" w:rsidRDefault="00B7664F" w:rsidP="00675C51">
            <w:pPr>
              <w:autoSpaceDE w:val="0"/>
              <w:autoSpaceDN w:val="0"/>
              <w:adjustRightInd w:val="0"/>
              <w:rPr>
                <w:rFonts w:cs="Arial"/>
                <w:color w:val="000000"/>
                <w:sz w:val="20"/>
                <w:szCs w:val="20"/>
              </w:rPr>
            </w:pPr>
            <w:r>
              <w:rPr>
                <w:rFonts w:cs="Arial"/>
                <w:color w:val="000000"/>
                <w:sz w:val="20"/>
                <w:szCs w:val="20"/>
              </w:rPr>
              <w:t xml:space="preserve">We suggest that this recommendation is removed as there is potential for scope creep as the discussion could get too detailed. The potential for secondary wastes resulting from chemical extraction of rad wastes will be different for each site. There should be a prompt for inspectors that secondary wastes could be an issue. </w:t>
            </w:r>
          </w:p>
        </w:tc>
      </w:tr>
      <w:tr w:rsidR="005824A0" w:rsidRPr="00DD0F0F" w14:paraId="361F31FE" w14:textId="77777777" w:rsidTr="004B735E">
        <w:trPr>
          <w:trHeight w:val="584"/>
        </w:trPr>
        <w:tc>
          <w:tcPr>
            <w:tcW w:w="776" w:type="dxa"/>
            <w:shd w:val="clear" w:color="auto" w:fill="FFE599" w:themeFill="accent4" w:themeFillTint="66"/>
          </w:tcPr>
          <w:p w14:paraId="46AA8E6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18 </w:t>
            </w:r>
          </w:p>
        </w:tc>
        <w:tc>
          <w:tcPr>
            <w:tcW w:w="2626" w:type="dxa"/>
            <w:shd w:val="clear" w:color="auto" w:fill="FFE599" w:themeFill="accent4" w:themeFillTint="66"/>
          </w:tcPr>
          <w:p w14:paraId="1826793D"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the application of ion exchange in situ in comparison with ex situ application. </w:t>
            </w:r>
          </w:p>
        </w:tc>
        <w:tc>
          <w:tcPr>
            <w:tcW w:w="3686" w:type="dxa"/>
            <w:shd w:val="clear" w:color="auto" w:fill="FFE599" w:themeFill="accent4" w:themeFillTint="66"/>
          </w:tcPr>
          <w:p w14:paraId="1705CEE3"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implications of conventional contamination and possible impact on effectiveness of ion exchange in situ. </w:t>
            </w:r>
          </w:p>
        </w:tc>
        <w:tc>
          <w:tcPr>
            <w:tcW w:w="3969" w:type="dxa"/>
            <w:tcBorders>
              <w:right w:val="single" w:sz="12" w:space="0" w:color="auto"/>
            </w:tcBorders>
            <w:shd w:val="clear" w:color="auto" w:fill="FFE599" w:themeFill="accent4" w:themeFillTint="66"/>
          </w:tcPr>
          <w:p w14:paraId="54DE970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Establish potential limitations of in situ application of ion exchange. </w:t>
            </w:r>
          </w:p>
        </w:tc>
        <w:tc>
          <w:tcPr>
            <w:tcW w:w="3969" w:type="dxa"/>
            <w:tcBorders>
              <w:left w:val="single" w:sz="12" w:space="0" w:color="auto"/>
              <w:bottom w:val="single" w:sz="12" w:space="0" w:color="auto"/>
              <w:right w:val="single" w:sz="12" w:space="0" w:color="auto"/>
            </w:tcBorders>
            <w:shd w:val="clear" w:color="auto" w:fill="FF8181"/>
          </w:tcPr>
          <w:p w14:paraId="7A53F892" w14:textId="5FE60AB5" w:rsidR="005824A0" w:rsidRDefault="00B7664F" w:rsidP="00675C51">
            <w:pPr>
              <w:autoSpaceDE w:val="0"/>
              <w:autoSpaceDN w:val="0"/>
              <w:adjustRightInd w:val="0"/>
              <w:rPr>
                <w:rFonts w:cs="Arial"/>
                <w:color w:val="000000"/>
                <w:sz w:val="20"/>
                <w:szCs w:val="20"/>
              </w:rPr>
            </w:pPr>
            <w:r>
              <w:rPr>
                <w:rFonts w:cs="Arial"/>
                <w:color w:val="000000"/>
                <w:sz w:val="20"/>
                <w:szCs w:val="20"/>
              </w:rPr>
              <w:t xml:space="preserve">Red rating rather than amber. </w:t>
            </w:r>
          </w:p>
          <w:p w14:paraId="0273F8DF" w14:textId="76497798" w:rsidR="005824A0" w:rsidRPr="00DD0F0F" w:rsidRDefault="00B7664F" w:rsidP="00675C51">
            <w:pPr>
              <w:autoSpaceDE w:val="0"/>
              <w:autoSpaceDN w:val="0"/>
              <w:adjustRightInd w:val="0"/>
              <w:rPr>
                <w:rFonts w:cs="Arial"/>
                <w:color w:val="000000"/>
                <w:sz w:val="20"/>
                <w:szCs w:val="20"/>
              </w:rPr>
            </w:pPr>
            <w:r>
              <w:rPr>
                <w:rFonts w:cs="Arial"/>
                <w:color w:val="000000"/>
                <w:sz w:val="20"/>
                <w:szCs w:val="20"/>
              </w:rPr>
              <w:t xml:space="preserve">This is useful additional information but may not be a driver in an ALARP judgement unless it relates to secondary wastes. See recommendation 21. </w:t>
            </w:r>
          </w:p>
        </w:tc>
      </w:tr>
      <w:tr w:rsidR="005824A0" w:rsidRPr="00DD0F0F" w14:paraId="561B2777" w14:textId="77777777" w:rsidTr="004B735E">
        <w:trPr>
          <w:trHeight w:val="584"/>
        </w:trPr>
        <w:tc>
          <w:tcPr>
            <w:tcW w:w="776" w:type="dxa"/>
            <w:shd w:val="clear" w:color="auto" w:fill="C5E0B3" w:themeFill="accent6" w:themeFillTint="66"/>
          </w:tcPr>
          <w:p w14:paraId="65CDB2D8"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lastRenderedPageBreak/>
              <w:t xml:space="preserve">19 </w:t>
            </w:r>
          </w:p>
        </w:tc>
        <w:tc>
          <w:tcPr>
            <w:tcW w:w="2626" w:type="dxa"/>
            <w:shd w:val="clear" w:color="auto" w:fill="C5E0B3" w:themeFill="accent6" w:themeFillTint="66"/>
          </w:tcPr>
          <w:p w14:paraId="1F52E395"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Establish the logistics and constraints for implementing Pump and Treat based remediation need to be explored. </w:t>
            </w:r>
          </w:p>
        </w:tc>
        <w:tc>
          <w:tcPr>
            <w:tcW w:w="3686" w:type="dxa"/>
            <w:shd w:val="clear" w:color="auto" w:fill="C5E0B3" w:themeFill="accent6" w:themeFillTint="66"/>
          </w:tcPr>
          <w:p w14:paraId="49F1A02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Set out typical Pump and Treat requirements by reference to case studies and consider in context of nuclear site implementation. </w:t>
            </w:r>
          </w:p>
        </w:tc>
        <w:tc>
          <w:tcPr>
            <w:tcW w:w="3969" w:type="dxa"/>
            <w:tcBorders>
              <w:right w:val="single" w:sz="12" w:space="0" w:color="auto"/>
            </w:tcBorders>
            <w:shd w:val="clear" w:color="auto" w:fill="C5E0B3" w:themeFill="accent6" w:themeFillTint="66"/>
          </w:tcPr>
          <w:p w14:paraId="559A980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Include section in guidance on logistics of implementing Pump and Treat LQM techniques. </w:t>
            </w:r>
          </w:p>
        </w:tc>
        <w:tc>
          <w:tcPr>
            <w:tcW w:w="3969" w:type="dxa"/>
            <w:tcBorders>
              <w:top w:val="single" w:sz="12" w:space="0" w:color="auto"/>
              <w:left w:val="single" w:sz="12" w:space="0" w:color="auto"/>
              <w:right w:val="single" w:sz="12" w:space="0" w:color="auto"/>
            </w:tcBorders>
            <w:shd w:val="clear" w:color="auto" w:fill="FFE599" w:themeFill="accent4" w:themeFillTint="66"/>
          </w:tcPr>
          <w:p w14:paraId="5756D313" w14:textId="435CCD98" w:rsidR="00B7664F" w:rsidRDefault="005824A0" w:rsidP="00675C51">
            <w:pPr>
              <w:autoSpaceDE w:val="0"/>
              <w:autoSpaceDN w:val="0"/>
              <w:adjustRightInd w:val="0"/>
              <w:rPr>
                <w:rFonts w:cs="Arial"/>
                <w:color w:val="000000"/>
                <w:sz w:val="20"/>
                <w:szCs w:val="20"/>
              </w:rPr>
            </w:pPr>
            <w:r>
              <w:rPr>
                <w:rFonts w:cs="Arial"/>
                <w:color w:val="000000"/>
                <w:sz w:val="20"/>
                <w:szCs w:val="20"/>
              </w:rPr>
              <w:t>Amber</w:t>
            </w:r>
            <w:r w:rsidR="00B7664F">
              <w:rPr>
                <w:rFonts w:cs="Arial"/>
                <w:color w:val="000000"/>
                <w:sz w:val="20"/>
                <w:szCs w:val="20"/>
              </w:rPr>
              <w:t xml:space="preserve"> rating rather than green</w:t>
            </w:r>
            <w:r>
              <w:rPr>
                <w:rFonts w:cs="Arial"/>
                <w:color w:val="000000"/>
                <w:sz w:val="20"/>
                <w:szCs w:val="20"/>
              </w:rPr>
              <w:t xml:space="preserve">. </w:t>
            </w:r>
          </w:p>
          <w:p w14:paraId="26C7B298" w14:textId="04A05BC6" w:rsidR="005824A0" w:rsidRPr="00DD0F0F" w:rsidRDefault="00B7664F" w:rsidP="00B7664F">
            <w:pPr>
              <w:autoSpaceDE w:val="0"/>
              <w:autoSpaceDN w:val="0"/>
              <w:adjustRightInd w:val="0"/>
              <w:rPr>
                <w:rFonts w:cs="Arial"/>
                <w:color w:val="000000"/>
                <w:sz w:val="20"/>
                <w:szCs w:val="20"/>
              </w:rPr>
            </w:pPr>
            <w:r>
              <w:rPr>
                <w:rFonts w:cs="Arial"/>
                <w:color w:val="000000"/>
                <w:sz w:val="20"/>
                <w:szCs w:val="20"/>
              </w:rPr>
              <w:t xml:space="preserve">We don’t consider that pump and treat requires additional information compared to other techniques therefore it should be similarly categorised as a recommendation. </w:t>
            </w:r>
          </w:p>
        </w:tc>
      </w:tr>
      <w:tr w:rsidR="005824A0" w:rsidRPr="00DD0F0F" w14:paraId="5B5CA3D3" w14:textId="77777777" w:rsidTr="004B735E">
        <w:trPr>
          <w:trHeight w:val="826"/>
        </w:trPr>
        <w:tc>
          <w:tcPr>
            <w:tcW w:w="776" w:type="dxa"/>
            <w:shd w:val="clear" w:color="auto" w:fill="FFE599" w:themeFill="accent4" w:themeFillTint="66"/>
          </w:tcPr>
          <w:p w14:paraId="6AC5ED8C"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20 </w:t>
            </w:r>
          </w:p>
        </w:tc>
        <w:tc>
          <w:tcPr>
            <w:tcW w:w="2626" w:type="dxa"/>
            <w:shd w:val="clear" w:color="auto" w:fill="FFE599" w:themeFill="accent4" w:themeFillTint="66"/>
          </w:tcPr>
          <w:p w14:paraId="4637149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Augment the existing information on PRBs to illustrate their use with in-ground low permeability barriers to funnel groundwater through the reactive element. </w:t>
            </w:r>
          </w:p>
        </w:tc>
        <w:tc>
          <w:tcPr>
            <w:tcW w:w="3686" w:type="dxa"/>
            <w:shd w:val="clear" w:color="auto" w:fill="FFE599" w:themeFill="accent4" w:themeFillTint="66"/>
          </w:tcPr>
          <w:p w14:paraId="4A1D9ABB"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Use existing guidance to source additional information, case studies where available. </w:t>
            </w:r>
          </w:p>
        </w:tc>
        <w:tc>
          <w:tcPr>
            <w:tcW w:w="3969" w:type="dxa"/>
            <w:tcBorders>
              <w:right w:val="single" w:sz="12" w:space="0" w:color="auto"/>
            </w:tcBorders>
            <w:shd w:val="clear" w:color="auto" w:fill="FFE599" w:themeFill="accent4" w:themeFillTint="66"/>
          </w:tcPr>
          <w:p w14:paraId="6CC5C26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Present PRB use in the context of a groundwater management scheme, showing how a PRB can be deployed in conjunction with other in-ground barriers. </w:t>
            </w:r>
          </w:p>
        </w:tc>
        <w:tc>
          <w:tcPr>
            <w:tcW w:w="3969" w:type="dxa"/>
            <w:tcBorders>
              <w:left w:val="single" w:sz="12" w:space="0" w:color="auto"/>
              <w:right w:val="single" w:sz="12" w:space="0" w:color="auto"/>
            </w:tcBorders>
            <w:shd w:val="clear" w:color="auto" w:fill="FF8181"/>
          </w:tcPr>
          <w:p w14:paraId="0F3922DF" w14:textId="77777777" w:rsidR="00F65334" w:rsidRDefault="005824A0" w:rsidP="00F65334">
            <w:pPr>
              <w:autoSpaceDE w:val="0"/>
              <w:autoSpaceDN w:val="0"/>
              <w:adjustRightInd w:val="0"/>
              <w:rPr>
                <w:rFonts w:cs="Arial"/>
                <w:color w:val="000000"/>
                <w:sz w:val="20"/>
                <w:szCs w:val="20"/>
              </w:rPr>
            </w:pPr>
            <w:r>
              <w:rPr>
                <w:rFonts w:cs="Arial"/>
                <w:color w:val="000000"/>
                <w:sz w:val="20"/>
                <w:szCs w:val="20"/>
              </w:rPr>
              <w:t>Red</w:t>
            </w:r>
            <w:r w:rsidR="00F65334">
              <w:rPr>
                <w:rFonts w:cs="Arial"/>
                <w:color w:val="000000"/>
                <w:sz w:val="20"/>
                <w:szCs w:val="20"/>
              </w:rPr>
              <w:t xml:space="preserve"> rating rather than amber. </w:t>
            </w:r>
          </w:p>
          <w:p w14:paraId="79C0251C" w14:textId="7CB0871E" w:rsidR="005824A0" w:rsidRPr="00DD0F0F" w:rsidRDefault="00F65334" w:rsidP="00F65334">
            <w:pPr>
              <w:autoSpaceDE w:val="0"/>
              <w:autoSpaceDN w:val="0"/>
              <w:adjustRightInd w:val="0"/>
              <w:rPr>
                <w:rFonts w:cs="Arial"/>
                <w:color w:val="000000"/>
                <w:sz w:val="20"/>
                <w:szCs w:val="20"/>
              </w:rPr>
            </w:pPr>
            <w:r>
              <w:rPr>
                <w:rFonts w:cs="Arial"/>
                <w:color w:val="000000"/>
                <w:sz w:val="20"/>
                <w:szCs w:val="20"/>
              </w:rPr>
              <w:t>We don’t feel that additional information to the general information on PRBs is required. Rather, the inspector should be made aware that other barriers could be needed in order to make an efficient system.</w:t>
            </w:r>
          </w:p>
        </w:tc>
      </w:tr>
      <w:tr w:rsidR="005824A0" w:rsidRPr="00DD0F0F" w14:paraId="3C6701F9" w14:textId="77777777" w:rsidTr="004B735E">
        <w:trPr>
          <w:trHeight w:val="464"/>
        </w:trPr>
        <w:tc>
          <w:tcPr>
            <w:tcW w:w="776" w:type="dxa"/>
            <w:shd w:val="clear" w:color="auto" w:fill="FF8181"/>
          </w:tcPr>
          <w:p w14:paraId="0C05AAD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21 </w:t>
            </w:r>
          </w:p>
        </w:tc>
        <w:tc>
          <w:tcPr>
            <w:tcW w:w="2626" w:type="dxa"/>
            <w:shd w:val="clear" w:color="auto" w:fill="FF8181"/>
          </w:tcPr>
          <w:p w14:paraId="50780E7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the differences between in situ and ex situ deployment for adsorption and soil washing. </w:t>
            </w:r>
          </w:p>
        </w:tc>
        <w:tc>
          <w:tcPr>
            <w:tcW w:w="3686" w:type="dxa"/>
            <w:shd w:val="clear" w:color="auto" w:fill="FF8181"/>
          </w:tcPr>
          <w:p w14:paraId="28CFB79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Reference to case studies and specialist contractors to determine in situ methods for deployment. </w:t>
            </w:r>
          </w:p>
        </w:tc>
        <w:tc>
          <w:tcPr>
            <w:tcW w:w="3969" w:type="dxa"/>
            <w:tcBorders>
              <w:right w:val="single" w:sz="12" w:space="0" w:color="auto"/>
            </w:tcBorders>
            <w:shd w:val="clear" w:color="auto" w:fill="FF8181"/>
          </w:tcPr>
          <w:p w14:paraId="43C2AC7D"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Understand the relevance to UK nuclear context, particularly in situ deployment. </w:t>
            </w:r>
          </w:p>
        </w:tc>
        <w:tc>
          <w:tcPr>
            <w:tcW w:w="3969" w:type="dxa"/>
            <w:tcBorders>
              <w:left w:val="single" w:sz="12" w:space="0" w:color="auto"/>
              <w:right w:val="single" w:sz="12" w:space="0" w:color="auto"/>
            </w:tcBorders>
            <w:shd w:val="clear" w:color="auto" w:fill="FF8181"/>
          </w:tcPr>
          <w:p w14:paraId="1E601DB1" w14:textId="0739012E" w:rsidR="005824A0" w:rsidRDefault="00F65334" w:rsidP="00675C51">
            <w:pPr>
              <w:autoSpaceDE w:val="0"/>
              <w:autoSpaceDN w:val="0"/>
              <w:adjustRightInd w:val="0"/>
              <w:rPr>
                <w:rFonts w:cs="Arial"/>
                <w:color w:val="000000"/>
                <w:sz w:val="20"/>
                <w:szCs w:val="20"/>
              </w:rPr>
            </w:pPr>
            <w:r>
              <w:rPr>
                <w:rFonts w:cs="Arial"/>
                <w:color w:val="000000"/>
                <w:sz w:val="20"/>
                <w:szCs w:val="20"/>
              </w:rPr>
              <w:t xml:space="preserve">Agree with red rating. </w:t>
            </w:r>
          </w:p>
          <w:p w14:paraId="685FC074" w14:textId="7DB63083" w:rsidR="005824A0" w:rsidRPr="00DD0F0F" w:rsidRDefault="00F65334" w:rsidP="00675C51">
            <w:pPr>
              <w:autoSpaceDE w:val="0"/>
              <w:autoSpaceDN w:val="0"/>
              <w:adjustRightInd w:val="0"/>
              <w:rPr>
                <w:rFonts w:cs="Arial"/>
                <w:color w:val="000000"/>
                <w:sz w:val="20"/>
                <w:szCs w:val="20"/>
              </w:rPr>
            </w:pPr>
            <w:r>
              <w:rPr>
                <w:rFonts w:cs="Arial"/>
                <w:color w:val="000000"/>
                <w:sz w:val="20"/>
                <w:szCs w:val="20"/>
              </w:rPr>
              <w:t>See comments on recommendation 18.</w:t>
            </w:r>
          </w:p>
        </w:tc>
      </w:tr>
      <w:tr w:rsidR="005824A0" w:rsidRPr="00DD0F0F" w14:paraId="29D4A19B" w14:textId="77777777" w:rsidTr="004B735E">
        <w:trPr>
          <w:trHeight w:val="705"/>
        </w:trPr>
        <w:tc>
          <w:tcPr>
            <w:tcW w:w="776" w:type="dxa"/>
            <w:shd w:val="clear" w:color="auto" w:fill="C5E0B3" w:themeFill="accent6" w:themeFillTint="66"/>
          </w:tcPr>
          <w:p w14:paraId="56C3938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22 </w:t>
            </w:r>
          </w:p>
        </w:tc>
        <w:tc>
          <w:tcPr>
            <w:tcW w:w="2626" w:type="dxa"/>
            <w:shd w:val="clear" w:color="auto" w:fill="C5E0B3" w:themeFill="accent6" w:themeFillTint="66"/>
          </w:tcPr>
          <w:p w14:paraId="27FECB3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Address excavation and dry separation in greater detail as a stand-alone remediation technique. </w:t>
            </w:r>
          </w:p>
        </w:tc>
        <w:tc>
          <w:tcPr>
            <w:tcW w:w="3686" w:type="dxa"/>
            <w:shd w:val="clear" w:color="auto" w:fill="C5E0B3" w:themeFill="accent6" w:themeFillTint="66"/>
          </w:tcPr>
          <w:p w14:paraId="74C64FB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Reference to case studies from UK and review of segregation technologies, engaging with specialist contractors as required. </w:t>
            </w:r>
          </w:p>
        </w:tc>
        <w:tc>
          <w:tcPr>
            <w:tcW w:w="3969" w:type="dxa"/>
            <w:tcBorders>
              <w:right w:val="single" w:sz="12" w:space="0" w:color="auto"/>
            </w:tcBorders>
            <w:shd w:val="clear" w:color="auto" w:fill="C5E0B3" w:themeFill="accent6" w:themeFillTint="66"/>
          </w:tcPr>
          <w:p w14:paraId="76ED512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Set out as a standalone LQM technique. Excavate and dispose is likely to continue to be a viable solution for UK nuclear sites. </w:t>
            </w:r>
          </w:p>
        </w:tc>
        <w:tc>
          <w:tcPr>
            <w:tcW w:w="3969" w:type="dxa"/>
            <w:tcBorders>
              <w:left w:val="single" w:sz="12" w:space="0" w:color="auto"/>
              <w:right w:val="single" w:sz="12" w:space="0" w:color="auto"/>
            </w:tcBorders>
            <w:shd w:val="clear" w:color="auto" w:fill="C5E0B3" w:themeFill="accent6" w:themeFillTint="66"/>
          </w:tcPr>
          <w:p w14:paraId="3655E36B" w14:textId="77777777" w:rsidR="00F65334" w:rsidRDefault="00F65334" w:rsidP="00675C51">
            <w:pPr>
              <w:autoSpaceDE w:val="0"/>
              <w:autoSpaceDN w:val="0"/>
              <w:adjustRightInd w:val="0"/>
              <w:rPr>
                <w:rFonts w:cs="Arial"/>
                <w:color w:val="000000"/>
                <w:sz w:val="20"/>
                <w:szCs w:val="20"/>
              </w:rPr>
            </w:pPr>
            <w:r>
              <w:rPr>
                <w:rFonts w:cs="Arial"/>
                <w:color w:val="000000"/>
                <w:sz w:val="20"/>
                <w:szCs w:val="20"/>
              </w:rPr>
              <w:t>Agree with g</w:t>
            </w:r>
            <w:r w:rsidR="005824A0">
              <w:rPr>
                <w:rFonts w:cs="Arial"/>
                <w:color w:val="000000"/>
                <w:sz w:val="20"/>
                <w:szCs w:val="20"/>
              </w:rPr>
              <w:t>reen</w:t>
            </w:r>
            <w:r>
              <w:rPr>
                <w:rFonts w:cs="Arial"/>
                <w:color w:val="000000"/>
                <w:sz w:val="20"/>
                <w:szCs w:val="20"/>
              </w:rPr>
              <w:t xml:space="preserve"> rating</w:t>
            </w:r>
            <w:r w:rsidR="005824A0">
              <w:rPr>
                <w:rFonts w:cs="Arial"/>
                <w:color w:val="000000"/>
                <w:sz w:val="20"/>
                <w:szCs w:val="20"/>
              </w:rPr>
              <w:t xml:space="preserve">. </w:t>
            </w:r>
          </w:p>
          <w:p w14:paraId="22838010" w14:textId="332774C7" w:rsidR="005824A0" w:rsidRPr="00DD0F0F" w:rsidRDefault="00F65334" w:rsidP="00675C51">
            <w:pPr>
              <w:autoSpaceDE w:val="0"/>
              <w:autoSpaceDN w:val="0"/>
              <w:adjustRightInd w:val="0"/>
              <w:rPr>
                <w:rFonts w:cs="Arial"/>
                <w:color w:val="000000"/>
                <w:sz w:val="20"/>
                <w:szCs w:val="20"/>
              </w:rPr>
            </w:pPr>
            <w:r>
              <w:rPr>
                <w:rFonts w:cs="Arial"/>
                <w:color w:val="000000"/>
                <w:sz w:val="20"/>
                <w:szCs w:val="20"/>
              </w:rPr>
              <w:t>This m</w:t>
            </w:r>
            <w:r w:rsidR="005824A0">
              <w:rPr>
                <w:rFonts w:cs="Arial"/>
                <w:color w:val="000000"/>
                <w:sz w:val="20"/>
                <w:szCs w:val="20"/>
              </w:rPr>
              <w:t xml:space="preserve">erits being discussed as a technique in its own right. </w:t>
            </w:r>
            <w:r>
              <w:rPr>
                <w:rFonts w:cs="Arial"/>
                <w:color w:val="000000"/>
                <w:sz w:val="20"/>
                <w:szCs w:val="20"/>
              </w:rPr>
              <w:t xml:space="preserve">Further information should be included on how </w:t>
            </w:r>
            <w:r w:rsidR="005824A0">
              <w:rPr>
                <w:rFonts w:cs="Arial"/>
                <w:color w:val="000000"/>
                <w:sz w:val="20"/>
                <w:szCs w:val="20"/>
              </w:rPr>
              <w:t>viable</w:t>
            </w:r>
            <w:r>
              <w:rPr>
                <w:rFonts w:cs="Arial"/>
                <w:color w:val="000000"/>
                <w:sz w:val="20"/>
                <w:szCs w:val="20"/>
              </w:rPr>
              <w:t xml:space="preserve"> it is on nuclear sites and the conventional safety issues associated with its implementation.</w:t>
            </w:r>
          </w:p>
        </w:tc>
      </w:tr>
      <w:tr w:rsidR="005824A0" w:rsidRPr="00DD0F0F" w14:paraId="4B0A4498" w14:textId="77777777" w:rsidTr="004B735E">
        <w:trPr>
          <w:trHeight w:val="705"/>
        </w:trPr>
        <w:tc>
          <w:tcPr>
            <w:tcW w:w="776" w:type="dxa"/>
            <w:shd w:val="clear" w:color="auto" w:fill="FF8181"/>
          </w:tcPr>
          <w:p w14:paraId="5D488F33"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23 </w:t>
            </w:r>
          </w:p>
        </w:tc>
        <w:tc>
          <w:tcPr>
            <w:tcW w:w="2626" w:type="dxa"/>
            <w:shd w:val="clear" w:color="auto" w:fill="FF8181"/>
          </w:tcPr>
          <w:p w14:paraId="43AA73D7"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whether flotation should be included as a feasible technique. </w:t>
            </w:r>
          </w:p>
        </w:tc>
        <w:tc>
          <w:tcPr>
            <w:tcW w:w="3686" w:type="dxa"/>
            <w:shd w:val="clear" w:color="auto" w:fill="FF8181"/>
          </w:tcPr>
          <w:p w14:paraId="7D2AD08D"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Further review of case studies and research to determine the extent of track record. Flotation could be better seen as an emerging technology. </w:t>
            </w:r>
          </w:p>
        </w:tc>
        <w:tc>
          <w:tcPr>
            <w:tcW w:w="3969" w:type="dxa"/>
            <w:tcBorders>
              <w:right w:val="single" w:sz="12" w:space="0" w:color="auto"/>
            </w:tcBorders>
            <w:shd w:val="clear" w:color="auto" w:fill="FF8181"/>
          </w:tcPr>
          <w:p w14:paraId="6E8F9C1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whether flotation should be categorised as an emerging LQM technique. </w:t>
            </w:r>
          </w:p>
        </w:tc>
        <w:tc>
          <w:tcPr>
            <w:tcW w:w="3969" w:type="dxa"/>
            <w:tcBorders>
              <w:left w:val="single" w:sz="12" w:space="0" w:color="auto"/>
              <w:right w:val="single" w:sz="12" w:space="0" w:color="auto"/>
            </w:tcBorders>
            <w:shd w:val="clear" w:color="auto" w:fill="FF8181"/>
          </w:tcPr>
          <w:p w14:paraId="16633948" w14:textId="4E455AE6" w:rsidR="005824A0" w:rsidRDefault="00F65334" w:rsidP="00675C51">
            <w:pPr>
              <w:autoSpaceDE w:val="0"/>
              <w:autoSpaceDN w:val="0"/>
              <w:adjustRightInd w:val="0"/>
              <w:rPr>
                <w:rFonts w:cs="Arial"/>
                <w:color w:val="000000"/>
                <w:sz w:val="20"/>
                <w:szCs w:val="20"/>
              </w:rPr>
            </w:pPr>
            <w:r>
              <w:rPr>
                <w:rFonts w:cs="Arial"/>
                <w:color w:val="000000"/>
                <w:sz w:val="20"/>
                <w:szCs w:val="20"/>
              </w:rPr>
              <w:t>Agree with r</w:t>
            </w:r>
            <w:r w:rsidR="005824A0">
              <w:rPr>
                <w:rFonts w:cs="Arial"/>
                <w:color w:val="000000"/>
                <w:sz w:val="20"/>
                <w:szCs w:val="20"/>
              </w:rPr>
              <w:t>ed</w:t>
            </w:r>
            <w:r>
              <w:rPr>
                <w:rFonts w:cs="Arial"/>
                <w:color w:val="000000"/>
                <w:sz w:val="20"/>
                <w:szCs w:val="20"/>
              </w:rPr>
              <w:t xml:space="preserve"> rating</w:t>
            </w:r>
            <w:r w:rsidR="005824A0">
              <w:rPr>
                <w:rFonts w:cs="Arial"/>
                <w:color w:val="000000"/>
                <w:sz w:val="20"/>
                <w:szCs w:val="20"/>
              </w:rPr>
              <w:t xml:space="preserve">. </w:t>
            </w:r>
          </w:p>
          <w:p w14:paraId="7799316E" w14:textId="3CAC7AD7" w:rsidR="005824A0" w:rsidRPr="00DD0F0F" w:rsidRDefault="005824A0" w:rsidP="00F65334">
            <w:pPr>
              <w:autoSpaceDE w:val="0"/>
              <w:autoSpaceDN w:val="0"/>
              <w:adjustRightInd w:val="0"/>
              <w:rPr>
                <w:rFonts w:cs="Arial"/>
                <w:color w:val="000000"/>
                <w:sz w:val="20"/>
                <w:szCs w:val="20"/>
              </w:rPr>
            </w:pPr>
            <w:r>
              <w:rPr>
                <w:rFonts w:cs="Arial"/>
                <w:color w:val="000000"/>
                <w:sz w:val="20"/>
                <w:szCs w:val="20"/>
              </w:rPr>
              <w:t xml:space="preserve">Novel techniques </w:t>
            </w:r>
            <w:r w:rsidR="00F65334">
              <w:rPr>
                <w:rFonts w:cs="Arial"/>
                <w:color w:val="000000"/>
                <w:sz w:val="20"/>
                <w:szCs w:val="20"/>
              </w:rPr>
              <w:t>should be included however, ONR would like to have further discussion as to how much detail to include</w:t>
            </w:r>
            <w:r>
              <w:rPr>
                <w:rFonts w:cs="Arial"/>
                <w:color w:val="000000"/>
                <w:sz w:val="20"/>
                <w:szCs w:val="20"/>
              </w:rPr>
              <w:t xml:space="preserve">. </w:t>
            </w:r>
          </w:p>
        </w:tc>
      </w:tr>
      <w:tr w:rsidR="005824A0" w:rsidRPr="00DD0F0F" w14:paraId="013973A2" w14:textId="77777777" w:rsidTr="004B735E">
        <w:trPr>
          <w:trHeight w:val="705"/>
        </w:trPr>
        <w:tc>
          <w:tcPr>
            <w:tcW w:w="776" w:type="dxa"/>
            <w:shd w:val="clear" w:color="auto" w:fill="FFE599" w:themeFill="accent4" w:themeFillTint="66"/>
          </w:tcPr>
          <w:p w14:paraId="63F649F7"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24 </w:t>
            </w:r>
          </w:p>
        </w:tc>
        <w:tc>
          <w:tcPr>
            <w:tcW w:w="2626" w:type="dxa"/>
            <w:shd w:val="clear" w:color="auto" w:fill="FFE599" w:themeFill="accent4" w:themeFillTint="66"/>
          </w:tcPr>
          <w:p w14:paraId="7A80854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Consider the durability of stabilising agents, particularly in respect of the presence of conventional contaminants. </w:t>
            </w:r>
          </w:p>
        </w:tc>
        <w:tc>
          <w:tcPr>
            <w:tcW w:w="3686" w:type="dxa"/>
            <w:shd w:val="clear" w:color="auto" w:fill="FFE599" w:themeFill="accent4" w:themeFillTint="66"/>
          </w:tcPr>
          <w:p w14:paraId="2F8530D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Refer to specialist contractors and manufacturers to gain better understanding of durability of stabilising agents. </w:t>
            </w:r>
          </w:p>
        </w:tc>
        <w:tc>
          <w:tcPr>
            <w:tcW w:w="3969" w:type="dxa"/>
            <w:tcBorders>
              <w:right w:val="single" w:sz="12" w:space="0" w:color="auto"/>
            </w:tcBorders>
            <w:shd w:val="clear" w:color="auto" w:fill="FFE599" w:themeFill="accent4" w:themeFillTint="66"/>
          </w:tcPr>
          <w:p w14:paraId="23AF3EF6"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Determine whether non-cementitious agents increase potential application of in situ stabilisation due to improved durability. </w:t>
            </w:r>
          </w:p>
        </w:tc>
        <w:tc>
          <w:tcPr>
            <w:tcW w:w="3969" w:type="dxa"/>
            <w:tcBorders>
              <w:left w:val="single" w:sz="12" w:space="0" w:color="auto"/>
              <w:right w:val="single" w:sz="12" w:space="0" w:color="auto"/>
            </w:tcBorders>
            <w:shd w:val="clear" w:color="auto" w:fill="FF8181"/>
          </w:tcPr>
          <w:p w14:paraId="150F2635" w14:textId="04C0E7EC" w:rsidR="005824A0" w:rsidRPr="00DD0F0F" w:rsidRDefault="00F65334" w:rsidP="00F65334">
            <w:pPr>
              <w:autoSpaceDE w:val="0"/>
              <w:autoSpaceDN w:val="0"/>
              <w:adjustRightInd w:val="0"/>
              <w:rPr>
                <w:rFonts w:cs="Arial"/>
                <w:color w:val="000000"/>
                <w:sz w:val="20"/>
                <w:szCs w:val="20"/>
              </w:rPr>
            </w:pPr>
            <w:r>
              <w:rPr>
                <w:rFonts w:cs="Arial"/>
                <w:color w:val="000000"/>
                <w:sz w:val="20"/>
                <w:szCs w:val="20"/>
              </w:rPr>
              <w:t>Consider red rating to be more appropriate as this</w:t>
            </w:r>
            <w:r w:rsidR="005824A0">
              <w:rPr>
                <w:rFonts w:cs="Arial"/>
                <w:color w:val="000000"/>
                <w:sz w:val="20"/>
                <w:szCs w:val="20"/>
              </w:rPr>
              <w:t xml:space="preserve"> may be of more interest to the EA. </w:t>
            </w:r>
            <w:r>
              <w:rPr>
                <w:rFonts w:cs="Arial"/>
                <w:color w:val="000000"/>
                <w:sz w:val="20"/>
                <w:szCs w:val="20"/>
              </w:rPr>
              <w:t>Stabilising agents should be included as a trigger for</w:t>
            </w:r>
            <w:r w:rsidR="005824A0">
              <w:rPr>
                <w:rFonts w:cs="Arial"/>
                <w:color w:val="000000"/>
                <w:sz w:val="20"/>
                <w:szCs w:val="20"/>
              </w:rPr>
              <w:t xml:space="preserve"> ONR to ask the question on the durability of the agents</w:t>
            </w:r>
            <w:r>
              <w:rPr>
                <w:rFonts w:cs="Arial"/>
                <w:color w:val="000000"/>
                <w:sz w:val="20"/>
                <w:szCs w:val="20"/>
              </w:rPr>
              <w:t>, rather than in great detail.</w:t>
            </w:r>
            <w:r w:rsidR="005824A0">
              <w:rPr>
                <w:rFonts w:cs="Arial"/>
                <w:color w:val="000000"/>
                <w:sz w:val="20"/>
                <w:szCs w:val="20"/>
              </w:rPr>
              <w:t xml:space="preserve"> </w:t>
            </w:r>
          </w:p>
        </w:tc>
      </w:tr>
      <w:tr w:rsidR="005824A0" w:rsidRPr="00DD0F0F" w14:paraId="160AB56C" w14:textId="77777777" w:rsidTr="004B735E">
        <w:trPr>
          <w:trHeight w:val="585"/>
        </w:trPr>
        <w:tc>
          <w:tcPr>
            <w:tcW w:w="776" w:type="dxa"/>
            <w:shd w:val="clear" w:color="auto" w:fill="FF8181"/>
          </w:tcPr>
          <w:p w14:paraId="1415C00E"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25 </w:t>
            </w:r>
          </w:p>
        </w:tc>
        <w:tc>
          <w:tcPr>
            <w:tcW w:w="2626" w:type="dxa"/>
            <w:shd w:val="clear" w:color="auto" w:fill="FF8181"/>
          </w:tcPr>
          <w:p w14:paraId="2175A76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Review thermal processes in UK context and confirm relevance to diffuse contamination. </w:t>
            </w:r>
          </w:p>
        </w:tc>
        <w:tc>
          <w:tcPr>
            <w:tcW w:w="3686" w:type="dxa"/>
            <w:shd w:val="clear" w:color="auto" w:fill="FF8181"/>
          </w:tcPr>
          <w:p w14:paraId="39A35F30"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Use UK context to assess applicability of in situ thermal processes. Case studies and cost information to be reviewed. </w:t>
            </w:r>
          </w:p>
        </w:tc>
        <w:tc>
          <w:tcPr>
            <w:tcW w:w="3969" w:type="dxa"/>
            <w:tcBorders>
              <w:right w:val="single" w:sz="12" w:space="0" w:color="auto"/>
            </w:tcBorders>
            <w:shd w:val="clear" w:color="auto" w:fill="FF8181"/>
          </w:tcPr>
          <w:p w14:paraId="4B878AF1"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Determine whether in situ thermal processes are applicable LQM techniques in the UK nuclear context. </w:t>
            </w:r>
          </w:p>
        </w:tc>
        <w:tc>
          <w:tcPr>
            <w:tcW w:w="3969" w:type="dxa"/>
            <w:tcBorders>
              <w:left w:val="single" w:sz="12" w:space="0" w:color="auto"/>
              <w:right w:val="single" w:sz="12" w:space="0" w:color="auto"/>
            </w:tcBorders>
            <w:shd w:val="clear" w:color="auto" w:fill="FF8181"/>
          </w:tcPr>
          <w:p w14:paraId="29EA2142" w14:textId="7C39EDC1" w:rsidR="005824A0" w:rsidRPr="00DD0F0F" w:rsidRDefault="00F65334" w:rsidP="00675C51">
            <w:pPr>
              <w:autoSpaceDE w:val="0"/>
              <w:autoSpaceDN w:val="0"/>
              <w:adjustRightInd w:val="0"/>
              <w:rPr>
                <w:rFonts w:cs="Arial"/>
                <w:color w:val="000000"/>
                <w:sz w:val="20"/>
                <w:szCs w:val="20"/>
              </w:rPr>
            </w:pPr>
            <w:r>
              <w:rPr>
                <w:rFonts w:cs="Arial"/>
                <w:color w:val="000000"/>
                <w:sz w:val="20"/>
                <w:szCs w:val="20"/>
              </w:rPr>
              <w:t xml:space="preserve">Agree with red rating. </w:t>
            </w:r>
          </w:p>
        </w:tc>
      </w:tr>
      <w:tr w:rsidR="005824A0" w:rsidRPr="00DD0F0F" w14:paraId="7C033963" w14:textId="77777777" w:rsidTr="004B735E">
        <w:trPr>
          <w:trHeight w:val="585"/>
        </w:trPr>
        <w:tc>
          <w:tcPr>
            <w:tcW w:w="776" w:type="dxa"/>
            <w:shd w:val="clear" w:color="auto" w:fill="FF8181"/>
          </w:tcPr>
          <w:p w14:paraId="33DEBEE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lastRenderedPageBreak/>
              <w:t xml:space="preserve">26 </w:t>
            </w:r>
          </w:p>
        </w:tc>
        <w:tc>
          <w:tcPr>
            <w:tcW w:w="2626" w:type="dxa"/>
            <w:shd w:val="clear" w:color="auto" w:fill="FF8181"/>
          </w:tcPr>
          <w:p w14:paraId="034EBFD9"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Undertake further research into the use of </w:t>
            </w:r>
            <w:proofErr w:type="spellStart"/>
            <w:r w:rsidRPr="00DD0F0F">
              <w:rPr>
                <w:rFonts w:cs="Arial"/>
                <w:color w:val="000000"/>
                <w:sz w:val="20"/>
                <w:szCs w:val="20"/>
              </w:rPr>
              <w:t>electrokinetic</w:t>
            </w:r>
            <w:proofErr w:type="spellEnd"/>
            <w:r w:rsidRPr="00DD0F0F">
              <w:rPr>
                <w:rFonts w:cs="Arial"/>
                <w:color w:val="000000"/>
                <w:sz w:val="20"/>
                <w:szCs w:val="20"/>
              </w:rPr>
              <w:t xml:space="preserve"> remediation. </w:t>
            </w:r>
          </w:p>
        </w:tc>
        <w:tc>
          <w:tcPr>
            <w:tcW w:w="3686" w:type="dxa"/>
            <w:shd w:val="clear" w:color="auto" w:fill="FF8181"/>
          </w:tcPr>
          <w:p w14:paraId="7F229B14"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Assemble further information to determine whether </w:t>
            </w:r>
            <w:proofErr w:type="spellStart"/>
            <w:r w:rsidRPr="00DD0F0F">
              <w:rPr>
                <w:rFonts w:cs="Arial"/>
                <w:color w:val="000000"/>
                <w:sz w:val="20"/>
                <w:szCs w:val="20"/>
              </w:rPr>
              <w:t>electrokinetic</w:t>
            </w:r>
            <w:proofErr w:type="spellEnd"/>
            <w:r w:rsidRPr="00DD0F0F">
              <w:rPr>
                <w:rFonts w:cs="Arial"/>
                <w:color w:val="000000"/>
                <w:sz w:val="20"/>
                <w:szCs w:val="20"/>
              </w:rPr>
              <w:t xml:space="preserve"> remediation should be addressed as a LQM technique. </w:t>
            </w:r>
          </w:p>
        </w:tc>
        <w:tc>
          <w:tcPr>
            <w:tcW w:w="3969" w:type="dxa"/>
            <w:tcBorders>
              <w:right w:val="single" w:sz="12" w:space="0" w:color="auto"/>
            </w:tcBorders>
            <w:shd w:val="clear" w:color="auto" w:fill="FF8181"/>
          </w:tcPr>
          <w:p w14:paraId="6DA457C2" w14:textId="77777777" w:rsidR="005824A0" w:rsidRPr="00DD0F0F" w:rsidRDefault="005824A0" w:rsidP="00675C51">
            <w:pPr>
              <w:autoSpaceDE w:val="0"/>
              <w:autoSpaceDN w:val="0"/>
              <w:adjustRightInd w:val="0"/>
              <w:rPr>
                <w:rFonts w:cs="Arial"/>
                <w:color w:val="000000"/>
                <w:sz w:val="20"/>
                <w:szCs w:val="20"/>
              </w:rPr>
            </w:pPr>
            <w:r w:rsidRPr="00DD0F0F">
              <w:rPr>
                <w:rFonts w:cs="Arial"/>
                <w:color w:val="000000"/>
                <w:sz w:val="20"/>
                <w:szCs w:val="20"/>
              </w:rPr>
              <w:t xml:space="preserve">More detailed section on </w:t>
            </w:r>
            <w:proofErr w:type="spellStart"/>
            <w:r w:rsidRPr="00DD0F0F">
              <w:rPr>
                <w:rFonts w:cs="Arial"/>
                <w:color w:val="000000"/>
                <w:sz w:val="20"/>
                <w:szCs w:val="20"/>
              </w:rPr>
              <w:t>electrokinetic</w:t>
            </w:r>
            <w:proofErr w:type="spellEnd"/>
            <w:r w:rsidRPr="00DD0F0F">
              <w:rPr>
                <w:rFonts w:cs="Arial"/>
                <w:color w:val="000000"/>
                <w:sz w:val="20"/>
                <w:szCs w:val="20"/>
              </w:rPr>
              <w:t xml:space="preserve"> remediation may be warranted. </w:t>
            </w:r>
          </w:p>
        </w:tc>
        <w:tc>
          <w:tcPr>
            <w:tcW w:w="3969" w:type="dxa"/>
            <w:tcBorders>
              <w:left w:val="single" w:sz="12" w:space="0" w:color="auto"/>
              <w:bottom w:val="single" w:sz="12" w:space="0" w:color="auto"/>
              <w:right w:val="single" w:sz="12" w:space="0" w:color="auto"/>
            </w:tcBorders>
            <w:shd w:val="clear" w:color="auto" w:fill="FF8181"/>
          </w:tcPr>
          <w:p w14:paraId="54C7AA3B" w14:textId="44F9186D" w:rsidR="005824A0" w:rsidRDefault="00F65334" w:rsidP="00675C51">
            <w:pPr>
              <w:autoSpaceDE w:val="0"/>
              <w:autoSpaceDN w:val="0"/>
              <w:adjustRightInd w:val="0"/>
              <w:rPr>
                <w:rFonts w:cs="Arial"/>
                <w:color w:val="000000"/>
                <w:sz w:val="20"/>
                <w:szCs w:val="20"/>
              </w:rPr>
            </w:pPr>
            <w:r>
              <w:rPr>
                <w:rFonts w:cs="Arial"/>
                <w:color w:val="000000"/>
                <w:sz w:val="20"/>
                <w:szCs w:val="20"/>
              </w:rPr>
              <w:t>Agree with r</w:t>
            </w:r>
            <w:r w:rsidR="005824A0">
              <w:rPr>
                <w:rFonts w:cs="Arial"/>
                <w:color w:val="000000"/>
                <w:sz w:val="20"/>
                <w:szCs w:val="20"/>
              </w:rPr>
              <w:t>ed</w:t>
            </w:r>
            <w:r>
              <w:rPr>
                <w:rFonts w:cs="Arial"/>
                <w:color w:val="000000"/>
                <w:sz w:val="20"/>
                <w:szCs w:val="20"/>
              </w:rPr>
              <w:t xml:space="preserve"> rating</w:t>
            </w:r>
            <w:r w:rsidR="005824A0">
              <w:rPr>
                <w:rFonts w:cs="Arial"/>
                <w:color w:val="000000"/>
                <w:sz w:val="20"/>
                <w:szCs w:val="20"/>
              </w:rPr>
              <w:t xml:space="preserve">. </w:t>
            </w:r>
          </w:p>
          <w:p w14:paraId="0ADA83E9" w14:textId="77777777" w:rsidR="005824A0" w:rsidRPr="00DD0F0F" w:rsidRDefault="005824A0" w:rsidP="00675C51">
            <w:pPr>
              <w:autoSpaceDE w:val="0"/>
              <w:autoSpaceDN w:val="0"/>
              <w:adjustRightInd w:val="0"/>
              <w:rPr>
                <w:rFonts w:cs="Arial"/>
                <w:color w:val="000000"/>
                <w:sz w:val="20"/>
                <w:szCs w:val="20"/>
              </w:rPr>
            </w:pPr>
            <w:r>
              <w:rPr>
                <w:rFonts w:cs="Arial"/>
                <w:color w:val="000000"/>
                <w:sz w:val="20"/>
                <w:szCs w:val="20"/>
              </w:rPr>
              <w:t xml:space="preserve">More detail on where this can be applied and how viable it is for sites in the UK. </w:t>
            </w:r>
          </w:p>
        </w:tc>
      </w:tr>
    </w:tbl>
    <w:p w14:paraId="5E6592BB" w14:textId="43FC17F2" w:rsidR="005824A0" w:rsidRDefault="005824A0" w:rsidP="005824A0">
      <w:pPr>
        <w:tabs>
          <w:tab w:val="left" w:pos="1454"/>
        </w:tabs>
        <w:ind w:left="567" w:hanging="567"/>
        <w:rPr>
          <w:rFonts w:asciiTheme="minorHAnsi" w:hAnsiTheme="minorHAnsi" w:cstheme="minorHAnsi"/>
        </w:rPr>
      </w:pPr>
      <w:r>
        <w:rPr>
          <w:rFonts w:asciiTheme="minorHAnsi" w:hAnsiTheme="minorHAnsi" w:cstheme="minorHAnsi"/>
        </w:rPr>
        <w:tab/>
      </w:r>
    </w:p>
    <w:p w14:paraId="6B6101EC" w14:textId="596F5ABC" w:rsidR="00034964" w:rsidRPr="002C62C2" w:rsidRDefault="00034964" w:rsidP="00F65334">
      <w:pPr>
        <w:rPr>
          <w:rFonts w:asciiTheme="minorHAnsi" w:hAnsiTheme="minorHAnsi" w:cstheme="minorHAnsi"/>
        </w:rPr>
      </w:pPr>
    </w:p>
    <w:sectPr w:rsidR="00034964" w:rsidRPr="002C62C2" w:rsidSect="005824A0">
      <w:pgSz w:w="16838" w:h="11906" w:orient="landscape" w:code="9"/>
      <w:pgMar w:top="720" w:right="709"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680E6" w14:textId="77777777" w:rsidR="00124A3E" w:rsidRDefault="00124A3E">
      <w:r>
        <w:separator/>
      </w:r>
    </w:p>
  </w:endnote>
  <w:endnote w:type="continuationSeparator" w:id="0">
    <w:p w14:paraId="0942A742" w14:textId="77777777" w:rsidR="00124A3E" w:rsidRDefault="001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BB756" w14:textId="21160ACD" w:rsidR="00D75DA2" w:rsidRDefault="00D75DA2" w:rsidP="007D545C">
    <w:pPr>
      <w:pStyle w:val="Header"/>
      <w:jc w:val="center"/>
      <w:rPr>
        <w:b/>
        <w:color w:val="006D68"/>
        <w:sz w:val="14"/>
        <w:szCs w:val="14"/>
      </w:rPr>
    </w:pPr>
  </w:p>
  <w:p w14:paraId="730524E6" w14:textId="77777777" w:rsidR="00D75DA2" w:rsidRDefault="00D75DA2" w:rsidP="00BC5FC8">
    <w:pPr>
      <w:pStyle w:val="Header"/>
      <w:jc w:val="center"/>
      <w:rPr>
        <w:b/>
        <w:color w:val="006D68"/>
        <w:sz w:val="14"/>
        <w:szCs w:val="14"/>
      </w:rPr>
    </w:pPr>
  </w:p>
  <w:p w14:paraId="27657069" w14:textId="77777777" w:rsidR="00D75DA2" w:rsidRDefault="00D75DA2" w:rsidP="00BC5FC8">
    <w:pPr>
      <w:pStyle w:val="Footer"/>
      <w:tabs>
        <w:tab w:val="clear" w:pos="4153"/>
        <w:tab w:val="clear" w:pos="8306"/>
        <w:tab w:val="right" w:pos="9214"/>
      </w:tabs>
      <w:jc w:val="center"/>
      <w:rPr>
        <w:color w:val="006D68"/>
        <w:sz w:val="14"/>
        <w:szCs w:val="14"/>
      </w:rPr>
    </w:pPr>
  </w:p>
  <w:p w14:paraId="79963280" w14:textId="05290FD3"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006279">
      <w:rPr>
        <w:b/>
        <w:noProof/>
        <w:color w:val="006D68"/>
        <w:sz w:val="14"/>
        <w:szCs w:val="14"/>
      </w:rPr>
      <w:t>8</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006279">
      <w:rPr>
        <w:b/>
        <w:noProof/>
        <w:color w:val="006D68"/>
        <w:sz w:val="14"/>
        <w:szCs w:val="14"/>
      </w:rPr>
      <w:t>8</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7246F" w14:textId="65A92F84" w:rsidR="00D75DA2" w:rsidRDefault="00D75DA2" w:rsidP="007D545C">
    <w:pPr>
      <w:pStyle w:val="Header"/>
      <w:jc w:val="center"/>
      <w:rPr>
        <w:b/>
        <w:color w:val="006D68"/>
        <w:sz w:val="14"/>
        <w:szCs w:val="14"/>
      </w:rPr>
    </w:pPr>
  </w:p>
  <w:p w14:paraId="61BD94E2" w14:textId="77777777" w:rsidR="00D75DA2" w:rsidRDefault="00D75DA2" w:rsidP="00BC5FC8">
    <w:pPr>
      <w:pStyle w:val="Header"/>
      <w:jc w:val="center"/>
      <w:rPr>
        <w:b/>
        <w:color w:val="006D68"/>
        <w:sz w:val="14"/>
        <w:szCs w:val="14"/>
      </w:rPr>
    </w:pPr>
  </w:p>
  <w:p w14:paraId="410584C8" w14:textId="77777777" w:rsidR="00D75DA2" w:rsidRDefault="00D75DA2" w:rsidP="00BC5FC8">
    <w:pPr>
      <w:pStyle w:val="Footer"/>
      <w:tabs>
        <w:tab w:val="clear" w:pos="4153"/>
        <w:tab w:val="clear" w:pos="8306"/>
        <w:tab w:val="right" w:pos="9214"/>
      </w:tabs>
      <w:jc w:val="center"/>
      <w:rPr>
        <w:color w:val="006D68"/>
        <w:sz w:val="14"/>
        <w:szCs w:val="14"/>
      </w:rPr>
    </w:pPr>
  </w:p>
  <w:p w14:paraId="0BC3CEF7" w14:textId="50AFBEB2"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006279">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006279">
      <w:rPr>
        <w:b/>
        <w:noProof/>
        <w:color w:val="006D68"/>
        <w:sz w:val="14"/>
        <w:szCs w:val="14"/>
      </w:rPr>
      <w:t>8</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CBD03" w14:textId="77777777" w:rsidR="00124A3E" w:rsidRDefault="00124A3E">
      <w:r>
        <w:separator/>
      </w:r>
    </w:p>
  </w:footnote>
  <w:footnote w:type="continuationSeparator" w:id="0">
    <w:p w14:paraId="6B019F71" w14:textId="77777777" w:rsidR="00124A3E" w:rsidRDefault="00124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AF1E" w14:textId="77777777" w:rsidR="00D75DA2" w:rsidRDefault="00A25EB0">
    <w:pPr>
      <w:pStyle w:val="Header"/>
      <w:rPr>
        <w:b/>
        <w:color w:val="006D68"/>
        <w:sz w:val="14"/>
        <w:szCs w:val="14"/>
      </w:rPr>
    </w:pPr>
    <w:r w:rsidRPr="00487A22">
      <w:rPr>
        <w:color w:val="006D68"/>
        <w:sz w:val="14"/>
        <w:szCs w:val="14"/>
      </w:rPr>
      <w:t>Office for Nuclear Regulation</w:t>
    </w:r>
  </w:p>
  <w:p w14:paraId="78B7D88D" w14:textId="77777777" w:rsidR="00D75DA2" w:rsidRDefault="00D75DA2">
    <w:pPr>
      <w:pStyle w:val="Header"/>
      <w:rPr>
        <w:b/>
        <w:color w:val="006D68"/>
        <w:sz w:val="14"/>
        <w:szCs w:val="14"/>
      </w:rPr>
    </w:pPr>
  </w:p>
  <w:p w14:paraId="33E04969" w14:textId="77777777" w:rsidR="00D75DA2" w:rsidRDefault="00D75DA2" w:rsidP="007D545C">
    <w:pPr>
      <w:pStyle w:val="Header"/>
      <w:jc w:val="center"/>
      <w:rPr>
        <w:b/>
        <w:color w:val="006D68"/>
        <w:sz w:val="14"/>
        <w:szCs w:val="14"/>
      </w:rPr>
    </w:pPr>
  </w:p>
  <w:p w14:paraId="3E6D0A20" w14:textId="77777777" w:rsidR="00F50CB2" w:rsidRDefault="00F50CB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9396C" w14:textId="57429CC3" w:rsidR="000F2133" w:rsidRPr="00C754D7" w:rsidRDefault="00457068" w:rsidP="000F2133">
    <w:pPr>
      <w:pStyle w:val="Header"/>
      <w:rPr>
        <w:b/>
        <w:sz w:val="20"/>
        <w:szCs w:val="20"/>
      </w:rPr>
    </w:pPr>
    <w:r>
      <w:rPr>
        <w:b/>
        <w:noProof/>
        <w:sz w:val="20"/>
        <w:szCs w:val="20"/>
        <w:lang w:eastAsia="en-GB"/>
      </w:rPr>
      <w:drawing>
        <wp:inline distT="0" distB="0" distL="0" distR="0" wp14:anchorId="076FBB26" wp14:editId="646B45D1">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r w:rsidR="000F2133">
      <w:rPr>
        <w:b/>
        <w:sz w:val="20"/>
        <w:szCs w:val="20"/>
      </w:rPr>
      <w:tab/>
    </w:r>
    <w:r w:rsidR="000F2133">
      <w:rPr>
        <w:b/>
        <w:sz w:val="20"/>
        <w:szCs w:val="20"/>
      </w:rPr>
      <w:tab/>
    </w:r>
    <w:r w:rsidR="000F2133">
      <w:rPr>
        <w:b/>
        <w:sz w:val="20"/>
        <w:szCs w:val="20"/>
      </w:rPr>
      <w:tab/>
    </w:r>
    <w:r w:rsidR="00AF4C0F">
      <w:rPr>
        <w:b/>
        <w:sz w:val="20"/>
        <w:szCs w:val="20"/>
      </w:rPr>
      <w:t>ONR</w:t>
    </w:r>
    <w:r>
      <w:rPr>
        <w:b/>
        <w:sz w:val="20"/>
        <w:szCs w:val="20"/>
      </w:rPr>
      <w:t xml:space="preserve"> Ref:</w:t>
    </w:r>
    <w:r w:rsidR="000F2133">
      <w:rPr>
        <w:b/>
        <w:sz w:val="20"/>
        <w:szCs w:val="20"/>
      </w:rPr>
      <w:t xml:space="preserve"> ONR414</w:t>
    </w:r>
  </w:p>
  <w:p w14:paraId="58DDED46"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4">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6">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8">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4">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6">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15"/>
  </w:num>
  <w:num w:numId="4">
    <w:abstractNumId w:val="0"/>
  </w:num>
  <w:num w:numId="5">
    <w:abstractNumId w:val="13"/>
  </w:num>
  <w:num w:numId="6">
    <w:abstractNumId w:val="26"/>
  </w:num>
  <w:num w:numId="7">
    <w:abstractNumId w:val="21"/>
  </w:num>
  <w:num w:numId="8">
    <w:abstractNumId w:val="18"/>
  </w:num>
  <w:num w:numId="9">
    <w:abstractNumId w:val="27"/>
  </w:num>
  <w:num w:numId="10">
    <w:abstractNumId w:val="2"/>
  </w:num>
  <w:num w:numId="11">
    <w:abstractNumId w:val="6"/>
  </w:num>
  <w:num w:numId="12">
    <w:abstractNumId w:val="9"/>
  </w:num>
  <w:num w:numId="13">
    <w:abstractNumId w:val="1"/>
  </w:num>
  <w:num w:numId="14">
    <w:abstractNumId w:val="19"/>
  </w:num>
  <w:num w:numId="15">
    <w:abstractNumId w:val="11"/>
  </w:num>
  <w:num w:numId="16">
    <w:abstractNumId w:val="24"/>
  </w:num>
  <w:num w:numId="17">
    <w:abstractNumId w:val="7"/>
  </w:num>
  <w:num w:numId="18">
    <w:abstractNumId w:val="16"/>
  </w:num>
  <w:num w:numId="19">
    <w:abstractNumId w:val="14"/>
  </w:num>
  <w:num w:numId="20">
    <w:abstractNumId w:val="3"/>
  </w:num>
  <w:num w:numId="21">
    <w:abstractNumId w:val="25"/>
  </w:num>
  <w:num w:numId="22">
    <w:abstractNumId w:val="4"/>
  </w:num>
  <w:num w:numId="23">
    <w:abstractNumId w:val="20"/>
  </w:num>
  <w:num w:numId="24">
    <w:abstractNumId w:val="22"/>
  </w:num>
  <w:num w:numId="25">
    <w:abstractNumId w:val="12"/>
  </w:num>
  <w:num w:numId="26">
    <w:abstractNumId w:val="5"/>
  </w:num>
  <w:num w:numId="27">
    <w:abstractNumId w:val="10"/>
  </w:num>
  <w:num w:numId="28">
    <w:abstractNumId w:val="23"/>
  </w:num>
  <w:num w:numId="29">
    <w:abstractNumId w:val="17"/>
  </w:num>
  <w:num w:numId="30">
    <w:abstractNumId w:val="24"/>
  </w:num>
  <w:num w:numId="31">
    <w:abstractNumId w:val="9"/>
  </w:num>
  <w:num w:numId="32">
    <w:abstractNumId w:val="9"/>
  </w:num>
  <w:num w:numId="33">
    <w:abstractNumId w:val="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06279"/>
    <w:rsid w:val="00030D3C"/>
    <w:rsid w:val="000312D3"/>
    <w:rsid w:val="00034964"/>
    <w:rsid w:val="000375D1"/>
    <w:rsid w:val="000715BD"/>
    <w:rsid w:val="00096F71"/>
    <w:rsid w:val="000B1830"/>
    <w:rsid w:val="000B4E40"/>
    <w:rsid w:val="000D13FC"/>
    <w:rsid w:val="000D6244"/>
    <w:rsid w:val="000F2133"/>
    <w:rsid w:val="00121C8F"/>
    <w:rsid w:val="00124A3E"/>
    <w:rsid w:val="00131ECC"/>
    <w:rsid w:val="00144CEA"/>
    <w:rsid w:val="00147E1A"/>
    <w:rsid w:val="00164F4F"/>
    <w:rsid w:val="00193C9A"/>
    <w:rsid w:val="001A58B1"/>
    <w:rsid w:val="001C3DB8"/>
    <w:rsid w:val="001D78A1"/>
    <w:rsid w:val="00200CB7"/>
    <w:rsid w:val="00207E83"/>
    <w:rsid w:val="0021074A"/>
    <w:rsid w:val="00216018"/>
    <w:rsid w:val="00253A41"/>
    <w:rsid w:val="0028011F"/>
    <w:rsid w:val="0028356A"/>
    <w:rsid w:val="00297401"/>
    <w:rsid w:val="002C62C2"/>
    <w:rsid w:val="003106C1"/>
    <w:rsid w:val="0031706E"/>
    <w:rsid w:val="00355FC5"/>
    <w:rsid w:val="003673DD"/>
    <w:rsid w:val="003B4AA2"/>
    <w:rsid w:val="003D005E"/>
    <w:rsid w:val="003E1CE3"/>
    <w:rsid w:val="003E2CA6"/>
    <w:rsid w:val="003E452E"/>
    <w:rsid w:val="00457068"/>
    <w:rsid w:val="004750A2"/>
    <w:rsid w:val="00487A22"/>
    <w:rsid w:val="004A7B1B"/>
    <w:rsid w:val="004B735E"/>
    <w:rsid w:val="004F24BC"/>
    <w:rsid w:val="00505F6E"/>
    <w:rsid w:val="005322E6"/>
    <w:rsid w:val="005556C6"/>
    <w:rsid w:val="0056057B"/>
    <w:rsid w:val="00562F2F"/>
    <w:rsid w:val="005824A0"/>
    <w:rsid w:val="005A1570"/>
    <w:rsid w:val="005A5A87"/>
    <w:rsid w:val="005F0722"/>
    <w:rsid w:val="00604F23"/>
    <w:rsid w:val="006A667F"/>
    <w:rsid w:val="006B2DA6"/>
    <w:rsid w:val="006C519A"/>
    <w:rsid w:val="006F1199"/>
    <w:rsid w:val="006F5420"/>
    <w:rsid w:val="00715C62"/>
    <w:rsid w:val="0072164C"/>
    <w:rsid w:val="007B4EE0"/>
    <w:rsid w:val="007D545C"/>
    <w:rsid w:val="007F7246"/>
    <w:rsid w:val="00842FD6"/>
    <w:rsid w:val="00863CDC"/>
    <w:rsid w:val="00891423"/>
    <w:rsid w:val="008A7BDD"/>
    <w:rsid w:val="008D71E9"/>
    <w:rsid w:val="008E67CB"/>
    <w:rsid w:val="0091041C"/>
    <w:rsid w:val="00932851"/>
    <w:rsid w:val="009678DE"/>
    <w:rsid w:val="00971BA8"/>
    <w:rsid w:val="009765DB"/>
    <w:rsid w:val="00987AA6"/>
    <w:rsid w:val="009962B1"/>
    <w:rsid w:val="009B2503"/>
    <w:rsid w:val="009B5159"/>
    <w:rsid w:val="009D3CD0"/>
    <w:rsid w:val="009F1B6F"/>
    <w:rsid w:val="00A25EB0"/>
    <w:rsid w:val="00A41FDA"/>
    <w:rsid w:val="00A442D1"/>
    <w:rsid w:val="00A85A88"/>
    <w:rsid w:val="00AB2BB0"/>
    <w:rsid w:val="00AB641B"/>
    <w:rsid w:val="00AB7147"/>
    <w:rsid w:val="00AD5635"/>
    <w:rsid w:val="00AE199F"/>
    <w:rsid w:val="00AF4C0F"/>
    <w:rsid w:val="00B23562"/>
    <w:rsid w:val="00B255B3"/>
    <w:rsid w:val="00B43C54"/>
    <w:rsid w:val="00B504F7"/>
    <w:rsid w:val="00B5615B"/>
    <w:rsid w:val="00B56CCE"/>
    <w:rsid w:val="00B75A3F"/>
    <w:rsid w:val="00B7664F"/>
    <w:rsid w:val="00B81B18"/>
    <w:rsid w:val="00BC24ED"/>
    <w:rsid w:val="00BC5FC8"/>
    <w:rsid w:val="00C04734"/>
    <w:rsid w:val="00C25583"/>
    <w:rsid w:val="00C707E3"/>
    <w:rsid w:val="00C75298"/>
    <w:rsid w:val="00C75A1C"/>
    <w:rsid w:val="00C97958"/>
    <w:rsid w:val="00CA3B14"/>
    <w:rsid w:val="00CD7B5F"/>
    <w:rsid w:val="00CE5958"/>
    <w:rsid w:val="00CE6571"/>
    <w:rsid w:val="00D3061A"/>
    <w:rsid w:val="00D55197"/>
    <w:rsid w:val="00D55FE7"/>
    <w:rsid w:val="00D75DA2"/>
    <w:rsid w:val="00D7747E"/>
    <w:rsid w:val="00DC6611"/>
    <w:rsid w:val="00DE4417"/>
    <w:rsid w:val="00DF3697"/>
    <w:rsid w:val="00E12A39"/>
    <w:rsid w:val="00E32F3B"/>
    <w:rsid w:val="00E71B0C"/>
    <w:rsid w:val="00E87C8C"/>
    <w:rsid w:val="00E9478E"/>
    <w:rsid w:val="00E97293"/>
    <w:rsid w:val="00EA5EB4"/>
    <w:rsid w:val="00ED5F2B"/>
    <w:rsid w:val="00F47D7A"/>
    <w:rsid w:val="00F50CB2"/>
    <w:rsid w:val="00F65334"/>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F5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uiPriority w:val="3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uiPriority w:val="3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4D47C-4521-4A7D-8862-656B3F95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3245</Words>
  <Characters>18262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2019-10-16T09:37:00Z</cp:lastPrinted>
  <dcterms:created xsi:type="dcterms:W3CDTF">2019-10-16T09:37:00Z</dcterms:created>
  <dcterms:modified xsi:type="dcterms:W3CDTF">2019-10-16T09:37:00Z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