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mallCaps w:val="1"/>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sectPr>
      </w:pPr>
      <w:bookmarkStart w:colFirst="0" w:colLast="0" w:name="_heading=h.tyjcwt" w:id="0"/>
      <w:bookmarkEnd w:id="0"/>
      <w:r w:rsidDel="00000000" w:rsidR="00000000" w:rsidRPr="00000000">
        <w:rPr>
          <w:rFonts w:ascii="Arial" w:cs="Arial" w:eastAsia="Arial" w:hAnsi="Arial"/>
          <w:b w:val="1"/>
          <w:sz w:val="24"/>
          <w:szCs w:val="24"/>
          <w:u w:val="single"/>
        </w:rPr>
        <mc:AlternateContent>
          <mc:Choice Requires="wpg">
            <w:drawing>
              <wp:anchor allowOverlap="1" behindDoc="0" distB="0" distT="0" distL="114300" distR="114300" hidden="0" layoutInCell="1" locked="0" relativeHeight="0" simplePos="0">
                <wp:simplePos x="0" y="0"/>
                <wp:positionH relativeFrom="page">
                  <wp:posOffset>889000</wp:posOffset>
                </wp:positionH>
                <wp:positionV relativeFrom="margin">
                  <wp:posOffset>336550</wp:posOffset>
                </wp:positionV>
                <wp:extent cx="6286500" cy="7549498"/>
                <wp:effectExtent b="0" l="0" r="0" t="0"/>
                <wp:wrapNone/>
                <wp:docPr id="19" name=""/>
                <a:graphic>
                  <a:graphicData uri="http://schemas.microsoft.com/office/word/2010/wordprocessingGroup">
                    <wpg:wgp>
                      <wpg:cNvGrpSpPr/>
                      <wpg:grpSpPr>
                        <a:xfrm>
                          <a:off x="2202750" y="5251"/>
                          <a:ext cx="6286500" cy="7549498"/>
                          <a:chOff x="2202750" y="5251"/>
                          <a:chExt cx="6286500" cy="7549498"/>
                        </a:xfrm>
                      </wpg:grpSpPr>
                      <wpg:grpSp>
                        <wpg:cNvGrpSpPr/>
                        <wpg:grpSpPr>
                          <a:xfrm>
                            <a:off x="2202750" y="5251"/>
                            <a:ext cx="6286500" cy="7549498"/>
                            <a:chOff x="2202750" y="5251"/>
                            <a:chExt cx="6286500" cy="7549498"/>
                          </a:xfrm>
                        </wpg:grpSpPr>
                        <wps:wsp>
                          <wps:cNvSpPr/>
                          <wps:cNvPr id="3" name="Shape 3"/>
                          <wps:spPr>
                            <a:xfrm>
                              <a:off x="2202750" y="5251"/>
                              <a:ext cx="6286500" cy="754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5251"/>
                              <a:ext cx="6286500" cy="7549498"/>
                              <a:chOff x="2202750" y="5251"/>
                              <a:chExt cx="6286500" cy="7549498"/>
                            </a:xfrm>
                          </wpg:grpSpPr>
                          <wps:wsp>
                            <wps:cNvSpPr/>
                            <wps:cNvPr id="5" name="Shape 5"/>
                            <wps:spPr>
                              <a:xfrm>
                                <a:off x="2202750" y="5251"/>
                                <a:ext cx="6286500" cy="754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5251"/>
                                <a:ext cx="6286500" cy="7549498"/>
                                <a:chOff x="2202750" y="5251"/>
                                <a:chExt cx="6286500" cy="7549498"/>
                              </a:xfrm>
                            </wpg:grpSpPr>
                            <wps:wsp>
                              <wps:cNvSpPr/>
                              <wps:cNvPr id="7" name="Shape 7"/>
                              <wps:spPr>
                                <a:xfrm>
                                  <a:off x="2202750" y="5251"/>
                                  <a:ext cx="6286500" cy="754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5251"/>
                                  <a:ext cx="6286500" cy="7549498"/>
                                  <a:chOff x="2202750" y="5251"/>
                                  <a:chExt cx="6286500" cy="7549498"/>
                                </a:xfrm>
                              </wpg:grpSpPr>
                              <wps:wsp>
                                <wps:cNvSpPr/>
                                <wps:cNvPr id="9" name="Shape 9"/>
                                <wps:spPr>
                                  <a:xfrm>
                                    <a:off x="2202750" y="5251"/>
                                    <a:ext cx="6286500" cy="754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5251"/>
                                    <a:ext cx="6286500" cy="7549498"/>
                                    <a:chOff x="2202750" y="5251"/>
                                    <a:chExt cx="6286500" cy="7549498"/>
                                  </a:xfrm>
                                </wpg:grpSpPr>
                                <wps:wsp>
                                  <wps:cNvSpPr/>
                                  <wps:cNvPr id="11" name="Shape 11"/>
                                  <wps:spPr>
                                    <a:xfrm>
                                      <a:off x="2202750" y="5251"/>
                                      <a:ext cx="6286500" cy="754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5251"/>
                                      <a:ext cx="6286500" cy="7549498"/>
                                      <a:chOff x="2202750" y="0"/>
                                      <a:chExt cx="6286500" cy="7560000"/>
                                    </a:xfrm>
                                  </wpg:grpSpPr>
                                  <wps:wsp>
                                    <wps:cNvSpPr/>
                                    <wps:cNvPr id="13" name="Shape 1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2202750" y="0"/>
                                        <a:chExt cx="6286500" cy="7560000"/>
                                      </a:xfrm>
                                    </wpg:grpSpPr>
                                    <wps:wsp>
                                      <wps:cNvSpPr/>
                                      <wps:cNvPr id="15" name="Shape 15"/>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17" name="Shape 17"/>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19" name="Shape 19"/>
                                        <wps:spPr>
                                          <a:xfrm>
                                            <a:off x="-133357" y="-2276513"/>
                                            <a:ext cx="5485128" cy="6018743"/>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p>
                                          </w:txbxContent>
                                        </wps:txbx>
                                        <wps:bodyPr anchorCtr="0" anchor="b" bIns="45700" lIns="91425" spcFirstLastPara="1" rIns="91425" wrap="square" tIns="45700">
                                          <a:noAutofit/>
                                        </wps:bodyPr>
                                      </wps:w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889000</wp:posOffset>
                </wp:positionH>
                <wp:positionV relativeFrom="margin">
                  <wp:posOffset>336550</wp:posOffset>
                </wp:positionV>
                <wp:extent cx="6286500" cy="7549498"/>
                <wp:effectExtent b="0" l="0" r="0" t="0"/>
                <wp:wrapNone/>
                <wp:docPr id="1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7549498"/>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96528</wp:posOffset>
            </wp:positionH>
            <wp:positionV relativeFrom="paragraph">
              <wp:posOffset>1698625</wp:posOffset>
            </wp:positionV>
            <wp:extent cx="1647190" cy="1371600"/>
            <wp:effectExtent b="0" l="0" r="0" t="0"/>
            <wp:wrapNone/>
            <wp:docPr descr="Crown Commercial Service" id="20" name="image1.png"/>
            <a:graphic>
              <a:graphicData uri="http://schemas.openxmlformats.org/drawingml/2006/picture">
                <pic:pic>
                  <pic:nvPicPr>
                    <pic:cNvPr descr="Crown Commercial Service" id="0" name="image1.png"/>
                    <pic:cNvPicPr preferRelativeResize="0"/>
                  </pic:nvPicPr>
                  <pic:blipFill>
                    <a:blip r:embed="rId12"/>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It summarises the main features of the procurement and includes CCS and the Supplier’s contact details.</w:t>
      </w:r>
    </w:p>
    <w:tbl>
      <w:tblPr>
        <w:tblStyle w:val="Table1"/>
        <w:tblW w:w="10530.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2127"/>
        <w:gridCol w:w="7967"/>
        <w:tblGridChange w:id="0">
          <w:tblGrid>
            <w:gridCol w:w="436"/>
            <w:gridCol w:w="2127"/>
            <w:gridCol w:w="7967"/>
          </w:tblGrid>
        </w:tblGridChange>
      </w:tblGrid>
      <w:tr>
        <w:trPr>
          <w:cantSplit w:val="0"/>
          <w:trHeight w:val="1072" w:hRule="atLeast"/>
          <w:tblHeader w:val="0"/>
        </w:trPr>
        <w:tc>
          <w:tcPr/>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Minister for the Cabinet Office represented by its executive agency the Crown Commercial Service (CCS). </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Its offices are on: 9th Floor, The Capital, Old Hall Street, Liverpool L3 9PP.</w:t>
            </w:r>
          </w:p>
          <w:p w:rsidR="00000000" w:rsidDel="00000000" w:rsidP="00000000" w:rsidRDefault="00000000" w:rsidRPr="00000000" w14:paraId="00000009">
            <w:pPr>
              <w:spacing w:after="0" w:lineRule="auto"/>
              <w:rPr>
                <w:rFonts w:ascii="Arial" w:cs="Arial" w:eastAsia="Arial" w:hAnsi="Arial"/>
                <w:b w:val="1"/>
                <w:sz w:val="24"/>
                <w:szCs w:val="24"/>
                <w:highlight w:val="yellow"/>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tbl>
            <w:tblPr>
              <w:tblStyle w:val="Table2"/>
              <w:tblW w:w="7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10"/>
              <w:gridCol w:w="2580"/>
              <w:tblGridChange w:id="0">
                <w:tblGrid>
                  <w:gridCol w:w="4710"/>
                  <w:gridCol w:w="2580"/>
                </w:tblGrid>
              </w:tblGridChange>
            </w:tblGrid>
            <w:tr>
              <w:trPr>
                <w:cantSplit w:val="0"/>
                <w:tblHeader w:val="0"/>
              </w:trPr>
              <w:tc>
                <w:tcPr>
                  <w:shd w:fill="auto" w:val="clear"/>
                </w:tcPr>
                <w:p w:rsidR="00000000" w:rsidDel="00000000" w:rsidP="00000000" w:rsidRDefault="00000000" w:rsidRPr="00000000" w14:paraId="0000000D">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Name: REDACTED</w:t>
                  </w:r>
                </w:p>
              </w:tc>
              <w:tc>
                <w:tcPr/>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 REDACTED</w:t>
                  </w:r>
                </w:p>
              </w:tc>
              <w:tc>
                <w:tcPr/>
                <w:p w:rsidR="00000000" w:rsidDel="00000000" w:rsidP="00000000" w:rsidRDefault="00000000" w:rsidRPr="00000000" w14:paraId="0000001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number:    REDACTED</w:t>
                  </w:r>
                </w:p>
              </w:tc>
              <w:tc>
                <w:tcPr/>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4">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SID4GOV ID: REDACTED</w:t>
                  </w:r>
                </w:p>
              </w:tc>
              <w:tc>
                <w:tcPr/>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6">
                  <w:pPr>
                    <w:spacing w:after="0" w:lineRule="auto"/>
                    <w:ind w:left="-7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3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 Framework Contract</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contract between CCS and the Supplier allows the Supplier to be considered for Call-off Contracts to supply the Deliverables in Lot(s)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cannot deliver in any other Lot under this contract. Any references made to other Lots in this contract do not apply.]</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opportunity is advertised in the Contract Notice in the Find a Tender Service reference 2021/S 000-008273 (FTS Contract Notice).</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sz w:val="24"/>
                <w:szCs w:val="24"/>
              </w:rPr>
            </w:pP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021">
            <w:pPr>
              <w:keepNext w:val="1"/>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is for the provision of Multifunctional Devices (MFD’s) and Basic Print Management Software and Associated Services which include the following services:</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Online Web-based Solution (including catalogue of devices, accessories and consumables)</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Web-based Solution</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Hardware Devices, Consumables and Basic Print Management Software</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Deployment Services</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Operational Services</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Financing options</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Associated services i.e. software applications and dedicated account manager</w:t>
            </w:r>
          </w:p>
          <w:p w:rsidR="00000000" w:rsidDel="00000000" w:rsidP="00000000" w:rsidRDefault="00000000" w:rsidRPr="00000000" w14:paraId="0000002B">
            <w:pPr>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120" w:before="12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is for the provision of </w:t>
            </w:r>
            <w:r w:rsidDel="00000000" w:rsidR="00000000" w:rsidRPr="00000000">
              <w:rPr>
                <w:rFonts w:ascii="Arial" w:cs="Arial" w:eastAsia="Arial" w:hAnsi="Arial"/>
                <w:sz w:val="24"/>
                <w:szCs w:val="24"/>
                <w:highlight w:val="white"/>
                <w:rtl w:val="0"/>
              </w:rPr>
              <w:t xml:space="preserve">Multifunctional Print Devices (MFDs), Print Management and/or Digital Workflow Software and Associated Services </w:t>
            </w:r>
            <w:r w:rsidDel="00000000" w:rsidR="00000000" w:rsidRPr="00000000">
              <w:rPr>
                <w:rFonts w:ascii="Arial" w:cs="Arial" w:eastAsia="Arial" w:hAnsi="Arial"/>
                <w:sz w:val="24"/>
                <w:szCs w:val="24"/>
                <w:rtl w:val="0"/>
              </w:rPr>
              <w:t xml:space="preserve">which include the following services:</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Hardware Devices and Consumable Products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Software Products</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Document Workflow Solutions </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Central Print Room and Reprographics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Cloud Based Hosting Service</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Financing options</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Deployment Services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Operational Services</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Associated Services </w:t>
            </w:r>
          </w:p>
          <w:p w:rsidR="00000000" w:rsidDel="00000000" w:rsidP="00000000" w:rsidRDefault="00000000" w:rsidRPr="00000000" w14:paraId="00000036">
            <w:pPr>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120" w:before="12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3</w:t>
            </w:r>
            <w:r w:rsidDel="00000000" w:rsidR="00000000" w:rsidRPr="00000000">
              <w:rPr>
                <w:rFonts w:ascii="Arial" w:cs="Arial" w:eastAsia="Arial" w:hAnsi="Arial"/>
                <w:sz w:val="24"/>
                <w:szCs w:val="24"/>
                <w:rtl w:val="0"/>
              </w:rPr>
              <w:t xml:space="preserve"> is for the provision of </w:t>
            </w:r>
            <w:r w:rsidDel="00000000" w:rsidR="00000000" w:rsidRPr="00000000">
              <w:rPr>
                <w:rFonts w:ascii="Arial" w:cs="Arial" w:eastAsia="Arial" w:hAnsi="Arial"/>
                <w:sz w:val="24"/>
                <w:szCs w:val="24"/>
                <w:shd w:fill="f8f9fa" w:val="clear"/>
                <w:rtl w:val="0"/>
              </w:rPr>
              <w:t xml:space="preserve">Multifunctional Print Devices (MFDs), Print Management and/or Digital Workflow under Managed Service Provision </w:t>
            </w:r>
            <w:r w:rsidDel="00000000" w:rsidR="00000000" w:rsidRPr="00000000">
              <w:rPr>
                <w:rFonts w:ascii="Arial" w:cs="Arial" w:eastAsia="Arial" w:hAnsi="Arial"/>
                <w:sz w:val="24"/>
                <w:szCs w:val="24"/>
                <w:rtl w:val="0"/>
              </w:rPr>
              <w:t xml:space="preserve">which include the following services:</w:t>
            </w:r>
          </w:p>
          <w:p w:rsidR="00000000" w:rsidDel="00000000" w:rsidP="00000000" w:rsidRDefault="00000000" w:rsidRPr="00000000" w14:paraId="00000038">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provision of a Managed Service for one, some or all of the services stated under Lot 3.</w:t>
            </w:r>
          </w:p>
          <w:p w:rsidR="00000000" w:rsidDel="00000000" w:rsidP="00000000" w:rsidRDefault="00000000" w:rsidRPr="00000000" w14:paraId="00000039">
            <w:pPr>
              <w:shd w:fill="ffffff" w:val="clear"/>
              <w:spacing w:after="0" w:line="240" w:lineRule="auto"/>
              <w:ind w:left="5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Hardware Devices and Consumable Products</w:t>
            </w:r>
          </w:p>
          <w:p w:rsidR="00000000" w:rsidDel="00000000" w:rsidP="00000000" w:rsidRDefault="00000000" w:rsidRPr="00000000" w14:paraId="0000003B">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Software Products</w:t>
            </w:r>
          </w:p>
          <w:p w:rsidR="00000000" w:rsidDel="00000000" w:rsidP="00000000" w:rsidRDefault="00000000" w:rsidRPr="00000000" w14:paraId="0000003C">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Document Workflow Solutions</w:t>
            </w:r>
          </w:p>
          <w:p w:rsidR="00000000" w:rsidDel="00000000" w:rsidP="00000000" w:rsidRDefault="00000000" w:rsidRPr="00000000" w14:paraId="0000003D">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Central print Room and Reprographics</w:t>
            </w:r>
          </w:p>
          <w:p w:rsidR="00000000" w:rsidDel="00000000" w:rsidP="00000000" w:rsidRDefault="00000000" w:rsidRPr="00000000" w14:paraId="0000003E">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Cloud Based Hosting service</w:t>
            </w:r>
          </w:p>
          <w:p w:rsidR="00000000" w:rsidDel="00000000" w:rsidP="00000000" w:rsidRDefault="00000000" w:rsidRPr="00000000" w14:paraId="0000003F">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Finance options</w:t>
            </w:r>
          </w:p>
          <w:p w:rsidR="00000000" w:rsidDel="00000000" w:rsidP="00000000" w:rsidRDefault="00000000" w:rsidRPr="00000000" w14:paraId="00000040">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Operational Services</w:t>
            </w:r>
          </w:p>
          <w:p w:rsidR="00000000" w:rsidDel="00000000" w:rsidP="00000000" w:rsidRDefault="00000000" w:rsidRPr="00000000" w14:paraId="00000041">
            <w:pPr>
              <w:shd w:fill="ffffff" w:val="clear"/>
              <w:spacing w:after="0" w:line="240" w:lineRule="auto"/>
              <w:ind w:left="5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Associated Services</w:t>
            </w:r>
          </w:p>
          <w:p w:rsidR="00000000" w:rsidDel="00000000" w:rsidP="00000000" w:rsidRDefault="00000000" w:rsidRPr="00000000" w14:paraId="00000042">
            <w:pPr>
              <w:tabs>
                <w:tab w:val="left" w:pos="720"/>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tabs>
                <w:tab w:val="left" w:pos="720"/>
              </w:tabs>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4</w:t>
            </w:r>
            <w:r w:rsidDel="00000000" w:rsidR="00000000" w:rsidRPr="00000000">
              <w:rPr>
                <w:rFonts w:ascii="Arial" w:cs="Arial" w:eastAsia="Arial" w:hAnsi="Arial"/>
                <w:sz w:val="24"/>
                <w:szCs w:val="24"/>
                <w:rtl w:val="0"/>
              </w:rPr>
              <w:t xml:space="preserve"> is for the provision of Print Consultancy services which includes the following services:</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Managed Print and Content Management Audit and Consultancy services</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vendor for Print Consultancy services</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Print Management Consultancy services providing assessment, evaluation, advice and recommendation in the context of sound strategic direction for Buyers</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Advice of Device management and Software options e.g. Digital Workflow and Central Print Room and Reprographics etc.</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Assessment and evaluation of Print Management usage and running costs to determine potential savings and efficiencies for Buyer.</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Buyers in preparation of competition documentation i.e. specification, valuation criteria, weightings etc.</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sz w:val="24"/>
                <w:szCs w:val="24"/>
              </w:rPr>
            </w:pPr>
            <w:r w:rsidDel="00000000" w:rsidR="00000000" w:rsidRPr="00000000">
              <w:rPr>
                <w:rtl w:val="0"/>
              </w:rPr>
            </w:r>
          </w:p>
        </w:tc>
      </w:tr>
      <w:tr>
        <w:trPr>
          <w:cantSplit w:val="0"/>
          <w:trHeight w:val="463" w:hRule="atLeast"/>
          <w:tblHeader w:val="0"/>
        </w:trPr>
        <w:tc>
          <w:tcPr/>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F">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13 September 2021</w:t>
            </w:r>
          </w:p>
        </w:tc>
      </w:tr>
      <w:tr>
        <w:trPr>
          <w:cantSplit w:val="0"/>
          <w:trHeight w:val="60" w:hRule="atLeast"/>
          <w:tblHeader w:val="0"/>
        </w:trPr>
        <w:tc>
          <w:tcPr/>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3">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12 September 2025</w:t>
            </w:r>
          </w:p>
        </w:tc>
      </w:tr>
      <w:tr>
        <w:trPr>
          <w:cantSplit w:val="0"/>
          <w:trHeight w:val="471" w:hRule="atLeast"/>
          <w:tblHeader w:val="0"/>
        </w:trPr>
        <w:tc>
          <w:tcPr/>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5A">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837" w:hRule="atLeast"/>
          <w:tblHeader w:val="0"/>
        </w:trPr>
        <w:tc>
          <w:tcPr/>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5E">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Lot 1 – direct award (sole supplier)</w:t>
            </w:r>
          </w:p>
          <w:p w:rsidR="00000000" w:rsidDel="00000000" w:rsidP="00000000" w:rsidRDefault="00000000" w:rsidRPr="00000000" w14:paraId="0000005F">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Lot 2 - further competition and/or direct award</w:t>
            </w:r>
          </w:p>
          <w:p w:rsidR="00000000" w:rsidDel="00000000" w:rsidP="00000000" w:rsidRDefault="00000000" w:rsidRPr="00000000" w14:paraId="00000060">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Lot 3 – further competition only</w:t>
            </w:r>
          </w:p>
          <w:p w:rsidR="00000000" w:rsidDel="00000000" w:rsidP="00000000" w:rsidRDefault="00000000" w:rsidRPr="00000000" w14:paraId="00000061">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Lot 4 – further competition and/or direct award</w:t>
            </w:r>
          </w:p>
          <w:p w:rsidR="00000000" w:rsidDel="00000000" w:rsidP="00000000" w:rsidRDefault="00000000" w:rsidRPr="00000000" w14:paraId="00000062">
            <w:pPr>
              <w:spacing w:after="0" w:lineRule="auto"/>
              <w:ind w:right="936"/>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63">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See Framework Schedule 7 (Call-off Award Procedures)</w:t>
            </w:r>
          </w:p>
          <w:p w:rsidR="00000000" w:rsidDel="00000000" w:rsidP="00000000" w:rsidRDefault="00000000" w:rsidRPr="00000000" w14:paraId="00000064">
            <w:pPr>
              <w:spacing w:after="0" w:lineRule="auto"/>
              <w:ind w:right="936"/>
              <w:rPr>
                <w:rFonts w:ascii="Arial" w:cs="Arial" w:eastAsia="Arial" w:hAnsi="Arial"/>
                <w:sz w:val="24"/>
                <w:szCs w:val="24"/>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Incorporated Terms </w:t>
            </w:r>
          </w:p>
          <w:p w:rsidR="00000000" w:rsidDel="00000000" w:rsidP="00000000" w:rsidRDefault="00000000" w:rsidRPr="00000000" w14:paraId="0000006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(together these documents form the ‘the Framework Contract’)</w:t>
            </w:r>
          </w:p>
          <w:p w:rsidR="00000000" w:rsidDel="00000000" w:rsidP="00000000" w:rsidRDefault="00000000" w:rsidRPr="00000000" w14:paraId="0000006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7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Framework Special Terms (see Section 10 ‘Framework Special Terms’ in this Framework Award Form)</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 (Definitions) RM6174 </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11 (Processing Data) RM6174</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Schedules for RM6174 (in equal order of precedence):</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1 (Specification)</w:t>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2 (Framework Tender)</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3 (Framework Prices)</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4 (Framework Management)</w:t>
            </w:r>
          </w:p>
          <w:p w:rsidR="00000000" w:rsidDel="00000000" w:rsidP="00000000" w:rsidRDefault="00000000" w:rsidRPr="00000000" w14:paraId="00000085">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5 (Management Charges and Information)</w:t>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6a (Order Form Template for Purchasing Only)</w:t>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6b (Order Form Template for Operating Lease Only)</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6c (Order Form Template for Finance Lease Only)</w:t>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7 - (Call-Off Award Procedures) </w:t>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8 (Self Audit Certificate)</w:t>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9 (Cyber Essentials Scheme)</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10 ISO 27001or equivalent</w:t>
            </w:r>
          </w:p>
          <w:p w:rsidR="00000000" w:rsidDel="00000000" w:rsidP="00000000" w:rsidRDefault="00000000" w:rsidRPr="00000000" w14:paraId="0000008D">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 (Transparency Reports)</w:t>
            </w:r>
          </w:p>
          <w:p w:rsidR="00000000" w:rsidDel="00000000" w:rsidP="00000000" w:rsidRDefault="00000000" w:rsidRPr="00000000" w14:paraId="0000008E">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 (Staff Transfer)</w:t>
            </w:r>
          </w:p>
          <w:p w:rsidR="00000000" w:rsidDel="00000000" w:rsidP="00000000" w:rsidRDefault="00000000" w:rsidRPr="00000000" w14:paraId="0000008F">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4 (Call-Off Tender)</w:t>
              <w:tab/>
              <w:tab/>
            </w:r>
          </w:p>
          <w:p w:rsidR="00000000" w:rsidDel="00000000" w:rsidP="00000000" w:rsidRDefault="00000000" w:rsidRPr="00000000" w14:paraId="00000090">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5 </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Pricing Details)</w:t>
              <w:tab/>
              <w:t xml:space="preserve">           </w:t>
            </w:r>
          </w:p>
          <w:p w:rsidR="00000000" w:rsidDel="00000000" w:rsidP="00000000" w:rsidRDefault="00000000" w:rsidRPr="00000000" w14:paraId="00000091">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6 (ICT Services)</w:t>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8 (Business Continuity and Disaster Recovery) </w:t>
            </w:r>
          </w:p>
          <w:p w:rsidR="00000000" w:rsidDel="00000000" w:rsidP="00000000" w:rsidRDefault="00000000" w:rsidRPr="00000000" w14:paraId="00000093">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9 (Security)</w:t>
              <w:tab/>
              <w:tab/>
              <w:t xml:space="preserve"> </w:t>
              <w:tab/>
              <w:t xml:space="preserve"> </w:t>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10 (Exit Management) </w:t>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11 (Installation Works)</w:t>
              <w:tab/>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12 (Clustering) </w:t>
              <w:tab/>
              <w:tab/>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13 (Implementation Plan and Testing)</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14 (Service Levels) </w:t>
              <w:tab/>
              <w:tab/>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15 (Call-Off Contract Management)</w:t>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17 (MOD Terms)</w:t>
            </w:r>
          </w:p>
          <w:p w:rsidR="00000000" w:rsidDel="00000000" w:rsidP="00000000" w:rsidRDefault="00000000" w:rsidRPr="00000000" w14:paraId="0000009B">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18 (Background Checks) </w:t>
              <w:tab/>
            </w:r>
          </w:p>
          <w:p w:rsidR="00000000" w:rsidDel="00000000" w:rsidP="00000000" w:rsidRDefault="00000000" w:rsidRPr="00000000" w14:paraId="0000009C">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19 (Scottish Law)</w:t>
              <w:tab/>
              <w:tab/>
              <w:t xml:space="preserve">     </w:t>
            </w:r>
          </w:p>
          <w:p w:rsidR="00000000" w:rsidDel="00000000" w:rsidP="00000000" w:rsidRDefault="00000000" w:rsidRPr="00000000" w14:paraId="0000009D">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20 (Call-Off Specification)    </w:t>
            </w:r>
          </w:p>
          <w:p w:rsidR="00000000" w:rsidDel="00000000" w:rsidP="00000000" w:rsidRDefault="00000000" w:rsidRPr="00000000" w14:paraId="0000009E">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21 (Northern Ireland Law)    </w:t>
            </w:r>
          </w:p>
          <w:p w:rsidR="00000000" w:rsidDel="00000000" w:rsidP="00000000" w:rsidRDefault="00000000" w:rsidRPr="00000000" w14:paraId="0000009F">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23 (HMRC Terms)   </w:t>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24 (Operating Lease Terms)</w:t>
            </w:r>
          </w:p>
          <w:p w:rsidR="00000000" w:rsidDel="00000000" w:rsidP="00000000" w:rsidRDefault="00000000" w:rsidRPr="00000000" w14:paraId="000000A1">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25 (Finance Lease Terms)</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26 (Supplier-Furnished Terms     )             </w:t>
            </w:r>
          </w:p>
          <w:p w:rsidR="00000000" w:rsidDel="00000000" w:rsidP="00000000" w:rsidRDefault="00000000" w:rsidRPr="00000000" w14:paraId="000000A3">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 (Definitions)</w:t>
            </w:r>
          </w:p>
          <w:p w:rsidR="00000000" w:rsidDel="00000000" w:rsidP="00000000" w:rsidRDefault="00000000" w:rsidRPr="00000000" w14:paraId="000000A4">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2 (Variation Form)</w:t>
            </w:r>
          </w:p>
          <w:p w:rsidR="00000000" w:rsidDel="00000000" w:rsidP="00000000" w:rsidRDefault="00000000" w:rsidRPr="00000000" w14:paraId="000000A5">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3 (Insurance Requirements)</w:t>
            </w:r>
          </w:p>
          <w:p w:rsidR="00000000" w:rsidDel="00000000" w:rsidP="00000000" w:rsidRDefault="00000000" w:rsidRPr="00000000" w14:paraId="000000A6">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4 (Commercially Sensitive Information)</w:t>
            </w:r>
          </w:p>
          <w:p w:rsidR="00000000" w:rsidDel="00000000" w:rsidP="00000000" w:rsidRDefault="00000000" w:rsidRPr="00000000" w14:paraId="000000A7">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5 (Corporate Social Responsibility)</w:t>
            </w:r>
          </w:p>
          <w:p w:rsidR="00000000" w:rsidDel="00000000" w:rsidP="00000000" w:rsidRDefault="00000000" w:rsidRPr="00000000" w14:paraId="000000A8">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6 (Key Subcontractors)</w:t>
            </w:r>
          </w:p>
          <w:p w:rsidR="00000000" w:rsidDel="00000000" w:rsidP="00000000" w:rsidRDefault="00000000" w:rsidRPr="00000000" w14:paraId="000000A9">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7 (Financial Difficulties)</w:t>
            </w:r>
          </w:p>
          <w:p w:rsidR="00000000" w:rsidDel="00000000" w:rsidP="00000000" w:rsidRDefault="00000000" w:rsidRPr="00000000" w14:paraId="000000AA">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8 (Guarantee)</w:t>
            </w:r>
          </w:p>
          <w:p w:rsidR="00000000" w:rsidDel="00000000" w:rsidP="00000000" w:rsidRDefault="00000000" w:rsidRPr="00000000" w14:paraId="000000AB">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9 (Minimum Standards of Reliability)</w:t>
            </w:r>
          </w:p>
          <w:p w:rsidR="00000000" w:rsidDel="00000000" w:rsidP="00000000" w:rsidRDefault="00000000" w:rsidRPr="00000000" w14:paraId="000000AC">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10 (Rectification Plan)</w:t>
            </w:r>
          </w:p>
          <w:p w:rsidR="00000000" w:rsidDel="00000000" w:rsidP="00000000" w:rsidRDefault="00000000" w:rsidRPr="00000000" w14:paraId="000000AD">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11 (Processing Data)</w:t>
            </w:r>
          </w:p>
          <w:p w:rsidR="00000000" w:rsidDel="00000000" w:rsidP="00000000" w:rsidRDefault="00000000" w:rsidRPr="00000000" w14:paraId="000000AE">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12 (Supply Chain Visibility)</w:t>
            </w:r>
          </w:p>
          <w:p w:rsidR="00000000" w:rsidDel="00000000" w:rsidP="00000000" w:rsidRDefault="00000000" w:rsidRPr="00000000" w14:paraId="000000AF">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13 (Continuous Improvement)</w:t>
            </w:r>
          </w:p>
          <w:p w:rsidR="00000000" w:rsidDel="00000000" w:rsidP="00000000" w:rsidRDefault="00000000" w:rsidRPr="00000000" w14:paraId="000000B0">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14 (Benchmarking) </w:t>
            </w:r>
          </w:p>
          <w:p w:rsidR="00000000" w:rsidDel="00000000" w:rsidP="00000000" w:rsidRDefault="00000000" w:rsidRPr="00000000" w14:paraId="000000B1">
            <w:pPr>
              <w:numPr>
                <w:ilvl w:val="0"/>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15 (Key Supplier Staff)</w:t>
              <w:tab/>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CCS Core Terms (version 3.0.11)</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 2 (Framework Tender) RM6174 as long as any part of the Framework Tender that offers a better commercial position for CCS or Buyers (as decided by CCS) take precedence over the documents above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sz w:val="24"/>
                <w:szCs w:val="24"/>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0B5">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B9">
            <w:pP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N/A</w:t>
            </w: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BA">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 </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rPr>
            </w:pPr>
            <w:r w:rsidDel="00000000" w:rsidR="00000000" w:rsidRPr="00000000">
              <w:rPr>
                <w:rFonts w:ascii="Arial" w:cs="Arial" w:eastAsia="Arial" w:hAnsi="Arial"/>
                <w:sz w:val="24"/>
                <w:szCs w:val="24"/>
                <w:rtl w:val="0"/>
              </w:rPr>
              <w:t xml:space="preserve">Details in Framework Schedule 3 (Framework Prices)</w:t>
            </w:r>
          </w:p>
        </w:tc>
      </w:tr>
      <w:tr>
        <w:trPr>
          <w:cantSplit w:val="0"/>
          <w:trHeight w:val="569" w:hRule="atLeast"/>
          <w:tblHeader w:val="0"/>
        </w:trPr>
        <w:tc>
          <w:tcPr/>
          <w:p w:rsidR="00000000" w:rsidDel="00000000" w:rsidP="00000000" w:rsidRDefault="00000000" w:rsidRPr="00000000" w14:paraId="000000BE">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Details in Annex of Joint Schedule 3 (Insurance Requirements).</w:t>
            </w:r>
            <w:r w:rsidDel="00000000" w:rsidR="00000000" w:rsidRPr="00000000">
              <w:rPr>
                <w:rtl w:val="0"/>
              </w:rPr>
            </w:r>
          </w:p>
        </w:tc>
      </w:tr>
      <w:tr>
        <w:trPr>
          <w:cantSplit w:val="0"/>
          <w:trHeight w:val="939" w:hRule="atLeast"/>
          <w:tblHeader w:val="0"/>
        </w:trPr>
        <w:tc>
          <w:tcPr/>
          <w:p w:rsidR="00000000" w:rsidDel="00000000" w:rsidP="00000000" w:rsidRDefault="00000000" w:rsidRPr="00000000" w14:paraId="000000C1">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Certification</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Scheme Basic Certificate.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in Framework Schedule 9 (Cyber Essentials Scheme)</w:t>
            </w:r>
          </w:p>
          <w:p w:rsidR="00000000" w:rsidDel="00000000" w:rsidP="00000000" w:rsidRDefault="00000000" w:rsidRPr="00000000" w14:paraId="000000C8">
            <w:pPr>
              <w:keepNext w:val="1"/>
              <w:tabs>
                <w:tab w:val="left" w:pos="142"/>
              </w:tabs>
              <w:spacing w:after="24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prior to the award of the Framework Contract a valid Cyber Essentials Basic Certificate to CCS. </w:t>
            </w:r>
          </w:p>
          <w:p w:rsidR="00000000" w:rsidDel="00000000" w:rsidP="00000000" w:rsidRDefault="00000000" w:rsidRPr="00000000" w14:paraId="000000C9">
            <w:pPr>
              <w:spacing w:after="24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the Certificate to CCS by the Framework Start Date or within thirty (30) days of the Framework Start Date. Until the Supplier provides the Certificate it shall be prohibited from participating in any Call-Off Procedure pursuant to Framework Schedule 7 (Call-Off Procedure and Award Criteria).</w:t>
            </w:r>
          </w:p>
          <w:p w:rsidR="00000000" w:rsidDel="00000000" w:rsidP="00000000" w:rsidRDefault="00000000" w:rsidRPr="00000000" w14:paraId="000000CA">
            <w:pPr>
              <w:spacing w:after="24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has not provided the Certificate by the Framework Start Date the Supplier shall provide evidence to the satisfaction of CCS of the measures they have taken to obtain the Certificate within thirty (30) days of such date.</w:t>
            </w:r>
          </w:p>
          <w:p w:rsidR="00000000" w:rsidDel="00000000" w:rsidP="00000000" w:rsidRDefault="00000000" w:rsidRPr="00000000" w14:paraId="000000CB">
            <w:pPr>
              <w:spacing w:after="240" w:before="120" w:lineRule="auto"/>
              <w:rPr>
                <w:rFonts w:ascii="Arial" w:cs="Arial" w:eastAsia="Arial" w:hAnsi="Arial"/>
                <w:sz w:val="24"/>
                <w:szCs w:val="24"/>
              </w:rPr>
            </w:pPr>
            <w:r w:rsidDel="00000000" w:rsidR="00000000" w:rsidRPr="00000000">
              <w:rPr>
                <w:rtl w:val="0"/>
              </w:rPr>
            </w:r>
          </w:p>
        </w:tc>
      </w:tr>
      <w:tr>
        <w:trPr>
          <w:cantSplit w:val="0"/>
          <w:trHeight w:val="939" w:hRule="atLeast"/>
          <w:tblHeader w:val="0"/>
        </w:trPr>
        <w:tc>
          <w:tcPr/>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ISO 27001 Certification</w:t>
            </w:r>
          </w:p>
        </w:tc>
        <w:tc>
          <w:tcPr/>
          <w:p w:rsidR="00000000" w:rsidDel="00000000" w:rsidP="00000000" w:rsidRDefault="00000000" w:rsidRPr="00000000" w14:paraId="000000CE">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ISO27001 Certificate (or equivalent).  </w:t>
            </w:r>
          </w:p>
          <w:p w:rsidR="00000000" w:rsidDel="00000000" w:rsidP="00000000" w:rsidRDefault="00000000" w:rsidRPr="00000000" w14:paraId="000000CF">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in Framework Schedule 10 (ISO27001 or equivalent). </w:t>
            </w:r>
          </w:p>
          <w:p w:rsidR="00000000" w:rsidDel="00000000" w:rsidP="00000000" w:rsidRDefault="00000000" w:rsidRPr="00000000" w14:paraId="000000D0">
            <w:pPr>
              <w:spacing w:after="24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the Certificate to CCS by the Framework Start Date or within thirty (30) days of the Framework Start Date. </w:t>
            </w:r>
          </w:p>
          <w:p w:rsidR="00000000" w:rsidDel="00000000" w:rsidP="00000000" w:rsidRDefault="00000000" w:rsidRPr="00000000" w14:paraId="000000D1">
            <w:pPr>
              <w:spacing w:after="24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Until the Supplier provides the Certificate it shall be prohibited from participating in any Call-Off Procedure pursuant to Framework Schedule 7 (Call-Off Procedure and Award Criteria).</w:t>
            </w:r>
          </w:p>
          <w:p w:rsidR="00000000" w:rsidDel="00000000" w:rsidP="00000000" w:rsidRDefault="00000000" w:rsidRPr="00000000" w14:paraId="000000D2">
            <w:pPr>
              <w:spacing w:after="240" w:before="120" w:lineRule="auto"/>
              <w:rPr>
                <w:rFonts w:ascii="Arial" w:cs="Arial" w:eastAsia="Arial" w:hAnsi="Arial"/>
                <w:sz w:val="24"/>
                <w:szCs w:val="24"/>
                <w:highlight w:val="yellow"/>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D3">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0D5">
            <w:pPr>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pay, the % stated below, excluding VAT Management Charge of all the Charges for the Deliverables invoiced to the Buyer under all Call-Off Contracts.</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1 – 0.25%</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2 – 0.7%</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3 – 0.7%</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4 – 0.5%</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DF">
            <w:pP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1333" w:hRule="atLeast"/>
          <w:tblHeader w:val="0"/>
        </w:trPr>
        <w:tc>
          <w:tcPr/>
          <w:p w:rsidR="00000000" w:rsidDel="00000000" w:rsidP="00000000" w:rsidRDefault="00000000" w:rsidRPr="00000000" w14:paraId="000000E0">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1333" w:hRule="atLeast"/>
          <w:tblHeader w:val="0"/>
        </w:trPr>
        <w:tc>
          <w:tcPr/>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1333" w:hRule="atLeast"/>
          <w:tblHeader w:val="0"/>
        </w:trPr>
        <w:tc>
          <w:tcPr/>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Protection </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p w:rsidR="00000000" w:rsidDel="00000000" w:rsidP="00000000" w:rsidRDefault="00000000" w:rsidRPr="00000000" w14:paraId="000000EC">
            <w:pPr>
              <w:rPr>
                <w:rFonts w:ascii="Arial" w:cs="Arial" w:eastAsia="Arial" w:hAnsi="Arial"/>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£10,000,000</w:t>
            </w:r>
          </w:p>
        </w:tc>
      </w:tr>
      <w:tr>
        <w:trPr>
          <w:cantSplit w:val="0"/>
          <w:trHeight w:val="1333" w:hRule="atLeast"/>
          <w:tblHeader w:val="0"/>
        </w:trPr>
        <w:tc>
          <w:tcPr/>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Contact</w:t>
            </w:r>
          </w:p>
        </w:tc>
        <w:tc>
          <w:tcPr/>
          <w:p w:rsidR="00000000" w:rsidDel="00000000" w:rsidP="00000000" w:rsidRDefault="00000000" w:rsidRPr="00000000" w14:paraId="000000F3">
            <w:pP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1333" w:hRule="atLeast"/>
          <w:tblHeader w:val="0"/>
        </w:trPr>
        <w:tc>
          <w:tcPr/>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Subcontractors</w:t>
            </w:r>
          </w:p>
        </w:tc>
        <w:tc>
          <w:tcPr>
            <w:shd w:fill="auto" w:val="clear"/>
          </w:tcPr>
          <w:p w:rsidR="00000000" w:rsidDel="00000000" w:rsidP="00000000" w:rsidRDefault="00000000" w:rsidRPr="00000000" w14:paraId="000000F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1333" w:hRule="atLeast"/>
          <w:tblHeader w:val="0"/>
        </w:trPr>
        <w:tc>
          <w:tcPr/>
          <w:p w:rsidR="00000000" w:rsidDel="00000000" w:rsidP="00000000" w:rsidRDefault="00000000" w:rsidRPr="00000000" w14:paraId="000000F8">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Representative</w:t>
            </w:r>
          </w:p>
        </w:tc>
        <w:tc>
          <w:tcPr/>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r>
    </w:tbl>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tbl>
      <w:tblPr>
        <w:tblStyle w:val="Table3"/>
        <w:tblW w:w="9170.000000000002" w:type="dxa"/>
        <w:jc w:val="left"/>
        <w:tblInd w:w="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1526"/>
        <w:gridCol w:w="2980"/>
        <w:gridCol w:w="1698"/>
        <w:gridCol w:w="2966"/>
        <w:tblGridChange w:id="0">
          <w:tblGrid>
            <w:gridCol w:w="1526"/>
            <w:gridCol w:w="2980"/>
            <w:gridCol w:w="1698"/>
            <w:gridCol w:w="2966"/>
          </w:tblGrid>
        </w:tblGridChange>
      </w:tblGrid>
      <w:tr>
        <w:trPr>
          <w:cantSplit w:val="0"/>
          <w:trHeight w:val="635" w:hRule="atLeast"/>
          <w:tblHeader w:val="0"/>
        </w:trPr>
        <w:tc>
          <w:tcPr>
            <w:gridSpan w:val="2"/>
          </w:tcPr>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CCS:</w:t>
            </w:r>
          </w:p>
        </w:tc>
      </w:tr>
      <w:tr>
        <w:trPr>
          <w:cantSplit w:val="0"/>
          <w:trHeight w:val="635" w:hRule="atLeast"/>
          <w:tblHeader w:val="0"/>
        </w:trPr>
        <w:tc>
          <w:tcPr/>
          <w:p w:rsidR="00000000" w:rsidDel="00000000" w:rsidP="00000000" w:rsidRDefault="00000000" w:rsidRPr="00000000" w14:paraId="00000103">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04">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c>
          <w:tcPr/>
          <w:p w:rsidR="00000000" w:rsidDel="00000000" w:rsidP="00000000" w:rsidRDefault="00000000" w:rsidRPr="00000000" w14:paraId="00000105">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06">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07">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08">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c>
          <w:tcPr/>
          <w:p w:rsidR="00000000" w:rsidDel="00000000" w:rsidP="00000000" w:rsidRDefault="00000000" w:rsidRPr="00000000" w14:paraId="00000109">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0A">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0B">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0C">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c>
          <w:tcPr/>
          <w:p w:rsidR="00000000" w:rsidDel="00000000" w:rsidP="00000000" w:rsidRDefault="00000000" w:rsidRPr="00000000" w14:paraId="0000010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0E">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0F">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0">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c>
          <w:tcPr/>
          <w:p w:rsidR="00000000" w:rsidDel="00000000" w:rsidP="00000000" w:rsidRDefault="00000000" w:rsidRPr="00000000" w14:paraId="00000111">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2">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REDACTED</w:t>
            </w:r>
            <w:r w:rsidDel="00000000" w:rsidR="00000000" w:rsidRPr="00000000">
              <w:rPr>
                <w:rtl w:val="0"/>
              </w:rPr>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ind w:left="792" w:firstLine="0"/>
        <w:rPr>
          <w:rFonts w:ascii="Arial" w:cs="Arial" w:eastAsia="Arial" w:hAnsi="Arial"/>
          <w:i w:val="1"/>
          <w:color w:val="000000"/>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792" w:firstLine="0"/>
        <w:rPr>
          <w:rFonts w:ascii="Arial" w:cs="Arial" w:eastAsia="Arial" w:hAnsi="Arial"/>
          <w:i w:val="1"/>
          <w:color w:val="000000"/>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1B">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D">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tabs>
        <w:tab w:val="center" w:pos="4513"/>
        <w:tab w:val="right" w:pos="9026"/>
      </w:tabs>
      <w:spacing w:after="0" w:lineRule="auto"/>
      <w:rPr>
        <w:color w:val="a6a6a6"/>
      </w:rPr>
    </w:pPr>
    <w:r w:rsidDel="00000000" w:rsidR="00000000" w:rsidRPr="00000000">
      <w:rPr>
        <w:rtl w:val="0"/>
      </w:rPr>
    </w:r>
  </w:p>
  <w:p w:rsidR="00000000" w:rsidDel="00000000" w:rsidP="00000000" w:rsidRDefault="00000000" w:rsidRPr="00000000" w14:paraId="0000011F">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RM6174 Multifunctional Devices (MFDs), Print and Digital Workflow Software Services and Managed Print Service Provision</w:t>
      <w:tab/>
      <w:t xml:space="preserve">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v3.4</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 xml:space="preserve">Crown Copyright 20</w:t>
    </w:r>
    <w:r w:rsidDel="00000000" w:rsidR="00000000" w:rsidRPr="00000000">
      <w:rPr>
        <w:rtl w:val="0"/>
      </w:rPr>
      <w:t xml:space="preserve">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644" w:hanging="357"/>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rPr>
      <w:lang w:eastAsia="en-US"/>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uiPriority w:val="9"/>
    <w:semiHidden w:val="1"/>
    <w:unhideWhenUsed w:val="1"/>
    <w:qFormat w:val="1"/>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uiPriority w:val="9"/>
    <w:semiHidden w:val="1"/>
    <w:unhideWhenUsed w:val="1"/>
    <w:qFormat w:val="1"/>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paragraph" w:styleId="Heading9">
    <w:name w:val="heading 9"/>
    <w:basedOn w:val="Normal"/>
    <w:next w:val="Normal"/>
    <w:link w:val="Heading9Char"/>
    <w:uiPriority w:val="9"/>
    <w:unhideWhenUsed w:val="1"/>
    <w:qFormat w:val="1"/>
    <w:rsid w:val="005D7424"/>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numbering" w:styleId="WWOutlineListStyle8" w:customStyle="1">
    <w:name w:val="WW_OutlineListStyle_8"/>
    <w:basedOn w:val="NoList"/>
  </w:style>
  <w:style w:type="paragraph" w:styleId="Level1Heading" w:customStyle="1">
    <w:name w:val="Level 1 Heading"/>
    <w:basedOn w:val="BodyText"/>
    <w:next w:val="Normal"/>
    <w:pPr>
      <w:keepNext w:val="1"/>
      <w:tabs>
        <w:tab w:val="left" w:pos="-1342"/>
      </w:tabs>
      <w:suppressAutoHyphens w:val="0"/>
      <w:spacing w:after="200" w:before="360" w:line="360" w:lineRule="auto"/>
      <w:outlineLvl w:val="0"/>
    </w:pPr>
    <w:rPr>
      <w:rFonts w:ascii="Arial" w:eastAsia="Times New Roman" w:hAnsi="Arial"/>
      <w:b w:val="1"/>
      <w:szCs w:val="20"/>
    </w:rPr>
  </w:style>
  <w:style w:type="paragraph" w:styleId="GPSL1CLAUSEHEADING" w:customStyle="1">
    <w:name w:val="GPS L1 CLAUSE HEADING"/>
    <w:basedOn w:val="Normal"/>
    <w:next w:val="Normal"/>
    <w:qFormat w:val="1"/>
    <w:pPr>
      <w:tabs>
        <w:tab w:val="left" w:pos="-3864"/>
      </w:tabs>
      <w:suppressAutoHyphens w:val="0"/>
      <w:spacing w:after="240" w:before="240" w:line="240" w:lineRule="auto"/>
      <w:jc w:val="both"/>
      <w:outlineLvl w:val="1"/>
    </w:pPr>
    <w:rPr>
      <w:rFonts w:ascii="Arial Bold" w:cs="Arial" w:eastAsia="STZhongsong" w:hAnsi="Arial Bold"/>
      <w:b w:val="1"/>
      <w:caps w:val="1"/>
      <w:lang w:eastAsia="zh-CN"/>
    </w:rPr>
  </w:style>
  <w:style w:type="character" w:styleId="Heading5Char" w:customStyle="1">
    <w:name w:val="Heading 5 Char"/>
    <w:basedOn w:val="DefaultParagraphFont"/>
    <w:rPr>
      <w:rFonts w:ascii="Arial" w:eastAsia="Times New Roman" w:hAnsi="Arial"/>
      <w:sz w:val="22"/>
      <w:szCs w:val="22"/>
      <w:lang w:eastAsia="en-US"/>
    </w:rPr>
  </w:style>
  <w:style w:type="character" w:styleId="Heading6Char" w:customStyle="1">
    <w:name w:val="Heading 6 Char"/>
    <w:basedOn w:val="DefaultParagraphFont"/>
    <w:rPr>
      <w:rFonts w:ascii="Arial" w:eastAsia="Times New Roman" w:hAnsi="Arial"/>
      <w:sz w:val="22"/>
      <w:szCs w:val="22"/>
      <w:lang w:eastAsia="en-US"/>
    </w:rPr>
  </w:style>
  <w:style w:type="paragraph" w:styleId="GPSL2NumberedBoldHeading" w:customStyle="1">
    <w:name w:val="GPS L2 Numbered Bold Heading"/>
    <w:basedOn w:val="Normal"/>
    <w:qFormat w:val="1"/>
    <w:pPr>
      <w:tabs>
        <w:tab w:val="left" w:pos="1134"/>
      </w:tabs>
      <w:suppressAutoHyphens w:val="0"/>
      <w:spacing w:after="120" w:before="120" w:line="240" w:lineRule="auto"/>
      <w:ind w:left="1494" w:hanging="218"/>
      <w:jc w:val="both"/>
    </w:pPr>
    <w:rPr>
      <w:rFonts w:cs="Arial" w:eastAsia="Times New Roman"/>
      <w:b w:val="1"/>
      <w:lang w:eastAsia="zh-CN"/>
    </w:rPr>
  </w:style>
  <w:style w:type="paragraph" w:styleId="BodyText1" w:customStyle="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val="1"/>
      <w:iCs w:val="1"/>
    </w:rPr>
  </w:style>
  <w:style w:type="paragraph" w:styleId="11table" w:customStyle="1">
    <w:name w:val="1.1 table"/>
    <w:basedOn w:val="Normal"/>
    <w:qFormat w:val="1"/>
    <w:pPr>
      <w:numPr>
        <w:numId w:val="7"/>
      </w:numPr>
      <w:suppressAutoHyphens w:val="0"/>
      <w:spacing w:after="0" w:line="240" w:lineRule="auto"/>
    </w:pPr>
    <w:rPr>
      <w:rFonts w:eastAsia="STZhongsong"/>
      <w:b w:val="1"/>
      <w:lang w:eastAsia="zh-CN"/>
    </w:rPr>
  </w:style>
  <w:style w:type="character" w:styleId="11tableChar" w:customStyle="1">
    <w:name w:val="1.1 table Char"/>
    <w:rPr>
      <w:rFonts w:eastAsia="STZhongsong"/>
      <w:b w:val="1"/>
      <w:sz w:val="22"/>
      <w:szCs w:val="22"/>
      <w:lang w:eastAsia="zh-CN"/>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2"/>
      <w:szCs w:val="22"/>
      <w:lang w:eastAsia="en-US"/>
    </w:rPr>
  </w:style>
  <w:style w:type="paragraph" w:styleId="MarginText" w:customStyle="1">
    <w:name w:val="Margin Text"/>
    <w:basedOn w:val="Normal"/>
    <w:pPr>
      <w:keepNext w:val="1"/>
      <w:suppressAutoHyphens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rPr>
      <w:rFonts w:ascii="Arial" w:eastAsia="STZhongsong" w:hAnsi="Arial"/>
      <w:sz w:val="18"/>
      <w:szCs w:val="18"/>
      <w:lang w:eastAsia="zh-CN"/>
    </w:rPr>
  </w:style>
  <w:style w:type="paragraph" w:styleId="GPSL2numberedclause" w:customStyle="1">
    <w:name w:val="GPS L2 numbered clause"/>
    <w:basedOn w:val="Normal"/>
    <w:qFormat w:val="1"/>
    <w:pPr>
      <w:tabs>
        <w:tab w:val="left" w:pos="1134"/>
      </w:tabs>
      <w:suppressAutoHyphens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qFormat w:val="1"/>
    <w:pPr>
      <w:tabs>
        <w:tab w:val="clear" w:pos="1134"/>
        <w:tab w:val="left" w:pos="1985"/>
        <w:tab w:val="left" w:pos="2127"/>
      </w:tabs>
      <w:ind w:left="1985" w:hanging="851"/>
    </w:pPr>
  </w:style>
  <w:style w:type="paragraph" w:styleId="GPSL4numberedclause" w:customStyle="1">
    <w:name w:val="GPS L4 numbered clause"/>
    <w:basedOn w:val="GPSL3numberedclause"/>
    <w:qFormat w:val="1"/>
    <w:pPr>
      <w:tabs>
        <w:tab w:val="clear" w:pos="2127"/>
      </w:tabs>
      <w:ind w:left="2835" w:hanging="708"/>
    </w:pPr>
    <w:rPr>
      <w:szCs w:val="20"/>
    </w:rPr>
  </w:style>
  <w:style w:type="character" w:styleId="GPSL2numberedclauseChar1" w:customStyle="1">
    <w:name w:val="GPS L2 numbered clause Char1"/>
    <w:rPr>
      <w:rFonts w:cs="Arial" w:eastAsia="Times New Roman"/>
      <w:sz w:val="22"/>
      <w:szCs w:val="22"/>
      <w:lang w:eastAsia="zh-CN"/>
    </w:rPr>
  </w:style>
  <w:style w:type="character" w:styleId="GPSL3numberedclauseChar" w:customStyle="1">
    <w:name w:val="GPS L3 numbered clause Char"/>
    <w:rPr>
      <w:rFonts w:cs="Arial" w:eastAsia="Times New Roman"/>
      <w:sz w:val="22"/>
      <w:szCs w:val="22"/>
      <w:lang w:eastAsia="zh-CN"/>
    </w:rPr>
  </w:style>
  <w:style w:type="paragraph" w:styleId="GPSL5numberedclause" w:customStyle="1">
    <w:name w:val="GPS L5 numbered clause"/>
    <w:basedOn w:val="GPSL4numberedclause"/>
    <w:qFormat w:val="1"/>
    <w:pPr>
      <w:tabs>
        <w:tab w:val="left" w:pos="3402"/>
      </w:tabs>
      <w:ind w:left="3402" w:hanging="567"/>
    </w:pPr>
  </w:style>
  <w:style w:type="paragraph" w:styleId="GPSL6numbered" w:customStyle="1">
    <w:name w:val="GPS L6 numbered"/>
    <w:basedOn w:val="GPSL5numberedclause"/>
    <w:qFormat w:val="1"/>
    <w:pPr>
      <w:tabs>
        <w:tab w:val="clear" w:pos="1985"/>
        <w:tab w:val="clear" w:pos="3402"/>
        <w:tab w:val="num" w:pos="720"/>
        <w:tab w:val="left" w:pos="24049"/>
        <w:tab w:val="left" w:pos="25466"/>
        <w:tab w:val="left" w:pos="26317"/>
      </w:tabs>
      <w:ind w:left="720" w:hanging="720"/>
    </w:pPr>
  </w:style>
  <w:style w:type="paragraph" w:styleId="Style1" w:customStyle="1">
    <w:name w:val="Style1"/>
    <w:basedOn w:val="ListParagraph"/>
    <w:pPr>
      <w:tabs>
        <w:tab w:val="num" w:pos="720"/>
      </w:tabs>
      <w:ind w:hanging="720"/>
    </w:pPr>
    <w:rPr>
      <w:b w:val="1"/>
      <w:sz w:val="20"/>
    </w:rPr>
  </w:style>
  <w:style w:type="character" w:styleId="ListParagraphChar" w:customStyle="1">
    <w:name w:val="List Paragraph Char"/>
    <w:basedOn w:val="DefaultParagraphFont"/>
    <w:rPr>
      <w:sz w:val="22"/>
      <w:szCs w:val="22"/>
      <w:lang w:eastAsia="en-US"/>
    </w:rPr>
  </w:style>
  <w:style w:type="character" w:styleId="Style1Char" w:customStyle="1">
    <w:name w:val="Style1 Char"/>
    <w:basedOn w:val="ListParagraphChar"/>
    <w:rPr>
      <w:b w:val="1"/>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rPr>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lang w:eastAsia="en-US"/>
    </w:rPr>
  </w:style>
  <w:style w:type="paragraph" w:styleId="Revision">
    <w:name w:val="Revision"/>
    <w:rPr>
      <w:lang w:eastAsia="en-US"/>
    </w:rPr>
  </w:style>
  <w:style w:type="paragraph" w:styleId="GPsDefinition" w:customStyle="1">
    <w:name w:val="GPs Definition"/>
    <w:basedOn w:val="Normal"/>
    <w:pPr>
      <w:tabs>
        <w:tab w:val="left" w:pos="-179"/>
      </w:tabs>
      <w:suppressAutoHyphens w:val="0"/>
      <w:overflowPunct w:val="0"/>
      <w:autoSpaceDE w:val="0"/>
      <w:spacing w:after="120" w:line="240" w:lineRule="auto"/>
      <w:jc w:val="both"/>
    </w:pPr>
    <w:rPr>
      <w:rFonts w:ascii="Arial" w:cs="Arial" w:eastAsia="Times New Roman" w:hAnsi="Arial"/>
    </w:rPr>
  </w:style>
  <w:style w:type="paragraph" w:styleId="GPSDefinitionL2" w:customStyle="1">
    <w:name w:val="GPS Definition L2"/>
    <w:basedOn w:val="GPsDefinition"/>
    <w:pPr>
      <w:tabs>
        <w:tab w:val="clear" w:pos="-179"/>
        <w:tab w:val="left" w:pos="-576"/>
      </w:tabs>
      <w:ind w:hanging="545"/>
    </w:pPr>
  </w:style>
  <w:style w:type="character" w:styleId="GPSDefinitionL2Char" w:customStyle="1">
    <w:name w:val="GPS Definition L2 Char"/>
    <w:rPr>
      <w:rFonts w:ascii="Arial" w:cs="Arial" w:eastAsia="Times New Roman" w:hAnsi="Arial"/>
      <w:sz w:val="22"/>
      <w:szCs w:val="22"/>
      <w:lang w:eastAsia="en-US"/>
    </w:rPr>
  </w:style>
  <w:style w:type="paragraph" w:styleId="GPSDefinitionL3" w:customStyle="1">
    <w:name w:val="GPS Definition L3"/>
    <w:basedOn w:val="GPSDefinitionL2"/>
  </w:style>
  <w:style w:type="paragraph" w:styleId="GPSDefinitionL4" w:customStyle="1">
    <w:name w:val="GPS Definition L4"/>
    <w:basedOn w:val="GPSDefinitionL3"/>
    <w:pPr>
      <w:tabs>
        <w:tab w:val="clear" w:pos="-576"/>
        <w:tab w:val="left" w:pos="-2316"/>
        <w:tab w:val="left" w:pos="-2100"/>
        <w:tab w:val="num" w:pos="720"/>
      </w:tabs>
      <w:ind w:left="720" w:hanging="720"/>
    </w:pPr>
  </w:style>
  <w:style w:type="character" w:styleId="GPSDefinitionL3Char" w:customStyle="1">
    <w:name w:val="GPS Definition L3 Char"/>
    <w:rPr>
      <w:rFonts w:ascii="Arial" w:cs="Arial" w:eastAsia="Times New Roman" w:hAnsi="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cs="Arial" w:eastAsia="Times New Roman" w:hAnsi="Arial"/>
      <w:sz w:val="20"/>
      <w:szCs w:val="20"/>
    </w:rPr>
  </w:style>
  <w:style w:type="character" w:styleId="FootnoteTextChar" w:customStyle="1">
    <w:name w:val="Footnote Text Char"/>
    <w:basedOn w:val="DefaultParagraphFont"/>
    <w:rPr>
      <w:rFonts w:ascii="Arial" w:cs="Arial" w:eastAsia="Times New Roman" w:hAnsi="Arial"/>
      <w:lang w:eastAsia="en-US"/>
    </w:rPr>
  </w:style>
  <w:style w:type="paragraph" w:styleId="BodyText">
    <w:name w:val="Body Text"/>
    <w:basedOn w:val="Normal"/>
    <w:pPr>
      <w:spacing w:after="120"/>
    </w:pPr>
  </w:style>
  <w:style w:type="character" w:styleId="BodyTextChar" w:customStyle="1">
    <w:name w:val="Body Text Char"/>
    <w:basedOn w:val="DefaultParagraphFont"/>
    <w:rPr>
      <w:sz w:val="22"/>
      <w:szCs w:val="22"/>
      <w:lang w:eastAsia="en-US"/>
    </w:rPr>
  </w:style>
  <w:style w:type="paragraph" w:styleId="Level2Heading" w:customStyle="1">
    <w:name w:val="Level 2 Heading"/>
    <w:basedOn w:val="BodyText"/>
    <w:next w:val="BodyText2"/>
    <w:pPr>
      <w:keepNext w:val="1"/>
      <w:tabs>
        <w:tab w:val="left" w:pos="360"/>
      </w:tabs>
      <w:suppressAutoHyphens w:val="0"/>
      <w:spacing w:after="200" w:before="360" w:line="360" w:lineRule="auto"/>
      <w:outlineLvl w:val="1"/>
    </w:pPr>
    <w:rPr>
      <w:rFonts w:ascii="Arial" w:eastAsia="Times New Roman" w:hAnsi="Arial"/>
      <w:b w:val="1"/>
      <w:sz w:val="20"/>
      <w:szCs w:val="20"/>
      <w:lang w:eastAsia="en-GB"/>
    </w:rPr>
  </w:style>
  <w:style w:type="paragraph" w:styleId="Level3Number" w:customStyle="1">
    <w:name w:val="Level 3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4Number" w:customStyle="1">
    <w:name w:val="Level 4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5Number" w:customStyle="1">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styleId="Level6Number" w:customStyle="1">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styleId="Level7Number" w:customStyle="1">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styleId="Level8Number" w:customStyle="1">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styleId="BodyText2Char" w:customStyle="1">
    <w:name w:val="Body Text 2 Char"/>
    <w:basedOn w:val="DefaultParagraphFont"/>
    <w:rPr>
      <w:sz w:val="22"/>
      <w:szCs w:val="22"/>
      <w:lang w:eastAsia="en-US"/>
    </w:rPr>
  </w:style>
  <w:style w:type="character" w:styleId="GPSL2NumberedBoldHeadingChar" w:customStyle="1">
    <w:name w:val="GPS L2 Numbered Bold Heading Char"/>
    <w:rPr>
      <w:rFonts w:cs="Arial" w:eastAsia="Times New Roman"/>
      <w:b w:val="1"/>
      <w:sz w:val="22"/>
      <w:szCs w:val="22"/>
      <w:lang w:eastAsia="zh-CN"/>
    </w:rPr>
  </w:style>
  <w:style w:type="paragraph" w:styleId="GPSL2Indent" w:customStyle="1">
    <w:name w:val="GPS L2 Indent"/>
    <w:basedOn w:val="Normal"/>
    <w:pPr>
      <w:tabs>
        <w:tab w:val="left" w:pos="3402"/>
      </w:tabs>
      <w:suppressAutoHyphens w:val="0"/>
      <w:overflowPunct w:val="0"/>
      <w:autoSpaceDE w:val="0"/>
      <w:spacing w:after="220" w:line="240" w:lineRule="auto"/>
      <w:ind w:left="1134"/>
      <w:jc w:val="both"/>
    </w:pPr>
    <w:rPr>
      <w:rFonts w:cs="Arial" w:eastAsia="Times New Roman"/>
      <w:szCs w:val="24"/>
    </w:rPr>
  </w:style>
  <w:style w:type="paragraph" w:styleId="GPSL2Numbered" w:customStyle="1">
    <w:name w:val="GPS L2 Numbered"/>
    <w:basedOn w:val="GPSL2NumberedBoldHeading"/>
    <w:qFormat w:val="1"/>
    <w:pPr>
      <w:tabs>
        <w:tab w:val="left" w:pos="709"/>
      </w:tabs>
      <w:ind w:hanging="360"/>
    </w:pPr>
    <w:rPr>
      <w:b w:val="0"/>
    </w:rPr>
  </w:style>
  <w:style w:type="character" w:styleId="GPSL2NumberedChar" w:customStyle="1">
    <w:name w:val="GPS L2 Numbered Char"/>
    <w:rPr>
      <w:rFonts w:cs="Arial" w:eastAsia="Times New Roman"/>
      <w:sz w:val="22"/>
      <w:szCs w:val="22"/>
      <w:lang w:eastAsia="zh-CN"/>
    </w:rPr>
  </w:style>
  <w:style w:type="character" w:styleId="GPSL2IndentChar" w:customStyle="1">
    <w:name w:val="GPS L2 Indent Char"/>
    <w:rPr>
      <w:rFonts w:cs="Arial" w:eastAsia="Times New Roman"/>
      <w:sz w:val="22"/>
      <w:szCs w:val="24"/>
      <w:lang w:eastAsia="en-US"/>
    </w:rPr>
  </w:style>
  <w:style w:type="character" w:styleId="GPSL4numberedclauseChar" w:customStyle="1">
    <w:name w:val="GPS L4 numbered clause Char"/>
    <w:rPr>
      <w:rFonts w:cs="Arial" w:eastAsia="Times New Roman"/>
      <w:sz w:val="22"/>
      <w:lang w:eastAsia="zh-CN"/>
    </w:rPr>
  </w:style>
  <w:style w:type="paragraph" w:styleId="GPSL3Indent" w:customStyle="1">
    <w:name w:val="GPS L3 Indent"/>
    <w:basedOn w:val="Normal"/>
    <w:pPr>
      <w:tabs>
        <w:tab w:val="left" w:pos="2127"/>
      </w:tabs>
      <w:suppressAutoHyphens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rPr>
      <w:rFonts w:ascii="Arial" w:cs="Arial" w:eastAsia="Times New Roman" w:hAnsi="Arial"/>
      <w:sz w:val="22"/>
      <w:szCs w:val="22"/>
      <w:lang w:eastAsia="zh-CN" w:val="en-US"/>
    </w:rPr>
  </w:style>
  <w:style w:type="character" w:styleId="GPSL5numberedclauseChar" w:customStyle="1">
    <w:name w:val="GPS L5 numbered clause Char"/>
    <w:rPr>
      <w:rFonts w:cs="Arial" w:eastAsia="Times New Roman"/>
      <w:sz w:val="22"/>
      <w:lang w:eastAsia="zh-CN"/>
    </w:rPr>
  </w:style>
  <w:style w:type="paragraph" w:styleId="Body3" w:customStyle="1">
    <w:name w:val="Body3"/>
    <w:basedOn w:val="Normal"/>
    <w:pPr>
      <w:suppressAutoHyphens w:val="0"/>
      <w:spacing w:after="220" w:line="240" w:lineRule="auto"/>
      <w:ind w:left="1412"/>
      <w:jc w:val="both"/>
    </w:pPr>
    <w:rPr>
      <w:rFonts w:ascii="Trebuchet MS" w:eastAsia="Times New Roman" w:hAnsi="Trebuchet MS"/>
      <w:sz w:val="20"/>
      <w:szCs w:val="20"/>
    </w:rPr>
  </w:style>
  <w:style w:type="paragraph" w:styleId="GPSDefinitionTerm" w:customStyle="1">
    <w:name w:val="GPS Definition Term"/>
    <w:basedOn w:val="Normal"/>
    <w:pPr>
      <w:suppressAutoHyphens w:val="0"/>
      <w:overflowPunct w:val="0"/>
      <w:autoSpaceDE w:val="0"/>
      <w:spacing w:after="120" w:line="240" w:lineRule="auto"/>
      <w:ind w:left="-108"/>
    </w:pPr>
    <w:rPr>
      <w:rFonts w:cs="Arial" w:eastAsia="Times New Roman"/>
      <w:b w:val="1"/>
    </w:rPr>
  </w:style>
  <w:style w:type="character" w:styleId="Heading7Char" w:customStyle="1">
    <w:name w:val="Heading 7 Char"/>
    <w:basedOn w:val="DefaultParagraphFont"/>
    <w:rPr>
      <w:rFonts w:ascii="Arial" w:eastAsia="Times New Roman" w:hAnsi="Arial"/>
      <w:sz w:val="22"/>
      <w:szCs w:val="22"/>
      <w:lang w:eastAsia="en-US"/>
    </w:rPr>
  </w:style>
  <w:style w:type="character" w:styleId="Heading8Char" w:customStyle="1">
    <w:name w:val="Heading 8 Char"/>
    <w:basedOn w:val="DefaultParagraphFont"/>
    <w:rPr>
      <w:rFonts w:ascii="Arial" w:eastAsia="Times New Roman" w:hAnsi="Arial"/>
      <w:sz w:val="22"/>
      <w:szCs w:val="22"/>
      <w:lang w:eastAsia="en-US"/>
    </w:rPr>
  </w:style>
  <w:style w:type="paragraph" w:styleId="GPSL4boldheading" w:customStyle="1">
    <w:name w:val="GPS L4 bold heading"/>
    <w:basedOn w:val="GPSL3numberedclause"/>
    <w:pPr>
      <w:numPr>
        <w:numId w:val="5"/>
      </w:numPr>
    </w:pPr>
    <w:rPr>
      <w:b w:val="1"/>
    </w:rPr>
  </w:style>
  <w:style w:type="character" w:styleId="GPSL4boldheadingChar" w:customStyle="1">
    <w:name w:val="GPS L4 bold heading Char"/>
    <w:rPr>
      <w:rFonts w:cs="Arial" w:eastAsia="Times New Roman"/>
      <w:b w:val="1"/>
      <w:sz w:val="22"/>
      <w:szCs w:val="22"/>
      <w:lang w:eastAsia="zh-CN"/>
    </w:rPr>
  </w:style>
  <w:style w:type="numbering" w:styleId="WWOutlineListStyle7" w:customStyle="1">
    <w:name w:val="WW_OutlineListStyle_7"/>
    <w:basedOn w:val="NoList"/>
  </w:style>
  <w:style w:type="numbering" w:styleId="WWOutlineListStyle6" w:customStyle="1">
    <w:name w:val="WW_OutlineListStyle_6"/>
    <w:basedOn w:val="NoList"/>
  </w:style>
  <w:style w:type="numbering" w:styleId="WWOutlineListStyle5" w:customStyle="1">
    <w:name w:val="WW_OutlineListStyle_5"/>
    <w:basedOn w:val="NoList"/>
  </w:style>
  <w:style w:type="numbering" w:styleId="WWOutlineListStyle4" w:customStyle="1">
    <w:name w:val="WW_OutlineListStyle_4"/>
    <w:basedOn w:val="NoList"/>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7" w:customStyle="1">
    <w:name w:val="LFO7"/>
    <w:basedOn w:val="NoList"/>
  </w:style>
  <w:style w:type="numbering" w:styleId="LFO9" w:customStyle="1">
    <w:name w:val="LFO9"/>
    <w:basedOn w:val="NoList"/>
  </w:style>
  <w:style w:type="numbering" w:styleId="LFO10" w:customStyle="1">
    <w:name w:val="LFO10"/>
    <w:basedOn w:val="NoList"/>
  </w:style>
  <w:style w:type="numbering" w:styleId="LFO12" w:customStyle="1">
    <w:name w:val="LFO12"/>
    <w:basedOn w:val="NoList"/>
  </w:style>
  <w:style w:type="numbering" w:styleId="LFO13" w:customStyle="1">
    <w:name w:val="LFO13"/>
    <w:basedOn w:val="NoList"/>
  </w:style>
  <w:style w:type="table" w:styleId="LightShading-Accent5">
    <w:name w:val="Light Shading Accent 5"/>
    <w:basedOn w:val="TableNormal"/>
    <w:uiPriority w:val="60"/>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Accent51" w:customStyle="1">
    <w:name w:val="List Table 3 - Accent 51"/>
    <w:basedOn w:val="TableNormal"/>
    <w:uiPriority w:val="4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GridTable2-Accent51" w:customStyle="1">
    <w:name w:val="Grid Table 2 - Accent 51"/>
    <w:basedOn w:val="TableNormal"/>
    <w:uiPriority w:val="47"/>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11" w:customStyle="1">
    <w:name w:val="Grid Table 2 - Accent 11"/>
    <w:basedOn w:val="TableNormal"/>
    <w:uiPriority w:val="47"/>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11" w:customStyle="1">
    <w:name w:val="Grid Table 4 - Accent 11"/>
    <w:basedOn w:val="TableNormal"/>
    <w:uiPriority w:val="49"/>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11" w:customStyle="1">
    <w:name w:val="Grid Table 6 Colorful - Accent 11"/>
    <w:basedOn w:val="TableNormal"/>
    <w:uiPriority w:val="51"/>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lang w:eastAsia="en-US"/>
    </w:rPr>
  </w:style>
  <w:style w:type="character" w:styleId="EndnoteReference">
    <w:name w:val="endnote reference"/>
    <w:basedOn w:val="DefaultParagraphFont"/>
    <w:uiPriority w:val="99"/>
    <w:semiHidden w:val="1"/>
    <w:unhideWhenUsed w:val="1"/>
    <w:rPr>
      <w:vertAlign w:val="superscript"/>
    </w:rPr>
  </w:style>
  <w:style w:type="table" w:styleId="LightList">
    <w:name w:val="Light List"/>
    <w:basedOn w:val="TableNormal"/>
    <w:uiPriority w:val="61"/>
    <w:rsid w:val="00AB5036"/>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0" w:customStyle="1">
    <w:basedOn w:val="TableNormal"/>
    <w:rPr>
      <w:color w:val="366091"/>
    </w:rPr>
    <w:tblPr>
      <w:tblStyleRowBandSize w:val="1"/>
      <w:tblStyleColBandSize w:val="1"/>
    </w:tblPr>
  </w:style>
  <w:style w:type="table" w:styleId="a1"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3" w:customStyle="1">
    <w:basedOn w:val="TableNormal"/>
    <w:rPr>
      <w:color w:val="366091"/>
    </w:rPr>
    <w:tblPr>
      <w:tblStyleRowBandSize w:val="1"/>
      <w:tblStyleColBandSize w:val="1"/>
    </w:tblPr>
  </w:style>
  <w:style w:type="table" w:styleId="a4"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Spacing">
    <w:name w:val="No Spacing"/>
    <w:uiPriority w:val="1"/>
    <w:qFormat w:val="1"/>
    <w:rsid w:val="004C5EBD"/>
    <w:pPr>
      <w:suppressAutoHyphens w:val="1"/>
      <w:spacing w:after="0" w:line="240" w:lineRule="auto"/>
    </w:pPr>
    <w:rPr>
      <w:lang w:eastAsia="en-US"/>
    </w:rPr>
  </w:style>
  <w:style w:type="table" w:styleId="a5"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6" w:customStyle="1">
    <w:basedOn w:val="TableNormal"/>
    <w:rPr>
      <w:color w:val="366091"/>
    </w:rPr>
    <w:tblPr>
      <w:tblStyleRowBandSize w:val="1"/>
      <w:tblStyleColBandSize w:val="1"/>
    </w:tblPr>
  </w:style>
  <w:style w:type="table" w:styleId="a7"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eading9Char" w:customStyle="1">
    <w:name w:val="Heading 9 Char"/>
    <w:basedOn w:val="DefaultParagraphFont"/>
    <w:link w:val="Heading9"/>
    <w:uiPriority w:val="9"/>
    <w:rsid w:val="005D7424"/>
    <w:rPr>
      <w:rFonts w:asciiTheme="majorHAnsi" w:cstheme="majorBidi" w:eastAsiaTheme="majorEastAsia" w:hAnsiTheme="majorHAnsi"/>
      <w:i w:val="1"/>
      <w:iCs w:val="1"/>
      <w:color w:val="272727" w:themeColor="text1" w:themeTint="0000D8"/>
      <w:sz w:val="21"/>
      <w:szCs w:val="21"/>
      <w:lang w:eastAsia="en-US"/>
    </w:rPr>
  </w:style>
  <w:style w:type="table" w:styleId="a8"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9" w:customStyle="1">
    <w:basedOn w:val="TableNormal"/>
    <w:rPr>
      <w:color w:val="366091"/>
    </w:rPr>
    <w:tblPr>
      <w:tblStyleRowBandSize w:val="1"/>
      <w:tblStyleColBandSize w:val="1"/>
    </w:tblPr>
  </w:style>
  <w:style w:type="table" w:styleId="aa"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b"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c" w:customStyle="1">
    <w:basedOn w:val="TableNormal"/>
    <w:rPr>
      <w:color w:val="366091"/>
    </w:rPr>
    <w:tblPr>
      <w:tblStyleRowBandSize w:val="1"/>
      <w:tblStyleColBandSize w:val="1"/>
    </w:tblPr>
  </w:style>
  <w:style w:type="table" w:styleId="ad"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e"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f" w:customStyle="1">
    <w:basedOn w:val="TableNormal"/>
    <w:rPr>
      <w:color w:val="366091"/>
    </w:rPr>
    <w:tblPr>
      <w:tblStyleRowBandSize w:val="1"/>
      <w:tblStyleColBandSize w:val="1"/>
    </w:tblPr>
  </w:style>
  <w:style w:type="table" w:styleId="af0"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15.0" w:type="dxa"/>
        <w:bottom w:w="0.0" w:type="dxa"/>
        <w:right w:w="115.0" w:type="dxa"/>
      </w:tblCellMar>
    </w:tblPr>
  </w:style>
  <w:style w:type="table" w:styleId="Table2">
    <w:basedOn w:val="TableNormal"/>
    <w:rPr>
      <w:color w:val="366091"/>
    </w:rPr>
    <w:tblPr>
      <w:tblStyleRowBandSize w:val="1"/>
      <w:tblStyleColBandSize w:val="1"/>
      <w:tblCellMar>
        <w:top w:w="0.0" w:type="dxa"/>
        <w:left w:w="115.0" w:type="dxa"/>
        <w:bottom w:w="0.0" w:type="dxa"/>
        <w:right w:w="115.0" w:type="dxa"/>
      </w:tblCellMar>
    </w:tblPr>
  </w:style>
  <w:style w:type="table" w:styleId="Table3">
    <w:basedOn w:val="TableNormal"/>
    <w:rPr>
      <w:color w:val="366091"/>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1.xml"/><Relationship Id="rId12"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nBxMp0PBcMhT7lkFmP4bHDaUtQ==">AMUW2mVOJKAmFb69+VNStyysaNBnInz5ogu15sNYEJxY3pEjXRKjGw3fhYj/BrivrRdwmFquWlpfeB6z1B35n8+9a5vN+ZKknIQPO59A78oEJnoWV0lj6ubZ4VuLWcDROMsRtrMh1kjF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2021-08-17T15:58:00Z</dcterms:created>
  <dc:creator>Vicky Tordoff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