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7"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0487"/>
      </w:tblGrid>
      <w:tr w:rsidR="00EA6380" w14:paraId="68D41EBD" w14:textId="77777777" w:rsidTr="006A63AB">
        <w:trPr>
          <w:cantSplit/>
          <w:trHeight w:val="2610"/>
        </w:trPr>
        <w:tc>
          <w:tcPr>
            <w:tcW w:w="10487" w:type="dxa"/>
            <w:hideMark/>
          </w:tcPr>
          <w:p w14:paraId="4F7A73DB" w14:textId="77777777" w:rsidR="00BB0055" w:rsidRDefault="00BB0055"/>
          <w:tbl>
            <w:tblPr>
              <w:tblStyle w:val="TableGrid"/>
              <w:tblW w:w="10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5672"/>
            </w:tblGrid>
            <w:tr w:rsidR="002A620A" w14:paraId="1D8AFA5F" w14:textId="77777777" w:rsidTr="0063595D">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5672" w:type="dxa"/>
                  <w:vAlign w:val="center"/>
                </w:tcPr>
                <w:p w14:paraId="22F7F551" w14:textId="38867D78" w:rsidR="002A620A" w:rsidRDefault="002A620A" w:rsidP="00FC484F">
                  <w:pPr>
                    <w:jc w:val="right"/>
                  </w:pPr>
                  <w:r w:rsidRPr="002A620A">
                    <w:rPr>
                      <w:noProof/>
                    </w:rPr>
                    <w:drawing>
                      <wp:inline distT="0" distB="0" distL="0" distR="0" wp14:anchorId="1A883E36" wp14:editId="0FCDB034">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6A63AB">
        <w:trPr>
          <w:cantSplit/>
          <w:trHeight w:val="5759"/>
        </w:trPr>
        <w:tc>
          <w:tcPr>
            <w:tcW w:w="10487" w:type="dxa"/>
            <w:hideMark/>
          </w:tcPr>
          <w:p w14:paraId="0DC7D919" w14:textId="21AF82D7" w:rsidR="0045304D" w:rsidRDefault="0045304D" w:rsidP="002A620A">
            <w:pPr>
              <w:pStyle w:val="Covertitle"/>
              <w:spacing w:after="240"/>
              <w:jc w:val="center"/>
              <w:rPr>
                <w:color w:val="0070C0"/>
                <w:sz w:val="40"/>
              </w:rPr>
            </w:pPr>
          </w:p>
          <w:p w14:paraId="1AEE0410" w14:textId="77777777" w:rsidR="00930BD5" w:rsidRPr="00554210" w:rsidRDefault="00930BD5" w:rsidP="00930BD5">
            <w:pPr>
              <w:pStyle w:val="Covertitle"/>
              <w:spacing w:after="240"/>
              <w:jc w:val="center"/>
              <w:rPr>
                <w:sz w:val="40"/>
              </w:rPr>
            </w:pPr>
            <w:r w:rsidRPr="00554210">
              <w:rPr>
                <w:sz w:val="40"/>
              </w:rPr>
              <w:t>Step Down Accommodation</w:t>
            </w:r>
          </w:p>
          <w:p w14:paraId="381E984E" w14:textId="77777777" w:rsidR="00930BD5" w:rsidRPr="00554210" w:rsidRDefault="00930BD5" w:rsidP="00930BD5">
            <w:pPr>
              <w:pStyle w:val="Covertitle"/>
              <w:spacing w:after="240"/>
              <w:jc w:val="center"/>
              <w:rPr>
                <w:sz w:val="40"/>
              </w:rPr>
            </w:pPr>
            <w:r w:rsidRPr="00554210">
              <w:rPr>
                <w:sz w:val="40"/>
              </w:rPr>
              <w:t>South London and Maudsley NHS Foundation Trust</w:t>
            </w:r>
          </w:p>
          <w:p w14:paraId="62ED1DC6" w14:textId="6D2CAC45" w:rsidR="0069508D" w:rsidRDefault="00576FE7" w:rsidP="002A620A">
            <w:pPr>
              <w:pStyle w:val="Covertitle"/>
              <w:spacing w:after="240"/>
              <w:jc w:val="center"/>
              <w:rPr>
                <w:sz w:val="40"/>
              </w:rPr>
            </w:pPr>
            <w:r>
              <w:rPr>
                <w:sz w:val="40"/>
              </w:rPr>
              <w:t>Specification</w:t>
            </w:r>
          </w:p>
          <w:p w14:paraId="55BDD3C2" w14:textId="1DF7DBDB" w:rsidR="00F65F05" w:rsidRDefault="00930BD5" w:rsidP="001F1853">
            <w:pPr>
              <w:pStyle w:val="Covertitle"/>
              <w:spacing w:after="240"/>
              <w:jc w:val="center"/>
            </w:pPr>
            <w:r w:rsidRPr="00554210">
              <w:rPr>
                <w:sz w:val="40"/>
              </w:rPr>
              <w:t>Ref: ST24-P019</w:t>
            </w:r>
          </w:p>
        </w:tc>
      </w:tr>
      <w:tr w:rsidR="002A620A" w14:paraId="30BB7301" w14:textId="77777777" w:rsidTr="006A63AB">
        <w:trPr>
          <w:cantSplit/>
          <w:trHeight w:val="3401"/>
        </w:trPr>
        <w:tc>
          <w:tcPr>
            <w:tcW w:w="10487" w:type="dxa"/>
            <w:vAlign w:val="center"/>
          </w:tcPr>
          <w:p w14:paraId="773B15AD" w14:textId="4A2F8709" w:rsidR="002A620A" w:rsidRDefault="006A63AB" w:rsidP="002A620A">
            <w:pPr>
              <w:pStyle w:val="Text"/>
              <w:spacing w:after="240"/>
            </w:pPr>
            <w:r w:rsidRPr="00690F16">
              <w:rPr>
                <w:noProof/>
                <w:lang w:eastAsia="en-GB"/>
              </w:rPr>
              <w:drawing>
                <wp:anchor distT="0" distB="0" distL="114300" distR="114300" simplePos="0" relativeHeight="251659264" behindDoc="1" locked="0" layoutInCell="1" allowOverlap="1" wp14:anchorId="28410CD5" wp14:editId="41A270C9">
                  <wp:simplePos x="0" y="0"/>
                  <wp:positionH relativeFrom="column">
                    <wp:posOffset>27940</wp:posOffset>
                  </wp:positionH>
                  <wp:positionV relativeFrom="paragraph">
                    <wp:posOffset>1416685</wp:posOffset>
                  </wp:positionV>
                  <wp:extent cx="3010535" cy="2219960"/>
                  <wp:effectExtent l="38100" t="38100" r="56515" b="889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0535" cy="221996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tc>
      </w:tr>
      <w:tr w:rsidR="006A63AB" w14:paraId="5859585A" w14:textId="77777777" w:rsidTr="006A63AB">
        <w:trPr>
          <w:cantSplit/>
          <w:trHeight w:val="1439"/>
        </w:trPr>
        <w:tc>
          <w:tcPr>
            <w:tcW w:w="10487" w:type="dxa"/>
            <w:vAlign w:val="center"/>
          </w:tcPr>
          <w:p w14:paraId="25D7C6BD" w14:textId="1978CBCF" w:rsidR="006A63AB" w:rsidRDefault="006A63AB" w:rsidP="006A63AB">
            <w:pPr>
              <w:spacing w:after="0" w:line="240" w:lineRule="auto"/>
              <w:rPr>
                <w:rFonts w:ascii="Arial" w:hAnsi="Arial" w:cs="Arial"/>
                <w:b/>
                <w:bCs/>
                <w:noProof/>
                <w:color w:val="FFC000"/>
                <w:sz w:val="40"/>
                <w:lang w:eastAsia="en-GB"/>
              </w:rPr>
            </w:pPr>
          </w:p>
          <w:p w14:paraId="61F00452" w14:textId="77777777" w:rsidR="006A63AB" w:rsidRDefault="006A63AB" w:rsidP="006A63AB">
            <w:pPr>
              <w:spacing w:after="0" w:line="240" w:lineRule="auto"/>
              <w:rPr>
                <w:rFonts w:ascii="Arial" w:hAnsi="Arial" w:cs="Arial"/>
                <w:b/>
                <w:bCs/>
                <w:noProof/>
                <w:color w:val="FFC000"/>
                <w:sz w:val="40"/>
                <w:lang w:eastAsia="en-GB"/>
              </w:rPr>
            </w:pPr>
          </w:p>
          <w:p w14:paraId="4FE29874" w14:textId="77777777" w:rsidR="006A63AB" w:rsidRDefault="006A63AB" w:rsidP="006A63AB">
            <w:pPr>
              <w:spacing w:after="0" w:line="240" w:lineRule="auto"/>
              <w:rPr>
                <w:rFonts w:ascii="Arial" w:hAnsi="Arial" w:cs="Arial"/>
                <w:b/>
                <w:bCs/>
                <w:noProof/>
                <w:color w:val="FFC000"/>
                <w:sz w:val="40"/>
                <w:lang w:eastAsia="en-GB"/>
              </w:rPr>
            </w:pPr>
          </w:p>
          <w:p w14:paraId="466DA16F" w14:textId="1C526A53" w:rsidR="006A63AB" w:rsidRPr="00690F16" w:rsidRDefault="006A63AB" w:rsidP="006A63AB">
            <w:pPr>
              <w:spacing w:after="0" w:line="240" w:lineRule="auto"/>
              <w:jc w:val="right"/>
              <w:rPr>
                <w:rFonts w:ascii="Arial" w:hAnsi="Arial" w:cs="Arial"/>
                <w:b/>
                <w:bCs/>
                <w:noProof/>
                <w:color w:val="FFC000"/>
                <w:sz w:val="40"/>
                <w:lang w:eastAsia="en-GB"/>
              </w:rPr>
            </w:pPr>
            <w:r w:rsidRPr="002A620A">
              <w:rPr>
                <w:rFonts w:ascii="Arial" w:hAnsi="Arial" w:cs="Arial"/>
                <w:b/>
                <w:bCs/>
                <w:noProof/>
                <w:color w:val="FFC000"/>
                <w:sz w:val="40"/>
                <w:lang w:eastAsia="en-GB"/>
              </w:rPr>
              <w:t>SmartTogether</w:t>
            </w:r>
            <w:r>
              <w:rPr>
                <w:rFonts w:ascii="Arial" w:hAnsi="Arial" w:cs="Arial"/>
                <w:b/>
                <w:bCs/>
                <w:noProof/>
                <w:color w:val="FFC000"/>
                <w:sz w:val="40"/>
                <w:lang w:eastAsia="en-GB"/>
              </w:rPr>
              <w:t xml:space="preserve"> Procurement</w:t>
            </w:r>
          </w:p>
          <w:p w14:paraId="5A931A00" w14:textId="47C71F8A" w:rsidR="006A63AB" w:rsidRPr="00BD42D7" w:rsidRDefault="006A63AB" w:rsidP="00AA1B04">
            <w:pPr>
              <w:shd w:val="clear" w:color="auto" w:fill="FFFFFF" w:themeFill="background1"/>
              <w:spacing w:after="0" w:line="240" w:lineRule="auto"/>
              <w:jc w:val="center"/>
              <w:rPr>
                <w:rFonts w:ascii="Arial" w:hAnsi="Arial" w:cs="Arial"/>
                <w:noProof/>
                <w:sz w:val="20"/>
                <w:szCs w:val="20"/>
                <w:lang w:eastAsia="en-GB"/>
              </w:rPr>
            </w:pPr>
            <w:r w:rsidRPr="00690F16">
              <w:rPr>
                <w:rFonts w:ascii="Arial" w:hAnsi="Arial" w:cs="Arial"/>
                <w:noProof/>
                <w:sz w:val="20"/>
                <w:szCs w:val="20"/>
                <w:shd w:val="clear" w:color="auto" w:fill="FFFFFF" w:themeFill="background1"/>
                <w:lang w:eastAsia="en-GB"/>
              </w:rPr>
              <w:t>Serving Guy’s &amp; St Thomas’ NHS Foundation Trust, Lewisham and Greenwich NHS Trust, Great Ormond Street Hospital for Children NHS Foundation Trust</w:t>
            </w:r>
            <w:r>
              <w:rPr>
                <w:rFonts w:ascii="Arial" w:hAnsi="Arial" w:cs="Arial"/>
                <w:noProof/>
                <w:sz w:val="20"/>
                <w:szCs w:val="20"/>
                <w:shd w:val="clear" w:color="auto" w:fill="FFFFFF" w:themeFill="background1"/>
                <w:lang w:eastAsia="en-GB"/>
              </w:rPr>
              <w:t>, South London and Maudsley NHS Foundation Trust</w:t>
            </w:r>
          </w:p>
        </w:tc>
      </w:tr>
    </w:tbl>
    <w:p w14:paraId="2237A93C" w14:textId="0456E8C8" w:rsidR="00E85C60" w:rsidRDefault="00E85C60" w:rsidP="002475C4">
      <w:pPr>
        <w:rPr>
          <w:rFonts w:ascii="Arial" w:eastAsiaTheme="minorHAnsi" w:hAnsi="Arial" w:cs="Arial"/>
          <w:szCs w:val="20"/>
        </w:rPr>
      </w:pPr>
    </w:p>
    <w:p w14:paraId="1F92CBF1" w14:textId="77777777" w:rsidR="002475C4" w:rsidRDefault="002475C4" w:rsidP="00CB3189">
      <w:pPr>
        <w:pStyle w:val="Heading1"/>
      </w:pPr>
      <w:bookmarkStart w:id="0" w:name="_Toc168656139"/>
      <w:r w:rsidRPr="00CB3189">
        <w:lastRenderedPageBreak/>
        <w:t>Table of Contents</w:t>
      </w:r>
      <w:bookmarkEnd w:id="0"/>
    </w:p>
    <w:p w14:paraId="7A42A849" w14:textId="252F3C80" w:rsidR="00F756E8" w:rsidRPr="00745CF4" w:rsidRDefault="00F756E8" w:rsidP="00F756E8">
      <w:pPr>
        <w:rPr>
          <w:b/>
          <w:i/>
          <w:color w:val="0070C0"/>
        </w:rPr>
      </w:pPr>
    </w:p>
    <w:p w14:paraId="5BB62BEF" w14:textId="50C02F3E" w:rsidR="009C3190"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68656139" w:history="1">
        <w:r w:rsidR="009C3190" w:rsidRPr="00F51AE3">
          <w:rPr>
            <w:rStyle w:val="Hyperlink"/>
            <w:noProof/>
          </w:rPr>
          <w:t>Table of Contents</w:t>
        </w:r>
        <w:r w:rsidR="009C3190">
          <w:rPr>
            <w:noProof/>
            <w:webHidden/>
          </w:rPr>
          <w:tab/>
        </w:r>
        <w:r w:rsidR="009C3190">
          <w:rPr>
            <w:noProof/>
            <w:webHidden/>
          </w:rPr>
          <w:fldChar w:fldCharType="begin"/>
        </w:r>
        <w:r w:rsidR="009C3190">
          <w:rPr>
            <w:noProof/>
            <w:webHidden/>
          </w:rPr>
          <w:instrText xml:space="preserve"> PAGEREF _Toc168656139 \h </w:instrText>
        </w:r>
        <w:r w:rsidR="009C3190">
          <w:rPr>
            <w:noProof/>
            <w:webHidden/>
          </w:rPr>
        </w:r>
        <w:r w:rsidR="009C3190">
          <w:rPr>
            <w:noProof/>
            <w:webHidden/>
          </w:rPr>
          <w:fldChar w:fldCharType="separate"/>
        </w:r>
        <w:r w:rsidR="009C3190">
          <w:rPr>
            <w:noProof/>
            <w:webHidden/>
          </w:rPr>
          <w:t>2</w:t>
        </w:r>
        <w:r w:rsidR="009C3190">
          <w:rPr>
            <w:noProof/>
            <w:webHidden/>
          </w:rPr>
          <w:fldChar w:fldCharType="end"/>
        </w:r>
      </w:hyperlink>
    </w:p>
    <w:p w14:paraId="76C05C51" w14:textId="25D3A096" w:rsidR="009C3190" w:rsidRDefault="009C3190">
      <w:pPr>
        <w:pStyle w:val="TOC1"/>
        <w:tabs>
          <w:tab w:val="left" w:pos="440"/>
        </w:tabs>
        <w:rPr>
          <w:rFonts w:asciiTheme="minorHAnsi" w:eastAsiaTheme="minorEastAsia" w:hAnsiTheme="minorHAnsi" w:cstheme="minorBidi"/>
          <w:noProof/>
          <w:lang w:eastAsia="en-GB"/>
        </w:rPr>
      </w:pPr>
      <w:hyperlink w:anchor="_Toc168656140" w:history="1">
        <w:r w:rsidRPr="00F51AE3">
          <w:rPr>
            <w:rStyle w:val="Hyperlink"/>
            <w:rFonts w:eastAsia="SimSun" w:cs="Arial"/>
            <w:noProof/>
            <w:lang w:eastAsia="zh-CN"/>
          </w:rPr>
          <w:t>1.</w:t>
        </w:r>
        <w:r>
          <w:rPr>
            <w:rFonts w:asciiTheme="minorHAnsi" w:eastAsiaTheme="minorEastAsia" w:hAnsiTheme="minorHAnsi" w:cstheme="minorBidi"/>
            <w:noProof/>
            <w:lang w:eastAsia="en-GB"/>
          </w:rPr>
          <w:tab/>
        </w:r>
        <w:r w:rsidRPr="00F51AE3">
          <w:rPr>
            <w:rStyle w:val="Hyperlink"/>
            <w:rFonts w:eastAsia="SimSun" w:cs="Arial"/>
            <w:noProof/>
            <w:lang w:eastAsia="zh-CN"/>
          </w:rPr>
          <w:t>Overview</w:t>
        </w:r>
        <w:r>
          <w:rPr>
            <w:noProof/>
            <w:webHidden/>
          </w:rPr>
          <w:tab/>
        </w:r>
        <w:r>
          <w:rPr>
            <w:noProof/>
            <w:webHidden/>
          </w:rPr>
          <w:fldChar w:fldCharType="begin"/>
        </w:r>
        <w:r>
          <w:rPr>
            <w:noProof/>
            <w:webHidden/>
          </w:rPr>
          <w:instrText xml:space="preserve"> PAGEREF _Toc168656140 \h </w:instrText>
        </w:r>
        <w:r>
          <w:rPr>
            <w:noProof/>
            <w:webHidden/>
          </w:rPr>
        </w:r>
        <w:r>
          <w:rPr>
            <w:noProof/>
            <w:webHidden/>
          </w:rPr>
          <w:fldChar w:fldCharType="separate"/>
        </w:r>
        <w:r>
          <w:rPr>
            <w:noProof/>
            <w:webHidden/>
          </w:rPr>
          <w:t>3</w:t>
        </w:r>
        <w:r>
          <w:rPr>
            <w:noProof/>
            <w:webHidden/>
          </w:rPr>
          <w:fldChar w:fldCharType="end"/>
        </w:r>
      </w:hyperlink>
    </w:p>
    <w:p w14:paraId="4CA2903A" w14:textId="50318921" w:rsidR="009C3190" w:rsidRDefault="009C3190">
      <w:pPr>
        <w:pStyle w:val="TOC1"/>
        <w:tabs>
          <w:tab w:val="left" w:pos="440"/>
        </w:tabs>
        <w:rPr>
          <w:rFonts w:asciiTheme="minorHAnsi" w:eastAsiaTheme="minorEastAsia" w:hAnsiTheme="minorHAnsi" w:cstheme="minorBidi"/>
          <w:noProof/>
          <w:lang w:eastAsia="en-GB"/>
        </w:rPr>
      </w:pPr>
      <w:hyperlink w:anchor="_Toc168656141" w:history="1">
        <w:r w:rsidRPr="00F51AE3">
          <w:rPr>
            <w:rStyle w:val="Hyperlink"/>
            <w:noProof/>
          </w:rPr>
          <w:t>2.</w:t>
        </w:r>
        <w:r>
          <w:rPr>
            <w:rFonts w:asciiTheme="minorHAnsi" w:eastAsiaTheme="minorEastAsia" w:hAnsiTheme="minorHAnsi" w:cstheme="minorBidi"/>
            <w:noProof/>
            <w:lang w:eastAsia="en-GB"/>
          </w:rPr>
          <w:tab/>
        </w:r>
        <w:r w:rsidRPr="00F51AE3">
          <w:rPr>
            <w:rStyle w:val="Hyperlink"/>
            <w:noProof/>
          </w:rPr>
          <w:t>Eligibility Criteria and Referral Routes</w:t>
        </w:r>
        <w:r>
          <w:rPr>
            <w:noProof/>
            <w:webHidden/>
          </w:rPr>
          <w:tab/>
        </w:r>
        <w:r>
          <w:rPr>
            <w:noProof/>
            <w:webHidden/>
          </w:rPr>
          <w:fldChar w:fldCharType="begin"/>
        </w:r>
        <w:r>
          <w:rPr>
            <w:noProof/>
            <w:webHidden/>
          </w:rPr>
          <w:instrText xml:space="preserve"> PAGEREF _Toc168656141 \h </w:instrText>
        </w:r>
        <w:r>
          <w:rPr>
            <w:noProof/>
            <w:webHidden/>
          </w:rPr>
        </w:r>
        <w:r>
          <w:rPr>
            <w:noProof/>
            <w:webHidden/>
          </w:rPr>
          <w:fldChar w:fldCharType="separate"/>
        </w:r>
        <w:r>
          <w:rPr>
            <w:noProof/>
            <w:webHidden/>
          </w:rPr>
          <w:t>3</w:t>
        </w:r>
        <w:r>
          <w:rPr>
            <w:noProof/>
            <w:webHidden/>
          </w:rPr>
          <w:fldChar w:fldCharType="end"/>
        </w:r>
      </w:hyperlink>
    </w:p>
    <w:p w14:paraId="1383E434" w14:textId="7269E8B7" w:rsidR="009C3190" w:rsidRDefault="009C3190">
      <w:pPr>
        <w:pStyle w:val="TOC1"/>
        <w:tabs>
          <w:tab w:val="left" w:pos="440"/>
        </w:tabs>
        <w:rPr>
          <w:rFonts w:asciiTheme="minorHAnsi" w:eastAsiaTheme="minorEastAsia" w:hAnsiTheme="minorHAnsi" w:cstheme="minorBidi"/>
          <w:noProof/>
          <w:lang w:eastAsia="en-GB"/>
        </w:rPr>
      </w:pPr>
      <w:hyperlink w:anchor="_Toc168656142" w:history="1">
        <w:r w:rsidRPr="00F51AE3">
          <w:rPr>
            <w:rStyle w:val="Hyperlink"/>
            <w:noProof/>
            <w:lang w:eastAsia="zh-CN"/>
          </w:rPr>
          <w:t>3.</w:t>
        </w:r>
        <w:r>
          <w:rPr>
            <w:rFonts w:asciiTheme="minorHAnsi" w:eastAsiaTheme="minorEastAsia" w:hAnsiTheme="minorHAnsi" w:cstheme="minorBidi"/>
            <w:noProof/>
            <w:lang w:eastAsia="en-GB"/>
          </w:rPr>
          <w:tab/>
        </w:r>
        <w:r w:rsidRPr="00F51AE3">
          <w:rPr>
            <w:rStyle w:val="Hyperlink"/>
            <w:noProof/>
            <w:lang w:eastAsia="zh-CN"/>
          </w:rPr>
          <w:t>Aims</w:t>
        </w:r>
        <w:r>
          <w:rPr>
            <w:noProof/>
            <w:webHidden/>
          </w:rPr>
          <w:tab/>
        </w:r>
        <w:r>
          <w:rPr>
            <w:noProof/>
            <w:webHidden/>
          </w:rPr>
          <w:fldChar w:fldCharType="begin"/>
        </w:r>
        <w:r>
          <w:rPr>
            <w:noProof/>
            <w:webHidden/>
          </w:rPr>
          <w:instrText xml:space="preserve"> PAGEREF _Toc168656142 \h </w:instrText>
        </w:r>
        <w:r>
          <w:rPr>
            <w:noProof/>
            <w:webHidden/>
          </w:rPr>
        </w:r>
        <w:r>
          <w:rPr>
            <w:noProof/>
            <w:webHidden/>
          </w:rPr>
          <w:fldChar w:fldCharType="separate"/>
        </w:r>
        <w:r>
          <w:rPr>
            <w:noProof/>
            <w:webHidden/>
          </w:rPr>
          <w:t>3</w:t>
        </w:r>
        <w:r>
          <w:rPr>
            <w:noProof/>
            <w:webHidden/>
          </w:rPr>
          <w:fldChar w:fldCharType="end"/>
        </w:r>
      </w:hyperlink>
    </w:p>
    <w:p w14:paraId="45D65E48" w14:textId="3E56A770" w:rsidR="009C3190" w:rsidRDefault="009C3190">
      <w:pPr>
        <w:pStyle w:val="TOC1"/>
        <w:tabs>
          <w:tab w:val="left" w:pos="440"/>
        </w:tabs>
        <w:rPr>
          <w:rFonts w:asciiTheme="minorHAnsi" w:eastAsiaTheme="minorEastAsia" w:hAnsiTheme="minorHAnsi" w:cstheme="minorBidi"/>
          <w:noProof/>
          <w:lang w:eastAsia="en-GB"/>
        </w:rPr>
      </w:pPr>
      <w:hyperlink w:anchor="_Toc168656143" w:history="1">
        <w:r w:rsidRPr="00F51AE3">
          <w:rPr>
            <w:rStyle w:val="Hyperlink"/>
            <w:noProof/>
            <w:lang w:eastAsia="zh-CN"/>
          </w:rPr>
          <w:t>4.</w:t>
        </w:r>
        <w:r>
          <w:rPr>
            <w:rFonts w:asciiTheme="minorHAnsi" w:eastAsiaTheme="minorEastAsia" w:hAnsiTheme="minorHAnsi" w:cstheme="minorBidi"/>
            <w:noProof/>
            <w:lang w:eastAsia="en-GB"/>
          </w:rPr>
          <w:tab/>
        </w:r>
        <w:r w:rsidRPr="00F51AE3">
          <w:rPr>
            <w:rStyle w:val="Hyperlink"/>
            <w:noProof/>
            <w:lang w:eastAsia="zh-CN"/>
          </w:rPr>
          <w:t>Standards</w:t>
        </w:r>
        <w:r>
          <w:rPr>
            <w:noProof/>
            <w:webHidden/>
          </w:rPr>
          <w:tab/>
        </w:r>
        <w:r>
          <w:rPr>
            <w:noProof/>
            <w:webHidden/>
          </w:rPr>
          <w:fldChar w:fldCharType="begin"/>
        </w:r>
        <w:r>
          <w:rPr>
            <w:noProof/>
            <w:webHidden/>
          </w:rPr>
          <w:instrText xml:space="preserve"> PAGEREF _Toc168656143 \h </w:instrText>
        </w:r>
        <w:r>
          <w:rPr>
            <w:noProof/>
            <w:webHidden/>
          </w:rPr>
        </w:r>
        <w:r>
          <w:rPr>
            <w:noProof/>
            <w:webHidden/>
          </w:rPr>
          <w:fldChar w:fldCharType="separate"/>
        </w:r>
        <w:r>
          <w:rPr>
            <w:noProof/>
            <w:webHidden/>
          </w:rPr>
          <w:t>4</w:t>
        </w:r>
        <w:r>
          <w:rPr>
            <w:noProof/>
            <w:webHidden/>
          </w:rPr>
          <w:fldChar w:fldCharType="end"/>
        </w:r>
      </w:hyperlink>
    </w:p>
    <w:p w14:paraId="4BEBBD42" w14:textId="3C42168C" w:rsidR="009C3190" w:rsidRDefault="009C3190">
      <w:pPr>
        <w:pStyle w:val="TOC1"/>
        <w:tabs>
          <w:tab w:val="left" w:pos="440"/>
        </w:tabs>
        <w:rPr>
          <w:rFonts w:asciiTheme="minorHAnsi" w:eastAsiaTheme="minorEastAsia" w:hAnsiTheme="minorHAnsi" w:cstheme="minorBidi"/>
          <w:noProof/>
          <w:lang w:eastAsia="en-GB"/>
        </w:rPr>
      </w:pPr>
      <w:hyperlink w:anchor="_Toc168656144" w:history="1">
        <w:r w:rsidRPr="00F51AE3">
          <w:rPr>
            <w:rStyle w:val="Hyperlink"/>
            <w:noProof/>
            <w:lang w:eastAsia="zh-CN"/>
          </w:rPr>
          <w:t>5.</w:t>
        </w:r>
        <w:r>
          <w:rPr>
            <w:rFonts w:asciiTheme="minorHAnsi" w:eastAsiaTheme="minorEastAsia" w:hAnsiTheme="minorHAnsi" w:cstheme="minorBidi"/>
            <w:noProof/>
            <w:lang w:eastAsia="en-GB"/>
          </w:rPr>
          <w:tab/>
        </w:r>
        <w:r w:rsidRPr="00F51AE3">
          <w:rPr>
            <w:rStyle w:val="Hyperlink"/>
            <w:noProof/>
            <w:lang w:eastAsia="zh-CN"/>
          </w:rPr>
          <w:t>Core Services</w:t>
        </w:r>
        <w:r>
          <w:rPr>
            <w:noProof/>
            <w:webHidden/>
          </w:rPr>
          <w:tab/>
        </w:r>
        <w:r>
          <w:rPr>
            <w:noProof/>
            <w:webHidden/>
          </w:rPr>
          <w:fldChar w:fldCharType="begin"/>
        </w:r>
        <w:r>
          <w:rPr>
            <w:noProof/>
            <w:webHidden/>
          </w:rPr>
          <w:instrText xml:space="preserve"> PAGEREF _Toc168656144 \h </w:instrText>
        </w:r>
        <w:r>
          <w:rPr>
            <w:noProof/>
            <w:webHidden/>
          </w:rPr>
        </w:r>
        <w:r>
          <w:rPr>
            <w:noProof/>
            <w:webHidden/>
          </w:rPr>
          <w:fldChar w:fldCharType="separate"/>
        </w:r>
        <w:r>
          <w:rPr>
            <w:noProof/>
            <w:webHidden/>
          </w:rPr>
          <w:t>4</w:t>
        </w:r>
        <w:r>
          <w:rPr>
            <w:noProof/>
            <w:webHidden/>
          </w:rPr>
          <w:fldChar w:fldCharType="end"/>
        </w:r>
      </w:hyperlink>
    </w:p>
    <w:p w14:paraId="2DC8634C" w14:textId="5B4DCD85" w:rsidR="009C3190" w:rsidRDefault="009C3190">
      <w:pPr>
        <w:pStyle w:val="TOC1"/>
        <w:tabs>
          <w:tab w:val="left" w:pos="440"/>
        </w:tabs>
        <w:rPr>
          <w:rFonts w:asciiTheme="minorHAnsi" w:eastAsiaTheme="minorEastAsia" w:hAnsiTheme="minorHAnsi" w:cstheme="minorBidi"/>
          <w:noProof/>
          <w:lang w:eastAsia="en-GB"/>
        </w:rPr>
      </w:pPr>
      <w:hyperlink w:anchor="_Toc168656145" w:history="1">
        <w:r w:rsidRPr="00F51AE3">
          <w:rPr>
            <w:rStyle w:val="Hyperlink"/>
            <w:noProof/>
          </w:rPr>
          <w:t>6.</w:t>
        </w:r>
        <w:r>
          <w:rPr>
            <w:rFonts w:asciiTheme="minorHAnsi" w:eastAsiaTheme="minorEastAsia" w:hAnsiTheme="minorHAnsi" w:cstheme="minorBidi"/>
            <w:noProof/>
            <w:lang w:eastAsia="en-GB"/>
          </w:rPr>
          <w:tab/>
        </w:r>
        <w:r w:rsidRPr="00F51AE3">
          <w:rPr>
            <w:rStyle w:val="Hyperlink"/>
            <w:noProof/>
          </w:rPr>
          <w:t>Workforce and Training</w:t>
        </w:r>
        <w:r>
          <w:rPr>
            <w:noProof/>
            <w:webHidden/>
          </w:rPr>
          <w:tab/>
        </w:r>
        <w:r>
          <w:rPr>
            <w:noProof/>
            <w:webHidden/>
          </w:rPr>
          <w:fldChar w:fldCharType="begin"/>
        </w:r>
        <w:r>
          <w:rPr>
            <w:noProof/>
            <w:webHidden/>
          </w:rPr>
          <w:instrText xml:space="preserve"> PAGEREF _Toc168656145 \h </w:instrText>
        </w:r>
        <w:r>
          <w:rPr>
            <w:noProof/>
            <w:webHidden/>
          </w:rPr>
        </w:r>
        <w:r>
          <w:rPr>
            <w:noProof/>
            <w:webHidden/>
          </w:rPr>
          <w:fldChar w:fldCharType="separate"/>
        </w:r>
        <w:r>
          <w:rPr>
            <w:noProof/>
            <w:webHidden/>
          </w:rPr>
          <w:t>4</w:t>
        </w:r>
        <w:r>
          <w:rPr>
            <w:noProof/>
            <w:webHidden/>
          </w:rPr>
          <w:fldChar w:fldCharType="end"/>
        </w:r>
      </w:hyperlink>
    </w:p>
    <w:p w14:paraId="7B9617AC" w14:textId="792B9D93" w:rsidR="009C3190" w:rsidRDefault="009C3190">
      <w:pPr>
        <w:pStyle w:val="TOC1"/>
        <w:tabs>
          <w:tab w:val="left" w:pos="440"/>
        </w:tabs>
        <w:rPr>
          <w:rFonts w:asciiTheme="minorHAnsi" w:eastAsiaTheme="minorEastAsia" w:hAnsiTheme="minorHAnsi" w:cstheme="minorBidi"/>
          <w:noProof/>
          <w:lang w:eastAsia="en-GB"/>
        </w:rPr>
      </w:pPr>
      <w:hyperlink w:anchor="_Toc168656146" w:history="1">
        <w:r w:rsidRPr="00F51AE3">
          <w:rPr>
            <w:rStyle w:val="Hyperlink"/>
            <w:rFonts w:cstheme="minorHAnsi"/>
            <w:noProof/>
            <w:lang w:eastAsia="en-GB"/>
          </w:rPr>
          <w:t>7.</w:t>
        </w:r>
        <w:r>
          <w:rPr>
            <w:rFonts w:asciiTheme="minorHAnsi" w:eastAsiaTheme="minorEastAsia" w:hAnsiTheme="minorHAnsi" w:cstheme="minorBidi"/>
            <w:noProof/>
            <w:lang w:eastAsia="en-GB"/>
          </w:rPr>
          <w:tab/>
        </w:r>
        <w:r w:rsidRPr="00F51AE3">
          <w:rPr>
            <w:rStyle w:val="Hyperlink"/>
            <w:noProof/>
          </w:rPr>
          <w:t>Medication and Intervention:</w:t>
        </w:r>
        <w:r>
          <w:rPr>
            <w:noProof/>
            <w:webHidden/>
          </w:rPr>
          <w:tab/>
        </w:r>
        <w:r>
          <w:rPr>
            <w:noProof/>
            <w:webHidden/>
          </w:rPr>
          <w:fldChar w:fldCharType="begin"/>
        </w:r>
        <w:r>
          <w:rPr>
            <w:noProof/>
            <w:webHidden/>
          </w:rPr>
          <w:instrText xml:space="preserve"> PAGEREF _Toc168656146 \h </w:instrText>
        </w:r>
        <w:r>
          <w:rPr>
            <w:noProof/>
            <w:webHidden/>
          </w:rPr>
        </w:r>
        <w:r>
          <w:rPr>
            <w:noProof/>
            <w:webHidden/>
          </w:rPr>
          <w:fldChar w:fldCharType="separate"/>
        </w:r>
        <w:r>
          <w:rPr>
            <w:noProof/>
            <w:webHidden/>
          </w:rPr>
          <w:t>4</w:t>
        </w:r>
        <w:r>
          <w:rPr>
            <w:noProof/>
            <w:webHidden/>
          </w:rPr>
          <w:fldChar w:fldCharType="end"/>
        </w:r>
      </w:hyperlink>
    </w:p>
    <w:p w14:paraId="4817231C" w14:textId="04ECF257" w:rsidR="009C3190" w:rsidRDefault="009C3190">
      <w:pPr>
        <w:pStyle w:val="TOC2"/>
        <w:rPr>
          <w:rFonts w:asciiTheme="minorHAnsi" w:eastAsiaTheme="minorEastAsia" w:hAnsiTheme="minorHAnsi" w:cstheme="minorBidi"/>
          <w:noProof/>
          <w:lang w:eastAsia="en-GB"/>
        </w:rPr>
      </w:pPr>
      <w:hyperlink w:anchor="_Toc168656147" w:history="1">
        <w:r w:rsidRPr="00F51AE3">
          <w:rPr>
            <w:rStyle w:val="Hyperlink"/>
            <w:noProof/>
          </w:rPr>
          <w:t>7.1.</w:t>
        </w:r>
        <w:r>
          <w:rPr>
            <w:rFonts w:asciiTheme="minorHAnsi" w:eastAsiaTheme="minorEastAsia" w:hAnsiTheme="minorHAnsi" w:cstheme="minorBidi"/>
            <w:noProof/>
            <w:lang w:eastAsia="en-GB"/>
          </w:rPr>
          <w:tab/>
        </w:r>
        <w:r w:rsidRPr="00F51AE3">
          <w:rPr>
            <w:rStyle w:val="Hyperlink"/>
            <w:noProof/>
          </w:rPr>
          <w:t>Patient Welfare, Environment and Safety:</w:t>
        </w:r>
        <w:r>
          <w:rPr>
            <w:noProof/>
            <w:webHidden/>
          </w:rPr>
          <w:tab/>
        </w:r>
        <w:r>
          <w:rPr>
            <w:noProof/>
            <w:webHidden/>
          </w:rPr>
          <w:fldChar w:fldCharType="begin"/>
        </w:r>
        <w:r>
          <w:rPr>
            <w:noProof/>
            <w:webHidden/>
          </w:rPr>
          <w:instrText xml:space="preserve"> PAGEREF _Toc168656147 \h </w:instrText>
        </w:r>
        <w:r>
          <w:rPr>
            <w:noProof/>
            <w:webHidden/>
          </w:rPr>
        </w:r>
        <w:r>
          <w:rPr>
            <w:noProof/>
            <w:webHidden/>
          </w:rPr>
          <w:fldChar w:fldCharType="separate"/>
        </w:r>
        <w:r>
          <w:rPr>
            <w:noProof/>
            <w:webHidden/>
          </w:rPr>
          <w:t>5</w:t>
        </w:r>
        <w:r>
          <w:rPr>
            <w:noProof/>
            <w:webHidden/>
          </w:rPr>
          <w:fldChar w:fldCharType="end"/>
        </w:r>
      </w:hyperlink>
    </w:p>
    <w:p w14:paraId="3AAACC4D" w14:textId="7C51E3CE" w:rsidR="009C3190" w:rsidRDefault="009C3190">
      <w:pPr>
        <w:pStyle w:val="TOC1"/>
        <w:tabs>
          <w:tab w:val="left" w:pos="440"/>
        </w:tabs>
        <w:rPr>
          <w:rFonts w:asciiTheme="minorHAnsi" w:eastAsiaTheme="minorEastAsia" w:hAnsiTheme="minorHAnsi" w:cstheme="minorBidi"/>
          <w:noProof/>
          <w:lang w:eastAsia="en-GB"/>
        </w:rPr>
      </w:pPr>
      <w:hyperlink w:anchor="_Toc168656148" w:history="1">
        <w:r w:rsidRPr="00F51AE3">
          <w:rPr>
            <w:rStyle w:val="Hyperlink"/>
            <w:noProof/>
          </w:rPr>
          <w:t>8.</w:t>
        </w:r>
        <w:r>
          <w:rPr>
            <w:rFonts w:asciiTheme="minorHAnsi" w:eastAsiaTheme="minorEastAsia" w:hAnsiTheme="minorHAnsi" w:cstheme="minorBidi"/>
            <w:noProof/>
            <w:lang w:eastAsia="en-GB"/>
          </w:rPr>
          <w:tab/>
        </w:r>
        <w:r w:rsidRPr="00F51AE3">
          <w:rPr>
            <w:rStyle w:val="Hyperlink"/>
            <w:noProof/>
          </w:rPr>
          <w:t>Safeguarding Protocol:</w:t>
        </w:r>
        <w:r>
          <w:rPr>
            <w:noProof/>
            <w:webHidden/>
          </w:rPr>
          <w:tab/>
        </w:r>
        <w:r>
          <w:rPr>
            <w:noProof/>
            <w:webHidden/>
          </w:rPr>
          <w:fldChar w:fldCharType="begin"/>
        </w:r>
        <w:r>
          <w:rPr>
            <w:noProof/>
            <w:webHidden/>
          </w:rPr>
          <w:instrText xml:space="preserve"> PAGEREF _Toc168656148 \h </w:instrText>
        </w:r>
        <w:r>
          <w:rPr>
            <w:noProof/>
            <w:webHidden/>
          </w:rPr>
        </w:r>
        <w:r>
          <w:rPr>
            <w:noProof/>
            <w:webHidden/>
          </w:rPr>
          <w:fldChar w:fldCharType="separate"/>
        </w:r>
        <w:r>
          <w:rPr>
            <w:noProof/>
            <w:webHidden/>
          </w:rPr>
          <w:t>5</w:t>
        </w:r>
        <w:r>
          <w:rPr>
            <w:noProof/>
            <w:webHidden/>
          </w:rPr>
          <w:fldChar w:fldCharType="end"/>
        </w:r>
      </w:hyperlink>
    </w:p>
    <w:p w14:paraId="456C8BBA" w14:textId="34E0883A" w:rsidR="009C3190" w:rsidRDefault="009C3190">
      <w:pPr>
        <w:pStyle w:val="TOC1"/>
        <w:tabs>
          <w:tab w:val="left" w:pos="440"/>
        </w:tabs>
        <w:rPr>
          <w:rFonts w:asciiTheme="minorHAnsi" w:eastAsiaTheme="minorEastAsia" w:hAnsiTheme="minorHAnsi" w:cstheme="minorBidi"/>
          <w:noProof/>
          <w:lang w:eastAsia="en-GB"/>
        </w:rPr>
      </w:pPr>
      <w:hyperlink w:anchor="_Toc168656149" w:history="1">
        <w:r w:rsidRPr="00F51AE3">
          <w:rPr>
            <w:rStyle w:val="Hyperlink"/>
            <w:noProof/>
          </w:rPr>
          <w:t>9.</w:t>
        </w:r>
        <w:r>
          <w:rPr>
            <w:rFonts w:asciiTheme="minorHAnsi" w:eastAsiaTheme="minorEastAsia" w:hAnsiTheme="minorHAnsi" w:cstheme="minorBidi"/>
            <w:noProof/>
            <w:lang w:eastAsia="en-GB"/>
          </w:rPr>
          <w:tab/>
        </w:r>
        <w:r w:rsidRPr="00F51AE3">
          <w:rPr>
            <w:rStyle w:val="Hyperlink"/>
            <w:noProof/>
          </w:rPr>
          <w:t>Patient Possessions:</w:t>
        </w:r>
        <w:r>
          <w:rPr>
            <w:noProof/>
            <w:webHidden/>
          </w:rPr>
          <w:tab/>
        </w:r>
        <w:r>
          <w:rPr>
            <w:noProof/>
            <w:webHidden/>
          </w:rPr>
          <w:fldChar w:fldCharType="begin"/>
        </w:r>
        <w:r>
          <w:rPr>
            <w:noProof/>
            <w:webHidden/>
          </w:rPr>
          <w:instrText xml:space="preserve"> PAGEREF _Toc168656149 \h </w:instrText>
        </w:r>
        <w:r>
          <w:rPr>
            <w:noProof/>
            <w:webHidden/>
          </w:rPr>
        </w:r>
        <w:r>
          <w:rPr>
            <w:noProof/>
            <w:webHidden/>
          </w:rPr>
          <w:fldChar w:fldCharType="separate"/>
        </w:r>
        <w:r>
          <w:rPr>
            <w:noProof/>
            <w:webHidden/>
          </w:rPr>
          <w:t>6</w:t>
        </w:r>
        <w:r>
          <w:rPr>
            <w:noProof/>
            <w:webHidden/>
          </w:rPr>
          <w:fldChar w:fldCharType="end"/>
        </w:r>
      </w:hyperlink>
    </w:p>
    <w:p w14:paraId="70392BAB" w14:textId="13F25971" w:rsidR="009C3190" w:rsidRDefault="009C3190">
      <w:pPr>
        <w:pStyle w:val="TOC2"/>
        <w:rPr>
          <w:rFonts w:asciiTheme="minorHAnsi" w:eastAsiaTheme="minorEastAsia" w:hAnsiTheme="minorHAnsi" w:cstheme="minorBidi"/>
          <w:noProof/>
          <w:lang w:eastAsia="en-GB"/>
        </w:rPr>
      </w:pPr>
      <w:hyperlink w:anchor="_Toc168656150" w:history="1">
        <w:r w:rsidRPr="00F51AE3">
          <w:rPr>
            <w:rStyle w:val="Hyperlink"/>
            <w:noProof/>
          </w:rPr>
          <w:t>9.1.</w:t>
        </w:r>
        <w:r>
          <w:rPr>
            <w:rFonts w:asciiTheme="minorHAnsi" w:eastAsiaTheme="minorEastAsia" w:hAnsiTheme="minorHAnsi" w:cstheme="minorBidi"/>
            <w:noProof/>
            <w:lang w:eastAsia="en-GB"/>
          </w:rPr>
          <w:tab/>
        </w:r>
        <w:r w:rsidRPr="00F51AE3">
          <w:rPr>
            <w:rStyle w:val="Hyperlink"/>
            <w:noProof/>
          </w:rPr>
          <w:t>Patient Monies</w:t>
        </w:r>
        <w:r>
          <w:rPr>
            <w:noProof/>
            <w:webHidden/>
          </w:rPr>
          <w:tab/>
        </w:r>
        <w:r>
          <w:rPr>
            <w:noProof/>
            <w:webHidden/>
          </w:rPr>
          <w:fldChar w:fldCharType="begin"/>
        </w:r>
        <w:r>
          <w:rPr>
            <w:noProof/>
            <w:webHidden/>
          </w:rPr>
          <w:instrText xml:space="preserve"> PAGEREF _Toc168656150 \h </w:instrText>
        </w:r>
        <w:r>
          <w:rPr>
            <w:noProof/>
            <w:webHidden/>
          </w:rPr>
        </w:r>
        <w:r>
          <w:rPr>
            <w:noProof/>
            <w:webHidden/>
          </w:rPr>
          <w:fldChar w:fldCharType="separate"/>
        </w:r>
        <w:r>
          <w:rPr>
            <w:noProof/>
            <w:webHidden/>
          </w:rPr>
          <w:t>6</w:t>
        </w:r>
        <w:r>
          <w:rPr>
            <w:noProof/>
            <w:webHidden/>
          </w:rPr>
          <w:fldChar w:fldCharType="end"/>
        </w:r>
      </w:hyperlink>
    </w:p>
    <w:p w14:paraId="5C4D3BCD" w14:textId="4E31D193" w:rsidR="009C3190" w:rsidRDefault="009C3190">
      <w:pPr>
        <w:pStyle w:val="TOC2"/>
        <w:rPr>
          <w:rFonts w:asciiTheme="minorHAnsi" w:eastAsiaTheme="minorEastAsia" w:hAnsiTheme="minorHAnsi" w:cstheme="minorBidi"/>
          <w:noProof/>
          <w:lang w:eastAsia="en-GB"/>
        </w:rPr>
      </w:pPr>
      <w:hyperlink w:anchor="_Toc168656151" w:history="1">
        <w:r w:rsidRPr="00F51AE3">
          <w:rPr>
            <w:rStyle w:val="Hyperlink"/>
            <w:noProof/>
          </w:rPr>
          <w:t>9.2.</w:t>
        </w:r>
        <w:r>
          <w:rPr>
            <w:rFonts w:asciiTheme="minorHAnsi" w:eastAsiaTheme="minorEastAsia" w:hAnsiTheme="minorHAnsi" w:cstheme="minorBidi"/>
            <w:noProof/>
            <w:lang w:eastAsia="en-GB"/>
          </w:rPr>
          <w:tab/>
        </w:r>
        <w:r w:rsidRPr="00F51AE3">
          <w:rPr>
            <w:rStyle w:val="Hyperlink"/>
            <w:noProof/>
          </w:rPr>
          <w:t>Patient Valuables</w:t>
        </w:r>
        <w:r>
          <w:rPr>
            <w:noProof/>
            <w:webHidden/>
          </w:rPr>
          <w:tab/>
        </w:r>
        <w:r>
          <w:rPr>
            <w:noProof/>
            <w:webHidden/>
          </w:rPr>
          <w:fldChar w:fldCharType="begin"/>
        </w:r>
        <w:r>
          <w:rPr>
            <w:noProof/>
            <w:webHidden/>
          </w:rPr>
          <w:instrText xml:space="preserve"> PAGEREF _Toc168656151 \h </w:instrText>
        </w:r>
        <w:r>
          <w:rPr>
            <w:noProof/>
            <w:webHidden/>
          </w:rPr>
        </w:r>
        <w:r>
          <w:rPr>
            <w:noProof/>
            <w:webHidden/>
          </w:rPr>
          <w:fldChar w:fldCharType="separate"/>
        </w:r>
        <w:r>
          <w:rPr>
            <w:noProof/>
            <w:webHidden/>
          </w:rPr>
          <w:t>7</w:t>
        </w:r>
        <w:r>
          <w:rPr>
            <w:noProof/>
            <w:webHidden/>
          </w:rPr>
          <w:fldChar w:fldCharType="end"/>
        </w:r>
      </w:hyperlink>
    </w:p>
    <w:p w14:paraId="19FC0AE8" w14:textId="63BAEB95" w:rsidR="009C3190" w:rsidRDefault="009C3190">
      <w:pPr>
        <w:pStyle w:val="TOC1"/>
        <w:tabs>
          <w:tab w:val="left" w:pos="660"/>
        </w:tabs>
        <w:rPr>
          <w:rFonts w:asciiTheme="minorHAnsi" w:eastAsiaTheme="minorEastAsia" w:hAnsiTheme="minorHAnsi" w:cstheme="minorBidi"/>
          <w:noProof/>
          <w:lang w:eastAsia="en-GB"/>
        </w:rPr>
      </w:pPr>
      <w:hyperlink w:anchor="_Toc168656152" w:history="1">
        <w:r w:rsidRPr="00F51AE3">
          <w:rPr>
            <w:rStyle w:val="Hyperlink"/>
            <w:noProof/>
            <w:lang w:eastAsia="en-GB"/>
          </w:rPr>
          <w:t>10.</w:t>
        </w:r>
        <w:r>
          <w:rPr>
            <w:rFonts w:asciiTheme="minorHAnsi" w:eastAsiaTheme="minorEastAsia" w:hAnsiTheme="minorHAnsi" w:cstheme="minorBidi"/>
            <w:noProof/>
            <w:lang w:eastAsia="en-GB"/>
          </w:rPr>
          <w:tab/>
        </w:r>
        <w:r w:rsidRPr="00F51AE3">
          <w:rPr>
            <w:rStyle w:val="Hyperlink"/>
            <w:noProof/>
          </w:rPr>
          <w:t>Equality &amp; Diversity:</w:t>
        </w:r>
        <w:r>
          <w:rPr>
            <w:noProof/>
            <w:webHidden/>
          </w:rPr>
          <w:tab/>
        </w:r>
        <w:r>
          <w:rPr>
            <w:noProof/>
            <w:webHidden/>
          </w:rPr>
          <w:fldChar w:fldCharType="begin"/>
        </w:r>
        <w:r>
          <w:rPr>
            <w:noProof/>
            <w:webHidden/>
          </w:rPr>
          <w:instrText xml:space="preserve"> PAGEREF _Toc168656152 \h </w:instrText>
        </w:r>
        <w:r>
          <w:rPr>
            <w:noProof/>
            <w:webHidden/>
          </w:rPr>
        </w:r>
        <w:r>
          <w:rPr>
            <w:noProof/>
            <w:webHidden/>
          </w:rPr>
          <w:fldChar w:fldCharType="separate"/>
        </w:r>
        <w:r>
          <w:rPr>
            <w:noProof/>
            <w:webHidden/>
          </w:rPr>
          <w:t>7</w:t>
        </w:r>
        <w:r>
          <w:rPr>
            <w:noProof/>
            <w:webHidden/>
          </w:rPr>
          <w:fldChar w:fldCharType="end"/>
        </w:r>
      </w:hyperlink>
    </w:p>
    <w:p w14:paraId="753B1B2D" w14:textId="5924E1DE" w:rsidR="009C3190" w:rsidRDefault="009C3190">
      <w:pPr>
        <w:pStyle w:val="TOC1"/>
        <w:tabs>
          <w:tab w:val="left" w:pos="660"/>
        </w:tabs>
        <w:rPr>
          <w:rFonts w:asciiTheme="minorHAnsi" w:eastAsiaTheme="minorEastAsia" w:hAnsiTheme="minorHAnsi" w:cstheme="minorBidi"/>
          <w:noProof/>
          <w:lang w:eastAsia="en-GB"/>
        </w:rPr>
      </w:pPr>
      <w:hyperlink w:anchor="_Toc168656153" w:history="1">
        <w:r w:rsidRPr="00F51AE3">
          <w:rPr>
            <w:rStyle w:val="Hyperlink"/>
            <w:noProof/>
            <w:lang w:eastAsia="en-GB"/>
          </w:rPr>
          <w:t>11.</w:t>
        </w:r>
        <w:r>
          <w:rPr>
            <w:rFonts w:asciiTheme="minorHAnsi" w:eastAsiaTheme="minorEastAsia" w:hAnsiTheme="minorHAnsi" w:cstheme="minorBidi"/>
            <w:noProof/>
            <w:lang w:eastAsia="en-GB"/>
          </w:rPr>
          <w:tab/>
        </w:r>
        <w:r w:rsidRPr="00F51AE3">
          <w:rPr>
            <w:rStyle w:val="Hyperlink"/>
            <w:noProof/>
            <w:lang w:eastAsia="en-GB"/>
          </w:rPr>
          <w:t>Provider Monitoring:</w:t>
        </w:r>
        <w:r>
          <w:rPr>
            <w:noProof/>
            <w:webHidden/>
          </w:rPr>
          <w:tab/>
        </w:r>
        <w:r>
          <w:rPr>
            <w:noProof/>
            <w:webHidden/>
          </w:rPr>
          <w:fldChar w:fldCharType="begin"/>
        </w:r>
        <w:r>
          <w:rPr>
            <w:noProof/>
            <w:webHidden/>
          </w:rPr>
          <w:instrText xml:space="preserve"> PAGEREF _Toc168656153 \h </w:instrText>
        </w:r>
        <w:r>
          <w:rPr>
            <w:noProof/>
            <w:webHidden/>
          </w:rPr>
        </w:r>
        <w:r>
          <w:rPr>
            <w:noProof/>
            <w:webHidden/>
          </w:rPr>
          <w:fldChar w:fldCharType="separate"/>
        </w:r>
        <w:r>
          <w:rPr>
            <w:noProof/>
            <w:webHidden/>
          </w:rPr>
          <w:t>7</w:t>
        </w:r>
        <w:r>
          <w:rPr>
            <w:noProof/>
            <w:webHidden/>
          </w:rPr>
          <w:fldChar w:fldCharType="end"/>
        </w:r>
      </w:hyperlink>
    </w:p>
    <w:p w14:paraId="778E96B0" w14:textId="111F452B" w:rsidR="009C3190" w:rsidRDefault="009C3190">
      <w:pPr>
        <w:pStyle w:val="TOC1"/>
        <w:tabs>
          <w:tab w:val="left" w:pos="660"/>
        </w:tabs>
        <w:rPr>
          <w:rFonts w:asciiTheme="minorHAnsi" w:eastAsiaTheme="minorEastAsia" w:hAnsiTheme="minorHAnsi" w:cstheme="minorBidi"/>
          <w:noProof/>
          <w:lang w:eastAsia="en-GB"/>
        </w:rPr>
      </w:pPr>
      <w:hyperlink w:anchor="_Toc168656154" w:history="1">
        <w:r w:rsidRPr="00F51AE3">
          <w:rPr>
            <w:rStyle w:val="Hyperlink"/>
            <w:noProof/>
            <w:lang w:eastAsia="en-GB"/>
          </w:rPr>
          <w:t>12.</w:t>
        </w:r>
        <w:r>
          <w:rPr>
            <w:rFonts w:asciiTheme="minorHAnsi" w:eastAsiaTheme="minorEastAsia" w:hAnsiTheme="minorHAnsi" w:cstheme="minorBidi"/>
            <w:noProof/>
            <w:lang w:eastAsia="en-GB"/>
          </w:rPr>
          <w:tab/>
        </w:r>
        <w:r w:rsidRPr="00F51AE3">
          <w:rPr>
            <w:rStyle w:val="Hyperlink"/>
            <w:noProof/>
            <w:lang w:eastAsia="en-GB"/>
          </w:rPr>
          <w:t>Patient Discharge</w:t>
        </w:r>
        <w:r>
          <w:rPr>
            <w:noProof/>
            <w:webHidden/>
          </w:rPr>
          <w:tab/>
        </w:r>
        <w:r>
          <w:rPr>
            <w:noProof/>
            <w:webHidden/>
          </w:rPr>
          <w:fldChar w:fldCharType="begin"/>
        </w:r>
        <w:r>
          <w:rPr>
            <w:noProof/>
            <w:webHidden/>
          </w:rPr>
          <w:instrText xml:space="preserve"> PAGEREF _Toc168656154 \h </w:instrText>
        </w:r>
        <w:r>
          <w:rPr>
            <w:noProof/>
            <w:webHidden/>
          </w:rPr>
        </w:r>
        <w:r>
          <w:rPr>
            <w:noProof/>
            <w:webHidden/>
          </w:rPr>
          <w:fldChar w:fldCharType="separate"/>
        </w:r>
        <w:r>
          <w:rPr>
            <w:noProof/>
            <w:webHidden/>
          </w:rPr>
          <w:t>7</w:t>
        </w:r>
        <w:r>
          <w:rPr>
            <w:noProof/>
            <w:webHidden/>
          </w:rPr>
          <w:fldChar w:fldCharType="end"/>
        </w:r>
      </w:hyperlink>
    </w:p>
    <w:p w14:paraId="3437DC31" w14:textId="3FD5A12E" w:rsidR="009C3190" w:rsidRDefault="009C3190">
      <w:pPr>
        <w:pStyle w:val="TOC1"/>
        <w:tabs>
          <w:tab w:val="left" w:pos="660"/>
        </w:tabs>
        <w:rPr>
          <w:rFonts w:asciiTheme="minorHAnsi" w:eastAsiaTheme="minorEastAsia" w:hAnsiTheme="minorHAnsi" w:cstheme="minorBidi"/>
          <w:noProof/>
          <w:lang w:eastAsia="en-GB"/>
        </w:rPr>
      </w:pPr>
      <w:hyperlink w:anchor="_Toc168656155" w:history="1">
        <w:r w:rsidRPr="00F51AE3">
          <w:rPr>
            <w:rStyle w:val="Hyperlink"/>
            <w:rFonts w:eastAsia="SimSun"/>
            <w:noProof/>
            <w:lang w:eastAsia="zh-CN"/>
          </w:rPr>
          <w:t>13</w:t>
        </w:r>
        <w:r>
          <w:rPr>
            <w:rFonts w:asciiTheme="minorHAnsi" w:eastAsiaTheme="minorEastAsia" w:hAnsiTheme="minorHAnsi" w:cstheme="minorBidi"/>
            <w:noProof/>
            <w:lang w:eastAsia="en-GB"/>
          </w:rPr>
          <w:tab/>
        </w:r>
        <w:r w:rsidRPr="00F51AE3">
          <w:rPr>
            <w:rStyle w:val="Hyperlink"/>
            <w:rFonts w:eastAsia="SimSun"/>
            <w:noProof/>
            <w:lang w:eastAsia="zh-CN"/>
          </w:rPr>
          <w:t>Social Value</w:t>
        </w:r>
        <w:r>
          <w:rPr>
            <w:noProof/>
            <w:webHidden/>
          </w:rPr>
          <w:tab/>
        </w:r>
        <w:r>
          <w:rPr>
            <w:noProof/>
            <w:webHidden/>
          </w:rPr>
          <w:fldChar w:fldCharType="begin"/>
        </w:r>
        <w:r>
          <w:rPr>
            <w:noProof/>
            <w:webHidden/>
          </w:rPr>
          <w:instrText xml:space="preserve"> PAGEREF _Toc168656155 \h </w:instrText>
        </w:r>
        <w:r>
          <w:rPr>
            <w:noProof/>
            <w:webHidden/>
          </w:rPr>
        </w:r>
        <w:r>
          <w:rPr>
            <w:noProof/>
            <w:webHidden/>
          </w:rPr>
          <w:fldChar w:fldCharType="separate"/>
        </w:r>
        <w:r>
          <w:rPr>
            <w:noProof/>
            <w:webHidden/>
          </w:rPr>
          <w:t>8</w:t>
        </w:r>
        <w:r>
          <w:rPr>
            <w:noProof/>
            <w:webHidden/>
          </w:rPr>
          <w:fldChar w:fldCharType="end"/>
        </w:r>
      </w:hyperlink>
    </w:p>
    <w:p w14:paraId="5E072030" w14:textId="53A42284" w:rsidR="009C3190" w:rsidRDefault="009C3190">
      <w:pPr>
        <w:pStyle w:val="TOC1"/>
        <w:tabs>
          <w:tab w:val="left" w:pos="660"/>
        </w:tabs>
        <w:rPr>
          <w:rFonts w:asciiTheme="minorHAnsi" w:eastAsiaTheme="minorEastAsia" w:hAnsiTheme="minorHAnsi" w:cstheme="minorBidi"/>
          <w:noProof/>
          <w:lang w:eastAsia="en-GB"/>
        </w:rPr>
      </w:pPr>
      <w:hyperlink w:anchor="_Toc168656156" w:history="1">
        <w:r w:rsidRPr="00F51AE3">
          <w:rPr>
            <w:rStyle w:val="Hyperlink"/>
            <w:rFonts w:eastAsia="SimSun"/>
            <w:noProof/>
            <w:lang w:eastAsia="zh-CN"/>
          </w:rPr>
          <w:t>14</w:t>
        </w:r>
        <w:r>
          <w:rPr>
            <w:rFonts w:asciiTheme="minorHAnsi" w:eastAsiaTheme="minorEastAsia" w:hAnsiTheme="minorHAnsi" w:cstheme="minorBidi"/>
            <w:noProof/>
            <w:lang w:eastAsia="en-GB"/>
          </w:rPr>
          <w:tab/>
        </w:r>
        <w:r w:rsidRPr="00F51AE3">
          <w:rPr>
            <w:rStyle w:val="Hyperlink"/>
            <w:rFonts w:eastAsia="SimSun"/>
            <w:noProof/>
            <w:lang w:eastAsia="zh-CN"/>
          </w:rPr>
          <w:t>Delivering a ‘Net Zero’ National Health Service</w:t>
        </w:r>
        <w:r>
          <w:rPr>
            <w:noProof/>
            <w:webHidden/>
          </w:rPr>
          <w:tab/>
        </w:r>
        <w:r>
          <w:rPr>
            <w:noProof/>
            <w:webHidden/>
          </w:rPr>
          <w:fldChar w:fldCharType="begin"/>
        </w:r>
        <w:r>
          <w:rPr>
            <w:noProof/>
            <w:webHidden/>
          </w:rPr>
          <w:instrText xml:space="preserve"> PAGEREF _Toc168656156 \h </w:instrText>
        </w:r>
        <w:r>
          <w:rPr>
            <w:noProof/>
            <w:webHidden/>
          </w:rPr>
        </w:r>
        <w:r>
          <w:rPr>
            <w:noProof/>
            <w:webHidden/>
          </w:rPr>
          <w:fldChar w:fldCharType="separate"/>
        </w:r>
        <w:r>
          <w:rPr>
            <w:noProof/>
            <w:webHidden/>
          </w:rPr>
          <w:t>8</w:t>
        </w:r>
        <w:r>
          <w:rPr>
            <w:noProof/>
            <w:webHidden/>
          </w:rPr>
          <w:fldChar w:fldCharType="end"/>
        </w:r>
      </w:hyperlink>
    </w:p>
    <w:p w14:paraId="526AA9DA" w14:textId="312E3F3B" w:rsidR="009C3190" w:rsidRDefault="009C3190">
      <w:pPr>
        <w:pStyle w:val="TOC1"/>
        <w:tabs>
          <w:tab w:val="left" w:pos="660"/>
        </w:tabs>
        <w:rPr>
          <w:rFonts w:asciiTheme="minorHAnsi" w:eastAsiaTheme="minorEastAsia" w:hAnsiTheme="minorHAnsi" w:cstheme="minorBidi"/>
          <w:noProof/>
          <w:lang w:eastAsia="en-GB"/>
        </w:rPr>
      </w:pPr>
      <w:hyperlink w:anchor="_Toc168656157" w:history="1">
        <w:r w:rsidRPr="00F51AE3">
          <w:rPr>
            <w:rStyle w:val="Hyperlink"/>
            <w:rFonts w:eastAsia="SimSun"/>
            <w:noProof/>
            <w:lang w:eastAsia="zh-CN"/>
          </w:rPr>
          <w:t>15</w:t>
        </w:r>
        <w:r>
          <w:rPr>
            <w:rFonts w:asciiTheme="minorHAnsi" w:eastAsiaTheme="minorEastAsia" w:hAnsiTheme="minorHAnsi" w:cstheme="minorBidi"/>
            <w:noProof/>
            <w:lang w:eastAsia="en-GB"/>
          </w:rPr>
          <w:tab/>
        </w:r>
        <w:r w:rsidRPr="00F51AE3">
          <w:rPr>
            <w:rStyle w:val="Hyperlink"/>
            <w:rFonts w:eastAsia="SimSun"/>
            <w:noProof/>
            <w:lang w:eastAsia="zh-CN"/>
          </w:rPr>
          <w:t>NHS Single-Use Plastics Reduction Campaign Pledge</w:t>
        </w:r>
        <w:r>
          <w:rPr>
            <w:noProof/>
            <w:webHidden/>
          </w:rPr>
          <w:tab/>
        </w:r>
        <w:r>
          <w:rPr>
            <w:noProof/>
            <w:webHidden/>
          </w:rPr>
          <w:fldChar w:fldCharType="begin"/>
        </w:r>
        <w:r>
          <w:rPr>
            <w:noProof/>
            <w:webHidden/>
          </w:rPr>
          <w:instrText xml:space="preserve"> PAGEREF _Toc168656157 \h </w:instrText>
        </w:r>
        <w:r>
          <w:rPr>
            <w:noProof/>
            <w:webHidden/>
          </w:rPr>
        </w:r>
        <w:r>
          <w:rPr>
            <w:noProof/>
            <w:webHidden/>
          </w:rPr>
          <w:fldChar w:fldCharType="separate"/>
        </w:r>
        <w:r>
          <w:rPr>
            <w:noProof/>
            <w:webHidden/>
          </w:rPr>
          <w:t>9</w:t>
        </w:r>
        <w:r>
          <w:rPr>
            <w:noProof/>
            <w:webHidden/>
          </w:rPr>
          <w:fldChar w:fldCharType="end"/>
        </w:r>
      </w:hyperlink>
    </w:p>
    <w:p w14:paraId="6102F6EC" w14:textId="7D7C7DB1" w:rsidR="009C3190" w:rsidRDefault="009C3190">
      <w:pPr>
        <w:pStyle w:val="TOC1"/>
        <w:tabs>
          <w:tab w:val="left" w:pos="660"/>
        </w:tabs>
        <w:rPr>
          <w:rFonts w:asciiTheme="minorHAnsi" w:eastAsiaTheme="minorEastAsia" w:hAnsiTheme="minorHAnsi" w:cstheme="minorBidi"/>
          <w:noProof/>
          <w:lang w:eastAsia="en-GB"/>
        </w:rPr>
      </w:pPr>
      <w:hyperlink w:anchor="_Toc168656158" w:history="1">
        <w:r w:rsidRPr="00F51AE3">
          <w:rPr>
            <w:rStyle w:val="Hyperlink"/>
            <w:noProof/>
            <w:lang w:eastAsia="zh-CN"/>
          </w:rPr>
          <w:t>16</w:t>
        </w:r>
        <w:r>
          <w:rPr>
            <w:rFonts w:asciiTheme="minorHAnsi" w:eastAsiaTheme="minorEastAsia" w:hAnsiTheme="minorHAnsi" w:cstheme="minorBidi"/>
            <w:noProof/>
            <w:lang w:eastAsia="en-GB"/>
          </w:rPr>
          <w:tab/>
        </w:r>
        <w:r w:rsidRPr="00F51AE3">
          <w:rPr>
            <w:rStyle w:val="Hyperlink"/>
            <w:noProof/>
            <w:lang w:eastAsia="zh-CN"/>
          </w:rPr>
          <w:t>South East London Integrated Care System Green Plan</w:t>
        </w:r>
        <w:r>
          <w:rPr>
            <w:noProof/>
            <w:webHidden/>
          </w:rPr>
          <w:tab/>
        </w:r>
        <w:r>
          <w:rPr>
            <w:noProof/>
            <w:webHidden/>
          </w:rPr>
          <w:fldChar w:fldCharType="begin"/>
        </w:r>
        <w:r>
          <w:rPr>
            <w:noProof/>
            <w:webHidden/>
          </w:rPr>
          <w:instrText xml:space="preserve"> PAGEREF _Toc168656158 \h </w:instrText>
        </w:r>
        <w:r>
          <w:rPr>
            <w:noProof/>
            <w:webHidden/>
          </w:rPr>
        </w:r>
        <w:r>
          <w:rPr>
            <w:noProof/>
            <w:webHidden/>
          </w:rPr>
          <w:fldChar w:fldCharType="separate"/>
        </w:r>
        <w:r>
          <w:rPr>
            <w:noProof/>
            <w:webHidden/>
          </w:rPr>
          <w:t>10</w:t>
        </w:r>
        <w:r>
          <w:rPr>
            <w:noProof/>
            <w:webHidden/>
          </w:rPr>
          <w:fldChar w:fldCharType="end"/>
        </w:r>
      </w:hyperlink>
    </w:p>
    <w:p w14:paraId="556F6BF4" w14:textId="29A9372B" w:rsidR="002475C4" w:rsidRPr="00B817F1" w:rsidRDefault="002475C4" w:rsidP="00390CD2">
      <w:pPr>
        <w:spacing w:after="0" w:line="360" w:lineRule="auto"/>
        <w:contextualSpacing/>
        <w:rPr>
          <w:rFonts w:ascii="Arial" w:hAnsi="Arial" w:cs="Arial"/>
        </w:rPr>
      </w:pPr>
      <w:r w:rsidRPr="00B817F1">
        <w:rPr>
          <w:rFonts w:ascii="Arial" w:hAnsi="Arial" w:cs="Arial"/>
        </w:rPr>
        <w:fldChar w:fldCharType="end"/>
      </w:r>
    </w:p>
    <w:p w14:paraId="2E8D4CA1" w14:textId="1F909E41" w:rsidR="00B42B99" w:rsidRDefault="00B42B99" w:rsidP="00390CD2">
      <w:pPr>
        <w:spacing w:after="0" w:line="360" w:lineRule="auto"/>
        <w:contextualSpacing/>
        <w:rPr>
          <w:color w:val="FF0000"/>
          <w:sz w:val="24"/>
        </w:rPr>
      </w:pPr>
      <w:r>
        <w:rPr>
          <w:color w:val="FF0000"/>
          <w:sz w:val="24"/>
        </w:rPr>
        <w:br w:type="page"/>
      </w:r>
    </w:p>
    <w:p w14:paraId="57A7ECD2" w14:textId="77777777" w:rsidR="002475C4" w:rsidRPr="00425548" w:rsidRDefault="002475C4" w:rsidP="00B42B99">
      <w:pPr>
        <w:jc w:val="both"/>
        <w:rPr>
          <w:color w:val="FF0000"/>
          <w:sz w:val="24"/>
        </w:rPr>
        <w:sectPr w:rsidR="002475C4" w:rsidRPr="00425548" w:rsidSect="006A63AB">
          <w:headerReference w:type="default" r:id="rId14"/>
          <w:footerReference w:type="default" r:id="rId15"/>
          <w:pgSz w:w="11906" w:h="16838"/>
          <w:pgMar w:top="720" w:right="720" w:bottom="720" w:left="720" w:header="283" w:footer="283" w:gutter="0"/>
          <w:cols w:space="708"/>
          <w:titlePg/>
          <w:docGrid w:linePitch="360"/>
        </w:sectPr>
      </w:pPr>
    </w:p>
    <w:p w14:paraId="1414436D" w14:textId="1C7630CA" w:rsidR="00542DFB" w:rsidRDefault="002E52DF" w:rsidP="00541966">
      <w:pPr>
        <w:pStyle w:val="Heading1"/>
        <w:numPr>
          <w:ilvl w:val="0"/>
          <w:numId w:val="2"/>
        </w:numPr>
        <w:spacing w:before="0" w:after="0" w:line="360" w:lineRule="auto"/>
        <w:ind w:left="0" w:firstLine="0"/>
        <w:rPr>
          <w:rFonts w:eastAsia="SimSun" w:cs="Arial"/>
          <w:lang w:eastAsia="zh-CN"/>
        </w:rPr>
      </w:pPr>
      <w:bookmarkStart w:id="1" w:name="_Toc168656140"/>
      <w:r>
        <w:rPr>
          <w:rFonts w:eastAsia="SimSun" w:cs="Arial"/>
          <w:lang w:eastAsia="zh-CN"/>
        </w:rPr>
        <w:lastRenderedPageBreak/>
        <w:t>Overview</w:t>
      </w:r>
      <w:bookmarkEnd w:id="1"/>
    </w:p>
    <w:p w14:paraId="66A46D9E" w14:textId="77777777" w:rsidR="00E250F3" w:rsidRDefault="00FF786B" w:rsidP="0037778B">
      <w:pPr>
        <w:rPr>
          <w:rFonts w:ascii="Arial" w:hAnsi="Arial" w:cs="Arial"/>
          <w:lang w:eastAsia="zh-CN"/>
        </w:rPr>
      </w:pPr>
      <w:r w:rsidRPr="00FF786B">
        <w:rPr>
          <w:rFonts w:ascii="Arial" w:hAnsi="Arial" w:cs="Arial"/>
          <w:lang w:eastAsia="zh-CN"/>
        </w:rPr>
        <w:t xml:space="preserve">The aim of </w:t>
      </w:r>
      <w:r w:rsidR="00E250F3">
        <w:rPr>
          <w:rFonts w:ascii="Arial" w:hAnsi="Arial" w:cs="Arial"/>
          <w:lang w:eastAsia="zh-CN"/>
        </w:rPr>
        <w:t xml:space="preserve">this requirement </w:t>
      </w:r>
      <w:r w:rsidRPr="00FF786B">
        <w:rPr>
          <w:rFonts w:ascii="Arial" w:hAnsi="Arial" w:cs="Arial"/>
          <w:lang w:eastAsia="zh-CN"/>
        </w:rPr>
        <w:t>is to support South London and Maudsley NHS Trust (SLaM) service users, who no longer need to be in hospital to take the next step in their recovery whilst they await their home, placement or care package to be ready.</w:t>
      </w:r>
      <w:r w:rsidR="00E250F3">
        <w:rPr>
          <w:rFonts w:ascii="Arial" w:hAnsi="Arial" w:cs="Arial"/>
          <w:lang w:eastAsia="zh-CN"/>
        </w:rPr>
        <w:t xml:space="preserve"> </w:t>
      </w:r>
      <w:r w:rsidR="0037778B" w:rsidRPr="0037778B">
        <w:rPr>
          <w:rFonts w:ascii="Arial" w:hAnsi="Arial" w:cs="Arial"/>
          <w:lang w:eastAsia="zh-CN"/>
        </w:rPr>
        <w:t xml:space="preserve">The requirement is </w:t>
      </w:r>
      <w:r w:rsidR="00E250F3">
        <w:rPr>
          <w:rFonts w:ascii="Arial" w:hAnsi="Arial" w:cs="Arial"/>
          <w:lang w:eastAsia="zh-CN"/>
        </w:rPr>
        <w:t xml:space="preserve">required </w:t>
      </w:r>
      <w:r w:rsidR="0037778B" w:rsidRPr="0037778B">
        <w:rPr>
          <w:rFonts w:ascii="Arial" w:hAnsi="Arial" w:cs="Arial"/>
          <w:lang w:eastAsia="zh-CN"/>
        </w:rPr>
        <w:t xml:space="preserve">across all 4 boroughs the Authority Serves, Croydon, Lambeth, Lewisham and Southwark and accommodation presence will be required in all boroughs. </w:t>
      </w:r>
    </w:p>
    <w:p w14:paraId="234B0598" w14:textId="0988F826" w:rsidR="0037778B" w:rsidRPr="0037778B" w:rsidRDefault="0037778B" w:rsidP="0037778B">
      <w:pPr>
        <w:rPr>
          <w:rFonts w:ascii="Arial" w:hAnsi="Arial" w:cs="Arial"/>
          <w:lang w:eastAsia="zh-CN"/>
        </w:rPr>
      </w:pPr>
      <w:r w:rsidRPr="0037778B">
        <w:rPr>
          <w:rFonts w:ascii="Arial" w:hAnsi="Arial" w:cs="Arial"/>
          <w:lang w:eastAsia="zh-CN"/>
        </w:rPr>
        <w:t>This requirement is split into 4 lots, one for each borough.</w:t>
      </w:r>
    </w:p>
    <w:p w14:paraId="10226014" w14:textId="7C866277" w:rsidR="0037778B" w:rsidRDefault="0037778B" w:rsidP="0037778B">
      <w:pPr>
        <w:rPr>
          <w:rFonts w:ascii="Arial" w:hAnsi="Arial" w:cs="Arial"/>
          <w:lang w:eastAsia="zh-CN"/>
        </w:rPr>
      </w:pPr>
      <w:r w:rsidRPr="0037778B">
        <w:rPr>
          <w:rFonts w:ascii="Arial" w:hAnsi="Arial" w:cs="Arial"/>
          <w:lang w:eastAsia="zh-CN"/>
        </w:rPr>
        <w:t>The requirement is expected to be for approximately 30 patients at any one time, although numbers will fluctuate.</w:t>
      </w:r>
    </w:p>
    <w:p w14:paraId="56730B25" w14:textId="5D4FD13B" w:rsidR="0037778B" w:rsidRDefault="0037778B" w:rsidP="0037778B">
      <w:pPr>
        <w:rPr>
          <w:rFonts w:ascii="Arial" w:hAnsi="Arial" w:cs="Arial"/>
          <w:lang w:eastAsia="zh-CN"/>
        </w:rPr>
      </w:pPr>
      <w:r>
        <w:rPr>
          <w:rFonts w:ascii="Arial" w:hAnsi="Arial" w:cs="Arial"/>
          <w:lang w:eastAsia="zh-CN"/>
        </w:rPr>
        <w:t xml:space="preserve">It is </w:t>
      </w:r>
      <w:r w:rsidRPr="0037778B">
        <w:rPr>
          <w:rFonts w:ascii="Arial" w:hAnsi="Arial" w:cs="Arial"/>
          <w:lang w:eastAsia="zh-CN"/>
        </w:rPr>
        <w:t xml:space="preserve">envisaged that the average length of stay for individuals will be in the region of </w:t>
      </w:r>
      <w:r w:rsidR="0012320F">
        <w:rPr>
          <w:rFonts w:ascii="Arial" w:hAnsi="Arial" w:cs="Arial"/>
          <w:lang w:eastAsia="zh-CN"/>
        </w:rPr>
        <w:t>2 – 4 w</w:t>
      </w:r>
      <w:r>
        <w:rPr>
          <w:rFonts w:ascii="Arial" w:hAnsi="Arial" w:cs="Arial"/>
          <w:lang w:eastAsia="zh-CN"/>
        </w:rPr>
        <w:t>eeks.</w:t>
      </w:r>
    </w:p>
    <w:p w14:paraId="1AAF8F57" w14:textId="77777777" w:rsidR="00FF3B6E" w:rsidRPr="00FF3B6E" w:rsidRDefault="00FF3B6E" w:rsidP="001A1B58">
      <w:pPr>
        <w:pStyle w:val="Heading1"/>
        <w:numPr>
          <w:ilvl w:val="0"/>
          <w:numId w:val="2"/>
        </w:numPr>
      </w:pPr>
      <w:bookmarkStart w:id="2" w:name="_Toc28941150"/>
      <w:bookmarkStart w:id="3" w:name="_Toc168656141"/>
      <w:r w:rsidRPr="00FF3B6E">
        <w:t>Eligibility Criteria and Referral Routes</w:t>
      </w:r>
      <w:bookmarkEnd w:id="2"/>
      <w:bookmarkEnd w:id="3"/>
    </w:p>
    <w:p w14:paraId="5C1ABCE4" w14:textId="77777777" w:rsidR="00FF3B6E" w:rsidRDefault="00FF3B6E" w:rsidP="00FF3B6E">
      <w:pPr>
        <w:spacing w:after="0" w:line="240" w:lineRule="auto"/>
        <w:jc w:val="both"/>
        <w:rPr>
          <w:rFonts w:ascii="Arial" w:hAnsi="Arial" w:cs="Arial"/>
        </w:rPr>
      </w:pPr>
      <w:r w:rsidRPr="00FF3B6E">
        <w:rPr>
          <w:rFonts w:ascii="Arial" w:hAnsi="Arial" w:cs="Arial"/>
        </w:rPr>
        <w:t>The eligibility criteria set-out below broadly defines the individuals who can be referred into and accepted by services:</w:t>
      </w:r>
    </w:p>
    <w:p w14:paraId="4C779E24" w14:textId="77777777" w:rsidR="0012320F" w:rsidRPr="00FF3B6E" w:rsidRDefault="0012320F" w:rsidP="00FF3B6E">
      <w:pPr>
        <w:spacing w:after="0" w:line="240" w:lineRule="auto"/>
        <w:jc w:val="both"/>
        <w:rPr>
          <w:rFonts w:ascii="Arial" w:hAnsi="Arial" w:cs="Arial"/>
        </w:rPr>
      </w:pPr>
    </w:p>
    <w:p w14:paraId="08CD7131" w14:textId="77777777" w:rsidR="00FF3B6E" w:rsidRDefault="00FF3B6E" w:rsidP="001235D8">
      <w:pPr>
        <w:pStyle w:val="ListParagraph"/>
        <w:numPr>
          <w:ilvl w:val="0"/>
          <w:numId w:val="10"/>
        </w:numPr>
        <w:spacing w:after="0" w:line="240" w:lineRule="auto"/>
        <w:jc w:val="both"/>
        <w:rPr>
          <w:rFonts w:ascii="Arial" w:hAnsi="Arial" w:cs="Arial"/>
        </w:rPr>
      </w:pPr>
      <w:r w:rsidRPr="00FF3B6E">
        <w:rPr>
          <w:rFonts w:ascii="Arial" w:hAnsi="Arial" w:cs="Arial"/>
        </w:rPr>
        <w:t>Aged 18-65</w:t>
      </w:r>
    </w:p>
    <w:p w14:paraId="6287122E" w14:textId="3DACBD9C" w:rsidR="0012320F" w:rsidRPr="00FF3B6E" w:rsidRDefault="0012320F" w:rsidP="001235D8">
      <w:pPr>
        <w:pStyle w:val="ListParagraph"/>
        <w:numPr>
          <w:ilvl w:val="0"/>
          <w:numId w:val="10"/>
        </w:numPr>
        <w:spacing w:after="0" w:line="240" w:lineRule="auto"/>
        <w:jc w:val="both"/>
        <w:rPr>
          <w:rFonts w:ascii="Arial" w:hAnsi="Arial" w:cs="Arial"/>
        </w:rPr>
      </w:pPr>
      <w:r>
        <w:rPr>
          <w:rFonts w:ascii="Arial" w:hAnsi="Arial" w:cs="Arial"/>
        </w:rPr>
        <w:t>Clinically ready for discharge from an acute inpatient ward (CRFD)</w:t>
      </w:r>
    </w:p>
    <w:p w14:paraId="4C7C09AA" w14:textId="0FACA2D9" w:rsidR="00FF3B6E" w:rsidRPr="00FF3B6E" w:rsidRDefault="00FF3B6E" w:rsidP="001235D8">
      <w:pPr>
        <w:pStyle w:val="ListParagraph"/>
        <w:numPr>
          <w:ilvl w:val="0"/>
          <w:numId w:val="10"/>
        </w:numPr>
        <w:spacing w:after="0" w:line="240" w:lineRule="auto"/>
        <w:jc w:val="both"/>
        <w:rPr>
          <w:rFonts w:ascii="Arial" w:hAnsi="Arial" w:cs="Arial"/>
        </w:rPr>
      </w:pPr>
      <w:r w:rsidRPr="00FF3B6E">
        <w:rPr>
          <w:rFonts w:ascii="Arial" w:hAnsi="Arial" w:cs="Arial"/>
        </w:rPr>
        <w:t>Ordinar</w:t>
      </w:r>
      <w:r w:rsidR="0012320F">
        <w:rPr>
          <w:rFonts w:ascii="Arial" w:hAnsi="Arial" w:cs="Arial"/>
        </w:rPr>
        <w:t>il</w:t>
      </w:r>
      <w:r w:rsidRPr="00FF3B6E">
        <w:rPr>
          <w:rFonts w:ascii="Arial" w:hAnsi="Arial" w:cs="Arial"/>
        </w:rPr>
        <w:t xml:space="preserve">y Resident </w:t>
      </w:r>
      <w:r w:rsidR="0012320F">
        <w:rPr>
          <w:rFonts w:ascii="Arial" w:hAnsi="Arial" w:cs="Arial"/>
        </w:rPr>
        <w:t>in a</w:t>
      </w:r>
      <w:r w:rsidRPr="00FF3B6E">
        <w:rPr>
          <w:rFonts w:ascii="Arial" w:hAnsi="Arial" w:cs="Arial"/>
        </w:rPr>
        <w:t xml:space="preserve"> Borough in</w:t>
      </w:r>
      <w:r w:rsidR="0012320F">
        <w:rPr>
          <w:rFonts w:ascii="Arial" w:hAnsi="Arial" w:cs="Arial"/>
        </w:rPr>
        <w:t xml:space="preserve"> scope of the Authority</w:t>
      </w:r>
    </w:p>
    <w:p w14:paraId="4D8BA6AF" w14:textId="6284BF36" w:rsidR="00FF3B6E" w:rsidRPr="00FF3B6E" w:rsidRDefault="00FF3B6E" w:rsidP="001235D8">
      <w:pPr>
        <w:pStyle w:val="ListParagraph"/>
        <w:numPr>
          <w:ilvl w:val="0"/>
          <w:numId w:val="10"/>
        </w:numPr>
        <w:spacing w:after="0" w:line="240" w:lineRule="auto"/>
        <w:jc w:val="both"/>
        <w:rPr>
          <w:rFonts w:ascii="Arial" w:hAnsi="Arial" w:cs="Arial"/>
        </w:rPr>
      </w:pPr>
      <w:r w:rsidRPr="00FF3B6E">
        <w:rPr>
          <w:rFonts w:ascii="Arial" w:hAnsi="Arial" w:cs="Arial"/>
        </w:rPr>
        <w:t xml:space="preserve">Have a clinically diagnosed mental illness and a demonstrable need for </w:t>
      </w:r>
      <w:r w:rsidR="0012320F">
        <w:rPr>
          <w:rFonts w:ascii="Arial" w:hAnsi="Arial" w:cs="Arial"/>
        </w:rPr>
        <w:t xml:space="preserve">accommodation or </w:t>
      </w:r>
      <w:r w:rsidRPr="00FF3B6E">
        <w:rPr>
          <w:rFonts w:ascii="Arial" w:hAnsi="Arial" w:cs="Arial"/>
        </w:rPr>
        <w:t xml:space="preserve">intensive rehabilitation accommodation-based support </w:t>
      </w:r>
    </w:p>
    <w:p w14:paraId="01865EF2" w14:textId="4633424B" w:rsidR="00FF3B6E" w:rsidRPr="00FF3B6E" w:rsidRDefault="00FF3B6E" w:rsidP="001235D8">
      <w:pPr>
        <w:pStyle w:val="ListParagraph"/>
        <w:numPr>
          <w:ilvl w:val="0"/>
          <w:numId w:val="10"/>
        </w:numPr>
        <w:spacing w:after="0" w:line="240" w:lineRule="auto"/>
        <w:jc w:val="both"/>
        <w:rPr>
          <w:rFonts w:ascii="Arial" w:hAnsi="Arial" w:cs="Arial"/>
        </w:rPr>
      </w:pPr>
      <w:r w:rsidRPr="00FF3B6E">
        <w:rPr>
          <w:rFonts w:ascii="Arial" w:hAnsi="Arial" w:cs="Arial"/>
        </w:rPr>
        <w:t>Under the care of a statutory Community Mental Health Team</w:t>
      </w:r>
      <w:r w:rsidR="0012320F">
        <w:rPr>
          <w:rFonts w:ascii="Arial" w:hAnsi="Arial" w:cs="Arial"/>
        </w:rPr>
        <w:t xml:space="preserve"> or Home Treatment Team HTT</w:t>
      </w:r>
    </w:p>
    <w:p w14:paraId="1AF51573" w14:textId="48D6EA86" w:rsidR="00FF3B6E" w:rsidRPr="00FF3B6E" w:rsidRDefault="0012320F" w:rsidP="001235D8">
      <w:pPr>
        <w:pStyle w:val="ListParagraph"/>
        <w:numPr>
          <w:ilvl w:val="0"/>
          <w:numId w:val="10"/>
        </w:numPr>
        <w:spacing w:after="0" w:line="240" w:lineRule="auto"/>
        <w:jc w:val="both"/>
        <w:rPr>
          <w:rFonts w:ascii="Arial" w:hAnsi="Arial" w:cs="Arial"/>
        </w:rPr>
      </w:pPr>
      <w:r>
        <w:rPr>
          <w:rFonts w:ascii="Arial" w:hAnsi="Arial" w:cs="Arial"/>
        </w:rPr>
        <w:t>May be s</w:t>
      </w:r>
      <w:r w:rsidR="00FF3B6E" w:rsidRPr="00FF3B6E">
        <w:rPr>
          <w:rFonts w:ascii="Arial" w:hAnsi="Arial" w:cs="Arial"/>
        </w:rPr>
        <w:t>ubject to CPA arrangements</w:t>
      </w:r>
    </w:p>
    <w:p w14:paraId="4744A4B6" w14:textId="780F2FFD" w:rsidR="00FF3B6E" w:rsidRPr="00FF3B6E" w:rsidRDefault="008868C2" w:rsidP="001235D8">
      <w:pPr>
        <w:pStyle w:val="ListParagraph"/>
        <w:numPr>
          <w:ilvl w:val="0"/>
          <w:numId w:val="10"/>
        </w:numPr>
        <w:spacing w:after="0" w:line="240" w:lineRule="auto"/>
        <w:jc w:val="both"/>
        <w:rPr>
          <w:rFonts w:ascii="Arial" w:hAnsi="Arial" w:cs="Arial"/>
        </w:rPr>
      </w:pPr>
      <w:r>
        <w:rPr>
          <w:rFonts w:ascii="Arial" w:hAnsi="Arial" w:cs="Arial"/>
        </w:rPr>
        <w:t>S</w:t>
      </w:r>
      <w:r w:rsidR="0012320F">
        <w:rPr>
          <w:rFonts w:ascii="Arial" w:hAnsi="Arial" w:cs="Arial"/>
        </w:rPr>
        <w:t xml:space="preserve">ubject to </w:t>
      </w:r>
      <w:r w:rsidR="00FF3B6E" w:rsidRPr="00FF3B6E">
        <w:rPr>
          <w:rFonts w:ascii="Arial" w:hAnsi="Arial" w:cs="Arial"/>
        </w:rPr>
        <w:t>Care Act 2014 eligible social care needs linked to diagnosed Mental Illness</w:t>
      </w:r>
    </w:p>
    <w:p w14:paraId="2F6FA77B" w14:textId="77777777" w:rsidR="00FF3B6E" w:rsidRPr="00FF3B6E" w:rsidRDefault="00FF3B6E" w:rsidP="00FF3B6E">
      <w:pPr>
        <w:spacing w:after="0" w:line="240" w:lineRule="auto"/>
        <w:ind w:left="425"/>
        <w:jc w:val="both"/>
        <w:rPr>
          <w:rFonts w:ascii="Arial" w:hAnsi="Arial" w:cs="Arial"/>
        </w:rPr>
      </w:pPr>
    </w:p>
    <w:p w14:paraId="6978F53E" w14:textId="77777777" w:rsidR="00FF3B6E" w:rsidRPr="00FF3B6E" w:rsidRDefault="00FF3B6E" w:rsidP="00FF3B6E">
      <w:pPr>
        <w:spacing w:after="0" w:line="240" w:lineRule="auto"/>
        <w:jc w:val="both"/>
        <w:rPr>
          <w:rFonts w:ascii="Arial" w:hAnsi="Arial" w:cs="Arial"/>
        </w:rPr>
      </w:pPr>
      <w:r w:rsidRPr="00FF3B6E">
        <w:rPr>
          <w:rFonts w:ascii="Arial" w:hAnsi="Arial" w:cs="Arial"/>
        </w:rPr>
        <w:t>The Authority reserve the right to amend and alter the eligibility criteria to meet local need to support people being as close to home as possible</w:t>
      </w:r>
    </w:p>
    <w:p w14:paraId="44E4DAED" w14:textId="48288747" w:rsidR="00FF3B6E" w:rsidRDefault="00FF3B6E" w:rsidP="0037778B">
      <w:pPr>
        <w:rPr>
          <w:rFonts w:ascii="Arial" w:hAnsi="Arial" w:cs="Arial"/>
          <w:lang w:eastAsia="zh-CN"/>
        </w:rPr>
      </w:pPr>
    </w:p>
    <w:p w14:paraId="55DA8FC0" w14:textId="33123F18" w:rsidR="00FF3B6E" w:rsidRDefault="00FF3B6E" w:rsidP="001A1B58">
      <w:pPr>
        <w:pStyle w:val="Heading1"/>
        <w:numPr>
          <w:ilvl w:val="0"/>
          <w:numId w:val="2"/>
        </w:numPr>
        <w:rPr>
          <w:lang w:eastAsia="zh-CN"/>
        </w:rPr>
      </w:pPr>
      <w:bookmarkStart w:id="4" w:name="_Toc168656142"/>
      <w:r>
        <w:rPr>
          <w:lang w:eastAsia="zh-CN"/>
        </w:rPr>
        <w:t>Aims</w:t>
      </w:r>
      <w:bookmarkEnd w:id="4"/>
    </w:p>
    <w:p w14:paraId="72D88C63" w14:textId="77777777" w:rsidR="00FF3B6E" w:rsidRPr="001A1B58" w:rsidRDefault="00FF3B6E" w:rsidP="00FF3B6E">
      <w:pPr>
        <w:spacing w:after="0" w:line="240" w:lineRule="auto"/>
        <w:contextualSpacing/>
        <w:jc w:val="both"/>
        <w:rPr>
          <w:rFonts w:ascii="Arial" w:eastAsia="Times New Roman" w:hAnsi="Arial" w:cs="Arial"/>
          <w:szCs w:val="24"/>
          <w:lang w:eastAsia="en-GB"/>
        </w:rPr>
      </w:pPr>
      <w:r w:rsidRPr="001A1B58">
        <w:rPr>
          <w:rFonts w:ascii="Arial" w:eastAsia="Times New Roman" w:hAnsi="Arial" w:cs="Arial"/>
          <w:szCs w:val="24"/>
          <w:lang w:eastAsia="en-GB"/>
        </w:rPr>
        <w:t>The aims of this specification are to ensure that the Service delivery represents the CQC Domains:</w:t>
      </w:r>
    </w:p>
    <w:p w14:paraId="788EA919" w14:textId="77777777" w:rsidR="00FF3B6E" w:rsidRPr="001A1B58" w:rsidRDefault="00FF3B6E" w:rsidP="001235D8">
      <w:pPr>
        <w:pStyle w:val="ListParagraph"/>
        <w:numPr>
          <w:ilvl w:val="0"/>
          <w:numId w:val="11"/>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Safe</w:t>
      </w:r>
      <w:r w:rsidRPr="001A1B58">
        <w:rPr>
          <w:rFonts w:ascii="Arial" w:eastAsia="Times New Roman" w:hAnsi="Arial" w:cs="Arial"/>
          <w:szCs w:val="24"/>
          <w:lang w:eastAsia="en-GB"/>
        </w:rPr>
        <w:t xml:space="preserve"> – the services offered must protect patients from abuse and avoidable harm </w:t>
      </w:r>
    </w:p>
    <w:p w14:paraId="13FA1D18" w14:textId="77777777" w:rsidR="00FF3B6E" w:rsidRPr="001A1B58" w:rsidRDefault="00FF3B6E" w:rsidP="001235D8">
      <w:pPr>
        <w:pStyle w:val="ListParagraph"/>
        <w:numPr>
          <w:ilvl w:val="0"/>
          <w:numId w:val="11"/>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Effective</w:t>
      </w:r>
      <w:r w:rsidRPr="001A1B58">
        <w:rPr>
          <w:rFonts w:ascii="Arial" w:eastAsia="Times New Roman" w:hAnsi="Arial" w:cs="Arial"/>
          <w:szCs w:val="24"/>
          <w:lang w:eastAsia="en-GB"/>
        </w:rPr>
        <w:t xml:space="preserve"> – the care, treatment and support being provided will achieve good outcomes, assisting with maintaining quality of life based on best available evidence.</w:t>
      </w:r>
    </w:p>
    <w:p w14:paraId="7D3AE2AE" w14:textId="77777777" w:rsidR="00FF3B6E" w:rsidRPr="001A1B58" w:rsidRDefault="00FF3B6E" w:rsidP="001235D8">
      <w:pPr>
        <w:pStyle w:val="ListParagraph"/>
        <w:numPr>
          <w:ilvl w:val="0"/>
          <w:numId w:val="11"/>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Caring</w:t>
      </w:r>
      <w:r w:rsidRPr="001A1B58">
        <w:rPr>
          <w:rFonts w:ascii="Arial" w:eastAsia="Times New Roman" w:hAnsi="Arial" w:cs="Arial"/>
          <w:szCs w:val="24"/>
          <w:lang w:eastAsia="en-GB"/>
        </w:rPr>
        <w:t xml:space="preserve"> – patients will be treated with compassion, kindness, dignity and respect.</w:t>
      </w:r>
    </w:p>
    <w:p w14:paraId="5717198E" w14:textId="77777777" w:rsidR="00FF3B6E" w:rsidRPr="001A1B58" w:rsidRDefault="00FF3B6E" w:rsidP="001235D8">
      <w:pPr>
        <w:pStyle w:val="ListParagraph"/>
        <w:numPr>
          <w:ilvl w:val="0"/>
          <w:numId w:val="11"/>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Responsive</w:t>
      </w:r>
      <w:r w:rsidRPr="001A1B58">
        <w:rPr>
          <w:rFonts w:ascii="Arial" w:eastAsia="Times New Roman" w:hAnsi="Arial" w:cs="Arial"/>
          <w:szCs w:val="24"/>
          <w:lang w:eastAsia="en-GB"/>
        </w:rPr>
        <w:t xml:space="preserve"> – Services will be organised to meet patient need</w:t>
      </w:r>
    </w:p>
    <w:p w14:paraId="2C3C4F9A" w14:textId="77777777" w:rsidR="00FF3B6E" w:rsidRPr="001A1B58" w:rsidRDefault="00FF3B6E" w:rsidP="001235D8">
      <w:pPr>
        <w:pStyle w:val="ListParagraph"/>
        <w:numPr>
          <w:ilvl w:val="0"/>
          <w:numId w:val="11"/>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Well-Led</w:t>
      </w:r>
      <w:r w:rsidRPr="001A1B58">
        <w:rPr>
          <w:rFonts w:ascii="Arial" w:eastAsia="Times New Roman" w:hAnsi="Arial" w:cs="Arial"/>
          <w:szCs w:val="24"/>
          <w:lang w:eastAsia="en-GB"/>
        </w:rPr>
        <w:t xml:space="preserve"> – leadership, management and governance will ensure they provide high quality care based on individual need.  There will be encouragement in learning and innovation, with promotion of a fair and open culture.</w:t>
      </w:r>
    </w:p>
    <w:p w14:paraId="0BC58875" w14:textId="77777777" w:rsidR="001A1B58" w:rsidRDefault="001A1B58" w:rsidP="00FF3B6E">
      <w:pPr>
        <w:spacing w:after="0" w:line="240" w:lineRule="auto"/>
        <w:contextualSpacing/>
        <w:jc w:val="both"/>
        <w:rPr>
          <w:rFonts w:ascii="Arial" w:eastAsia="Times New Roman" w:hAnsi="Arial" w:cs="Arial"/>
          <w:szCs w:val="24"/>
          <w:lang w:eastAsia="en-GB"/>
        </w:rPr>
      </w:pPr>
    </w:p>
    <w:p w14:paraId="26A7930C" w14:textId="4D4C8635" w:rsidR="00FF3B6E" w:rsidRPr="001A1B58" w:rsidRDefault="00FF3B6E" w:rsidP="00FF3B6E">
      <w:pPr>
        <w:spacing w:after="0" w:line="240" w:lineRule="auto"/>
        <w:contextualSpacing/>
        <w:jc w:val="both"/>
        <w:rPr>
          <w:rFonts w:ascii="Arial" w:eastAsia="Times New Roman" w:hAnsi="Arial" w:cs="Arial"/>
          <w:szCs w:val="24"/>
          <w:lang w:eastAsia="en-GB"/>
        </w:rPr>
      </w:pPr>
      <w:r w:rsidRPr="001A1B58">
        <w:rPr>
          <w:rFonts w:ascii="Arial" w:eastAsia="Times New Roman" w:hAnsi="Arial" w:cs="Arial"/>
          <w:szCs w:val="24"/>
          <w:lang w:eastAsia="en-GB"/>
        </w:rPr>
        <w:t>In addition the Service will represent:</w:t>
      </w:r>
    </w:p>
    <w:p w14:paraId="581BE69B" w14:textId="77777777" w:rsidR="00FF3B6E" w:rsidRPr="001A1B58" w:rsidRDefault="00FF3B6E" w:rsidP="001235D8">
      <w:pPr>
        <w:pStyle w:val="ListParagraph"/>
        <w:numPr>
          <w:ilvl w:val="0"/>
          <w:numId w:val="15"/>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 xml:space="preserve">Excellence – </w:t>
      </w:r>
      <w:r w:rsidRPr="001A1B58">
        <w:rPr>
          <w:rFonts w:ascii="Arial" w:eastAsia="Times New Roman" w:hAnsi="Arial" w:cs="Arial"/>
          <w:szCs w:val="24"/>
          <w:lang w:eastAsia="en-GB"/>
        </w:rPr>
        <w:t xml:space="preserve">comply with relevant regulation standards to include </w:t>
      </w:r>
      <w:r w:rsidRPr="001A1B58">
        <w:rPr>
          <w:rFonts w:ascii="Arial" w:eastAsia="Times New Roman" w:hAnsi="Arial" w:cs="Arial"/>
          <w:b/>
          <w:szCs w:val="24"/>
          <w:lang w:eastAsia="en-GB"/>
        </w:rPr>
        <w:t>NICE</w:t>
      </w:r>
      <w:r w:rsidRPr="001A1B58">
        <w:rPr>
          <w:rFonts w:ascii="Arial" w:eastAsia="Times New Roman" w:hAnsi="Arial" w:cs="Arial"/>
          <w:szCs w:val="24"/>
          <w:lang w:eastAsia="en-GB"/>
        </w:rPr>
        <w:t xml:space="preserve"> guidance, along with all other national and local guidelines.</w:t>
      </w:r>
    </w:p>
    <w:p w14:paraId="3556A0E6" w14:textId="77777777" w:rsidR="00FF3B6E" w:rsidRPr="001A1B58" w:rsidRDefault="00FF3B6E" w:rsidP="001235D8">
      <w:pPr>
        <w:pStyle w:val="ListParagraph"/>
        <w:numPr>
          <w:ilvl w:val="0"/>
          <w:numId w:val="15"/>
        </w:numPr>
        <w:spacing w:after="0" w:line="240" w:lineRule="auto"/>
        <w:jc w:val="both"/>
        <w:rPr>
          <w:rFonts w:ascii="Arial" w:eastAsia="Times New Roman" w:hAnsi="Arial" w:cs="Arial"/>
          <w:szCs w:val="24"/>
          <w:lang w:eastAsia="en-GB"/>
        </w:rPr>
      </w:pPr>
      <w:r w:rsidRPr="001A1B58">
        <w:rPr>
          <w:rFonts w:ascii="Arial" w:eastAsia="Times New Roman" w:hAnsi="Arial" w:cs="Arial"/>
          <w:b/>
          <w:szCs w:val="24"/>
          <w:lang w:eastAsia="en-GB"/>
        </w:rPr>
        <w:t>Value for Money</w:t>
      </w:r>
      <w:r w:rsidRPr="001A1B58">
        <w:rPr>
          <w:rFonts w:ascii="Arial" w:eastAsia="Times New Roman" w:hAnsi="Arial" w:cs="Arial"/>
          <w:szCs w:val="24"/>
          <w:lang w:eastAsia="en-GB"/>
        </w:rPr>
        <w:t xml:space="preserve"> – the services offered must be affordable, and represent value for money for the NHS.</w:t>
      </w:r>
    </w:p>
    <w:p w14:paraId="3FBF3D83" w14:textId="44C9783D" w:rsidR="00FF3B6E" w:rsidRDefault="00FF3B6E" w:rsidP="0037778B">
      <w:pPr>
        <w:rPr>
          <w:rFonts w:ascii="Arial" w:hAnsi="Arial" w:cs="Arial"/>
          <w:lang w:eastAsia="zh-CN"/>
        </w:rPr>
      </w:pPr>
    </w:p>
    <w:p w14:paraId="00168824" w14:textId="0571C88E" w:rsidR="00FF3B6E" w:rsidRDefault="00FF3B6E" w:rsidP="001A1B58">
      <w:pPr>
        <w:pStyle w:val="Heading1"/>
        <w:numPr>
          <w:ilvl w:val="0"/>
          <w:numId w:val="2"/>
        </w:numPr>
        <w:rPr>
          <w:lang w:eastAsia="zh-CN"/>
        </w:rPr>
      </w:pPr>
      <w:bookmarkStart w:id="5" w:name="_Toc168656143"/>
      <w:bookmarkStart w:id="6" w:name="_GoBack"/>
      <w:bookmarkEnd w:id="6"/>
      <w:r>
        <w:rPr>
          <w:lang w:eastAsia="zh-CN"/>
        </w:rPr>
        <w:lastRenderedPageBreak/>
        <w:t>Standards</w:t>
      </w:r>
      <w:bookmarkEnd w:id="5"/>
    </w:p>
    <w:p w14:paraId="42F5BC7E" w14:textId="77777777" w:rsidR="001A1B58" w:rsidRDefault="00FF3B6E" w:rsidP="001A1B58">
      <w:pPr>
        <w:spacing w:after="0" w:line="240" w:lineRule="auto"/>
        <w:rPr>
          <w:rFonts w:ascii="Arial" w:hAnsi="Arial" w:cs="Arial"/>
          <w:b/>
          <w:lang w:eastAsia="zh-CN"/>
        </w:rPr>
      </w:pPr>
      <w:r w:rsidRPr="001A1B58">
        <w:rPr>
          <w:rFonts w:ascii="Arial" w:hAnsi="Arial" w:cs="Arial"/>
          <w:b/>
          <w:lang w:eastAsia="zh-CN"/>
        </w:rPr>
        <w:t>CQC ratings</w:t>
      </w:r>
    </w:p>
    <w:p w14:paraId="7927A874" w14:textId="7E3606DA" w:rsidR="00FF3B6E" w:rsidRPr="001A1B58" w:rsidRDefault="008D2BF1" w:rsidP="001235D8">
      <w:pPr>
        <w:pStyle w:val="ListParagraph"/>
        <w:numPr>
          <w:ilvl w:val="0"/>
          <w:numId w:val="16"/>
        </w:numPr>
        <w:rPr>
          <w:rFonts w:ascii="Arial" w:hAnsi="Arial" w:cs="Arial"/>
          <w:lang w:eastAsia="zh-CN"/>
        </w:rPr>
      </w:pPr>
      <w:r>
        <w:rPr>
          <w:rFonts w:ascii="Arial" w:hAnsi="Arial" w:cs="Arial"/>
          <w:lang w:eastAsia="zh-CN"/>
        </w:rPr>
        <w:t>Where available, t</w:t>
      </w:r>
      <w:r w:rsidR="00FF3B6E" w:rsidRPr="001A1B58">
        <w:rPr>
          <w:rFonts w:ascii="Arial" w:hAnsi="Arial" w:cs="Arial"/>
          <w:lang w:eastAsia="zh-CN"/>
        </w:rPr>
        <w:t xml:space="preserve">he supplier </w:t>
      </w:r>
      <w:r w:rsidR="001A1B58" w:rsidRPr="001A1B58">
        <w:rPr>
          <w:rFonts w:ascii="Arial" w:hAnsi="Arial" w:cs="Arial"/>
          <w:lang w:eastAsia="zh-CN"/>
        </w:rPr>
        <w:t xml:space="preserve">/ supplier site </w:t>
      </w:r>
      <w:r w:rsidR="00FF3B6E" w:rsidRPr="001A1B58">
        <w:rPr>
          <w:rFonts w:ascii="Arial" w:hAnsi="Arial" w:cs="Arial"/>
          <w:lang w:eastAsia="zh-CN"/>
        </w:rPr>
        <w:t>must have a CQC rating of good, or better during the period of the contract.</w:t>
      </w:r>
    </w:p>
    <w:p w14:paraId="19FAF3E3" w14:textId="3CDABDB1" w:rsidR="00FF3B6E" w:rsidRPr="00FF3B6E" w:rsidRDefault="00FF3B6E" w:rsidP="001A1B58">
      <w:pPr>
        <w:pStyle w:val="Heading1"/>
        <w:numPr>
          <w:ilvl w:val="0"/>
          <w:numId w:val="2"/>
        </w:numPr>
        <w:rPr>
          <w:lang w:eastAsia="zh-CN"/>
        </w:rPr>
      </w:pPr>
      <w:bookmarkStart w:id="7" w:name="_Toc168656144"/>
      <w:r w:rsidRPr="00FF3B6E">
        <w:rPr>
          <w:lang w:eastAsia="zh-CN"/>
        </w:rPr>
        <w:t>Core Services</w:t>
      </w:r>
      <w:bookmarkEnd w:id="7"/>
    </w:p>
    <w:p w14:paraId="6404355E" w14:textId="0CA08A6A" w:rsidR="005C10B0" w:rsidRDefault="0089746D" w:rsidP="005C10B0">
      <w:pPr>
        <w:spacing w:after="0" w:line="240" w:lineRule="auto"/>
        <w:rPr>
          <w:rFonts w:ascii="Arial" w:hAnsi="Arial" w:cs="Arial"/>
          <w:lang w:eastAsia="zh-CN"/>
        </w:rPr>
      </w:pPr>
      <w:r>
        <w:rPr>
          <w:rFonts w:ascii="Arial" w:hAnsi="Arial" w:cs="Arial"/>
          <w:lang w:eastAsia="zh-CN"/>
        </w:rPr>
        <w:t>The Authority requires the following services to be delivered as part of the requirement.</w:t>
      </w:r>
    </w:p>
    <w:p w14:paraId="1039E646" w14:textId="066F765B" w:rsidR="00FF3B6E" w:rsidRPr="001A1B58" w:rsidRDefault="00FF3B6E" w:rsidP="001235D8">
      <w:pPr>
        <w:pStyle w:val="ListParagraph"/>
        <w:numPr>
          <w:ilvl w:val="0"/>
          <w:numId w:val="8"/>
        </w:numPr>
        <w:tabs>
          <w:tab w:val="num" w:pos="0"/>
        </w:tabs>
        <w:spacing w:after="0" w:line="240" w:lineRule="auto"/>
        <w:jc w:val="both"/>
        <w:rPr>
          <w:rFonts w:ascii="Arial" w:eastAsia="Times New Roman" w:hAnsi="Arial" w:cs="Arial"/>
          <w:szCs w:val="24"/>
          <w:lang w:eastAsia="en-GB"/>
        </w:rPr>
      </w:pPr>
      <w:r w:rsidRPr="001A1B58">
        <w:rPr>
          <w:rFonts w:ascii="Arial" w:eastAsia="Times New Roman" w:hAnsi="Arial" w:cs="Arial"/>
          <w:szCs w:val="24"/>
          <w:lang w:eastAsia="en-GB"/>
        </w:rPr>
        <w:t>The Service will be fully operational and supported by an appropriate staffing level and skill mix, 24 hours a day, 7 days a week.</w:t>
      </w:r>
    </w:p>
    <w:p w14:paraId="3A9995D9" w14:textId="32235328" w:rsidR="00FF3B6E" w:rsidRPr="001A1B58" w:rsidRDefault="00FF3B6E" w:rsidP="001235D8">
      <w:pPr>
        <w:pStyle w:val="ListParagraph"/>
        <w:numPr>
          <w:ilvl w:val="0"/>
          <w:numId w:val="8"/>
        </w:numPr>
        <w:spacing w:before="240" w:after="240" w:line="240" w:lineRule="auto"/>
        <w:jc w:val="both"/>
        <w:rPr>
          <w:rFonts w:ascii="Arial" w:hAnsi="Arial" w:cs="Arial"/>
        </w:rPr>
      </w:pPr>
      <w:r w:rsidRPr="001A1B58">
        <w:rPr>
          <w:rFonts w:ascii="Arial" w:hAnsi="Arial" w:cs="Arial"/>
        </w:rPr>
        <w:t>Provide CQC regulated activities for personal care</w:t>
      </w:r>
    </w:p>
    <w:p w14:paraId="31167016" w14:textId="2ABA8055" w:rsidR="00FF3B6E" w:rsidRPr="001A1B58" w:rsidRDefault="00FF3B6E" w:rsidP="001235D8">
      <w:pPr>
        <w:pStyle w:val="ListParagraph"/>
        <w:numPr>
          <w:ilvl w:val="0"/>
          <w:numId w:val="8"/>
        </w:numPr>
        <w:spacing w:after="0" w:line="240" w:lineRule="auto"/>
        <w:jc w:val="both"/>
        <w:rPr>
          <w:rFonts w:ascii="Arial" w:hAnsi="Arial" w:cs="Arial"/>
        </w:rPr>
      </w:pPr>
      <w:r w:rsidRPr="001A1B58">
        <w:rPr>
          <w:rFonts w:ascii="Arial" w:hAnsi="Arial" w:cs="Arial"/>
        </w:rPr>
        <w:t xml:space="preserve">To effectively work in partnership with district nurses and specialist neighbourhood and hospital health teams to improve health outcomes linked to physical health </w:t>
      </w:r>
      <w:r w:rsidR="00431A3A" w:rsidRPr="001A1B58">
        <w:rPr>
          <w:rFonts w:ascii="Arial" w:hAnsi="Arial" w:cs="Arial"/>
        </w:rPr>
        <w:t>conditions.</w:t>
      </w:r>
    </w:p>
    <w:p w14:paraId="12D80152" w14:textId="77777777" w:rsidR="00FF3B6E" w:rsidRPr="001A1B58" w:rsidRDefault="00FF3B6E" w:rsidP="001235D8">
      <w:pPr>
        <w:numPr>
          <w:ilvl w:val="0"/>
          <w:numId w:val="8"/>
        </w:numPr>
        <w:spacing w:after="0" w:line="240" w:lineRule="auto"/>
        <w:contextualSpacing/>
        <w:jc w:val="both"/>
        <w:rPr>
          <w:rFonts w:ascii="Arial" w:eastAsia="Times New Roman" w:hAnsi="Arial" w:cs="Arial"/>
          <w:szCs w:val="24"/>
          <w:lang w:eastAsia="en-GB"/>
        </w:rPr>
      </w:pPr>
      <w:r w:rsidRPr="001A1B58">
        <w:rPr>
          <w:rFonts w:ascii="Arial" w:eastAsia="Times New Roman" w:hAnsi="Arial" w:cs="Arial"/>
          <w:szCs w:val="24"/>
          <w:lang w:eastAsia="en-GB"/>
        </w:rPr>
        <w:t>Facilitate the safety and treatment of Patients in an environment which is appropriate to their needs</w:t>
      </w:r>
    </w:p>
    <w:p w14:paraId="2F5A7AA4" w14:textId="376F49E8" w:rsidR="0037778B" w:rsidRDefault="0089746D" w:rsidP="001235D8">
      <w:pPr>
        <w:pStyle w:val="ListParagraph"/>
        <w:numPr>
          <w:ilvl w:val="0"/>
          <w:numId w:val="8"/>
        </w:numPr>
        <w:rPr>
          <w:rFonts w:ascii="Arial" w:eastAsia="Times New Roman" w:hAnsi="Arial" w:cs="Arial"/>
          <w:lang w:eastAsia="en-GB"/>
        </w:rPr>
      </w:pPr>
      <w:r w:rsidRPr="001A1B58">
        <w:rPr>
          <w:rFonts w:ascii="Arial" w:eastAsia="Times New Roman" w:hAnsi="Arial" w:cs="Arial"/>
          <w:lang w:eastAsia="en-GB"/>
        </w:rPr>
        <w:t>Provision of care and support staff</w:t>
      </w:r>
      <w:r w:rsidR="0037778B" w:rsidRPr="001A1B58">
        <w:rPr>
          <w:rFonts w:ascii="Arial" w:eastAsia="Times New Roman" w:hAnsi="Arial" w:cs="Arial"/>
          <w:lang w:eastAsia="en-GB"/>
        </w:rPr>
        <w:t xml:space="preserve"> including waking night cover</w:t>
      </w:r>
    </w:p>
    <w:p w14:paraId="33FD2397" w14:textId="7214750F" w:rsidR="008D2BF1" w:rsidRPr="001A1B58" w:rsidRDefault="008D2BF1" w:rsidP="001235D8">
      <w:pPr>
        <w:pStyle w:val="ListParagraph"/>
        <w:numPr>
          <w:ilvl w:val="0"/>
          <w:numId w:val="8"/>
        </w:numPr>
        <w:rPr>
          <w:rFonts w:ascii="Arial" w:eastAsia="Times New Roman" w:hAnsi="Arial" w:cs="Arial"/>
          <w:lang w:eastAsia="en-GB"/>
        </w:rPr>
      </w:pPr>
      <w:r>
        <w:rPr>
          <w:rFonts w:ascii="Arial" w:eastAsia="Times New Roman" w:hAnsi="Arial" w:cs="Arial"/>
          <w:lang w:eastAsia="en-GB"/>
        </w:rPr>
        <w:t>Provision of food and 24hr access to drinking water</w:t>
      </w:r>
    </w:p>
    <w:p w14:paraId="092FB307" w14:textId="3BE05D89" w:rsidR="0089746D" w:rsidRDefault="0089746D" w:rsidP="001235D8">
      <w:pPr>
        <w:pStyle w:val="ListParagraph"/>
        <w:numPr>
          <w:ilvl w:val="0"/>
          <w:numId w:val="8"/>
        </w:numPr>
        <w:spacing w:after="0" w:line="240" w:lineRule="auto"/>
        <w:rPr>
          <w:rFonts w:ascii="Arial" w:eastAsia="Times New Roman" w:hAnsi="Arial" w:cs="Arial"/>
          <w:lang w:eastAsia="en-GB"/>
        </w:rPr>
      </w:pPr>
      <w:r w:rsidRPr="001A1B58">
        <w:rPr>
          <w:rFonts w:ascii="Arial" w:eastAsia="Times New Roman" w:hAnsi="Arial" w:cs="Arial"/>
          <w:lang w:eastAsia="en-GB"/>
        </w:rPr>
        <w:t>Provision of care and support</w:t>
      </w:r>
    </w:p>
    <w:p w14:paraId="35F1757C" w14:textId="638A2F09" w:rsidR="0089746D" w:rsidRPr="003F5306" w:rsidRDefault="0089746D" w:rsidP="003F5306">
      <w:pPr>
        <w:pStyle w:val="ListParagraph"/>
        <w:numPr>
          <w:ilvl w:val="0"/>
          <w:numId w:val="8"/>
        </w:numPr>
        <w:spacing w:after="0" w:line="240" w:lineRule="auto"/>
        <w:rPr>
          <w:rFonts w:ascii="Arial" w:eastAsia="Times New Roman" w:hAnsi="Arial" w:cs="Arial"/>
          <w:lang w:eastAsia="en-GB"/>
        </w:rPr>
      </w:pPr>
      <w:r>
        <w:rPr>
          <w:rFonts w:ascii="Arial" w:eastAsia="Times New Roman" w:hAnsi="Arial" w:cs="Arial"/>
          <w:lang w:eastAsia="en-GB"/>
        </w:rPr>
        <w:t>Provision of c</w:t>
      </w:r>
      <w:r w:rsidRPr="0089746D">
        <w:rPr>
          <w:rFonts w:ascii="Arial" w:eastAsia="Times New Roman" w:hAnsi="Arial" w:cs="Arial"/>
          <w:lang w:eastAsia="en-GB"/>
        </w:rPr>
        <w:t>are supervising and monitoring activities</w:t>
      </w:r>
    </w:p>
    <w:p w14:paraId="05F3C9B8" w14:textId="76B21291" w:rsidR="0089746D" w:rsidRPr="0089746D" w:rsidRDefault="0089746D" w:rsidP="001235D8">
      <w:pPr>
        <w:pStyle w:val="ListParagraph"/>
        <w:numPr>
          <w:ilvl w:val="0"/>
          <w:numId w:val="8"/>
        </w:numPr>
        <w:spacing w:after="0" w:line="240" w:lineRule="auto"/>
        <w:rPr>
          <w:rFonts w:ascii="Arial" w:eastAsia="Times New Roman" w:hAnsi="Arial" w:cs="Arial"/>
          <w:lang w:eastAsia="en-GB"/>
        </w:rPr>
      </w:pPr>
      <w:r w:rsidRPr="0089746D">
        <w:rPr>
          <w:rFonts w:ascii="Arial" w:eastAsia="Times New Roman" w:hAnsi="Arial" w:cs="Arial"/>
          <w:lang w:eastAsia="en-GB"/>
        </w:rPr>
        <w:t xml:space="preserve">Medication </w:t>
      </w:r>
      <w:r w:rsidR="003B4238">
        <w:rPr>
          <w:rFonts w:ascii="Arial" w:eastAsia="Times New Roman" w:hAnsi="Arial" w:cs="Arial"/>
          <w:lang w:eastAsia="en-GB"/>
        </w:rPr>
        <w:t>support</w:t>
      </w:r>
    </w:p>
    <w:p w14:paraId="748E57D4" w14:textId="056E2030" w:rsidR="0089746D" w:rsidRPr="0089746D" w:rsidRDefault="0089746D" w:rsidP="001235D8">
      <w:pPr>
        <w:pStyle w:val="ListParagraph"/>
        <w:numPr>
          <w:ilvl w:val="0"/>
          <w:numId w:val="8"/>
        </w:numPr>
        <w:spacing w:after="0" w:line="240" w:lineRule="auto"/>
        <w:rPr>
          <w:rFonts w:ascii="Arial" w:eastAsia="Times New Roman" w:hAnsi="Arial" w:cs="Arial"/>
          <w:lang w:eastAsia="en-GB"/>
        </w:rPr>
      </w:pPr>
      <w:r w:rsidRPr="0089746D">
        <w:rPr>
          <w:rFonts w:ascii="Arial" w:eastAsia="Times New Roman" w:hAnsi="Arial" w:cs="Arial"/>
          <w:lang w:eastAsia="en-GB"/>
        </w:rPr>
        <w:t>Provision of physical, emotional, mental, social, and budgetary support to patients</w:t>
      </w:r>
    </w:p>
    <w:p w14:paraId="13CC64DE" w14:textId="5E3E4FD2" w:rsidR="0089746D" w:rsidRPr="0089746D" w:rsidRDefault="0089746D" w:rsidP="001235D8">
      <w:pPr>
        <w:pStyle w:val="ListParagraph"/>
        <w:numPr>
          <w:ilvl w:val="0"/>
          <w:numId w:val="8"/>
        </w:numPr>
        <w:spacing w:after="0" w:line="240" w:lineRule="auto"/>
        <w:rPr>
          <w:rFonts w:ascii="Arial" w:eastAsia="Times New Roman" w:hAnsi="Arial" w:cs="Arial"/>
          <w:lang w:eastAsia="en-GB"/>
        </w:rPr>
      </w:pPr>
      <w:r w:rsidRPr="0089746D">
        <w:rPr>
          <w:rFonts w:ascii="Arial" w:eastAsia="Times New Roman" w:hAnsi="Arial" w:cs="Arial"/>
          <w:lang w:eastAsia="en-GB"/>
        </w:rPr>
        <w:t>Cost of accommodation, fittings, and fixtures</w:t>
      </w:r>
    </w:p>
    <w:p w14:paraId="23464E13" w14:textId="36740DD6" w:rsidR="0089746D" w:rsidRPr="0089746D" w:rsidRDefault="0089746D" w:rsidP="001235D8">
      <w:pPr>
        <w:pStyle w:val="ListParagraph"/>
        <w:numPr>
          <w:ilvl w:val="0"/>
          <w:numId w:val="8"/>
        </w:numPr>
        <w:spacing w:after="0" w:line="240" w:lineRule="auto"/>
        <w:rPr>
          <w:rFonts w:ascii="Arial" w:eastAsia="Times New Roman" w:hAnsi="Arial" w:cs="Arial"/>
          <w:lang w:eastAsia="en-GB"/>
        </w:rPr>
      </w:pPr>
      <w:r w:rsidRPr="0089746D">
        <w:rPr>
          <w:rFonts w:ascii="Arial" w:eastAsia="Times New Roman" w:hAnsi="Arial" w:cs="Arial"/>
          <w:lang w:eastAsia="en-GB"/>
        </w:rPr>
        <w:t>Council tax, utilities, and rates</w:t>
      </w:r>
    </w:p>
    <w:p w14:paraId="5B2DF5EF" w14:textId="7C7A5A38" w:rsidR="0089746D" w:rsidRPr="0089746D" w:rsidRDefault="0089746D" w:rsidP="001235D8">
      <w:pPr>
        <w:pStyle w:val="ListParagraph"/>
        <w:numPr>
          <w:ilvl w:val="0"/>
          <w:numId w:val="8"/>
        </w:numPr>
        <w:spacing w:after="0" w:line="240" w:lineRule="auto"/>
        <w:rPr>
          <w:rFonts w:ascii="Arial" w:eastAsia="Times New Roman" w:hAnsi="Arial" w:cs="Arial"/>
          <w:lang w:eastAsia="en-GB"/>
        </w:rPr>
      </w:pPr>
      <w:r w:rsidRPr="0089746D">
        <w:rPr>
          <w:rFonts w:ascii="Arial" w:eastAsia="Times New Roman" w:hAnsi="Arial" w:cs="Arial"/>
          <w:lang w:eastAsia="en-GB"/>
        </w:rPr>
        <w:t>Normal wear and tear and property maintenance excluding wilful damages</w:t>
      </w:r>
    </w:p>
    <w:p w14:paraId="0625DD80" w14:textId="0D666344" w:rsidR="0089746D" w:rsidRPr="0089746D" w:rsidRDefault="0089746D" w:rsidP="001235D8">
      <w:pPr>
        <w:pStyle w:val="ListParagraph"/>
        <w:numPr>
          <w:ilvl w:val="0"/>
          <w:numId w:val="8"/>
        </w:numPr>
        <w:spacing w:after="0" w:line="240" w:lineRule="auto"/>
        <w:rPr>
          <w:rFonts w:ascii="Arial" w:eastAsia="Times New Roman" w:hAnsi="Arial" w:cs="Arial"/>
          <w:lang w:eastAsia="en-GB"/>
        </w:rPr>
      </w:pPr>
      <w:r w:rsidRPr="0089746D">
        <w:rPr>
          <w:rFonts w:ascii="Arial" w:eastAsia="Times New Roman" w:hAnsi="Arial" w:cs="Arial"/>
          <w:lang w:eastAsia="en-GB"/>
        </w:rPr>
        <w:t>Cleaning, laundry and supplies</w:t>
      </w:r>
    </w:p>
    <w:p w14:paraId="75AF346A" w14:textId="29C42EEE" w:rsidR="0089746D" w:rsidRDefault="0089746D" w:rsidP="0089746D">
      <w:pPr>
        <w:spacing w:after="0" w:line="240" w:lineRule="auto"/>
        <w:rPr>
          <w:rFonts w:ascii="Arial" w:eastAsia="Times New Roman" w:hAnsi="Arial" w:cs="Arial"/>
          <w:lang w:eastAsia="en-GB"/>
        </w:rPr>
      </w:pPr>
    </w:p>
    <w:p w14:paraId="66493940" w14:textId="5B7D908E" w:rsidR="0089746D" w:rsidRDefault="0089746D" w:rsidP="0089746D">
      <w:pPr>
        <w:spacing w:after="0" w:line="240" w:lineRule="auto"/>
        <w:rPr>
          <w:rFonts w:ascii="Arial" w:eastAsia="Times New Roman" w:hAnsi="Arial" w:cs="Arial"/>
          <w:lang w:eastAsia="en-GB"/>
        </w:rPr>
      </w:pPr>
      <w:r>
        <w:rPr>
          <w:rFonts w:ascii="Arial" w:eastAsia="Times New Roman" w:hAnsi="Arial" w:cs="Arial"/>
          <w:lang w:eastAsia="en-GB"/>
        </w:rPr>
        <w:t>The following are excluded from the requirement:</w:t>
      </w:r>
    </w:p>
    <w:p w14:paraId="7B1F825B" w14:textId="6B0B83D2" w:rsidR="0089746D" w:rsidRDefault="0089746D" w:rsidP="001235D8">
      <w:pPr>
        <w:pStyle w:val="ListParagraph"/>
        <w:numPr>
          <w:ilvl w:val="0"/>
          <w:numId w:val="9"/>
        </w:numPr>
        <w:spacing w:after="0" w:line="240" w:lineRule="auto"/>
        <w:rPr>
          <w:rFonts w:ascii="Arial" w:eastAsia="Times New Roman" w:hAnsi="Arial" w:cs="Arial"/>
          <w:lang w:eastAsia="en-GB"/>
        </w:rPr>
      </w:pPr>
      <w:r>
        <w:rPr>
          <w:rFonts w:ascii="Arial" w:eastAsia="Times New Roman" w:hAnsi="Arial" w:cs="Arial"/>
          <w:lang w:eastAsia="en-GB"/>
        </w:rPr>
        <w:t>Wilful damage</w:t>
      </w:r>
    </w:p>
    <w:p w14:paraId="33CCFC76" w14:textId="1234DC5C" w:rsidR="0089746D" w:rsidRDefault="0089746D" w:rsidP="001235D8">
      <w:pPr>
        <w:pStyle w:val="ListParagraph"/>
        <w:numPr>
          <w:ilvl w:val="0"/>
          <w:numId w:val="9"/>
        </w:numPr>
        <w:spacing w:after="0" w:line="240" w:lineRule="auto"/>
        <w:rPr>
          <w:rFonts w:ascii="Arial" w:eastAsia="Times New Roman" w:hAnsi="Arial" w:cs="Arial"/>
          <w:lang w:eastAsia="en-GB"/>
        </w:rPr>
      </w:pPr>
      <w:r>
        <w:rPr>
          <w:rFonts w:ascii="Arial" w:eastAsia="Times New Roman" w:hAnsi="Arial" w:cs="Arial"/>
          <w:lang w:eastAsia="en-GB"/>
        </w:rPr>
        <w:t>Transportation</w:t>
      </w:r>
    </w:p>
    <w:p w14:paraId="10F65D96" w14:textId="375ECF62" w:rsidR="0089746D" w:rsidRDefault="0089746D" w:rsidP="0089746D">
      <w:pPr>
        <w:spacing w:after="0" w:line="240" w:lineRule="auto"/>
        <w:rPr>
          <w:rFonts w:ascii="Arial" w:eastAsia="Times New Roman" w:hAnsi="Arial" w:cs="Arial"/>
          <w:lang w:eastAsia="en-GB"/>
        </w:rPr>
      </w:pPr>
    </w:p>
    <w:p w14:paraId="407F27FB" w14:textId="77777777" w:rsidR="001A1B58" w:rsidRDefault="001A1B58" w:rsidP="00D44985">
      <w:pPr>
        <w:pStyle w:val="Heading1"/>
        <w:numPr>
          <w:ilvl w:val="0"/>
          <w:numId w:val="2"/>
        </w:numPr>
      </w:pPr>
      <w:bookmarkStart w:id="8" w:name="_Toc50736079"/>
      <w:bookmarkStart w:id="9" w:name="_Toc168656145"/>
      <w:r w:rsidRPr="006A3227">
        <w:t>Workforce and Training</w:t>
      </w:r>
      <w:bookmarkEnd w:id="8"/>
      <w:bookmarkEnd w:id="9"/>
    </w:p>
    <w:p w14:paraId="3AEED1DD" w14:textId="1B0501DC" w:rsidR="0037778B" w:rsidRPr="00E250F3" w:rsidRDefault="001A1B58" w:rsidP="00E250F3">
      <w:pPr>
        <w:jc w:val="both"/>
        <w:rPr>
          <w:rFonts w:ascii="Arial" w:eastAsia="Times New Roman" w:hAnsi="Arial" w:cs="Arial"/>
          <w:szCs w:val="24"/>
          <w:lang w:eastAsia="en-GB"/>
        </w:rPr>
      </w:pPr>
      <w:r w:rsidRPr="00D1631F">
        <w:rPr>
          <w:rFonts w:ascii="Arial" w:eastAsia="Times New Roman" w:hAnsi="Arial" w:cs="Arial"/>
          <w:szCs w:val="24"/>
          <w:lang w:eastAsia="en-GB"/>
        </w:rPr>
        <w:t>The Provider will ensure that the staff mix is responsive to delivering a successful recovery model.  Staff will be appropriately qualified to deliver the service requirements.  The Provider will need to ensure that staff maintain registrations (where appropriate) and continue to undertake clinical supervision and mandatory trainin</w:t>
      </w:r>
      <w:r w:rsidR="008A4D0F">
        <w:rPr>
          <w:rFonts w:ascii="Arial" w:eastAsia="Times New Roman" w:hAnsi="Arial" w:cs="Arial"/>
          <w:szCs w:val="24"/>
          <w:lang w:eastAsia="en-GB"/>
        </w:rPr>
        <w:t xml:space="preserve">g. </w:t>
      </w:r>
      <w:r w:rsidRPr="00D1631F">
        <w:rPr>
          <w:rFonts w:ascii="Arial" w:eastAsia="Times New Roman" w:hAnsi="Arial" w:cs="Arial"/>
          <w:szCs w:val="24"/>
          <w:lang w:eastAsia="en-GB"/>
        </w:rPr>
        <w:t xml:space="preserve">Evidence of this should be available to the </w:t>
      </w:r>
      <w:r>
        <w:rPr>
          <w:rFonts w:ascii="Arial" w:eastAsia="Times New Roman" w:hAnsi="Arial" w:cs="Arial"/>
          <w:szCs w:val="24"/>
          <w:lang w:eastAsia="en-GB"/>
        </w:rPr>
        <w:t>Authority.</w:t>
      </w:r>
    </w:p>
    <w:p w14:paraId="36AEBF70" w14:textId="77777777" w:rsidR="0037778B" w:rsidRDefault="0037778B" w:rsidP="0089746D">
      <w:pPr>
        <w:spacing w:after="0" w:line="240" w:lineRule="auto"/>
        <w:rPr>
          <w:rFonts w:ascii="Arial" w:eastAsia="Times New Roman" w:hAnsi="Arial" w:cs="Arial"/>
          <w:lang w:eastAsia="en-GB"/>
        </w:rPr>
      </w:pPr>
    </w:p>
    <w:p w14:paraId="0CFC13A1" w14:textId="77777777" w:rsidR="001A1B58" w:rsidRPr="00D44985" w:rsidRDefault="001A1B58" w:rsidP="00D44985">
      <w:pPr>
        <w:pStyle w:val="Heading1"/>
        <w:numPr>
          <w:ilvl w:val="0"/>
          <w:numId w:val="2"/>
        </w:numPr>
        <w:rPr>
          <w:rFonts w:cstheme="minorHAnsi"/>
          <w:lang w:eastAsia="en-GB"/>
        </w:rPr>
      </w:pPr>
      <w:bookmarkStart w:id="10" w:name="_Toc50736085"/>
      <w:bookmarkStart w:id="11" w:name="_Toc164433471"/>
      <w:bookmarkStart w:id="12" w:name="_Toc168656146"/>
      <w:r w:rsidRPr="00D44985">
        <w:t>Medication and Intervention:</w:t>
      </w:r>
      <w:bookmarkEnd w:id="10"/>
      <w:bookmarkEnd w:id="11"/>
      <w:bookmarkEnd w:id="12"/>
    </w:p>
    <w:p w14:paraId="6A0B5B48" w14:textId="6600FBDD" w:rsidR="00822BF3" w:rsidRDefault="00822BF3" w:rsidP="001A1B58">
      <w:pPr>
        <w:spacing w:after="0" w:line="240" w:lineRule="auto"/>
        <w:jc w:val="both"/>
        <w:rPr>
          <w:rFonts w:ascii="Arial" w:eastAsia="Times New Roman" w:hAnsi="Arial" w:cs="Arial"/>
          <w:szCs w:val="24"/>
          <w:lang w:eastAsia="en-GB"/>
        </w:rPr>
      </w:pPr>
      <w:r>
        <w:rPr>
          <w:rFonts w:ascii="Arial" w:eastAsia="Times New Roman" w:hAnsi="Arial" w:cs="Arial"/>
          <w:szCs w:val="24"/>
          <w:lang w:eastAsia="en-GB"/>
        </w:rPr>
        <w:t>The provider will s</w:t>
      </w:r>
      <w:r w:rsidR="00BF5C1D">
        <w:rPr>
          <w:rFonts w:ascii="Arial" w:eastAsia="Times New Roman" w:hAnsi="Arial" w:cs="Arial"/>
          <w:szCs w:val="24"/>
          <w:lang w:eastAsia="en-GB"/>
        </w:rPr>
        <w:t xml:space="preserve">upport with medication concordance </w:t>
      </w:r>
      <w:r>
        <w:rPr>
          <w:rFonts w:ascii="Arial" w:eastAsia="Times New Roman" w:hAnsi="Arial" w:cs="Arial"/>
          <w:szCs w:val="24"/>
          <w:lang w:eastAsia="en-GB"/>
        </w:rPr>
        <w:t>where this is required. The nature of support required will be agreed with the care team at the point of referral.</w:t>
      </w:r>
    </w:p>
    <w:p w14:paraId="308DEDEA" w14:textId="77777777" w:rsidR="001A1B58" w:rsidRPr="00D44985" w:rsidRDefault="001A1B58" w:rsidP="001A1B58">
      <w:pPr>
        <w:spacing w:after="0" w:line="240" w:lineRule="auto"/>
        <w:jc w:val="both"/>
        <w:rPr>
          <w:rFonts w:ascii="Arial" w:eastAsia="Times New Roman" w:hAnsi="Arial" w:cs="Arial"/>
          <w:bCs/>
          <w:szCs w:val="24"/>
          <w:lang w:eastAsia="en-GB"/>
        </w:rPr>
      </w:pPr>
    </w:p>
    <w:p w14:paraId="4FECF95B" w14:textId="77777777" w:rsidR="001A1B58" w:rsidRPr="00D1631F" w:rsidRDefault="001A1B58" w:rsidP="001A1B58">
      <w:pPr>
        <w:spacing w:after="0" w:line="240" w:lineRule="auto"/>
        <w:jc w:val="both"/>
        <w:rPr>
          <w:rFonts w:ascii="Arial" w:eastAsia="Times New Roman" w:hAnsi="Arial" w:cs="Arial"/>
          <w:szCs w:val="24"/>
          <w:lang w:eastAsia="en-GB"/>
        </w:rPr>
      </w:pPr>
      <w:r w:rsidRPr="00D44985">
        <w:rPr>
          <w:rFonts w:ascii="Arial" w:eastAsia="Times New Roman" w:hAnsi="Arial" w:cs="Arial"/>
          <w:bCs/>
          <w:szCs w:val="24"/>
          <w:lang w:eastAsia="en-GB"/>
        </w:rPr>
        <w:t xml:space="preserve">The </w:t>
      </w:r>
      <w:r w:rsidRPr="00D44985">
        <w:rPr>
          <w:rFonts w:ascii="Arial" w:eastAsia="Times New Roman" w:hAnsi="Arial" w:cs="Arial"/>
          <w:szCs w:val="24"/>
          <w:lang w:eastAsia="en-GB"/>
        </w:rPr>
        <w:t>Service</w:t>
      </w:r>
      <w:r w:rsidRPr="00D44985">
        <w:rPr>
          <w:rFonts w:ascii="Arial" w:eastAsia="Times New Roman" w:hAnsi="Arial" w:cs="Arial"/>
          <w:bCs/>
          <w:szCs w:val="24"/>
          <w:lang w:eastAsia="en-GB"/>
        </w:rPr>
        <w:t xml:space="preserve"> </w:t>
      </w:r>
      <w:r w:rsidRPr="00D44985">
        <w:rPr>
          <w:rFonts w:ascii="Arial" w:eastAsia="Times New Roman" w:hAnsi="Arial" w:cs="Arial"/>
          <w:b/>
          <w:szCs w:val="24"/>
          <w:lang w:eastAsia="en-GB"/>
        </w:rPr>
        <w:t xml:space="preserve">will </w:t>
      </w:r>
      <w:r w:rsidRPr="00D44985">
        <w:rPr>
          <w:rFonts w:ascii="Arial" w:eastAsia="Times New Roman" w:hAnsi="Arial" w:cs="Arial"/>
          <w:bCs/>
          <w:szCs w:val="24"/>
          <w:lang w:eastAsia="en-GB"/>
        </w:rPr>
        <w:t xml:space="preserve">promote recovery and social inclusion through the provision of therapeutic, occupational and recreational activities, and community links with continuous daily risk assessment/risk management within a therapeutic environment.  </w:t>
      </w:r>
      <w:r w:rsidRPr="00D44985">
        <w:rPr>
          <w:rFonts w:ascii="Arial" w:eastAsia="Times New Roman" w:hAnsi="Arial" w:cs="Arial"/>
          <w:szCs w:val="24"/>
          <w:lang w:eastAsia="en-GB"/>
        </w:rPr>
        <w:t xml:space="preserve">A care pathway </w:t>
      </w:r>
      <w:r w:rsidRPr="00D44985">
        <w:rPr>
          <w:rFonts w:ascii="Arial" w:eastAsia="Times New Roman" w:hAnsi="Arial" w:cs="Arial"/>
          <w:b/>
          <w:szCs w:val="24"/>
          <w:lang w:eastAsia="en-GB"/>
        </w:rPr>
        <w:t xml:space="preserve">will </w:t>
      </w:r>
      <w:r w:rsidRPr="00D44985">
        <w:rPr>
          <w:rFonts w:ascii="Arial" w:eastAsia="Times New Roman" w:hAnsi="Arial" w:cs="Arial"/>
          <w:szCs w:val="24"/>
          <w:lang w:eastAsia="en-GB"/>
        </w:rPr>
        <w:t>be identified from the date of admission to services and include patients in all aspects of decision-making.</w:t>
      </w:r>
      <w:r w:rsidRPr="00D1631F">
        <w:rPr>
          <w:rFonts w:ascii="Arial" w:eastAsia="Times New Roman" w:hAnsi="Arial" w:cs="Arial"/>
          <w:szCs w:val="24"/>
          <w:lang w:eastAsia="en-GB"/>
        </w:rPr>
        <w:t xml:space="preserve"> </w:t>
      </w:r>
    </w:p>
    <w:p w14:paraId="749447B0" w14:textId="77777777" w:rsidR="001A1B58" w:rsidRDefault="001A1B58"/>
    <w:p w14:paraId="77B4F8A0" w14:textId="77777777" w:rsidR="001A1B58" w:rsidRPr="002D5A40" w:rsidRDefault="001A1B58" w:rsidP="001A1B58">
      <w:pPr>
        <w:spacing w:after="0" w:line="240" w:lineRule="auto"/>
        <w:ind w:firstLine="540"/>
        <w:jc w:val="both"/>
        <w:rPr>
          <w:sz w:val="24"/>
          <w:szCs w:val="24"/>
        </w:rPr>
      </w:pPr>
    </w:p>
    <w:p w14:paraId="74B311F3" w14:textId="77777777" w:rsidR="001A1B58" w:rsidRPr="009E4BA3" w:rsidRDefault="001A1B58" w:rsidP="001235D8">
      <w:pPr>
        <w:pStyle w:val="Heading2"/>
      </w:pPr>
      <w:bookmarkStart w:id="13" w:name="_Toc50736088"/>
      <w:bookmarkStart w:id="14" w:name="_Toc164433473"/>
      <w:bookmarkStart w:id="15" w:name="_Toc168656147"/>
      <w:r>
        <w:t xml:space="preserve">Patient Welfare, </w:t>
      </w:r>
      <w:r w:rsidRPr="009E4BA3">
        <w:t>Environment and Safety:</w:t>
      </w:r>
      <w:bookmarkEnd w:id="13"/>
      <w:bookmarkEnd w:id="14"/>
      <w:bookmarkEnd w:id="15"/>
    </w:p>
    <w:p w14:paraId="5447A330" w14:textId="77777777" w:rsidR="001A1B58" w:rsidRPr="00E70B6C" w:rsidRDefault="001A1B58" w:rsidP="001A1B58">
      <w:pPr>
        <w:spacing w:after="0" w:line="259" w:lineRule="auto"/>
        <w:jc w:val="both"/>
        <w:rPr>
          <w:rFonts w:ascii="Arial" w:eastAsia="Times New Roman" w:hAnsi="Arial" w:cs="Arial"/>
          <w:lang w:eastAsia="en-GB"/>
        </w:rPr>
      </w:pPr>
      <w:r w:rsidRPr="00E70B6C">
        <w:rPr>
          <w:rFonts w:ascii="Arial" w:eastAsia="Times New Roman" w:hAnsi="Arial" w:cs="Arial"/>
          <w:lang w:eastAsia="en-GB"/>
        </w:rPr>
        <w:t xml:space="preserve">The maintenance of a safe and sound environment for all </w:t>
      </w:r>
      <w:r w:rsidRPr="00E70B6C">
        <w:rPr>
          <w:rFonts w:ascii="Arial" w:eastAsia="Times New Roman" w:hAnsi="Arial" w:cs="Arial"/>
          <w:b/>
          <w:lang w:eastAsia="en-GB"/>
        </w:rPr>
        <w:t xml:space="preserve">will </w:t>
      </w:r>
      <w:r w:rsidRPr="00E70B6C">
        <w:rPr>
          <w:rFonts w:ascii="Arial" w:eastAsia="Times New Roman" w:hAnsi="Arial" w:cs="Arial"/>
          <w:lang w:eastAsia="en-GB"/>
        </w:rPr>
        <w:t>be paramount, with levels of observation imposed on a patient being of minimal restriction and of therapeutic purpose for the level of observation.</w:t>
      </w:r>
    </w:p>
    <w:p w14:paraId="5B4C59E1" w14:textId="77777777" w:rsidR="001A1B58" w:rsidRPr="00E70B6C" w:rsidRDefault="001A1B58" w:rsidP="001A1B58">
      <w:pPr>
        <w:spacing w:after="0" w:line="259" w:lineRule="auto"/>
        <w:jc w:val="both"/>
        <w:rPr>
          <w:rFonts w:ascii="Arial" w:eastAsia="Times New Roman" w:hAnsi="Arial" w:cs="Arial"/>
          <w:lang w:eastAsia="en-GB"/>
        </w:rPr>
      </w:pPr>
    </w:p>
    <w:p w14:paraId="1B20E6BB" w14:textId="51A61C48" w:rsidR="001A1B58" w:rsidRPr="00E70B6C" w:rsidRDefault="001A1B58" w:rsidP="001A1B58">
      <w:pPr>
        <w:spacing w:after="0" w:line="259" w:lineRule="auto"/>
        <w:jc w:val="both"/>
        <w:rPr>
          <w:rFonts w:ascii="Arial" w:eastAsia="Times New Roman" w:hAnsi="Arial" w:cs="Arial"/>
          <w:lang w:eastAsia="en-GB"/>
        </w:rPr>
      </w:pPr>
      <w:r w:rsidRPr="00E70B6C">
        <w:rPr>
          <w:rFonts w:ascii="Arial" w:eastAsia="Times New Roman" w:hAnsi="Arial" w:cs="Arial"/>
          <w:lang w:eastAsia="en-GB"/>
        </w:rPr>
        <w:t xml:space="preserve">Safe and suitable storage of medication </w:t>
      </w:r>
      <w:r w:rsidRPr="00E70B6C">
        <w:rPr>
          <w:rFonts w:ascii="Arial" w:eastAsia="Times New Roman" w:hAnsi="Arial" w:cs="Arial"/>
          <w:b/>
          <w:lang w:eastAsia="en-GB"/>
        </w:rPr>
        <w:t>will</w:t>
      </w:r>
      <w:r w:rsidRPr="00E70B6C">
        <w:rPr>
          <w:rFonts w:ascii="Arial" w:eastAsia="Times New Roman" w:hAnsi="Arial" w:cs="Arial"/>
          <w:lang w:eastAsia="en-GB"/>
        </w:rPr>
        <w:t xml:space="preserve"> be ensured at all times with suitable additional storage of controlled medications made available.  </w:t>
      </w:r>
    </w:p>
    <w:p w14:paraId="58404D2D" w14:textId="77777777" w:rsidR="001A1B58" w:rsidRPr="00E70B6C" w:rsidRDefault="001A1B58" w:rsidP="001A1B58">
      <w:pPr>
        <w:spacing w:after="0" w:line="259" w:lineRule="auto"/>
        <w:jc w:val="both"/>
        <w:rPr>
          <w:rFonts w:ascii="Arial" w:eastAsia="Times New Roman" w:hAnsi="Arial" w:cs="Arial"/>
          <w:lang w:eastAsia="en-GB"/>
        </w:rPr>
      </w:pPr>
    </w:p>
    <w:p w14:paraId="35DDAEDC" w14:textId="77777777" w:rsidR="001A1B58" w:rsidRPr="00E70B6C" w:rsidRDefault="001A1B58" w:rsidP="001A1B58">
      <w:pPr>
        <w:spacing w:after="0" w:line="259" w:lineRule="auto"/>
        <w:jc w:val="both"/>
        <w:rPr>
          <w:rFonts w:ascii="Arial" w:eastAsia="Times New Roman" w:hAnsi="Arial" w:cs="Arial"/>
          <w:lang w:eastAsia="en-GB"/>
        </w:rPr>
      </w:pPr>
      <w:r w:rsidRPr="00E70B6C">
        <w:rPr>
          <w:rFonts w:ascii="Arial" w:eastAsia="Times New Roman" w:hAnsi="Arial" w:cs="Arial"/>
          <w:lang w:eastAsia="en-GB"/>
        </w:rPr>
        <w:t xml:space="preserve">The safety of all Patients, staff and visitors to the environment </w:t>
      </w:r>
      <w:r w:rsidRPr="00E70B6C">
        <w:rPr>
          <w:rFonts w:ascii="Arial" w:eastAsia="Times New Roman" w:hAnsi="Arial" w:cs="Arial"/>
          <w:b/>
          <w:lang w:eastAsia="en-GB"/>
        </w:rPr>
        <w:t>will</w:t>
      </w:r>
      <w:r w:rsidRPr="00E70B6C">
        <w:rPr>
          <w:rFonts w:ascii="Arial" w:eastAsia="Times New Roman" w:hAnsi="Arial" w:cs="Arial"/>
          <w:lang w:eastAsia="en-GB"/>
        </w:rPr>
        <w:t xml:space="preserve"> be upheld, with all incidents reported and documented as per protocol.  </w:t>
      </w:r>
    </w:p>
    <w:p w14:paraId="1489FCE6" w14:textId="77777777" w:rsidR="001A1B58" w:rsidRPr="00E70B6C" w:rsidRDefault="001A1B58" w:rsidP="001A1B58">
      <w:pPr>
        <w:spacing w:after="0" w:line="259" w:lineRule="auto"/>
        <w:jc w:val="both"/>
        <w:rPr>
          <w:rFonts w:ascii="Arial" w:eastAsia="Times New Roman" w:hAnsi="Arial" w:cs="Arial"/>
          <w:lang w:eastAsia="en-GB"/>
        </w:rPr>
      </w:pPr>
    </w:p>
    <w:p w14:paraId="0CB7C844" w14:textId="36B49F42" w:rsidR="001A1B58" w:rsidRDefault="001A1B58" w:rsidP="001A1B58">
      <w:pPr>
        <w:spacing w:after="0" w:line="259" w:lineRule="auto"/>
        <w:jc w:val="both"/>
        <w:rPr>
          <w:rFonts w:ascii="Arial" w:eastAsia="Times New Roman" w:hAnsi="Arial" w:cs="Arial"/>
          <w:lang w:eastAsia="en-GB"/>
        </w:rPr>
      </w:pPr>
      <w:r w:rsidRPr="00E70B6C">
        <w:rPr>
          <w:rFonts w:ascii="Arial" w:eastAsia="Times New Roman" w:hAnsi="Arial" w:cs="Arial"/>
          <w:lang w:eastAsia="en-GB"/>
        </w:rPr>
        <w:t xml:space="preserve">Where required, safeguarding alerts </w:t>
      </w:r>
      <w:r w:rsidRPr="00E70B6C">
        <w:rPr>
          <w:rFonts w:ascii="Arial" w:eastAsia="Times New Roman" w:hAnsi="Arial" w:cs="Arial"/>
          <w:b/>
          <w:lang w:eastAsia="en-GB"/>
        </w:rPr>
        <w:t>will</w:t>
      </w:r>
      <w:r w:rsidRPr="00E70B6C">
        <w:rPr>
          <w:rFonts w:ascii="Arial" w:eastAsia="Times New Roman" w:hAnsi="Arial" w:cs="Arial"/>
          <w:lang w:eastAsia="en-GB"/>
        </w:rPr>
        <w:t xml:space="preserve"> be completed and appropriate and necessary action </w:t>
      </w:r>
      <w:r w:rsidRPr="00E70B6C">
        <w:rPr>
          <w:rFonts w:ascii="Arial" w:eastAsia="Times New Roman" w:hAnsi="Arial" w:cs="Arial"/>
          <w:b/>
          <w:lang w:eastAsia="en-GB"/>
        </w:rPr>
        <w:t>will</w:t>
      </w:r>
      <w:r w:rsidRPr="00E70B6C">
        <w:rPr>
          <w:rFonts w:ascii="Arial" w:eastAsia="Times New Roman" w:hAnsi="Arial" w:cs="Arial"/>
          <w:lang w:eastAsia="en-GB"/>
        </w:rPr>
        <w:t xml:space="preserve"> be carried out to promote safety and wellbeing of all, as well as the person(s) affected. The individuals care co-ordinator or responsible community mental health team </w:t>
      </w:r>
      <w:r w:rsidRPr="00E70B6C">
        <w:rPr>
          <w:rFonts w:ascii="Arial" w:eastAsia="Times New Roman" w:hAnsi="Arial" w:cs="Arial"/>
          <w:b/>
          <w:lang w:eastAsia="en-GB"/>
        </w:rPr>
        <w:t>will</w:t>
      </w:r>
      <w:r w:rsidRPr="00E70B6C">
        <w:rPr>
          <w:rFonts w:ascii="Arial" w:eastAsia="Times New Roman" w:hAnsi="Arial" w:cs="Arial"/>
          <w:lang w:eastAsia="en-GB"/>
        </w:rPr>
        <w:t xml:space="preserve"> be notified of such alerts.</w:t>
      </w:r>
    </w:p>
    <w:p w14:paraId="4A4E73A1" w14:textId="77777777" w:rsidR="00E250F3" w:rsidRPr="00E70B6C" w:rsidRDefault="00E250F3" w:rsidP="001A1B58">
      <w:pPr>
        <w:spacing w:after="0" w:line="259" w:lineRule="auto"/>
        <w:jc w:val="both"/>
        <w:rPr>
          <w:rFonts w:ascii="Arial" w:eastAsia="Times New Roman" w:hAnsi="Arial" w:cs="Arial"/>
          <w:lang w:eastAsia="en-GB"/>
        </w:rPr>
      </w:pPr>
    </w:p>
    <w:p w14:paraId="018AA1D6" w14:textId="242A6620" w:rsidR="001A1B58" w:rsidRPr="00E70B6C" w:rsidRDefault="001A1B58" w:rsidP="001A1B58">
      <w:pPr>
        <w:spacing w:after="0" w:line="259" w:lineRule="auto"/>
        <w:jc w:val="both"/>
        <w:rPr>
          <w:rFonts w:ascii="Arial" w:hAnsi="Arial" w:cs="Arial"/>
        </w:rPr>
      </w:pPr>
      <w:r w:rsidRPr="00E70B6C">
        <w:rPr>
          <w:rFonts w:ascii="Arial" w:hAnsi="Arial" w:cs="Arial"/>
        </w:rPr>
        <w:t xml:space="preserve">Facilities </w:t>
      </w:r>
      <w:r w:rsidR="00E250F3">
        <w:rPr>
          <w:rFonts w:ascii="Arial" w:hAnsi="Arial" w:cs="Arial"/>
        </w:rPr>
        <w:t xml:space="preserve">must </w:t>
      </w:r>
      <w:r w:rsidRPr="00E70B6C">
        <w:rPr>
          <w:rFonts w:ascii="Arial" w:hAnsi="Arial" w:cs="Arial"/>
        </w:rPr>
        <w:t>be inclusive for all, and where required, environments are adaptable to the needs of the individual (e.g., where mobility or sensory disabilities may be an issue)</w:t>
      </w:r>
    </w:p>
    <w:p w14:paraId="3E6F4D02" w14:textId="77777777" w:rsidR="001A1B58" w:rsidRPr="00E70B6C" w:rsidRDefault="001A1B58" w:rsidP="001A1B58">
      <w:pPr>
        <w:spacing w:after="0" w:line="259" w:lineRule="auto"/>
        <w:ind w:firstLine="540"/>
        <w:jc w:val="both"/>
        <w:rPr>
          <w:rFonts w:ascii="Arial" w:eastAsia="Times New Roman" w:hAnsi="Arial" w:cs="Arial"/>
          <w:lang w:eastAsia="en-GB"/>
        </w:rPr>
      </w:pPr>
    </w:p>
    <w:p w14:paraId="66024641" w14:textId="77777777" w:rsidR="001A1B58" w:rsidRPr="00E250F3" w:rsidRDefault="001A1B58" w:rsidP="00E250F3">
      <w:pPr>
        <w:pStyle w:val="Heading1"/>
        <w:numPr>
          <w:ilvl w:val="0"/>
          <w:numId w:val="2"/>
        </w:numPr>
      </w:pPr>
      <w:bookmarkStart w:id="16" w:name="_Toc50736089"/>
      <w:bookmarkStart w:id="17" w:name="_Toc168656148"/>
      <w:r w:rsidRPr="00E250F3">
        <w:t>Safeguarding Protocol:</w:t>
      </w:r>
      <w:bookmarkEnd w:id="16"/>
      <w:bookmarkEnd w:id="17"/>
    </w:p>
    <w:p w14:paraId="4D2B39B1"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The Service Provider will follow locally agreed procedures for the detection and response to suspected harm to a vulnerable adult in line with the Care Act 2014: Safeguarding Adults.  </w:t>
      </w:r>
    </w:p>
    <w:p w14:paraId="0E510B8E" w14:textId="77777777" w:rsidR="001A1B58" w:rsidRPr="00E250F3" w:rsidRDefault="001A1B58" w:rsidP="001A1B58">
      <w:pPr>
        <w:pStyle w:val="Default"/>
        <w:ind w:left="252"/>
        <w:jc w:val="both"/>
        <w:rPr>
          <w:rFonts w:ascii="Arial" w:hAnsi="Arial" w:cs="Arial"/>
          <w:sz w:val="22"/>
        </w:rPr>
      </w:pPr>
    </w:p>
    <w:p w14:paraId="5634F6B0"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Service Provider staff must at all times be mindful of the possibility of vulnerable adult abuse situations and must have an awareness of how such situations may present themselves and be prevented. </w:t>
      </w:r>
    </w:p>
    <w:p w14:paraId="48E8AF4E" w14:textId="77777777" w:rsidR="001A1B58" w:rsidRPr="00E250F3" w:rsidRDefault="001A1B58" w:rsidP="001A1B58">
      <w:pPr>
        <w:pStyle w:val="Default"/>
        <w:ind w:left="252"/>
        <w:jc w:val="both"/>
        <w:rPr>
          <w:rFonts w:ascii="Arial" w:hAnsi="Arial" w:cs="Arial"/>
          <w:sz w:val="22"/>
        </w:rPr>
      </w:pPr>
    </w:p>
    <w:p w14:paraId="219A165C"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All staff involved in caring for Service Users must be aware of the laws and guidance protecting Service Users. </w:t>
      </w:r>
    </w:p>
    <w:p w14:paraId="2F5884CA" w14:textId="77777777" w:rsidR="001A1B58" w:rsidRPr="00E250F3" w:rsidRDefault="001A1B58" w:rsidP="001A1B58">
      <w:pPr>
        <w:pStyle w:val="Default"/>
        <w:jc w:val="both"/>
        <w:rPr>
          <w:rFonts w:ascii="Arial" w:hAnsi="Arial" w:cs="Arial"/>
          <w:sz w:val="22"/>
        </w:rPr>
      </w:pPr>
    </w:p>
    <w:p w14:paraId="71EB0A27"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Any improper conduct against a Service User by staff, visitors, volunteers or other Service Users must be recorded and reported within twenty-four (24) hours to the Responsible Commissioner, any other Commissioner who has a Service User placed at the Home, the relevant Local Authority and the police where appropriate.  The ten types of abuse considered to be reportable, and may be classed as a criminal offence are: </w:t>
      </w:r>
    </w:p>
    <w:p w14:paraId="60F17307" w14:textId="77777777" w:rsidR="001A1B58" w:rsidRPr="00E250F3" w:rsidRDefault="001A1B58" w:rsidP="001A1B58">
      <w:pPr>
        <w:pStyle w:val="Default"/>
        <w:jc w:val="both"/>
        <w:rPr>
          <w:rFonts w:ascii="Arial" w:hAnsi="Arial" w:cs="Arial"/>
          <w:sz w:val="22"/>
        </w:rPr>
      </w:pPr>
    </w:p>
    <w:p w14:paraId="29D6ACEF"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 xml:space="preserve">Physical abuse </w:t>
      </w:r>
    </w:p>
    <w:p w14:paraId="2BB51B0D"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 xml:space="preserve">Domestic violence or abuse </w:t>
      </w:r>
    </w:p>
    <w:p w14:paraId="5DDB8D79"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Psychological or emotional abuse</w:t>
      </w:r>
    </w:p>
    <w:p w14:paraId="4ACF4D4C"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 xml:space="preserve">Sexual abuse </w:t>
      </w:r>
    </w:p>
    <w:p w14:paraId="0DD53D7F"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Financial or material abuse</w:t>
      </w:r>
    </w:p>
    <w:p w14:paraId="48A4DF4B"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Modern slavery</w:t>
      </w:r>
    </w:p>
    <w:p w14:paraId="781715E3"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Discriminatory abuse</w:t>
      </w:r>
    </w:p>
    <w:p w14:paraId="28AF96E8"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Organisational or institutional abuse</w:t>
      </w:r>
    </w:p>
    <w:p w14:paraId="733D1C6B" w14:textId="77777777" w:rsidR="001A1B58" w:rsidRPr="00E250F3" w:rsidRDefault="001A1B58" w:rsidP="001235D8">
      <w:pPr>
        <w:pStyle w:val="Default"/>
        <w:numPr>
          <w:ilvl w:val="0"/>
          <w:numId w:val="12"/>
        </w:numPr>
        <w:adjustRightInd/>
        <w:jc w:val="both"/>
        <w:rPr>
          <w:rFonts w:ascii="Arial" w:hAnsi="Arial" w:cs="Arial"/>
          <w:color w:val="auto"/>
          <w:sz w:val="22"/>
        </w:rPr>
      </w:pPr>
      <w:r w:rsidRPr="00E250F3">
        <w:rPr>
          <w:rFonts w:ascii="Arial" w:hAnsi="Arial" w:cs="Arial"/>
          <w:color w:val="auto"/>
          <w:sz w:val="22"/>
        </w:rPr>
        <w:t>Neglect or acts of omission</w:t>
      </w:r>
    </w:p>
    <w:p w14:paraId="0A78226B" w14:textId="77777777" w:rsidR="001A1B58" w:rsidRPr="00E250F3" w:rsidRDefault="001A1B58" w:rsidP="001235D8">
      <w:pPr>
        <w:pStyle w:val="Default"/>
        <w:numPr>
          <w:ilvl w:val="0"/>
          <w:numId w:val="12"/>
        </w:numPr>
        <w:adjustRightInd/>
        <w:jc w:val="both"/>
        <w:rPr>
          <w:rFonts w:asciiTheme="minorHAnsi" w:hAnsiTheme="minorHAnsi" w:cs="Arial"/>
          <w:color w:val="auto"/>
        </w:rPr>
      </w:pPr>
      <w:r w:rsidRPr="00E250F3">
        <w:rPr>
          <w:rFonts w:ascii="Arial" w:hAnsi="Arial" w:cs="Arial"/>
          <w:color w:val="auto"/>
          <w:sz w:val="22"/>
        </w:rPr>
        <w:t>Self-neglect</w:t>
      </w:r>
      <w:r w:rsidRPr="00E250F3">
        <w:rPr>
          <w:rFonts w:asciiTheme="minorHAnsi" w:hAnsiTheme="minorHAnsi" w:cs="Arial"/>
          <w:color w:val="auto"/>
          <w:sz w:val="22"/>
        </w:rPr>
        <w:t xml:space="preserve"> </w:t>
      </w:r>
    </w:p>
    <w:p w14:paraId="031B00C3" w14:textId="77777777" w:rsidR="001A1B58" w:rsidRPr="00E250F3" w:rsidRDefault="001A1B58" w:rsidP="00E250F3">
      <w:pPr>
        <w:spacing w:after="0" w:line="259" w:lineRule="auto"/>
        <w:jc w:val="both"/>
        <w:rPr>
          <w:rFonts w:eastAsia="Times New Roman" w:cstheme="minorHAnsi"/>
          <w:sz w:val="24"/>
          <w:szCs w:val="24"/>
          <w:lang w:eastAsia="en-GB"/>
        </w:rPr>
      </w:pPr>
    </w:p>
    <w:p w14:paraId="3DF8EE44" w14:textId="77777777" w:rsidR="001A1B58" w:rsidRPr="00E250F3" w:rsidRDefault="001A1B58" w:rsidP="00E250F3">
      <w:pPr>
        <w:pStyle w:val="Heading1"/>
        <w:numPr>
          <w:ilvl w:val="0"/>
          <w:numId w:val="2"/>
        </w:numPr>
      </w:pPr>
      <w:bookmarkStart w:id="18" w:name="_Toc50736090"/>
      <w:bookmarkStart w:id="19" w:name="_Toc168656149"/>
      <w:r w:rsidRPr="00E250F3">
        <w:t>Patient Possessions:</w:t>
      </w:r>
      <w:bookmarkEnd w:id="18"/>
      <w:bookmarkEnd w:id="19"/>
    </w:p>
    <w:p w14:paraId="5D53BDA1"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Service Providers will have procedures in place for protecting and securing Patient’s possessions at all times. </w:t>
      </w:r>
    </w:p>
    <w:p w14:paraId="709EBEC0" w14:textId="77777777" w:rsidR="001A1B58" w:rsidRPr="00E250F3" w:rsidRDefault="001A1B58" w:rsidP="001A1B58">
      <w:pPr>
        <w:pStyle w:val="Default"/>
        <w:jc w:val="both"/>
        <w:rPr>
          <w:rFonts w:ascii="Arial" w:hAnsi="Arial" w:cs="Arial"/>
          <w:sz w:val="22"/>
        </w:rPr>
      </w:pPr>
    </w:p>
    <w:p w14:paraId="1508AFDB"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On admission into the Service, the Patient in conjunction with the admitting staff member will complete a written inventory of the patient’s monies, valuables and any other property they may be admitted with.  The inventory will be signed and dated by the Patient and staff, along with a representative as appropriate.  A copy of this will be kept in the Patient’s records.   </w:t>
      </w:r>
    </w:p>
    <w:p w14:paraId="094F31D0" w14:textId="77777777" w:rsidR="001A1B58" w:rsidRPr="00E250F3" w:rsidRDefault="001A1B58" w:rsidP="001A1B58">
      <w:pPr>
        <w:pStyle w:val="Default"/>
        <w:ind w:left="252"/>
        <w:jc w:val="both"/>
        <w:rPr>
          <w:rFonts w:ascii="Arial" w:hAnsi="Arial" w:cs="Arial"/>
          <w:sz w:val="22"/>
        </w:rPr>
      </w:pPr>
    </w:p>
    <w:p w14:paraId="3E36B674"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The Service provider will ensure that all financial transactions undertaken by the Service provider on the Patient’s behalf are properly recorded and witnessed. Any additions/removals of a Patient’s possessions must also be recorded. The Service provider will make these records available for the local Home Team upon request. </w:t>
      </w:r>
    </w:p>
    <w:p w14:paraId="54025B54" w14:textId="77777777" w:rsidR="001A1B58" w:rsidRPr="00E250F3" w:rsidRDefault="001A1B58" w:rsidP="001A1B58">
      <w:pPr>
        <w:pStyle w:val="Default"/>
        <w:jc w:val="both"/>
        <w:rPr>
          <w:rFonts w:ascii="Arial" w:hAnsi="Arial" w:cs="Arial"/>
          <w:sz w:val="22"/>
        </w:rPr>
      </w:pPr>
    </w:p>
    <w:p w14:paraId="79768186"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Service provider staff must not be involved in the borrowing of Patient’s monies or the lending of valuables. </w:t>
      </w:r>
    </w:p>
    <w:p w14:paraId="5253F3FB" w14:textId="77777777" w:rsidR="001A1B58" w:rsidRPr="00E250F3" w:rsidRDefault="001A1B58" w:rsidP="001A1B58">
      <w:pPr>
        <w:pStyle w:val="Default"/>
        <w:jc w:val="both"/>
        <w:rPr>
          <w:rFonts w:ascii="Arial" w:hAnsi="Arial" w:cs="Arial"/>
          <w:sz w:val="22"/>
        </w:rPr>
      </w:pPr>
    </w:p>
    <w:p w14:paraId="79C3B939"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The Service provider will provide the local Home Team with evidence of their written procedures for dealing with Patient’s possessions and investigations of allegations of theft. </w:t>
      </w:r>
    </w:p>
    <w:p w14:paraId="64A5C620" w14:textId="77777777" w:rsidR="001A1B58" w:rsidRPr="00E250F3" w:rsidRDefault="001A1B58" w:rsidP="001A1B58">
      <w:pPr>
        <w:pStyle w:val="CM19"/>
        <w:jc w:val="both"/>
        <w:rPr>
          <w:rFonts w:ascii="Arial" w:hAnsi="Arial" w:cs="Arial"/>
          <w:sz w:val="22"/>
        </w:rPr>
      </w:pPr>
    </w:p>
    <w:p w14:paraId="46AEB4BB" w14:textId="77777777" w:rsidR="001A1B58" w:rsidRPr="00E250F3" w:rsidRDefault="001A1B58" w:rsidP="001235D8">
      <w:pPr>
        <w:pStyle w:val="Heading2"/>
      </w:pPr>
      <w:bookmarkStart w:id="20" w:name="_Toc50736091"/>
      <w:bookmarkStart w:id="21" w:name="_Toc168656150"/>
      <w:r w:rsidRPr="00E250F3">
        <w:t>Patient Monies</w:t>
      </w:r>
      <w:bookmarkEnd w:id="20"/>
      <w:bookmarkEnd w:id="21"/>
    </w:p>
    <w:p w14:paraId="52ADD7C3"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The Service provider will recognise and respect the Patient’s right to confidentially conduct their own financial affairs, unless the Patient does not wish or lacks the capacity, to do so. </w:t>
      </w:r>
    </w:p>
    <w:p w14:paraId="723B2EF3" w14:textId="77777777" w:rsidR="001A1B58" w:rsidRPr="00E250F3" w:rsidRDefault="001A1B58" w:rsidP="001A1B58">
      <w:pPr>
        <w:pStyle w:val="Default"/>
        <w:jc w:val="both"/>
        <w:rPr>
          <w:rFonts w:ascii="Arial" w:hAnsi="Arial" w:cs="Arial"/>
          <w:sz w:val="22"/>
        </w:rPr>
      </w:pPr>
    </w:p>
    <w:p w14:paraId="63851BAF" w14:textId="77777777" w:rsidR="001A1B58" w:rsidRPr="00E250F3" w:rsidRDefault="001A1B58" w:rsidP="001A1B58">
      <w:pPr>
        <w:pStyle w:val="CM19"/>
        <w:jc w:val="both"/>
        <w:rPr>
          <w:rFonts w:ascii="Arial" w:hAnsi="Arial" w:cs="Arial"/>
          <w:sz w:val="22"/>
        </w:rPr>
      </w:pPr>
      <w:r w:rsidRPr="00E250F3">
        <w:rPr>
          <w:rFonts w:ascii="Arial" w:hAnsi="Arial" w:cs="Arial"/>
          <w:sz w:val="22"/>
        </w:rPr>
        <w:t>If the Patient is not managing their own finances and they are not being managed through a Power of Attorney or an appointed Court of Protection Deputy, then the Service provider, following discussion and agreement by the Local Authority, may in exceptional circumstances apply to the Court of Protection to obtain responsibility for the administration of the Patient’s money.  The service provider will also inform the Home Team of the agreement made.</w:t>
      </w:r>
    </w:p>
    <w:p w14:paraId="0483E8B6" w14:textId="77777777" w:rsidR="001A1B58" w:rsidRPr="00E250F3" w:rsidRDefault="001A1B58" w:rsidP="001A1B58">
      <w:pPr>
        <w:pStyle w:val="CM19"/>
        <w:jc w:val="both"/>
        <w:rPr>
          <w:rFonts w:ascii="Arial" w:hAnsi="Arial" w:cs="Arial"/>
          <w:sz w:val="22"/>
        </w:rPr>
      </w:pPr>
    </w:p>
    <w:p w14:paraId="53834351" w14:textId="77777777" w:rsidR="001A1B58" w:rsidRPr="00E250F3" w:rsidRDefault="001A1B58" w:rsidP="001A1B58">
      <w:pPr>
        <w:pStyle w:val="CM19"/>
        <w:jc w:val="both"/>
        <w:rPr>
          <w:rFonts w:ascii="Arial" w:hAnsi="Arial" w:cs="Arial"/>
          <w:sz w:val="22"/>
        </w:rPr>
      </w:pPr>
      <w:r w:rsidRPr="00E250F3">
        <w:rPr>
          <w:rFonts w:ascii="Arial" w:hAnsi="Arial" w:cs="Arial"/>
          <w:sz w:val="22"/>
        </w:rPr>
        <w:t>The Service provider and all employees will not accept any Power of Attorney or Court of Protection appointment in respect of any Patient without first notifying and obtaining pre-authorisation from the Local Authority in writing.</w:t>
      </w:r>
    </w:p>
    <w:p w14:paraId="6DBA52EA" w14:textId="77777777" w:rsidR="001A1B58" w:rsidRPr="00E250F3" w:rsidRDefault="001A1B58" w:rsidP="001A1B58">
      <w:pPr>
        <w:pStyle w:val="Default"/>
        <w:jc w:val="both"/>
        <w:rPr>
          <w:rFonts w:ascii="Arial" w:hAnsi="Arial" w:cs="Arial"/>
          <w:sz w:val="22"/>
        </w:rPr>
      </w:pPr>
    </w:p>
    <w:p w14:paraId="200BC8B5"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In some circumstances, it may be appropriate for the Service provider to become the agent or even appointee of the Patient’s benefit.  </w:t>
      </w:r>
    </w:p>
    <w:p w14:paraId="7F1F783B" w14:textId="77777777" w:rsidR="001A1B58" w:rsidRPr="00E250F3" w:rsidRDefault="001A1B58" w:rsidP="001A1B58">
      <w:pPr>
        <w:pStyle w:val="Default"/>
        <w:ind w:left="252"/>
        <w:jc w:val="both"/>
        <w:rPr>
          <w:rFonts w:ascii="Arial" w:hAnsi="Arial" w:cs="Arial"/>
          <w:sz w:val="22"/>
        </w:rPr>
      </w:pPr>
    </w:p>
    <w:p w14:paraId="75545D47"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If the Service provider is responsible for the Patient’s monies then the Service provider must ensure that monies are not pooled across Patients and that the Patient’s personal expenses allowance is administered properly and kept safely.  Proper records will be maintained to demonstrate this.   </w:t>
      </w:r>
    </w:p>
    <w:p w14:paraId="408B51B9" w14:textId="77777777" w:rsidR="001A1B58" w:rsidRPr="00E250F3" w:rsidRDefault="001A1B58" w:rsidP="001A1B58">
      <w:pPr>
        <w:pStyle w:val="Default"/>
        <w:jc w:val="both"/>
        <w:rPr>
          <w:rFonts w:ascii="Arial" w:hAnsi="Arial" w:cs="Arial"/>
          <w:sz w:val="22"/>
        </w:rPr>
      </w:pPr>
    </w:p>
    <w:p w14:paraId="3BCAF375" w14:textId="77777777" w:rsidR="001A1B58" w:rsidRPr="00E250F3" w:rsidRDefault="001A1B58" w:rsidP="001A1B58">
      <w:pPr>
        <w:pStyle w:val="CM19"/>
        <w:jc w:val="both"/>
        <w:rPr>
          <w:rFonts w:ascii="Arial" w:hAnsi="Arial" w:cs="Arial"/>
          <w:sz w:val="22"/>
        </w:rPr>
      </w:pPr>
      <w:r w:rsidRPr="00E250F3">
        <w:rPr>
          <w:rFonts w:ascii="Arial" w:hAnsi="Arial" w:cs="Arial"/>
          <w:sz w:val="22"/>
        </w:rPr>
        <w:t>The Patient’s personal monies must never be banked in the Service provider’s bank account.</w:t>
      </w:r>
    </w:p>
    <w:p w14:paraId="73EAB3C1" w14:textId="77777777" w:rsidR="001A1B58" w:rsidRPr="00E250F3" w:rsidRDefault="001A1B58" w:rsidP="001A1B58">
      <w:pPr>
        <w:pStyle w:val="Default"/>
        <w:ind w:left="252"/>
        <w:jc w:val="both"/>
        <w:rPr>
          <w:rFonts w:ascii="Arial" w:hAnsi="Arial" w:cs="Arial"/>
          <w:sz w:val="22"/>
        </w:rPr>
      </w:pPr>
    </w:p>
    <w:p w14:paraId="0DFEF4AB" w14:textId="77777777" w:rsidR="001A1B58" w:rsidRPr="00E250F3" w:rsidRDefault="001A1B58" w:rsidP="001A1B58">
      <w:pPr>
        <w:pStyle w:val="CM19"/>
        <w:jc w:val="both"/>
        <w:rPr>
          <w:rFonts w:ascii="Arial" w:hAnsi="Arial" w:cs="Arial"/>
          <w:sz w:val="22"/>
        </w:rPr>
      </w:pPr>
      <w:r w:rsidRPr="00E250F3">
        <w:rPr>
          <w:rFonts w:ascii="Arial" w:hAnsi="Arial" w:cs="Arial"/>
          <w:sz w:val="22"/>
        </w:rPr>
        <w:t xml:space="preserve">Under no circumstances will the Service provider use the Patient’s money to meet fees payable under this care specification. However a Patient will be expected to pay for the following items from their own finances, but which are not limited to: </w:t>
      </w:r>
    </w:p>
    <w:p w14:paraId="08FCF9D9" w14:textId="77777777" w:rsidR="001A1B58" w:rsidRPr="00E250F3" w:rsidRDefault="001A1B58" w:rsidP="001A1B58">
      <w:pPr>
        <w:pStyle w:val="Default"/>
        <w:jc w:val="both"/>
        <w:rPr>
          <w:rFonts w:ascii="Arial" w:hAnsi="Arial" w:cs="Arial"/>
          <w:sz w:val="22"/>
        </w:rPr>
      </w:pPr>
    </w:p>
    <w:p w14:paraId="6C09B65F"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Cigarettes and tobacco; </w:t>
      </w:r>
    </w:p>
    <w:p w14:paraId="4BA651B9"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Newspapers and magazines, where specifically ordered by the Patient; </w:t>
      </w:r>
    </w:p>
    <w:p w14:paraId="4699FFBF"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Clothing and other similar personal items; </w:t>
      </w:r>
    </w:p>
    <w:p w14:paraId="1CF51E8D"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Personal specific travel incurred at the Patient’s specific request (excluding travel that is connected with the Patient’s care needs</w:t>
      </w:r>
    </w:p>
    <w:p w14:paraId="02A1CABD"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Specific hairdressing which is not provided by the Service </w:t>
      </w:r>
    </w:p>
    <w:p w14:paraId="13EB5B07"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Opticians; </w:t>
      </w:r>
    </w:p>
    <w:p w14:paraId="470FCF05"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Legal advice; </w:t>
      </w:r>
    </w:p>
    <w:p w14:paraId="4485DB7E"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Holidays; </w:t>
      </w:r>
    </w:p>
    <w:p w14:paraId="5E424118"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Social activities (outside of those provided by the Service provider) </w:t>
      </w:r>
    </w:p>
    <w:p w14:paraId="2EC82B22"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Toiletries;</w:t>
      </w:r>
    </w:p>
    <w:p w14:paraId="502B8307" w14:textId="77777777"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Chiropody;</w:t>
      </w:r>
    </w:p>
    <w:p w14:paraId="304E8EEB" w14:textId="5C2C942C" w:rsidR="001A1B58" w:rsidRPr="00E250F3" w:rsidRDefault="001A1B58" w:rsidP="001235D8">
      <w:pPr>
        <w:pStyle w:val="Default"/>
        <w:numPr>
          <w:ilvl w:val="0"/>
          <w:numId w:val="13"/>
        </w:numPr>
        <w:adjustRightInd/>
        <w:ind w:hanging="288"/>
        <w:jc w:val="both"/>
        <w:rPr>
          <w:rFonts w:ascii="Arial" w:hAnsi="Arial" w:cs="Arial"/>
          <w:color w:val="auto"/>
          <w:sz w:val="22"/>
        </w:rPr>
      </w:pPr>
      <w:r w:rsidRPr="00E250F3">
        <w:rPr>
          <w:rFonts w:ascii="Arial" w:hAnsi="Arial" w:cs="Arial"/>
          <w:color w:val="auto"/>
          <w:sz w:val="22"/>
        </w:rPr>
        <w:t xml:space="preserve">Computers. </w:t>
      </w:r>
    </w:p>
    <w:p w14:paraId="353D3E24" w14:textId="77777777" w:rsidR="00E250F3" w:rsidRPr="00E250F3" w:rsidRDefault="00E250F3" w:rsidP="00E250F3">
      <w:pPr>
        <w:pStyle w:val="Default"/>
        <w:adjustRightInd/>
        <w:ind w:left="720"/>
        <w:jc w:val="both"/>
        <w:rPr>
          <w:rFonts w:ascii="Arial" w:hAnsi="Arial" w:cs="Arial"/>
          <w:color w:val="auto"/>
          <w:sz w:val="22"/>
        </w:rPr>
      </w:pPr>
    </w:p>
    <w:p w14:paraId="50CD8C03" w14:textId="77777777" w:rsidR="001A1B58" w:rsidRPr="00E250F3" w:rsidRDefault="001A1B58" w:rsidP="001235D8">
      <w:pPr>
        <w:pStyle w:val="Heading2"/>
      </w:pPr>
      <w:bookmarkStart w:id="22" w:name="_Toc50736092"/>
      <w:bookmarkStart w:id="23" w:name="_Toc168656151"/>
      <w:r w:rsidRPr="00E250F3">
        <w:t>Patient Valuables</w:t>
      </w:r>
      <w:bookmarkEnd w:id="22"/>
      <w:bookmarkEnd w:id="23"/>
      <w:r w:rsidRPr="00E250F3">
        <w:t xml:space="preserve"> </w:t>
      </w:r>
    </w:p>
    <w:p w14:paraId="0D318DF7" w14:textId="77777777" w:rsidR="001A1B58" w:rsidRPr="00E250F3" w:rsidRDefault="001A1B58" w:rsidP="001A1B58">
      <w:pPr>
        <w:pStyle w:val="CM19"/>
        <w:jc w:val="both"/>
        <w:rPr>
          <w:rFonts w:ascii="Arial" w:hAnsi="Arial" w:cs="Arial"/>
          <w:sz w:val="22"/>
          <w:szCs w:val="22"/>
        </w:rPr>
      </w:pPr>
      <w:r w:rsidRPr="00E250F3">
        <w:rPr>
          <w:rFonts w:ascii="Arial" w:hAnsi="Arial" w:cs="Arial"/>
          <w:sz w:val="22"/>
          <w:szCs w:val="22"/>
        </w:rPr>
        <w:t xml:space="preserve">The Service provider will be liable for any loss or damage (not caused by the Patient) to clothes or other valuables recorded or receipted as being brought into the Service. Any theft of, or damage to, Patient’s items must be covered by the Service’s public liability insurance. </w:t>
      </w:r>
    </w:p>
    <w:p w14:paraId="411FF633" w14:textId="77777777" w:rsidR="001A1B58" w:rsidRPr="00E250F3" w:rsidRDefault="001A1B58" w:rsidP="001A1B58">
      <w:pPr>
        <w:pStyle w:val="Default"/>
        <w:ind w:left="252"/>
        <w:jc w:val="both"/>
        <w:rPr>
          <w:rFonts w:ascii="Arial" w:hAnsi="Arial" w:cs="Arial"/>
          <w:sz w:val="22"/>
          <w:szCs w:val="22"/>
        </w:rPr>
      </w:pPr>
    </w:p>
    <w:p w14:paraId="0234E895" w14:textId="77777777" w:rsidR="001A1B58" w:rsidRPr="00D1631F" w:rsidRDefault="001A1B58" w:rsidP="001A1B58">
      <w:pPr>
        <w:pStyle w:val="CM6"/>
        <w:spacing w:line="240" w:lineRule="auto"/>
        <w:jc w:val="both"/>
        <w:rPr>
          <w:rFonts w:ascii="Arial" w:hAnsi="Arial" w:cs="Arial"/>
          <w:sz w:val="22"/>
          <w:szCs w:val="22"/>
        </w:rPr>
      </w:pPr>
      <w:r w:rsidRPr="00E250F3">
        <w:rPr>
          <w:rFonts w:ascii="Arial" w:hAnsi="Arial" w:cs="Arial"/>
          <w:sz w:val="22"/>
          <w:szCs w:val="22"/>
        </w:rPr>
        <w:t>Unless the Responsible Commissioner and Service provider otherwise agree in writing, the Service provider will not require and will ensure that no other person will require, any Patient to sign any document whatsoever containing any waiver of the Service provider’s liability to the Patient.</w:t>
      </w:r>
      <w:r w:rsidRPr="00D1631F">
        <w:rPr>
          <w:rFonts w:ascii="Arial" w:hAnsi="Arial" w:cs="Arial"/>
          <w:sz w:val="22"/>
          <w:szCs w:val="22"/>
        </w:rPr>
        <w:t xml:space="preserve"> </w:t>
      </w:r>
    </w:p>
    <w:p w14:paraId="42CB5EBE" w14:textId="77777777" w:rsidR="001A1B58" w:rsidRPr="009E4BA3" w:rsidRDefault="001A1B58" w:rsidP="00E250F3">
      <w:pPr>
        <w:pStyle w:val="Heading1"/>
        <w:rPr>
          <w:lang w:eastAsia="en-GB"/>
        </w:rPr>
      </w:pPr>
    </w:p>
    <w:p w14:paraId="0EFE64DD" w14:textId="77777777" w:rsidR="001A1B58" w:rsidRPr="009E4BA3" w:rsidRDefault="001A1B58" w:rsidP="00E250F3">
      <w:pPr>
        <w:pStyle w:val="Heading1"/>
        <w:numPr>
          <w:ilvl w:val="0"/>
          <w:numId w:val="2"/>
        </w:numPr>
        <w:rPr>
          <w:lang w:eastAsia="en-GB"/>
        </w:rPr>
      </w:pPr>
      <w:bookmarkStart w:id="24" w:name="_Toc50736093"/>
      <w:bookmarkStart w:id="25" w:name="_Toc168656152"/>
      <w:r w:rsidRPr="009E4BA3">
        <w:t>Equality &amp; Diversity:</w:t>
      </w:r>
      <w:bookmarkEnd w:id="24"/>
      <w:bookmarkEnd w:id="25"/>
      <w:r w:rsidRPr="009E4BA3">
        <w:t xml:space="preserve">  </w:t>
      </w:r>
    </w:p>
    <w:p w14:paraId="78C1A2E1" w14:textId="77777777" w:rsidR="001A1B58" w:rsidRPr="00E70B6C" w:rsidRDefault="001A1B58" w:rsidP="001A1B58">
      <w:pPr>
        <w:spacing w:after="0" w:line="240" w:lineRule="auto"/>
        <w:jc w:val="both"/>
        <w:rPr>
          <w:rFonts w:ascii="Arial" w:eastAsia="Times New Roman" w:hAnsi="Arial" w:cs="Arial"/>
          <w:szCs w:val="24"/>
          <w:lang w:eastAsia="en-GB"/>
        </w:rPr>
      </w:pPr>
      <w:r w:rsidRPr="00E70B6C">
        <w:rPr>
          <w:rFonts w:ascii="Arial" w:eastAsia="Times New Roman" w:hAnsi="Arial" w:cs="Arial"/>
          <w:szCs w:val="24"/>
          <w:lang w:eastAsia="en-GB"/>
        </w:rPr>
        <w:t xml:space="preserve">Service delivery </w:t>
      </w:r>
      <w:r w:rsidRPr="00E70B6C">
        <w:rPr>
          <w:rFonts w:ascii="Arial" w:eastAsia="Times New Roman" w:hAnsi="Arial" w:cs="Arial"/>
          <w:b/>
          <w:szCs w:val="24"/>
          <w:lang w:eastAsia="en-GB"/>
        </w:rPr>
        <w:t>will</w:t>
      </w:r>
      <w:r w:rsidRPr="00E70B6C">
        <w:rPr>
          <w:rFonts w:ascii="Arial" w:eastAsia="Times New Roman" w:hAnsi="Arial" w:cs="Arial"/>
          <w:szCs w:val="24"/>
          <w:lang w:eastAsia="en-GB"/>
        </w:rPr>
        <w:t xml:space="preserve"> take account of all protected characteristics of patient’s equality, diversity and inclusion through policies and practices to include but not limited to, patient’s gender, cultural, religious and spiritual preferences. This </w:t>
      </w:r>
      <w:r w:rsidRPr="00E70B6C">
        <w:rPr>
          <w:rFonts w:ascii="Arial" w:eastAsia="Times New Roman" w:hAnsi="Arial" w:cs="Arial"/>
          <w:b/>
          <w:szCs w:val="24"/>
          <w:lang w:eastAsia="en-GB"/>
        </w:rPr>
        <w:t>will</w:t>
      </w:r>
      <w:r w:rsidRPr="00E70B6C">
        <w:rPr>
          <w:rFonts w:ascii="Arial" w:eastAsia="Times New Roman" w:hAnsi="Arial" w:cs="Arial"/>
          <w:szCs w:val="24"/>
          <w:lang w:eastAsia="en-GB"/>
        </w:rPr>
        <w:t xml:space="preserve"> ensure that an individualised, person centred approach is adopted when planning all aspects of care and care provision.</w:t>
      </w:r>
    </w:p>
    <w:p w14:paraId="37929636" w14:textId="77777777" w:rsidR="001A1B58" w:rsidRPr="00E70B6C" w:rsidRDefault="001A1B58" w:rsidP="001A1B58">
      <w:pPr>
        <w:spacing w:after="0" w:line="240" w:lineRule="auto"/>
        <w:jc w:val="both"/>
        <w:rPr>
          <w:rFonts w:ascii="Arial" w:eastAsia="Times New Roman" w:hAnsi="Arial" w:cs="Arial"/>
          <w:szCs w:val="24"/>
          <w:lang w:eastAsia="en-GB"/>
        </w:rPr>
      </w:pPr>
    </w:p>
    <w:p w14:paraId="0D9974DB" w14:textId="77777777" w:rsidR="001A1B58" w:rsidRPr="00E70B6C" w:rsidRDefault="001A1B58" w:rsidP="001A1B58">
      <w:pPr>
        <w:spacing w:after="0" w:line="240" w:lineRule="auto"/>
        <w:jc w:val="both"/>
        <w:rPr>
          <w:rFonts w:ascii="Arial" w:eastAsia="Times New Roman" w:hAnsi="Arial" w:cs="Arial"/>
          <w:szCs w:val="24"/>
          <w:lang w:eastAsia="en-GB"/>
        </w:rPr>
      </w:pPr>
      <w:r w:rsidRPr="00E70B6C">
        <w:rPr>
          <w:rFonts w:ascii="Arial" w:eastAsia="Times New Roman" w:hAnsi="Arial" w:cs="Arial"/>
          <w:szCs w:val="24"/>
          <w:lang w:eastAsia="en-GB"/>
        </w:rPr>
        <w:t>Patient’s relatives and carers, where appropriate and consent is given,</w:t>
      </w:r>
      <w:r w:rsidRPr="00E70B6C">
        <w:rPr>
          <w:rFonts w:ascii="Arial" w:eastAsia="Times New Roman" w:hAnsi="Arial" w:cs="Arial"/>
          <w:b/>
          <w:szCs w:val="24"/>
          <w:lang w:eastAsia="en-GB"/>
        </w:rPr>
        <w:t xml:space="preserve"> will</w:t>
      </w:r>
      <w:r w:rsidRPr="00E70B6C">
        <w:rPr>
          <w:rFonts w:ascii="Arial" w:eastAsia="Times New Roman" w:hAnsi="Arial" w:cs="Arial"/>
          <w:szCs w:val="24"/>
          <w:lang w:eastAsia="en-GB"/>
        </w:rPr>
        <w:t xml:space="preserve"> have an active role in the development of care plans. There </w:t>
      </w:r>
      <w:r w:rsidRPr="00E70B6C">
        <w:rPr>
          <w:rFonts w:ascii="Arial" w:eastAsia="Times New Roman" w:hAnsi="Arial" w:cs="Arial"/>
          <w:b/>
          <w:szCs w:val="24"/>
          <w:lang w:eastAsia="en-GB"/>
        </w:rPr>
        <w:t xml:space="preserve">will </w:t>
      </w:r>
      <w:r w:rsidRPr="00E70B6C">
        <w:rPr>
          <w:rFonts w:ascii="Arial" w:eastAsia="Times New Roman" w:hAnsi="Arial" w:cs="Arial"/>
          <w:szCs w:val="24"/>
          <w:lang w:eastAsia="en-GB"/>
        </w:rPr>
        <w:t>be a demonstrable commitment to working together in an environment that promotes empowerment of the care team, patients, relatives and carers, with all parties seeking to communicate openly and honestly in sharing their views.</w:t>
      </w:r>
    </w:p>
    <w:p w14:paraId="5324A3DD" w14:textId="77777777" w:rsidR="001A1B58" w:rsidRPr="00E70B6C" w:rsidRDefault="001A1B58" w:rsidP="001A1B58">
      <w:pPr>
        <w:spacing w:after="0" w:line="240" w:lineRule="auto"/>
        <w:jc w:val="both"/>
        <w:rPr>
          <w:rFonts w:ascii="Arial" w:eastAsia="Times New Roman" w:hAnsi="Arial" w:cs="Arial"/>
          <w:szCs w:val="24"/>
          <w:lang w:eastAsia="en-GB"/>
        </w:rPr>
      </w:pPr>
    </w:p>
    <w:p w14:paraId="3FAF38DD" w14:textId="77777777" w:rsidR="001A1B58" w:rsidRPr="00E70B6C" w:rsidRDefault="001A1B58" w:rsidP="001A1B58">
      <w:pPr>
        <w:spacing w:after="0" w:line="240" w:lineRule="auto"/>
        <w:jc w:val="both"/>
        <w:rPr>
          <w:rFonts w:ascii="Arial" w:eastAsia="Times New Roman" w:hAnsi="Arial" w:cs="Arial"/>
          <w:szCs w:val="24"/>
          <w:lang w:eastAsia="en-GB"/>
        </w:rPr>
      </w:pPr>
      <w:r w:rsidRPr="00E70B6C">
        <w:rPr>
          <w:rFonts w:ascii="Arial" w:eastAsia="Times New Roman" w:hAnsi="Arial" w:cs="Arial"/>
          <w:szCs w:val="24"/>
          <w:lang w:eastAsia="en-GB"/>
        </w:rPr>
        <w:t xml:space="preserve">The Service provided </w:t>
      </w:r>
      <w:r w:rsidRPr="00E70B6C">
        <w:rPr>
          <w:rFonts w:ascii="Arial" w:eastAsia="Times New Roman" w:hAnsi="Arial" w:cs="Arial"/>
          <w:b/>
          <w:szCs w:val="24"/>
          <w:lang w:eastAsia="en-GB"/>
        </w:rPr>
        <w:t>will</w:t>
      </w:r>
      <w:r w:rsidRPr="00E70B6C">
        <w:rPr>
          <w:rFonts w:ascii="Arial" w:eastAsia="Times New Roman" w:hAnsi="Arial" w:cs="Arial"/>
          <w:szCs w:val="24"/>
          <w:lang w:eastAsia="en-GB"/>
        </w:rPr>
        <w:t xml:space="preserve"> be ‘fair, personalised, effective and safe’.</w:t>
      </w:r>
    </w:p>
    <w:p w14:paraId="40255F7C" w14:textId="77777777" w:rsidR="001A1B58" w:rsidRPr="009E4BA3" w:rsidRDefault="001A1B58" w:rsidP="001A1B58">
      <w:pPr>
        <w:spacing w:after="0" w:line="240" w:lineRule="auto"/>
        <w:jc w:val="both"/>
        <w:rPr>
          <w:rFonts w:eastAsia="Times New Roman" w:cstheme="minorHAnsi"/>
          <w:sz w:val="24"/>
          <w:szCs w:val="24"/>
          <w:lang w:eastAsia="en-GB"/>
        </w:rPr>
      </w:pPr>
    </w:p>
    <w:p w14:paraId="74CCF2C8" w14:textId="77777777" w:rsidR="001A1B58" w:rsidRPr="009E4BA3" w:rsidRDefault="001A1B58" w:rsidP="00E250F3">
      <w:pPr>
        <w:pStyle w:val="Heading1"/>
        <w:numPr>
          <w:ilvl w:val="0"/>
          <w:numId w:val="2"/>
        </w:numPr>
        <w:rPr>
          <w:lang w:eastAsia="en-GB"/>
        </w:rPr>
      </w:pPr>
      <w:bookmarkStart w:id="26" w:name="_Toc50736094"/>
      <w:bookmarkStart w:id="27" w:name="_Toc168656153"/>
      <w:r w:rsidRPr="009E4BA3">
        <w:rPr>
          <w:lang w:eastAsia="en-GB"/>
        </w:rPr>
        <w:t>Provider Monitoring:</w:t>
      </w:r>
      <w:bookmarkEnd w:id="26"/>
      <w:bookmarkEnd w:id="27"/>
    </w:p>
    <w:p w14:paraId="6BFD05F1" w14:textId="77777777" w:rsidR="001A1B58" w:rsidRPr="00E70B6C" w:rsidRDefault="001A1B58" w:rsidP="001A1B58">
      <w:pPr>
        <w:spacing w:after="0" w:line="240" w:lineRule="auto"/>
        <w:jc w:val="both"/>
        <w:rPr>
          <w:rFonts w:ascii="Arial" w:eastAsia="Times New Roman" w:hAnsi="Arial" w:cs="Arial"/>
          <w:szCs w:val="24"/>
          <w:lang w:eastAsia="en-GB"/>
        </w:rPr>
      </w:pPr>
      <w:r w:rsidRPr="00E70B6C">
        <w:rPr>
          <w:rFonts w:ascii="Arial" w:eastAsia="Times New Roman" w:hAnsi="Arial" w:cs="Arial"/>
          <w:szCs w:val="24"/>
          <w:lang w:eastAsia="en-GB"/>
        </w:rPr>
        <w:t>T</w:t>
      </w:r>
      <w:r w:rsidRPr="00E70B6C">
        <w:rPr>
          <w:rFonts w:ascii="Arial" w:eastAsia="Times New Roman" w:hAnsi="Arial" w:cs="Arial"/>
          <w:bCs/>
          <w:szCs w:val="24"/>
          <w:lang w:eastAsia="en-GB"/>
        </w:rPr>
        <w:t xml:space="preserve">he Provider </w:t>
      </w:r>
      <w:r w:rsidRPr="00E70B6C">
        <w:rPr>
          <w:rFonts w:ascii="Arial" w:eastAsia="Times New Roman" w:hAnsi="Arial" w:cs="Arial"/>
          <w:b/>
          <w:bCs/>
          <w:szCs w:val="24"/>
          <w:lang w:eastAsia="en-GB"/>
        </w:rPr>
        <w:t>will</w:t>
      </w:r>
      <w:r w:rsidRPr="00E70B6C">
        <w:rPr>
          <w:rFonts w:ascii="Arial" w:eastAsia="Times New Roman" w:hAnsi="Arial" w:cs="Arial"/>
          <w:bCs/>
          <w:szCs w:val="24"/>
          <w:lang w:eastAsia="en-GB"/>
        </w:rPr>
        <w:t xml:space="preserve"> ensure that clinical audit is an integral part of service culture and provision in order to monitor service responsiveness to the various aspects of care in line with national guidance. </w:t>
      </w:r>
    </w:p>
    <w:p w14:paraId="64D9CF48" w14:textId="77777777" w:rsidR="001A1B58" w:rsidRPr="00E70B6C" w:rsidRDefault="001A1B58" w:rsidP="001A1B58">
      <w:pPr>
        <w:spacing w:after="0" w:line="240" w:lineRule="auto"/>
        <w:jc w:val="both"/>
        <w:rPr>
          <w:rFonts w:ascii="Arial" w:eastAsia="Times New Roman" w:hAnsi="Arial" w:cs="Arial"/>
          <w:bCs/>
          <w:szCs w:val="24"/>
          <w:lang w:eastAsia="en-GB"/>
        </w:rPr>
      </w:pPr>
    </w:p>
    <w:p w14:paraId="12F1EA2E" w14:textId="0985C2F9" w:rsidR="001A1B58" w:rsidRDefault="001A1B58" w:rsidP="001A1B58">
      <w:pPr>
        <w:spacing w:after="0" w:line="240" w:lineRule="auto"/>
        <w:jc w:val="both"/>
        <w:rPr>
          <w:rFonts w:ascii="Arial" w:eastAsia="Times New Roman" w:hAnsi="Arial" w:cs="Arial"/>
          <w:szCs w:val="24"/>
          <w:lang w:eastAsia="en-GB"/>
        </w:rPr>
      </w:pPr>
      <w:r w:rsidRPr="00E70B6C">
        <w:rPr>
          <w:rFonts w:ascii="Arial" w:eastAsia="Times New Roman" w:hAnsi="Arial" w:cs="Arial"/>
          <w:bCs/>
          <w:szCs w:val="24"/>
          <w:lang w:eastAsia="en-GB"/>
        </w:rPr>
        <w:t xml:space="preserve">The Provider </w:t>
      </w:r>
      <w:r w:rsidRPr="00E70B6C">
        <w:rPr>
          <w:rFonts w:ascii="Arial" w:eastAsia="Times New Roman" w:hAnsi="Arial" w:cs="Arial"/>
          <w:b/>
          <w:bCs/>
          <w:szCs w:val="24"/>
          <w:lang w:eastAsia="en-GB"/>
        </w:rPr>
        <w:t>will</w:t>
      </w:r>
      <w:r w:rsidRPr="00E70B6C">
        <w:rPr>
          <w:rFonts w:ascii="Arial" w:eastAsia="Times New Roman" w:hAnsi="Arial" w:cs="Arial"/>
          <w:bCs/>
          <w:szCs w:val="24"/>
          <w:lang w:eastAsia="en-GB"/>
        </w:rPr>
        <w:t xml:space="preserve"> ensure e</w:t>
      </w:r>
      <w:r w:rsidRPr="00E70B6C">
        <w:rPr>
          <w:rFonts w:ascii="Arial" w:eastAsia="Times New Roman" w:hAnsi="Arial" w:cs="Arial"/>
          <w:szCs w:val="24"/>
          <w:lang w:eastAsia="en-GB"/>
        </w:rPr>
        <w:t xml:space="preserve">ffective monitoring of clinical care with high quality systems for clinical record keeping and the collection of relevant information. All record keeping </w:t>
      </w:r>
      <w:r w:rsidRPr="00E70B6C">
        <w:rPr>
          <w:rFonts w:ascii="Arial" w:eastAsia="Times New Roman" w:hAnsi="Arial" w:cs="Arial"/>
          <w:b/>
          <w:szCs w:val="24"/>
          <w:lang w:eastAsia="en-GB"/>
        </w:rPr>
        <w:t xml:space="preserve">will </w:t>
      </w:r>
      <w:r w:rsidRPr="00E70B6C">
        <w:rPr>
          <w:rFonts w:ascii="Arial" w:eastAsia="Times New Roman" w:hAnsi="Arial" w:cs="Arial"/>
          <w:szCs w:val="24"/>
          <w:lang w:eastAsia="en-GB"/>
        </w:rPr>
        <w:t>comply with the requirements of the Provider and any associated Royal College or other professional group’s guidance.</w:t>
      </w:r>
    </w:p>
    <w:p w14:paraId="6B958067" w14:textId="77777777" w:rsidR="00E250F3" w:rsidRPr="00E70B6C" w:rsidRDefault="00E250F3" w:rsidP="001A1B58">
      <w:pPr>
        <w:spacing w:after="0" w:line="240" w:lineRule="auto"/>
        <w:jc w:val="both"/>
        <w:rPr>
          <w:rFonts w:ascii="Arial" w:eastAsia="Times New Roman" w:hAnsi="Arial" w:cs="Arial"/>
          <w:szCs w:val="24"/>
          <w:lang w:eastAsia="en-GB"/>
        </w:rPr>
      </w:pPr>
    </w:p>
    <w:p w14:paraId="113576CA" w14:textId="77777777" w:rsidR="001A1B58" w:rsidRDefault="001A1B58" w:rsidP="00E250F3">
      <w:pPr>
        <w:pStyle w:val="Heading1"/>
        <w:numPr>
          <w:ilvl w:val="0"/>
          <w:numId w:val="2"/>
        </w:numPr>
        <w:rPr>
          <w:lang w:eastAsia="en-GB"/>
        </w:rPr>
      </w:pPr>
      <w:bookmarkStart w:id="28" w:name="_Toc50736097"/>
      <w:bookmarkStart w:id="29" w:name="_Toc168656154"/>
      <w:r w:rsidRPr="00B070AB">
        <w:rPr>
          <w:lang w:eastAsia="en-GB"/>
        </w:rPr>
        <w:t>Patient Discharge</w:t>
      </w:r>
      <w:bookmarkEnd w:id="28"/>
      <w:bookmarkEnd w:id="29"/>
    </w:p>
    <w:p w14:paraId="60A2FCBB" w14:textId="77777777" w:rsidR="001A1B58" w:rsidRPr="00E250F3" w:rsidRDefault="001A1B58" w:rsidP="001A1B58">
      <w:pPr>
        <w:spacing w:after="0" w:line="240" w:lineRule="auto"/>
        <w:contextualSpacing/>
        <w:jc w:val="both"/>
        <w:rPr>
          <w:rFonts w:ascii="Arial" w:eastAsia="Times New Roman" w:hAnsi="Arial" w:cs="Arial"/>
          <w:szCs w:val="24"/>
          <w:lang w:eastAsia="en-GB"/>
        </w:rPr>
      </w:pPr>
      <w:r w:rsidRPr="00E250F3">
        <w:rPr>
          <w:rFonts w:ascii="Arial" w:eastAsia="Times New Roman" w:hAnsi="Arial" w:cs="Arial"/>
          <w:szCs w:val="24"/>
          <w:lang w:eastAsia="en-GB"/>
        </w:rPr>
        <w:t xml:space="preserve">The Service will not discharge/transfer a patient if this would not be in accordance with effective care co-ordination and in particular if this would put the public or the Patient safety, health or wellbeing at risk.  The Service will use all reasonable endeavours to avoid circumstances whereby discharges are likely to lead to emergency re-admissions to care or in-patient services.  If a Service is repeatedly discharging Patients in breach of this requirement, then action will be taken to review efficiency and safety of the provision of care.  An action plan will be drafted to ensure this is remedied.  If the action plan is not accepted or the Provider does not participate fully in the process, then the Contracting Authority reserves the right to cease the contractual agreement with the Provider due to these concerns. </w:t>
      </w:r>
    </w:p>
    <w:p w14:paraId="67C66A6C" w14:textId="77777777" w:rsidR="001A1B58" w:rsidRPr="00E250F3" w:rsidRDefault="001A1B58" w:rsidP="001A1B58">
      <w:pPr>
        <w:spacing w:after="0" w:line="240" w:lineRule="auto"/>
        <w:contextualSpacing/>
        <w:jc w:val="both"/>
        <w:rPr>
          <w:rFonts w:ascii="Arial" w:eastAsia="Times New Roman" w:hAnsi="Arial" w:cs="Arial"/>
          <w:szCs w:val="24"/>
          <w:lang w:eastAsia="en-GB"/>
        </w:rPr>
      </w:pPr>
    </w:p>
    <w:p w14:paraId="53F6E74D" w14:textId="78729039" w:rsidR="001A1B58" w:rsidRPr="00E250F3" w:rsidRDefault="001A1B58" w:rsidP="001A1B58">
      <w:pPr>
        <w:spacing w:after="0" w:line="240" w:lineRule="auto"/>
        <w:contextualSpacing/>
        <w:jc w:val="both"/>
        <w:rPr>
          <w:rFonts w:ascii="Arial" w:eastAsia="Times New Roman" w:hAnsi="Arial" w:cs="Arial"/>
          <w:szCs w:val="24"/>
          <w:lang w:eastAsia="en-GB"/>
        </w:rPr>
      </w:pPr>
      <w:r w:rsidRPr="00E250F3">
        <w:rPr>
          <w:rFonts w:ascii="Arial" w:eastAsia="Times New Roman" w:hAnsi="Arial" w:cs="Arial"/>
          <w:szCs w:val="24"/>
          <w:lang w:eastAsia="en-GB"/>
        </w:rPr>
        <w:t xml:space="preserve">In readiness of discharge, the Service will ensure that its clinical teams work jointly with the patient’s home area mental health services and local authority to ensure the appropriate management and transfer of the patient.  In order to facilitate ongoing liaison with the patient and community services, a key worker will be appointed for each patient.  The keyworker will also be active in assisting with applications for </w:t>
      </w:r>
      <w:r w:rsidR="00F93062">
        <w:rPr>
          <w:rFonts w:ascii="Arial" w:eastAsia="Times New Roman" w:hAnsi="Arial" w:cs="Arial"/>
          <w:szCs w:val="24"/>
          <w:lang w:eastAsia="en-GB"/>
        </w:rPr>
        <w:t xml:space="preserve">welfare </w:t>
      </w:r>
      <w:r w:rsidRPr="00E250F3">
        <w:rPr>
          <w:rFonts w:ascii="Arial" w:eastAsia="Times New Roman" w:hAnsi="Arial" w:cs="Arial"/>
          <w:szCs w:val="24"/>
          <w:lang w:eastAsia="en-GB"/>
        </w:rPr>
        <w:t>benefits</w:t>
      </w:r>
    </w:p>
    <w:p w14:paraId="1E838142" w14:textId="77777777" w:rsidR="001A1B58" w:rsidRPr="00E250F3" w:rsidRDefault="001A1B58" w:rsidP="001A1B58">
      <w:pPr>
        <w:spacing w:after="0" w:line="240" w:lineRule="auto"/>
        <w:contextualSpacing/>
        <w:jc w:val="both"/>
        <w:rPr>
          <w:rFonts w:ascii="Arial" w:eastAsia="Times New Roman" w:hAnsi="Arial" w:cs="Arial"/>
          <w:szCs w:val="24"/>
          <w:lang w:eastAsia="en-GB"/>
        </w:rPr>
      </w:pPr>
    </w:p>
    <w:p w14:paraId="3602932D" w14:textId="50911280" w:rsidR="001A1B58" w:rsidRPr="00E70B6C" w:rsidRDefault="001A1B58" w:rsidP="00ED033C">
      <w:pPr>
        <w:pStyle w:val="ListParagraph"/>
        <w:spacing w:after="0" w:line="240" w:lineRule="auto"/>
        <w:ind w:left="0"/>
        <w:jc w:val="both"/>
        <w:rPr>
          <w:rFonts w:ascii="Arial" w:eastAsia="Times New Roman" w:hAnsi="Arial" w:cs="Arial"/>
          <w:b/>
          <w:szCs w:val="24"/>
          <w:lang w:eastAsia="en-GB"/>
        </w:rPr>
      </w:pPr>
      <w:r w:rsidRPr="00E250F3">
        <w:rPr>
          <w:rFonts w:ascii="Arial" w:eastAsia="Times New Roman" w:hAnsi="Arial" w:cs="Arial"/>
          <w:szCs w:val="24"/>
          <w:lang w:eastAsia="en-GB"/>
        </w:rPr>
        <w:t xml:space="preserve">Appropriate self-assessment questionnaires should be made available to Patients to complete in order to provide feedback on their mental health and wellbeing and the service delivery. </w:t>
      </w:r>
      <w:r w:rsidRPr="00E250F3">
        <w:rPr>
          <w:rFonts w:ascii="Arial" w:eastAsia="Times New Roman" w:hAnsi="Arial" w:cs="Arial"/>
          <w:szCs w:val="24"/>
          <w:lang w:val="en-US" w:eastAsia="en-GB"/>
        </w:rPr>
        <w:t>Carers will also be given the opportunity to provide feedback at the completion of the care package to inform service delivery and carer support offered and/or provided.  All feedback acquired will be made available to the Home Team upon request</w:t>
      </w:r>
    </w:p>
    <w:p w14:paraId="0C557629" w14:textId="124429C2" w:rsidR="00576FE7" w:rsidRPr="006D7DBC" w:rsidRDefault="005B781A" w:rsidP="005B781A">
      <w:pPr>
        <w:pStyle w:val="Heading1"/>
        <w:numPr>
          <w:ilvl w:val="0"/>
          <w:numId w:val="19"/>
        </w:numPr>
        <w:rPr>
          <w:rFonts w:eastAsia="SimSun"/>
          <w:lang w:eastAsia="zh-CN"/>
        </w:rPr>
      </w:pPr>
      <w:bookmarkStart w:id="30" w:name="_Toc100841050"/>
      <w:bookmarkStart w:id="31" w:name="_Toc164433484"/>
      <w:r>
        <w:rPr>
          <w:rFonts w:eastAsia="SimSun"/>
          <w:lang w:eastAsia="zh-CN"/>
        </w:rPr>
        <w:t xml:space="preserve">   </w:t>
      </w:r>
      <w:bookmarkStart w:id="32" w:name="_Toc168656155"/>
      <w:r w:rsidR="00576FE7">
        <w:rPr>
          <w:rFonts w:eastAsia="SimSun"/>
          <w:lang w:eastAsia="zh-CN"/>
        </w:rPr>
        <w:t>Social Value</w:t>
      </w:r>
      <w:bookmarkEnd w:id="30"/>
      <w:bookmarkEnd w:id="31"/>
      <w:bookmarkEnd w:id="32"/>
    </w:p>
    <w:p w14:paraId="45A2BD90" w14:textId="0017809D" w:rsidR="00576FE7" w:rsidRDefault="00576FE7" w:rsidP="00576FE7">
      <w:pPr>
        <w:spacing w:after="0" w:line="240" w:lineRule="auto"/>
        <w:jc w:val="both"/>
        <w:rPr>
          <w:rFonts w:ascii="Arial" w:eastAsia="SimSun" w:hAnsi="Arial" w:cs="Arial"/>
          <w:lang w:eastAsia="zh-CN"/>
        </w:rPr>
      </w:pPr>
      <w:r w:rsidRPr="004F6E37">
        <w:rPr>
          <w:rFonts w:ascii="Arial" w:eastAsia="SimSun" w:hAnsi="Arial" w:cs="Arial"/>
          <w:lang w:eastAsia="zh-CN"/>
        </w:rPr>
        <w:t xml:space="preserve">Social value will be explicitly evaluated in this procurement, where the requirements are related and proportionate to the subject-matter of this requirement. Where appropriate specific questions have been included in the response questions. </w:t>
      </w:r>
    </w:p>
    <w:p w14:paraId="20ADB38B" w14:textId="77777777" w:rsidR="00100EB4" w:rsidRDefault="00100EB4" w:rsidP="00576FE7">
      <w:pPr>
        <w:spacing w:after="0" w:line="240" w:lineRule="auto"/>
        <w:jc w:val="both"/>
        <w:rPr>
          <w:rFonts w:ascii="Arial" w:eastAsia="SimSun" w:hAnsi="Arial" w:cs="Arial"/>
          <w:lang w:eastAsia="zh-CN"/>
        </w:rPr>
      </w:pPr>
    </w:p>
    <w:p w14:paraId="0F4F1FC6" w14:textId="4AAC238C" w:rsidR="00576FE7" w:rsidRPr="004F6E37" w:rsidRDefault="00100EB4" w:rsidP="00576FE7">
      <w:pPr>
        <w:spacing w:after="0" w:line="240" w:lineRule="auto"/>
        <w:jc w:val="both"/>
        <w:rPr>
          <w:rFonts w:ascii="Arial" w:eastAsia="SimSun" w:hAnsi="Arial" w:cs="Arial"/>
          <w:lang w:eastAsia="zh-CN"/>
        </w:rPr>
      </w:pPr>
      <w:r>
        <w:rPr>
          <w:rFonts w:ascii="Arial" w:eastAsia="SimSun" w:hAnsi="Arial" w:cs="Arial"/>
          <w:lang w:eastAsia="zh-CN"/>
        </w:rPr>
        <w:t>Social Value will be evaluated over the following themes and outcomes:</w:t>
      </w:r>
    </w:p>
    <w:tbl>
      <w:tblPr>
        <w:tblStyle w:val="TableGrid"/>
        <w:tblW w:w="9085" w:type="dxa"/>
        <w:tblLook w:val="04A0" w:firstRow="1" w:lastRow="0" w:firstColumn="1" w:lastColumn="0" w:noHBand="0" w:noVBand="1"/>
      </w:tblPr>
      <w:tblGrid>
        <w:gridCol w:w="2695"/>
        <w:gridCol w:w="6390"/>
      </w:tblGrid>
      <w:tr w:rsidR="00100EB4" w:rsidRPr="004F6E37" w14:paraId="0CD7A5FA" w14:textId="77777777" w:rsidTr="00100EB4">
        <w:trPr>
          <w:tblHeader/>
        </w:trPr>
        <w:tc>
          <w:tcPr>
            <w:tcW w:w="2695" w:type="dxa"/>
            <w:shd w:val="clear" w:color="auto" w:fill="BFBFBF" w:themeFill="background1" w:themeFillShade="BF"/>
          </w:tcPr>
          <w:p w14:paraId="698295F7" w14:textId="77777777" w:rsidR="00100EB4" w:rsidRPr="004F6E37" w:rsidRDefault="00100EB4" w:rsidP="009D5E55">
            <w:pPr>
              <w:jc w:val="both"/>
              <w:rPr>
                <w:rFonts w:ascii="Arial" w:eastAsia="SimSun" w:hAnsi="Arial" w:cs="Arial"/>
                <w:b/>
                <w:lang w:eastAsia="zh-CN"/>
              </w:rPr>
            </w:pPr>
            <w:r w:rsidRPr="004F6E37">
              <w:rPr>
                <w:rFonts w:ascii="Arial" w:eastAsia="SimSun" w:hAnsi="Arial" w:cs="Arial"/>
                <w:b/>
                <w:lang w:eastAsia="zh-CN"/>
              </w:rPr>
              <w:t>Theme</w:t>
            </w:r>
          </w:p>
        </w:tc>
        <w:tc>
          <w:tcPr>
            <w:tcW w:w="6390" w:type="dxa"/>
            <w:shd w:val="clear" w:color="auto" w:fill="BFBFBF" w:themeFill="background1" w:themeFillShade="BF"/>
          </w:tcPr>
          <w:p w14:paraId="51C016EC" w14:textId="77777777" w:rsidR="00100EB4" w:rsidRPr="004F6E37" w:rsidRDefault="00100EB4" w:rsidP="009D5E55">
            <w:pPr>
              <w:jc w:val="both"/>
              <w:rPr>
                <w:rFonts w:ascii="Arial" w:eastAsia="SimSun" w:hAnsi="Arial" w:cs="Arial"/>
                <w:b/>
                <w:lang w:eastAsia="zh-CN"/>
              </w:rPr>
            </w:pPr>
            <w:r w:rsidRPr="004F6E37">
              <w:rPr>
                <w:rFonts w:ascii="Arial" w:eastAsia="SimSun" w:hAnsi="Arial" w:cs="Arial"/>
                <w:b/>
                <w:lang w:eastAsia="zh-CN"/>
              </w:rPr>
              <w:t>Outcome</w:t>
            </w:r>
          </w:p>
        </w:tc>
      </w:tr>
      <w:tr w:rsidR="00100EB4" w:rsidRPr="004F6E37" w14:paraId="0B1919EA" w14:textId="77777777" w:rsidTr="00100EB4">
        <w:tc>
          <w:tcPr>
            <w:tcW w:w="2695" w:type="dxa"/>
          </w:tcPr>
          <w:p w14:paraId="4807165A"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COVID-19 recovery</w:t>
            </w:r>
          </w:p>
        </w:tc>
        <w:tc>
          <w:tcPr>
            <w:tcW w:w="6390" w:type="dxa"/>
          </w:tcPr>
          <w:p w14:paraId="52F14CD1"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Help local communities to manage and recover from the impact of COVID-19</w:t>
            </w:r>
          </w:p>
        </w:tc>
      </w:tr>
      <w:tr w:rsidR="00100EB4" w:rsidRPr="004F6E37" w14:paraId="518A41FC" w14:textId="77777777" w:rsidTr="00100EB4">
        <w:tc>
          <w:tcPr>
            <w:tcW w:w="2695" w:type="dxa"/>
            <w:vMerge w:val="restart"/>
          </w:tcPr>
          <w:p w14:paraId="5D03E060"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Tackling economic</w:t>
            </w:r>
          </w:p>
          <w:p w14:paraId="78C3AFD1"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inequality</w:t>
            </w:r>
          </w:p>
        </w:tc>
        <w:tc>
          <w:tcPr>
            <w:tcW w:w="6390" w:type="dxa"/>
          </w:tcPr>
          <w:p w14:paraId="063CE92E"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Create new businesses, new jobs and new skills</w:t>
            </w:r>
          </w:p>
        </w:tc>
      </w:tr>
      <w:tr w:rsidR="00100EB4" w:rsidRPr="004F6E37" w14:paraId="7E969158" w14:textId="77777777" w:rsidTr="00100EB4">
        <w:tc>
          <w:tcPr>
            <w:tcW w:w="2695" w:type="dxa"/>
            <w:vMerge/>
          </w:tcPr>
          <w:p w14:paraId="40124613" w14:textId="77777777" w:rsidR="00100EB4" w:rsidRPr="00100EB4" w:rsidRDefault="00100EB4" w:rsidP="009D5E55">
            <w:pPr>
              <w:rPr>
                <w:rFonts w:ascii="Arial" w:eastAsia="SimSun" w:hAnsi="Arial" w:cs="Arial"/>
                <w:szCs w:val="16"/>
                <w:lang w:eastAsia="zh-CN"/>
              </w:rPr>
            </w:pPr>
          </w:p>
        </w:tc>
        <w:tc>
          <w:tcPr>
            <w:tcW w:w="6390" w:type="dxa"/>
          </w:tcPr>
          <w:p w14:paraId="18172577"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Increase supply chain resilience and capacity</w:t>
            </w:r>
          </w:p>
        </w:tc>
      </w:tr>
      <w:tr w:rsidR="00100EB4" w:rsidRPr="004F6E37" w14:paraId="39C9D496" w14:textId="77777777" w:rsidTr="00100EB4">
        <w:tc>
          <w:tcPr>
            <w:tcW w:w="2695" w:type="dxa"/>
          </w:tcPr>
          <w:p w14:paraId="7152D9B9"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Fighting climate change</w:t>
            </w:r>
          </w:p>
        </w:tc>
        <w:tc>
          <w:tcPr>
            <w:tcW w:w="6390" w:type="dxa"/>
          </w:tcPr>
          <w:p w14:paraId="127778AF"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Effective stewardship</w:t>
            </w:r>
          </w:p>
          <w:p w14:paraId="0C5D8966"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of the environment</w:t>
            </w:r>
          </w:p>
        </w:tc>
      </w:tr>
      <w:tr w:rsidR="00100EB4" w:rsidRPr="004F6E37" w14:paraId="5BB1D9D5" w14:textId="77777777" w:rsidTr="00100EB4">
        <w:tc>
          <w:tcPr>
            <w:tcW w:w="2695" w:type="dxa"/>
            <w:vMerge w:val="restart"/>
          </w:tcPr>
          <w:p w14:paraId="0EED4082"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Equal opportunity</w:t>
            </w:r>
          </w:p>
        </w:tc>
        <w:tc>
          <w:tcPr>
            <w:tcW w:w="6390" w:type="dxa"/>
          </w:tcPr>
          <w:p w14:paraId="3ED06FAD"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Reduce the disability</w:t>
            </w:r>
          </w:p>
          <w:p w14:paraId="5D591F61"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employment gap</w:t>
            </w:r>
          </w:p>
        </w:tc>
      </w:tr>
      <w:tr w:rsidR="00100EB4" w:rsidRPr="004F6E37" w14:paraId="4F1BA227" w14:textId="77777777" w:rsidTr="00100EB4">
        <w:tc>
          <w:tcPr>
            <w:tcW w:w="2695" w:type="dxa"/>
            <w:vMerge/>
          </w:tcPr>
          <w:p w14:paraId="50FE962C" w14:textId="77777777" w:rsidR="00100EB4" w:rsidRPr="00100EB4" w:rsidRDefault="00100EB4" w:rsidP="009D5E55">
            <w:pPr>
              <w:rPr>
                <w:rFonts w:ascii="Arial" w:eastAsia="SimSun" w:hAnsi="Arial" w:cs="Arial"/>
                <w:szCs w:val="16"/>
                <w:lang w:eastAsia="zh-CN"/>
              </w:rPr>
            </w:pPr>
          </w:p>
        </w:tc>
        <w:tc>
          <w:tcPr>
            <w:tcW w:w="6390" w:type="dxa"/>
          </w:tcPr>
          <w:p w14:paraId="51D3EF00"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Tackle workforce</w:t>
            </w:r>
          </w:p>
          <w:p w14:paraId="4A84A4BF"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inequality</w:t>
            </w:r>
          </w:p>
        </w:tc>
      </w:tr>
      <w:tr w:rsidR="00100EB4" w:rsidRPr="004F6E37" w14:paraId="7AD9CD55" w14:textId="77777777" w:rsidTr="00100EB4">
        <w:tc>
          <w:tcPr>
            <w:tcW w:w="2695" w:type="dxa"/>
            <w:vMerge w:val="restart"/>
          </w:tcPr>
          <w:p w14:paraId="7228888F"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Wellbeing</w:t>
            </w:r>
          </w:p>
        </w:tc>
        <w:tc>
          <w:tcPr>
            <w:tcW w:w="6390" w:type="dxa"/>
          </w:tcPr>
          <w:p w14:paraId="180BC05A"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Improve health and</w:t>
            </w:r>
          </w:p>
          <w:p w14:paraId="15DEED7A"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Wellbeing</w:t>
            </w:r>
          </w:p>
        </w:tc>
      </w:tr>
      <w:tr w:rsidR="00100EB4" w:rsidRPr="004F6E37" w14:paraId="754DABCB" w14:textId="77777777" w:rsidTr="00100EB4">
        <w:tc>
          <w:tcPr>
            <w:tcW w:w="2695" w:type="dxa"/>
            <w:vMerge/>
          </w:tcPr>
          <w:p w14:paraId="10A7352F" w14:textId="77777777" w:rsidR="00100EB4" w:rsidRPr="00100EB4" w:rsidRDefault="00100EB4" w:rsidP="009D5E55">
            <w:pPr>
              <w:rPr>
                <w:rFonts w:ascii="Arial" w:eastAsia="SimSun" w:hAnsi="Arial" w:cs="Arial"/>
                <w:szCs w:val="16"/>
                <w:lang w:eastAsia="zh-CN"/>
              </w:rPr>
            </w:pPr>
          </w:p>
        </w:tc>
        <w:tc>
          <w:tcPr>
            <w:tcW w:w="6390" w:type="dxa"/>
          </w:tcPr>
          <w:p w14:paraId="79B016ED"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Improve community</w:t>
            </w:r>
          </w:p>
          <w:p w14:paraId="736C6D8B" w14:textId="77777777" w:rsidR="00100EB4" w:rsidRPr="00100EB4" w:rsidRDefault="00100EB4" w:rsidP="009D5E55">
            <w:pPr>
              <w:rPr>
                <w:rFonts w:ascii="Arial" w:eastAsia="SimSun" w:hAnsi="Arial" w:cs="Arial"/>
                <w:szCs w:val="16"/>
                <w:lang w:eastAsia="zh-CN"/>
              </w:rPr>
            </w:pPr>
            <w:r w:rsidRPr="00100EB4">
              <w:rPr>
                <w:rFonts w:ascii="Arial" w:eastAsia="SimSun" w:hAnsi="Arial" w:cs="Arial"/>
                <w:szCs w:val="16"/>
                <w:lang w:eastAsia="zh-CN"/>
              </w:rPr>
              <w:t>integration</w:t>
            </w:r>
          </w:p>
        </w:tc>
      </w:tr>
    </w:tbl>
    <w:p w14:paraId="3FC47BE3" w14:textId="77777777" w:rsidR="00576FE7" w:rsidRDefault="00576FE7" w:rsidP="00576FE7">
      <w:pPr>
        <w:spacing w:after="0" w:line="240" w:lineRule="auto"/>
        <w:jc w:val="both"/>
        <w:rPr>
          <w:rFonts w:ascii="Arial" w:eastAsia="SimSun" w:hAnsi="Arial" w:cs="Arial"/>
          <w:color w:val="0070C0"/>
          <w:lang w:eastAsia="zh-CN"/>
        </w:rPr>
      </w:pPr>
    </w:p>
    <w:p w14:paraId="1B504A68" w14:textId="1F6414F5" w:rsidR="00100EB4" w:rsidRPr="00100EB4" w:rsidRDefault="00100EB4" w:rsidP="00100EB4">
      <w:pPr>
        <w:spacing w:after="0" w:line="240" w:lineRule="auto"/>
        <w:jc w:val="both"/>
        <w:rPr>
          <w:rFonts w:ascii="Arial" w:eastAsia="SimSun" w:hAnsi="Arial" w:cs="Arial"/>
          <w:lang w:eastAsia="zh-CN"/>
        </w:rPr>
      </w:pPr>
      <w:r>
        <w:rPr>
          <w:rFonts w:ascii="Arial" w:eastAsia="SimSun" w:hAnsi="Arial" w:cs="Arial"/>
          <w:lang w:eastAsia="zh-CN"/>
        </w:rPr>
        <w:t xml:space="preserve">See </w:t>
      </w:r>
      <w:hyperlink r:id="rId16" w:history="1">
        <w:r w:rsidRPr="00100EB4">
          <w:rPr>
            <w:rStyle w:val="Hyperlink"/>
            <w:rFonts w:ascii="Arial" w:eastAsia="SimSun" w:hAnsi="Arial" w:cs="Arial"/>
            <w:lang w:eastAsia="zh-CN"/>
          </w:rPr>
          <w:t>Procurement Policy Note 06/20</w:t>
        </w:r>
      </w:hyperlink>
      <w:r w:rsidRPr="00100EB4">
        <w:rPr>
          <w:rFonts w:ascii="Arial" w:eastAsia="SimSun" w:hAnsi="Arial" w:cs="Arial"/>
          <w:lang w:eastAsia="zh-CN"/>
        </w:rPr>
        <w:t xml:space="preserve"> – </w:t>
      </w:r>
      <w:r>
        <w:rPr>
          <w:rFonts w:ascii="Arial" w:eastAsia="SimSun" w:hAnsi="Arial" w:cs="Arial"/>
          <w:lang w:eastAsia="zh-CN"/>
        </w:rPr>
        <w:t>“</w:t>
      </w:r>
      <w:r w:rsidRPr="00100EB4">
        <w:rPr>
          <w:rFonts w:ascii="Arial" w:eastAsia="SimSun" w:hAnsi="Arial" w:cs="Arial"/>
          <w:lang w:eastAsia="zh-CN"/>
        </w:rPr>
        <w:t>Taking Account</w:t>
      </w:r>
      <w:r>
        <w:rPr>
          <w:rFonts w:ascii="Arial" w:eastAsia="SimSun" w:hAnsi="Arial" w:cs="Arial"/>
          <w:lang w:eastAsia="zh-CN"/>
        </w:rPr>
        <w:t xml:space="preserve"> </w:t>
      </w:r>
      <w:r w:rsidRPr="00100EB4">
        <w:rPr>
          <w:rFonts w:ascii="Arial" w:eastAsia="SimSun" w:hAnsi="Arial" w:cs="Arial"/>
          <w:lang w:eastAsia="zh-CN"/>
        </w:rPr>
        <w:t>of Social Value in the Award of Central</w:t>
      </w:r>
    </w:p>
    <w:p w14:paraId="55511D85" w14:textId="05EF266F" w:rsidR="00100EB4" w:rsidRPr="004F6E37" w:rsidRDefault="00100EB4" w:rsidP="00100EB4">
      <w:pPr>
        <w:spacing w:after="0" w:line="240" w:lineRule="auto"/>
        <w:jc w:val="both"/>
        <w:rPr>
          <w:rFonts w:ascii="Arial" w:eastAsia="SimSun" w:hAnsi="Arial" w:cs="Arial"/>
          <w:lang w:eastAsia="zh-CN"/>
        </w:rPr>
      </w:pPr>
      <w:r w:rsidRPr="00100EB4">
        <w:rPr>
          <w:rFonts w:ascii="Arial" w:eastAsia="SimSun" w:hAnsi="Arial" w:cs="Arial"/>
          <w:lang w:eastAsia="zh-CN"/>
        </w:rPr>
        <w:t>Government Contracts</w:t>
      </w:r>
      <w:r>
        <w:rPr>
          <w:rFonts w:ascii="Arial" w:eastAsia="SimSun" w:hAnsi="Arial" w:cs="Arial"/>
          <w:lang w:eastAsia="zh-CN"/>
        </w:rPr>
        <w:t>” for more information.</w:t>
      </w:r>
    </w:p>
    <w:p w14:paraId="568206F1" w14:textId="77777777" w:rsidR="00100EB4" w:rsidRPr="003D193C" w:rsidRDefault="00100EB4" w:rsidP="00576FE7">
      <w:pPr>
        <w:spacing w:after="0" w:line="240" w:lineRule="auto"/>
        <w:jc w:val="both"/>
        <w:rPr>
          <w:rFonts w:ascii="Arial" w:eastAsia="SimSun" w:hAnsi="Arial" w:cs="Arial"/>
          <w:color w:val="0070C0"/>
          <w:lang w:eastAsia="zh-CN"/>
        </w:rPr>
      </w:pPr>
    </w:p>
    <w:p w14:paraId="56C4A862" w14:textId="77777777" w:rsidR="00576FE7" w:rsidRPr="00A14ACA" w:rsidRDefault="00576FE7" w:rsidP="001235D8">
      <w:pPr>
        <w:pStyle w:val="Heading1"/>
        <w:numPr>
          <w:ilvl w:val="0"/>
          <w:numId w:val="18"/>
        </w:numPr>
        <w:rPr>
          <w:rFonts w:eastAsia="SimSun"/>
          <w:lang w:eastAsia="zh-CN"/>
        </w:rPr>
      </w:pPr>
      <w:bookmarkStart w:id="33" w:name="_Toc100841051"/>
      <w:bookmarkStart w:id="34" w:name="_Toc168656156"/>
      <w:r w:rsidRPr="00A14ACA">
        <w:rPr>
          <w:rFonts w:eastAsia="SimSun"/>
          <w:lang w:eastAsia="zh-CN"/>
        </w:rPr>
        <w:t>Delivering a ‘Net Zero’</w:t>
      </w:r>
      <w:r>
        <w:rPr>
          <w:rFonts w:eastAsia="SimSun"/>
          <w:lang w:eastAsia="zh-CN"/>
        </w:rPr>
        <w:t xml:space="preserve"> N</w:t>
      </w:r>
      <w:r w:rsidRPr="00A14ACA">
        <w:rPr>
          <w:rFonts w:eastAsia="SimSun"/>
          <w:lang w:eastAsia="zh-CN"/>
        </w:rPr>
        <w:t>ational Health Service</w:t>
      </w:r>
      <w:bookmarkEnd w:id="33"/>
      <w:bookmarkEnd w:id="34"/>
      <w:r w:rsidRPr="00A14ACA">
        <w:rPr>
          <w:rFonts w:eastAsia="SimSun"/>
          <w:lang w:eastAsia="zh-CN"/>
        </w:rPr>
        <w:t xml:space="preserve"> </w:t>
      </w:r>
    </w:p>
    <w:p w14:paraId="517CA585" w14:textId="315F1F32" w:rsidR="00576FE7" w:rsidRDefault="00576FE7" w:rsidP="00D40CFC">
      <w:pPr>
        <w:spacing w:after="0" w:line="240" w:lineRule="auto"/>
        <w:rPr>
          <w:rFonts w:ascii="Arial" w:hAnsi="Arial" w:cs="Arial"/>
          <w:lang w:eastAsia="zh-CN"/>
        </w:rPr>
      </w:pPr>
      <w:r w:rsidRPr="00A14ACA">
        <w:rPr>
          <w:rFonts w:ascii="Arial" w:hAnsi="Arial" w:cs="Arial"/>
          <w:lang w:eastAsia="zh-CN"/>
        </w:rPr>
        <w:t>The</w:t>
      </w:r>
      <w:r>
        <w:rPr>
          <w:rFonts w:ascii="Arial" w:hAnsi="Arial" w:cs="Arial"/>
          <w:lang w:eastAsia="zh-CN"/>
        </w:rPr>
        <w:t xml:space="preserve"> </w:t>
      </w:r>
      <w:r w:rsidRPr="00A14ACA">
        <w:rPr>
          <w:rFonts w:ascii="Arial" w:hAnsi="Arial" w:cs="Arial"/>
          <w:lang w:eastAsia="zh-CN"/>
        </w:rPr>
        <w:t>NHS needs to respond to the health emergency that climate change brings,</w:t>
      </w:r>
      <w:r>
        <w:rPr>
          <w:rFonts w:ascii="Arial" w:hAnsi="Arial" w:cs="Arial"/>
          <w:lang w:eastAsia="zh-CN"/>
        </w:rPr>
        <w:t xml:space="preserve"> </w:t>
      </w:r>
      <w:r w:rsidR="00D40CFC">
        <w:rPr>
          <w:rFonts w:ascii="Arial" w:hAnsi="Arial" w:cs="Arial"/>
          <w:lang w:eastAsia="zh-CN"/>
        </w:rPr>
        <w:t>which will</w:t>
      </w:r>
      <w:r w:rsidRPr="00A14ACA">
        <w:rPr>
          <w:rFonts w:ascii="Arial" w:hAnsi="Arial" w:cs="Arial"/>
          <w:lang w:eastAsia="zh-CN"/>
        </w:rPr>
        <w:t xml:space="preserve"> be embedded into everything we do now and in the future.</w:t>
      </w:r>
      <w:r>
        <w:rPr>
          <w:rFonts w:ascii="Arial" w:hAnsi="Arial" w:cs="Arial"/>
          <w:lang w:eastAsia="zh-CN"/>
        </w:rPr>
        <w:t xml:space="preserve"> </w:t>
      </w:r>
    </w:p>
    <w:p w14:paraId="35E6CB10" w14:textId="77777777" w:rsidR="00576FE7" w:rsidRDefault="00576FE7" w:rsidP="00D40CFC">
      <w:pPr>
        <w:spacing w:after="0" w:line="240" w:lineRule="auto"/>
        <w:rPr>
          <w:rFonts w:ascii="Arial" w:hAnsi="Arial" w:cs="Arial"/>
          <w:lang w:eastAsia="zh-CN"/>
        </w:rPr>
      </w:pPr>
    </w:p>
    <w:p w14:paraId="7209064B" w14:textId="77777777" w:rsidR="00576FE7" w:rsidRDefault="00576FE7" w:rsidP="00D40CFC">
      <w:pPr>
        <w:spacing w:after="0" w:line="240" w:lineRule="auto"/>
        <w:rPr>
          <w:rFonts w:ascii="Arial" w:hAnsi="Arial" w:cs="Arial"/>
          <w:lang w:eastAsia="zh-CN"/>
        </w:rPr>
      </w:pPr>
      <w:r w:rsidRPr="00A14ACA">
        <w:rPr>
          <w:rFonts w:ascii="Arial" w:hAnsi="Arial" w:cs="Arial"/>
          <w:lang w:eastAsia="zh-CN"/>
        </w:rPr>
        <w:t>More intense storms and floods, more frequent heatwaves and the spread of</w:t>
      </w:r>
      <w:r>
        <w:rPr>
          <w:rFonts w:ascii="Arial" w:hAnsi="Arial" w:cs="Arial"/>
          <w:lang w:eastAsia="zh-CN"/>
        </w:rPr>
        <w:t xml:space="preserve"> </w:t>
      </w:r>
      <w:r w:rsidRPr="00A14ACA">
        <w:rPr>
          <w:rFonts w:ascii="Arial" w:hAnsi="Arial" w:cs="Arial"/>
          <w:lang w:eastAsia="zh-CN"/>
        </w:rPr>
        <w:t>infectious disease from climate change threaten to undermine years of health gains.</w:t>
      </w:r>
      <w:r>
        <w:rPr>
          <w:rFonts w:ascii="Arial" w:hAnsi="Arial" w:cs="Arial"/>
          <w:lang w:eastAsia="zh-CN"/>
        </w:rPr>
        <w:t xml:space="preserve"> </w:t>
      </w:r>
      <w:r w:rsidRPr="00A14ACA">
        <w:rPr>
          <w:rFonts w:ascii="Arial" w:hAnsi="Arial" w:cs="Arial"/>
          <w:lang w:eastAsia="zh-CN"/>
        </w:rPr>
        <w:t>Action on climate change will affect this, and it will also bring direct improvements</w:t>
      </w:r>
      <w:r>
        <w:rPr>
          <w:rFonts w:ascii="Arial" w:hAnsi="Arial" w:cs="Arial"/>
          <w:lang w:eastAsia="zh-CN"/>
        </w:rPr>
        <w:t xml:space="preserve"> </w:t>
      </w:r>
      <w:r w:rsidRPr="00A14ACA">
        <w:rPr>
          <w:rFonts w:ascii="Arial" w:hAnsi="Arial" w:cs="Arial"/>
          <w:lang w:eastAsia="zh-CN"/>
        </w:rPr>
        <w:t>for public health and health equity. Reaching our country’s ambitions under the</w:t>
      </w:r>
      <w:r>
        <w:rPr>
          <w:rFonts w:ascii="Arial" w:hAnsi="Arial" w:cs="Arial"/>
          <w:lang w:eastAsia="zh-CN"/>
        </w:rPr>
        <w:t xml:space="preserve"> Paris Climate Change Agreement</w:t>
      </w:r>
      <w:r w:rsidRPr="00A14ACA">
        <w:rPr>
          <w:rFonts w:ascii="Arial" w:hAnsi="Arial" w:cs="Arial"/>
          <w:lang w:eastAsia="zh-CN"/>
        </w:rPr>
        <w:t xml:space="preserve"> could see over 5,700 lives saved every year</w:t>
      </w:r>
      <w:r>
        <w:rPr>
          <w:rFonts w:ascii="Arial" w:hAnsi="Arial" w:cs="Arial"/>
          <w:lang w:eastAsia="zh-CN"/>
        </w:rPr>
        <w:t xml:space="preserve"> </w:t>
      </w:r>
      <w:r w:rsidRPr="00A14ACA">
        <w:rPr>
          <w:rFonts w:ascii="Arial" w:hAnsi="Arial" w:cs="Arial"/>
          <w:lang w:eastAsia="zh-CN"/>
        </w:rPr>
        <w:t>from improved air quality, 38,000 lives saved every year from a more physically</w:t>
      </w:r>
      <w:r>
        <w:rPr>
          <w:rFonts w:ascii="Arial" w:hAnsi="Arial" w:cs="Arial"/>
          <w:lang w:eastAsia="zh-CN"/>
        </w:rPr>
        <w:t xml:space="preserve"> </w:t>
      </w:r>
      <w:r w:rsidRPr="00A14ACA">
        <w:rPr>
          <w:rFonts w:ascii="Arial" w:hAnsi="Arial" w:cs="Arial"/>
          <w:lang w:eastAsia="zh-CN"/>
        </w:rPr>
        <w:t>active population and over 100,000 lives saved every year from healthier diets.</w:t>
      </w:r>
    </w:p>
    <w:p w14:paraId="5F435126" w14:textId="77777777" w:rsidR="00576FE7" w:rsidRPr="00A14ACA" w:rsidRDefault="00576FE7" w:rsidP="00D40CFC">
      <w:pPr>
        <w:spacing w:after="0" w:line="240" w:lineRule="auto"/>
        <w:rPr>
          <w:rFonts w:ascii="Arial" w:hAnsi="Arial" w:cs="Arial"/>
          <w:lang w:eastAsia="zh-CN"/>
        </w:rPr>
      </w:pPr>
    </w:p>
    <w:p w14:paraId="348CF9D8" w14:textId="77777777" w:rsidR="00576FE7" w:rsidRPr="008D196D" w:rsidRDefault="00576FE7" w:rsidP="00D40CFC">
      <w:pPr>
        <w:spacing w:after="0" w:line="240" w:lineRule="auto"/>
        <w:rPr>
          <w:rFonts w:ascii="Arial" w:hAnsi="Arial" w:cs="Arial"/>
          <w:lang w:eastAsia="zh-CN"/>
        </w:rPr>
      </w:pPr>
      <w:r w:rsidRPr="00A14ACA">
        <w:rPr>
          <w:rFonts w:ascii="Arial" w:hAnsi="Arial" w:cs="Arial"/>
          <w:lang w:eastAsia="zh-CN"/>
        </w:rPr>
        <w:t>The NHS embarked on a process to identify the most credible, ambitious date that</w:t>
      </w:r>
      <w:r>
        <w:rPr>
          <w:rFonts w:ascii="Arial" w:hAnsi="Arial" w:cs="Arial"/>
          <w:lang w:eastAsia="zh-CN"/>
        </w:rPr>
        <w:t xml:space="preserve"> </w:t>
      </w:r>
      <w:r w:rsidRPr="00A14ACA">
        <w:rPr>
          <w:rFonts w:ascii="Arial" w:hAnsi="Arial" w:cs="Arial"/>
          <w:lang w:eastAsia="zh-CN"/>
        </w:rPr>
        <w:t xml:space="preserve">the health service could reach net zero emissions. </w:t>
      </w:r>
      <w:r w:rsidRPr="008D196D">
        <w:rPr>
          <w:rFonts w:ascii="Arial" w:hAnsi="Arial" w:cs="Arial"/>
          <w:lang w:eastAsia="zh-CN"/>
        </w:rPr>
        <w:t>Two clear and feasible targets emerge for the NHS net zero commitment, based on</w:t>
      </w:r>
      <w:r>
        <w:rPr>
          <w:rFonts w:ascii="Arial" w:hAnsi="Arial" w:cs="Arial"/>
          <w:lang w:eastAsia="zh-CN"/>
        </w:rPr>
        <w:t xml:space="preserve"> </w:t>
      </w:r>
      <w:r w:rsidRPr="008D196D">
        <w:rPr>
          <w:rFonts w:ascii="Arial" w:hAnsi="Arial" w:cs="Arial"/>
          <w:lang w:eastAsia="zh-CN"/>
        </w:rPr>
        <w:t>the scale of the challenge posed by climate change, current knowledge, and the</w:t>
      </w:r>
      <w:r>
        <w:rPr>
          <w:rFonts w:ascii="Arial" w:hAnsi="Arial" w:cs="Arial"/>
          <w:lang w:eastAsia="zh-CN"/>
        </w:rPr>
        <w:t xml:space="preserve"> </w:t>
      </w:r>
      <w:r w:rsidRPr="008D196D">
        <w:rPr>
          <w:rFonts w:ascii="Arial" w:hAnsi="Arial" w:cs="Arial"/>
          <w:lang w:eastAsia="zh-CN"/>
        </w:rPr>
        <w:t>interventions and assumptions that underpin this analysis:</w:t>
      </w:r>
    </w:p>
    <w:p w14:paraId="1F59A18C" w14:textId="77777777" w:rsidR="00576FE7" w:rsidRPr="008D196D" w:rsidRDefault="00576FE7" w:rsidP="00326359">
      <w:pPr>
        <w:pStyle w:val="ListParagraph"/>
        <w:numPr>
          <w:ilvl w:val="0"/>
          <w:numId w:val="4"/>
        </w:numPr>
        <w:spacing w:after="0" w:line="240" w:lineRule="auto"/>
        <w:rPr>
          <w:rFonts w:ascii="Arial" w:hAnsi="Arial" w:cs="Arial"/>
          <w:lang w:eastAsia="zh-CN"/>
        </w:rPr>
      </w:pPr>
      <w:r>
        <w:rPr>
          <w:rFonts w:ascii="Arial" w:hAnsi="Arial" w:cs="Arial"/>
          <w:lang w:eastAsia="zh-CN"/>
        </w:rPr>
        <w:t>F</w:t>
      </w:r>
      <w:r w:rsidRPr="008D196D">
        <w:rPr>
          <w:rFonts w:ascii="Arial" w:hAnsi="Arial" w:cs="Arial"/>
          <w:lang w:eastAsia="zh-CN"/>
        </w:rPr>
        <w:t>or the emissions we control directly (the NHS Carbon Footprint), net zero by 2040, with an ambition to reach an 80% reduction by 2028 to 2032.</w:t>
      </w:r>
    </w:p>
    <w:p w14:paraId="4C9735AD" w14:textId="77777777" w:rsidR="00576FE7" w:rsidRPr="008D196D" w:rsidRDefault="00576FE7" w:rsidP="00326359">
      <w:pPr>
        <w:pStyle w:val="ListParagraph"/>
        <w:numPr>
          <w:ilvl w:val="0"/>
          <w:numId w:val="4"/>
        </w:numPr>
        <w:spacing w:after="0" w:line="240" w:lineRule="auto"/>
        <w:rPr>
          <w:rFonts w:ascii="Arial" w:hAnsi="Arial" w:cs="Arial"/>
          <w:lang w:eastAsia="zh-CN"/>
        </w:rPr>
      </w:pPr>
      <w:r>
        <w:rPr>
          <w:rFonts w:ascii="Arial" w:hAnsi="Arial" w:cs="Arial"/>
          <w:lang w:eastAsia="zh-CN"/>
        </w:rPr>
        <w:t>F</w:t>
      </w:r>
      <w:r w:rsidRPr="008D196D">
        <w:rPr>
          <w:rFonts w:ascii="Arial" w:hAnsi="Arial" w:cs="Arial"/>
          <w:lang w:eastAsia="zh-CN"/>
        </w:rPr>
        <w:t>or the emissions we can influence (our NHS Carbon Footprint Plus), net zero by 2045, with an ambition to reach an 80% reduction by 2036 to 2039.</w:t>
      </w:r>
    </w:p>
    <w:p w14:paraId="5FF30211" w14:textId="77777777" w:rsidR="00576FE7" w:rsidRDefault="00576FE7" w:rsidP="00D40CFC">
      <w:pPr>
        <w:spacing w:after="0" w:line="240" w:lineRule="auto"/>
        <w:rPr>
          <w:rFonts w:ascii="Arial" w:hAnsi="Arial" w:cs="Arial"/>
          <w:lang w:eastAsia="zh-CN"/>
        </w:rPr>
      </w:pPr>
    </w:p>
    <w:p w14:paraId="08A32650" w14:textId="77777777" w:rsidR="00576FE7" w:rsidRDefault="00576FE7" w:rsidP="00D40CFC">
      <w:pPr>
        <w:spacing w:after="0" w:line="240" w:lineRule="auto"/>
        <w:rPr>
          <w:rFonts w:ascii="Arial" w:hAnsi="Arial" w:cs="Arial"/>
          <w:lang w:eastAsia="zh-CN"/>
        </w:rPr>
      </w:pPr>
      <w:r w:rsidRPr="008D196D">
        <w:rPr>
          <w:rFonts w:ascii="Arial" w:hAnsi="Arial" w:cs="Arial"/>
          <w:lang w:eastAsia="zh-CN"/>
        </w:rPr>
        <w:t>Delivering a net zero NHS has the potential to secure significant benefits</w:t>
      </w:r>
      <w:r>
        <w:rPr>
          <w:rFonts w:ascii="Arial" w:hAnsi="Arial" w:cs="Arial"/>
          <w:lang w:eastAsia="zh-CN"/>
        </w:rPr>
        <w:t xml:space="preserve"> </w:t>
      </w:r>
      <w:r w:rsidRPr="008D196D">
        <w:rPr>
          <w:rFonts w:ascii="Arial" w:hAnsi="Arial" w:cs="Arial"/>
          <w:lang w:eastAsia="zh-CN"/>
        </w:rPr>
        <w:t>across the population, and particularly for vulnerable and marginalised</w:t>
      </w:r>
      <w:r>
        <w:rPr>
          <w:rFonts w:ascii="Arial" w:hAnsi="Arial" w:cs="Arial"/>
          <w:lang w:eastAsia="zh-CN"/>
        </w:rPr>
        <w:t xml:space="preserve"> </w:t>
      </w:r>
      <w:r w:rsidRPr="008D196D">
        <w:rPr>
          <w:rFonts w:ascii="Arial" w:hAnsi="Arial" w:cs="Arial"/>
          <w:lang w:eastAsia="zh-CN"/>
        </w:rPr>
        <w:t>populations, addressing existing health inequalities. These benefits will only</w:t>
      </w:r>
      <w:r>
        <w:rPr>
          <w:rFonts w:ascii="Arial" w:hAnsi="Arial" w:cs="Arial"/>
          <w:lang w:eastAsia="zh-CN"/>
        </w:rPr>
        <w:t xml:space="preserve"> </w:t>
      </w:r>
      <w:r w:rsidRPr="008D196D">
        <w:rPr>
          <w:rFonts w:ascii="Arial" w:hAnsi="Arial" w:cs="Arial"/>
          <w:lang w:eastAsia="zh-CN"/>
        </w:rPr>
        <w:t>be fully realised through public participation, involvement and engagement</w:t>
      </w:r>
      <w:r>
        <w:rPr>
          <w:rFonts w:ascii="Arial" w:hAnsi="Arial" w:cs="Arial"/>
          <w:lang w:eastAsia="zh-CN"/>
        </w:rPr>
        <w:t xml:space="preserve"> </w:t>
      </w:r>
      <w:r w:rsidRPr="008D196D">
        <w:rPr>
          <w:rFonts w:ascii="Arial" w:hAnsi="Arial" w:cs="Arial"/>
          <w:lang w:eastAsia="zh-CN"/>
        </w:rPr>
        <w:t>with those communities as this work goes forward, having regard to the need</w:t>
      </w:r>
      <w:r>
        <w:rPr>
          <w:rFonts w:ascii="Arial" w:hAnsi="Arial" w:cs="Arial"/>
          <w:lang w:eastAsia="zh-CN"/>
        </w:rPr>
        <w:t xml:space="preserve"> </w:t>
      </w:r>
      <w:r w:rsidRPr="008D196D">
        <w:rPr>
          <w:rFonts w:ascii="Arial" w:hAnsi="Arial" w:cs="Arial"/>
          <w:lang w:eastAsia="zh-CN"/>
        </w:rPr>
        <w:t>to reduce health inequalities and taking into account the public sector equality</w:t>
      </w:r>
      <w:r>
        <w:rPr>
          <w:rFonts w:ascii="Arial" w:hAnsi="Arial" w:cs="Arial"/>
          <w:lang w:eastAsia="zh-CN"/>
        </w:rPr>
        <w:t xml:space="preserve"> </w:t>
      </w:r>
      <w:r w:rsidRPr="008D196D">
        <w:rPr>
          <w:rFonts w:ascii="Arial" w:hAnsi="Arial" w:cs="Arial"/>
          <w:lang w:eastAsia="zh-CN"/>
        </w:rPr>
        <w:t>duty.</w:t>
      </w:r>
    </w:p>
    <w:p w14:paraId="76018042" w14:textId="77777777" w:rsidR="00576FE7" w:rsidRPr="008D196D" w:rsidRDefault="00576FE7" w:rsidP="00D40CFC">
      <w:pPr>
        <w:spacing w:after="0" w:line="240" w:lineRule="auto"/>
        <w:rPr>
          <w:rFonts w:ascii="Arial" w:hAnsi="Arial" w:cs="Arial"/>
          <w:lang w:eastAsia="zh-CN"/>
        </w:rPr>
      </w:pPr>
    </w:p>
    <w:p w14:paraId="32A262D5" w14:textId="77777777" w:rsidR="00576FE7" w:rsidRDefault="00576FE7" w:rsidP="00D40CFC">
      <w:pPr>
        <w:spacing w:after="0" w:line="240" w:lineRule="auto"/>
        <w:rPr>
          <w:rFonts w:ascii="Arial" w:hAnsi="Arial" w:cs="Arial"/>
          <w:lang w:eastAsia="zh-CN"/>
        </w:rPr>
      </w:pPr>
      <w:r w:rsidRPr="008D196D">
        <w:rPr>
          <w:rFonts w:ascii="Arial" w:hAnsi="Arial" w:cs="Arial"/>
          <w:lang w:eastAsia="zh-CN"/>
        </w:rPr>
        <w:t xml:space="preserve">As a key priority, </w:t>
      </w:r>
      <w:r>
        <w:rPr>
          <w:rFonts w:ascii="Arial" w:hAnsi="Arial" w:cs="Arial"/>
          <w:lang w:eastAsia="zh-CN"/>
        </w:rPr>
        <w:t>we</w:t>
      </w:r>
      <w:r w:rsidRPr="008D196D">
        <w:rPr>
          <w:rFonts w:ascii="Arial" w:hAnsi="Arial" w:cs="Arial"/>
          <w:lang w:eastAsia="zh-CN"/>
        </w:rPr>
        <w:t xml:space="preserve"> will work to reduce air pollution and improve local</w:t>
      </w:r>
      <w:r>
        <w:rPr>
          <w:rFonts w:ascii="Arial" w:hAnsi="Arial" w:cs="Arial"/>
          <w:lang w:eastAsia="zh-CN"/>
        </w:rPr>
        <w:t xml:space="preserve"> </w:t>
      </w:r>
      <w:r w:rsidRPr="008D196D">
        <w:rPr>
          <w:rFonts w:ascii="Arial" w:hAnsi="Arial" w:cs="Arial"/>
          <w:lang w:eastAsia="zh-CN"/>
        </w:rPr>
        <w:t>environments, thereby supporting the development of local economies in</w:t>
      </w:r>
      <w:r>
        <w:rPr>
          <w:rFonts w:ascii="Arial" w:hAnsi="Arial" w:cs="Arial"/>
          <w:lang w:eastAsia="zh-CN"/>
        </w:rPr>
        <w:t xml:space="preserve"> </w:t>
      </w:r>
      <w:r w:rsidRPr="008D196D">
        <w:rPr>
          <w:rFonts w:ascii="Arial" w:hAnsi="Arial" w:cs="Arial"/>
          <w:lang w:eastAsia="zh-CN"/>
        </w:rPr>
        <w:t>geographical areas of deprivation. Air pollution disproportionately affects</w:t>
      </w:r>
      <w:r>
        <w:rPr>
          <w:rFonts w:ascii="Arial" w:hAnsi="Arial" w:cs="Arial"/>
          <w:lang w:eastAsia="zh-CN"/>
        </w:rPr>
        <w:t xml:space="preserve"> </w:t>
      </w:r>
      <w:r w:rsidRPr="008D196D">
        <w:rPr>
          <w:rFonts w:ascii="Arial" w:hAnsi="Arial" w:cs="Arial"/>
          <w:lang w:eastAsia="zh-CN"/>
        </w:rPr>
        <w:t>people in these areas, many of whom are already at risk of poorer health</w:t>
      </w:r>
      <w:r>
        <w:rPr>
          <w:rFonts w:ascii="Arial" w:hAnsi="Arial" w:cs="Arial"/>
          <w:lang w:eastAsia="zh-CN"/>
        </w:rPr>
        <w:t xml:space="preserve"> </w:t>
      </w:r>
      <w:r w:rsidRPr="008D196D">
        <w:rPr>
          <w:rFonts w:ascii="Arial" w:hAnsi="Arial" w:cs="Arial"/>
          <w:lang w:eastAsia="zh-CN"/>
        </w:rPr>
        <w:t>outcomes.</w:t>
      </w:r>
    </w:p>
    <w:p w14:paraId="1AB64CCA" w14:textId="77777777" w:rsidR="00576FE7" w:rsidRDefault="00576FE7" w:rsidP="00D40CFC">
      <w:pPr>
        <w:spacing w:after="0" w:line="240" w:lineRule="auto"/>
        <w:rPr>
          <w:rFonts w:ascii="Arial" w:hAnsi="Arial" w:cs="Arial"/>
          <w:lang w:eastAsia="zh-CN"/>
        </w:rPr>
      </w:pPr>
    </w:p>
    <w:p w14:paraId="5EAC98D4" w14:textId="77777777" w:rsidR="00576FE7" w:rsidRDefault="00576FE7" w:rsidP="00D40CFC">
      <w:pPr>
        <w:spacing w:after="0" w:line="240" w:lineRule="auto"/>
        <w:rPr>
          <w:rFonts w:ascii="Arial" w:hAnsi="Arial" w:cs="Arial"/>
          <w:lang w:eastAsia="zh-CN"/>
        </w:rPr>
      </w:pPr>
      <w:r w:rsidRPr="008D196D">
        <w:rPr>
          <w:rFonts w:ascii="Arial" w:hAnsi="Arial" w:cs="Arial"/>
          <w:lang w:eastAsia="zh-CN"/>
        </w:rPr>
        <w:t>Direct interventions to</w:t>
      </w:r>
      <w:r>
        <w:rPr>
          <w:rFonts w:ascii="Arial" w:hAnsi="Arial" w:cs="Arial"/>
          <w:lang w:eastAsia="zh-CN"/>
        </w:rPr>
        <w:t xml:space="preserve"> </w:t>
      </w:r>
      <w:r w:rsidRPr="008D196D">
        <w:rPr>
          <w:rFonts w:ascii="Arial" w:hAnsi="Arial" w:cs="Arial"/>
          <w:lang w:eastAsia="zh-CN"/>
        </w:rPr>
        <w:t>decarbonise the NHS</w:t>
      </w:r>
    </w:p>
    <w:p w14:paraId="1E6FE6BE" w14:textId="77777777" w:rsidR="00576FE7" w:rsidRPr="001A08F3" w:rsidRDefault="00576FE7" w:rsidP="00326359">
      <w:pPr>
        <w:pStyle w:val="ListParagraph"/>
        <w:numPr>
          <w:ilvl w:val="0"/>
          <w:numId w:val="5"/>
        </w:numPr>
        <w:spacing w:after="0" w:line="240" w:lineRule="auto"/>
        <w:rPr>
          <w:rFonts w:ascii="Arial" w:hAnsi="Arial" w:cs="Arial"/>
          <w:lang w:eastAsia="zh-CN"/>
        </w:rPr>
      </w:pPr>
      <w:r w:rsidRPr="001A08F3">
        <w:rPr>
          <w:rFonts w:ascii="Arial" w:hAnsi="Arial" w:cs="Arial"/>
          <w:lang w:eastAsia="zh-CN"/>
        </w:rPr>
        <w:t>Reducing emissions from hospital estates and facilities</w:t>
      </w:r>
    </w:p>
    <w:p w14:paraId="45F3C5D0" w14:textId="77777777" w:rsidR="00576FE7" w:rsidRPr="001A08F3" w:rsidRDefault="00576FE7" w:rsidP="00326359">
      <w:pPr>
        <w:pStyle w:val="ListParagraph"/>
        <w:numPr>
          <w:ilvl w:val="0"/>
          <w:numId w:val="5"/>
        </w:numPr>
        <w:spacing w:after="0" w:line="240" w:lineRule="auto"/>
        <w:rPr>
          <w:rFonts w:ascii="Arial" w:hAnsi="Arial" w:cs="Arial"/>
          <w:lang w:eastAsia="zh-CN"/>
        </w:rPr>
      </w:pPr>
      <w:r w:rsidRPr="001A08F3">
        <w:rPr>
          <w:rFonts w:ascii="Arial" w:hAnsi="Arial" w:cs="Arial"/>
          <w:lang w:eastAsia="zh-CN"/>
        </w:rPr>
        <w:t>Electrification of the NHS transport fleet</w:t>
      </w:r>
    </w:p>
    <w:p w14:paraId="33F89EA5" w14:textId="77777777" w:rsidR="00576FE7" w:rsidRPr="001A08F3" w:rsidRDefault="00576FE7" w:rsidP="00326359">
      <w:pPr>
        <w:pStyle w:val="ListParagraph"/>
        <w:numPr>
          <w:ilvl w:val="0"/>
          <w:numId w:val="5"/>
        </w:numPr>
        <w:spacing w:after="0" w:line="240" w:lineRule="auto"/>
        <w:rPr>
          <w:rFonts w:ascii="Arial" w:hAnsi="Arial" w:cs="Arial"/>
          <w:lang w:eastAsia="zh-CN"/>
        </w:rPr>
      </w:pPr>
      <w:r w:rsidRPr="001A08F3">
        <w:rPr>
          <w:rFonts w:ascii="Arial" w:hAnsi="Arial" w:cs="Arial"/>
          <w:lang w:eastAsia="zh-CN"/>
        </w:rPr>
        <w:t>Cycling, walking and shifting modes of transport</w:t>
      </w:r>
    </w:p>
    <w:p w14:paraId="63EAF0DD" w14:textId="77777777" w:rsidR="00576FE7" w:rsidRPr="001A08F3" w:rsidRDefault="00576FE7" w:rsidP="00326359">
      <w:pPr>
        <w:pStyle w:val="ListParagraph"/>
        <w:numPr>
          <w:ilvl w:val="0"/>
          <w:numId w:val="5"/>
        </w:numPr>
        <w:spacing w:after="0" w:line="240" w:lineRule="auto"/>
        <w:rPr>
          <w:rFonts w:ascii="Arial" w:hAnsi="Arial" w:cs="Arial"/>
          <w:lang w:eastAsia="zh-CN"/>
        </w:rPr>
      </w:pPr>
      <w:r w:rsidRPr="001A08F3">
        <w:rPr>
          <w:rFonts w:ascii="Arial" w:hAnsi="Arial" w:cs="Arial"/>
          <w:lang w:eastAsia="zh-CN"/>
        </w:rPr>
        <w:t>Decarbonising the supply chain</w:t>
      </w:r>
    </w:p>
    <w:p w14:paraId="47272EB8" w14:textId="77777777" w:rsidR="00576FE7" w:rsidRPr="001A08F3" w:rsidRDefault="00576FE7" w:rsidP="00326359">
      <w:pPr>
        <w:pStyle w:val="ListParagraph"/>
        <w:numPr>
          <w:ilvl w:val="0"/>
          <w:numId w:val="5"/>
        </w:numPr>
        <w:spacing w:after="0" w:line="240" w:lineRule="auto"/>
        <w:rPr>
          <w:rFonts w:ascii="Arial" w:hAnsi="Arial" w:cs="Arial"/>
          <w:lang w:eastAsia="zh-CN"/>
        </w:rPr>
      </w:pPr>
      <w:r w:rsidRPr="001A08F3">
        <w:rPr>
          <w:rFonts w:ascii="Arial" w:hAnsi="Arial" w:cs="Arial"/>
          <w:lang w:eastAsia="zh-CN"/>
        </w:rPr>
        <w:t>Food, catering and nutrition</w:t>
      </w:r>
    </w:p>
    <w:p w14:paraId="453819EB" w14:textId="77777777" w:rsidR="00576FE7" w:rsidRPr="001A08F3" w:rsidRDefault="00576FE7" w:rsidP="00326359">
      <w:pPr>
        <w:pStyle w:val="ListParagraph"/>
        <w:numPr>
          <w:ilvl w:val="1"/>
          <w:numId w:val="5"/>
        </w:numPr>
        <w:spacing w:after="0" w:line="240" w:lineRule="auto"/>
        <w:rPr>
          <w:rFonts w:ascii="Arial" w:hAnsi="Arial" w:cs="Arial"/>
          <w:lang w:eastAsia="zh-CN"/>
        </w:rPr>
      </w:pPr>
      <w:r w:rsidRPr="001A08F3">
        <w:rPr>
          <w:rFonts w:ascii="Arial" w:hAnsi="Arial" w:cs="Arial"/>
          <w:lang w:eastAsia="zh-CN"/>
        </w:rPr>
        <w:t>Medicines</w:t>
      </w:r>
    </w:p>
    <w:p w14:paraId="14471461" w14:textId="77777777" w:rsidR="00576FE7" w:rsidRPr="001A08F3" w:rsidRDefault="00576FE7" w:rsidP="00326359">
      <w:pPr>
        <w:pStyle w:val="ListParagraph"/>
        <w:numPr>
          <w:ilvl w:val="1"/>
          <w:numId w:val="5"/>
        </w:numPr>
        <w:spacing w:after="0" w:line="240" w:lineRule="auto"/>
        <w:rPr>
          <w:rFonts w:ascii="Arial" w:hAnsi="Arial" w:cs="Arial"/>
          <w:lang w:eastAsia="zh-CN"/>
        </w:rPr>
      </w:pPr>
      <w:r w:rsidRPr="001A08F3">
        <w:rPr>
          <w:rFonts w:ascii="Arial" w:hAnsi="Arial" w:cs="Arial"/>
          <w:lang w:eastAsia="zh-CN"/>
        </w:rPr>
        <w:t>Reducing emissions from inhalers and anaesthetic gases</w:t>
      </w:r>
    </w:p>
    <w:p w14:paraId="05E59613" w14:textId="77777777" w:rsidR="00576FE7" w:rsidRDefault="00576FE7" w:rsidP="00576FE7">
      <w:pPr>
        <w:spacing w:after="0" w:line="240" w:lineRule="auto"/>
        <w:jc w:val="both"/>
        <w:rPr>
          <w:rFonts w:ascii="Arial" w:hAnsi="Arial" w:cs="Arial"/>
          <w:lang w:eastAsia="zh-CN"/>
        </w:rPr>
      </w:pPr>
    </w:p>
    <w:p w14:paraId="46FA9A65" w14:textId="77777777" w:rsidR="00576FE7" w:rsidRDefault="00576FE7" w:rsidP="001235D8">
      <w:pPr>
        <w:pStyle w:val="Heading1"/>
        <w:numPr>
          <w:ilvl w:val="0"/>
          <w:numId w:val="18"/>
        </w:numPr>
        <w:rPr>
          <w:rFonts w:eastAsia="SimSun"/>
          <w:lang w:eastAsia="zh-CN"/>
        </w:rPr>
      </w:pPr>
      <w:bookmarkStart w:id="35" w:name="_Toc100841052"/>
      <w:bookmarkStart w:id="36" w:name="_Toc168656157"/>
      <w:r w:rsidRPr="00801E3E">
        <w:rPr>
          <w:rFonts w:eastAsia="SimSun"/>
          <w:lang w:eastAsia="zh-CN"/>
        </w:rPr>
        <w:t>NHS Single-Use Plastics Reduction Campaign Pledge</w:t>
      </w:r>
      <w:bookmarkEnd w:id="35"/>
      <w:bookmarkEnd w:id="36"/>
    </w:p>
    <w:p w14:paraId="3318AB22" w14:textId="546A0E31" w:rsidR="00D1100C" w:rsidRPr="00D1100C" w:rsidRDefault="00D1100C" w:rsidP="00D40CFC">
      <w:pPr>
        <w:spacing w:after="0" w:line="240" w:lineRule="auto"/>
        <w:jc w:val="both"/>
        <w:rPr>
          <w:rFonts w:ascii="Arial" w:hAnsi="Arial" w:cs="Arial"/>
          <w:b/>
          <w:i/>
          <w:color w:val="0070C0"/>
          <w:lang w:eastAsia="zh-CN"/>
        </w:rPr>
      </w:pPr>
      <w:r w:rsidRPr="00D1100C">
        <w:rPr>
          <w:rFonts w:ascii="Arial" w:hAnsi="Arial" w:cs="Arial"/>
          <w:b/>
          <w:i/>
          <w:color w:val="0070C0"/>
          <w:lang w:eastAsia="zh-CN"/>
        </w:rPr>
        <w:t>Guidance: Delete if not pertinent to the requirement.</w:t>
      </w:r>
    </w:p>
    <w:p w14:paraId="170200F7" w14:textId="77777777" w:rsidR="00576FE7" w:rsidRPr="00801E3E" w:rsidRDefault="00576FE7" w:rsidP="00D1100C">
      <w:pPr>
        <w:spacing w:after="0" w:line="240" w:lineRule="auto"/>
        <w:rPr>
          <w:rFonts w:ascii="Arial" w:hAnsi="Arial" w:cs="Arial"/>
          <w:lang w:eastAsia="zh-CN"/>
        </w:rPr>
      </w:pPr>
      <w:r w:rsidRPr="00801E3E">
        <w:rPr>
          <w:rFonts w:ascii="Arial" w:hAnsi="Arial" w:cs="Arial"/>
          <w:lang w:eastAsia="zh-CN"/>
        </w:rPr>
        <w:t xml:space="preserve">Between 2013 and 2018, NHS services across England used more than 600 million disposable cups and millions of other disposable cutlery pieces, as well as many other avoidable single-use clinical and non-clinical plastic items. While much NHS plastic waste is already recovered for recycling or energy from waste we are still a significant contributor to the 34 billion tonnes of plastic that will pollute our natural environment by 2050. </w:t>
      </w:r>
    </w:p>
    <w:p w14:paraId="3A9CA9CF" w14:textId="77777777" w:rsidR="00D40CFC" w:rsidRDefault="00D40CFC" w:rsidP="00D1100C">
      <w:pPr>
        <w:spacing w:after="0" w:line="240" w:lineRule="auto"/>
        <w:rPr>
          <w:rFonts w:ascii="Arial" w:hAnsi="Arial" w:cs="Arial"/>
          <w:lang w:eastAsia="zh-CN"/>
        </w:rPr>
      </w:pPr>
    </w:p>
    <w:p w14:paraId="42EBC944" w14:textId="77777777" w:rsidR="00576FE7" w:rsidRPr="00801E3E" w:rsidRDefault="00576FE7" w:rsidP="00D1100C">
      <w:pPr>
        <w:spacing w:after="0" w:line="240" w:lineRule="auto"/>
        <w:rPr>
          <w:rFonts w:ascii="Arial" w:hAnsi="Arial" w:cs="Arial"/>
          <w:lang w:eastAsia="zh-CN"/>
        </w:rPr>
      </w:pPr>
      <w:r>
        <w:rPr>
          <w:rFonts w:ascii="Arial" w:hAnsi="Arial" w:cs="Arial"/>
          <w:lang w:eastAsia="zh-CN"/>
        </w:rPr>
        <w:t>Targets are to</w:t>
      </w:r>
      <w:r w:rsidRPr="00801E3E">
        <w:rPr>
          <w:rFonts w:ascii="Arial" w:hAnsi="Arial" w:cs="Arial"/>
          <w:lang w:eastAsia="zh-CN"/>
        </w:rPr>
        <w:t>:</w:t>
      </w:r>
    </w:p>
    <w:p w14:paraId="6A94FEC2" w14:textId="77777777" w:rsidR="00576FE7" w:rsidRPr="00DC7EE0" w:rsidRDefault="00576FE7" w:rsidP="00D1100C">
      <w:pPr>
        <w:pStyle w:val="ListParagraph"/>
        <w:numPr>
          <w:ilvl w:val="0"/>
          <w:numId w:val="3"/>
        </w:numPr>
        <w:spacing w:after="0" w:line="240" w:lineRule="auto"/>
        <w:rPr>
          <w:rFonts w:ascii="Arial" w:hAnsi="Arial" w:cs="Arial"/>
          <w:lang w:eastAsia="zh-CN"/>
        </w:rPr>
      </w:pPr>
      <w:r w:rsidRPr="00DC7EE0">
        <w:rPr>
          <w:rFonts w:ascii="Arial" w:hAnsi="Arial" w:cs="Arial"/>
          <w:lang w:eastAsia="zh-CN"/>
        </w:rPr>
        <w:t>By April 2020, no longer purchase single-use plastic stirrers and straws, except where a person has a specific need, in line with the government consultation</w:t>
      </w:r>
    </w:p>
    <w:p w14:paraId="70FE3622" w14:textId="77777777" w:rsidR="00576FE7" w:rsidRPr="00DC7EE0" w:rsidRDefault="00576FE7" w:rsidP="00D1100C">
      <w:pPr>
        <w:pStyle w:val="ListParagraph"/>
        <w:numPr>
          <w:ilvl w:val="0"/>
          <w:numId w:val="3"/>
        </w:numPr>
        <w:spacing w:after="0" w:line="240" w:lineRule="auto"/>
        <w:rPr>
          <w:rFonts w:ascii="Arial" w:hAnsi="Arial" w:cs="Arial"/>
          <w:lang w:eastAsia="zh-CN"/>
        </w:rPr>
      </w:pPr>
      <w:r w:rsidRPr="00DC7EE0">
        <w:rPr>
          <w:rFonts w:ascii="Arial" w:hAnsi="Arial" w:cs="Arial"/>
          <w:lang w:eastAsia="zh-CN"/>
        </w:rPr>
        <w:t>By April 2021, no longer purchase single-use plastic cutlery, plates or single-use cups made of expanded polystyrene or oxo-degradable plastics</w:t>
      </w:r>
    </w:p>
    <w:p w14:paraId="636FB880" w14:textId="77777777" w:rsidR="00576FE7" w:rsidRPr="00DC7EE0" w:rsidRDefault="00576FE7" w:rsidP="00D1100C">
      <w:pPr>
        <w:pStyle w:val="ListParagraph"/>
        <w:numPr>
          <w:ilvl w:val="0"/>
          <w:numId w:val="3"/>
        </w:numPr>
        <w:spacing w:after="0" w:line="240" w:lineRule="auto"/>
        <w:rPr>
          <w:rFonts w:ascii="Arial" w:hAnsi="Arial" w:cs="Arial"/>
          <w:lang w:eastAsia="zh-CN"/>
        </w:rPr>
      </w:pPr>
      <w:r w:rsidRPr="00DC7EE0">
        <w:rPr>
          <w:rFonts w:ascii="Arial" w:hAnsi="Arial" w:cs="Arial"/>
          <w:lang w:eastAsia="zh-CN"/>
        </w:rPr>
        <w:t>By April 2021, go beyond these commitments in reducing single-use plastic food containers and other plastic cups for beverages – including covers and lids</w:t>
      </w:r>
    </w:p>
    <w:p w14:paraId="7B5E7D85" w14:textId="77777777" w:rsidR="00D40CFC" w:rsidRDefault="00D40CFC" w:rsidP="00D1100C">
      <w:pPr>
        <w:spacing w:after="0" w:line="240" w:lineRule="auto"/>
        <w:rPr>
          <w:rFonts w:ascii="Arial" w:hAnsi="Arial" w:cs="Arial"/>
          <w:lang w:eastAsia="zh-CN"/>
        </w:rPr>
      </w:pPr>
    </w:p>
    <w:p w14:paraId="5005F3F8" w14:textId="77777777" w:rsidR="00576FE7" w:rsidRDefault="00576FE7" w:rsidP="00D1100C">
      <w:pPr>
        <w:spacing w:after="0" w:line="240" w:lineRule="auto"/>
        <w:rPr>
          <w:rFonts w:ascii="Arial" w:hAnsi="Arial" w:cs="Arial"/>
          <w:lang w:eastAsia="zh-CN"/>
        </w:rPr>
      </w:pPr>
      <w:r>
        <w:rPr>
          <w:rFonts w:ascii="Arial" w:hAnsi="Arial" w:cs="Arial"/>
          <w:lang w:eastAsia="zh-CN"/>
        </w:rPr>
        <w:t xml:space="preserve">The Authority is also looking at reducing </w:t>
      </w:r>
      <w:r w:rsidRPr="00801E3E">
        <w:rPr>
          <w:rFonts w:ascii="Arial" w:hAnsi="Arial" w:cs="Arial"/>
          <w:lang w:eastAsia="zh-CN"/>
        </w:rPr>
        <w:t xml:space="preserve">plastic waste from </w:t>
      </w:r>
      <w:r>
        <w:rPr>
          <w:rFonts w:ascii="Arial" w:hAnsi="Arial" w:cs="Arial"/>
          <w:lang w:eastAsia="zh-CN"/>
        </w:rPr>
        <w:t>as many areas as possible, including</w:t>
      </w:r>
      <w:r w:rsidRPr="00801E3E">
        <w:rPr>
          <w:rFonts w:ascii="Arial" w:hAnsi="Arial" w:cs="Arial"/>
          <w:lang w:eastAsia="zh-CN"/>
        </w:rPr>
        <w:t xml:space="preserve"> </w:t>
      </w:r>
      <w:r>
        <w:rPr>
          <w:rFonts w:ascii="Arial" w:hAnsi="Arial" w:cs="Arial"/>
          <w:lang w:eastAsia="zh-CN"/>
        </w:rPr>
        <w:t xml:space="preserve">where practical </w:t>
      </w:r>
      <w:r w:rsidRPr="00801E3E">
        <w:rPr>
          <w:rFonts w:ascii="Arial" w:hAnsi="Arial" w:cs="Arial"/>
          <w:lang w:eastAsia="zh-CN"/>
        </w:rPr>
        <w:t xml:space="preserve">common clinical products such as gloves, gowns and hygiene products. </w:t>
      </w:r>
      <w:r>
        <w:rPr>
          <w:rFonts w:ascii="Arial" w:hAnsi="Arial" w:cs="Arial"/>
          <w:lang w:eastAsia="zh-CN"/>
        </w:rPr>
        <w:t xml:space="preserve">The Authority </w:t>
      </w:r>
      <w:r w:rsidRPr="00801E3E">
        <w:rPr>
          <w:rFonts w:ascii="Arial" w:hAnsi="Arial" w:cs="Arial"/>
          <w:lang w:eastAsia="zh-CN"/>
        </w:rPr>
        <w:t xml:space="preserve">also </w:t>
      </w:r>
      <w:r>
        <w:rPr>
          <w:rFonts w:ascii="Arial" w:hAnsi="Arial" w:cs="Arial"/>
          <w:lang w:eastAsia="zh-CN"/>
        </w:rPr>
        <w:t xml:space="preserve">wishes to </w:t>
      </w:r>
      <w:r w:rsidRPr="00801E3E">
        <w:rPr>
          <w:rFonts w:ascii="Arial" w:hAnsi="Arial" w:cs="Arial"/>
          <w:lang w:eastAsia="zh-CN"/>
        </w:rPr>
        <w:t xml:space="preserve">work with </w:t>
      </w:r>
      <w:r>
        <w:rPr>
          <w:rFonts w:ascii="Arial" w:hAnsi="Arial" w:cs="Arial"/>
          <w:lang w:eastAsia="zh-CN"/>
        </w:rPr>
        <w:t xml:space="preserve">the </w:t>
      </w:r>
      <w:r w:rsidRPr="00801E3E">
        <w:rPr>
          <w:rFonts w:ascii="Arial" w:hAnsi="Arial" w:cs="Arial"/>
          <w:lang w:eastAsia="zh-CN"/>
        </w:rPr>
        <w:t>supply chain on plastic packaging.</w:t>
      </w:r>
    </w:p>
    <w:p w14:paraId="73024EF9" w14:textId="77777777" w:rsidR="00D40CFC" w:rsidRDefault="00D40CFC" w:rsidP="00D1100C">
      <w:pPr>
        <w:spacing w:after="0" w:line="240" w:lineRule="auto"/>
        <w:rPr>
          <w:rFonts w:ascii="Arial" w:hAnsi="Arial" w:cs="Arial"/>
          <w:lang w:eastAsia="zh-CN"/>
        </w:rPr>
      </w:pPr>
    </w:p>
    <w:p w14:paraId="0F6D5966" w14:textId="77777777" w:rsidR="00576FE7" w:rsidRPr="004F6E37" w:rsidRDefault="00576FE7" w:rsidP="00D1100C">
      <w:pPr>
        <w:spacing w:after="0" w:line="240" w:lineRule="auto"/>
        <w:rPr>
          <w:rFonts w:ascii="Arial" w:hAnsi="Arial" w:cs="Arial"/>
          <w:lang w:eastAsia="zh-CN"/>
        </w:rPr>
      </w:pPr>
      <w:r w:rsidRPr="004F6E37">
        <w:rPr>
          <w:rFonts w:ascii="Arial" w:hAnsi="Arial" w:cs="Arial"/>
          <w:lang w:eastAsia="zh-CN"/>
        </w:rPr>
        <w:t>Examples of the types of activity which a number of FM suppliers have committed to address include:</w:t>
      </w:r>
    </w:p>
    <w:p w14:paraId="710B4B89" w14:textId="77777777" w:rsidR="00576FE7" w:rsidRPr="004F6E37" w:rsidRDefault="00576FE7" w:rsidP="00D1100C">
      <w:pPr>
        <w:pStyle w:val="ListParagraph"/>
        <w:numPr>
          <w:ilvl w:val="0"/>
          <w:numId w:val="6"/>
        </w:numPr>
        <w:spacing w:after="0" w:line="240" w:lineRule="auto"/>
        <w:rPr>
          <w:rFonts w:ascii="Arial" w:hAnsi="Arial" w:cs="Arial"/>
          <w:lang w:eastAsia="zh-CN"/>
        </w:rPr>
      </w:pPr>
      <w:r>
        <w:rPr>
          <w:rFonts w:ascii="Arial" w:hAnsi="Arial" w:cs="Arial"/>
          <w:lang w:eastAsia="zh-CN"/>
        </w:rPr>
        <w:t>D</w:t>
      </w:r>
      <w:r w:rsidRPr="004F6E37">
        <w:rPr>
          <w:rFonts w:ascii="Arial" w:hAnsi="Arial" w:cs="Arial"/>
          <w:lang w:eastAsia="zh-CN"/>
        </w:rPr>
        <w:t>iluting bulk concentrates of cleaning substances and decanting into reusable pump-spray bottles, replacing liquid soap in dispensers with ‘foamer’ soaps to go up to 10 times further, replacing disposable wipes with reusable</w:t>
      </w:r>
      <w:r>
        <w:rPr>
          <w:rFonts w:ascii="Arial" w:hAnsi="Arial" w:cs="Arial"/>
          <w:lang w:eastAsia="zh-CN"/>
        </w:rPr>
        <w:t xml:space="preserve"> </w:t>
      </w:r>
      <w:r w:rsidRPr="004F6E37">
        <w:rPr>
          <w:rFonts w:ascii="Arial" w:hAnsi="Arial" w:cs="Arial"/>
          <w:lang w:eastAsia="zh-CN"/>
        </w:rPr>
        <w:t>/</w:t>
      </w:r>
      <w:r>
        <w:rPr>
          <w:rFonts w:ascii="Arial" w:hAnsi="Arial" w:cs="Arial"/>
          <w:lang w:eastAsia="zh-CN"/>
        </w:rPr>
        <w:t xml:space="preserve"> </w:t>
      </w:r>
      <w:r w:rsidRPr="004F6E37">
        <w:rPr>
          <w:rFonts w:ascii="Arial" w:hAnsi="Arial" w:cs="Arial"/>
          <w:lang w:eastAsia="zh-CN"/>
        </w:rPr>
        <w:t>launderable cloths;</w:t>
      </w:r>
    </w:p>
    <w:p w14:paraId="595DAA6C" w14:textId="77777777" w:rsidR="00576FE7" w:rsidRPr="004F6E37" w:rsidRDefault="00576FE7" w:rsidP="00D1100C">
      <w:pPr>
        <w:pStyle w:val="ListParagraph"/>
        <w:numPr>
          <w:ilvl w:val="0"/>
          <w:numId w:val="6"/>
        </w:numPr>
        <w:spacing w:after="0" w:line="240" w:lineRule="auto"/>
        <w:rPr>
          <w:rFonts w:ascii="Arial" w:hAnsi="Arial" w:cs="Arial"/>
          <w:lang w:eastAsia="zh-CN"/>
        </w:rPr>
      </w:pPr>
      <w:r>
        <w:rPr>
          <w:rFonts w:ascii="Arial" w:hAnsi="Arial" w:cs="Arial"/>
          <w:lang w:eastAsia="zh-CN"/>
        </w:rPr>
        <w:t>U</w:t>
      </w:r>
      <w:r w:rsidRPr="004F6E37">
        <w:rPr>
          <w:rFonts w:ascii="Arial" w:hAnsi="Arial" w:cs="Arial"/>
          <w:lang w:eastAsia="zh-CN"/>
        </w:rPr>
        <w:t>sing recyclable glass milk bottles in smaller catering settings, or large milk bladders in larger ones, in place of plastic milk bottles or cardboard cartons (which also contain plastic and aluminium), using alternatives to plastic tea bags;</w:t>
      </w:r>
    </w:p>
    <w:p w14:paraId="795FE18C" w14:textId="77777777" w:rsidR="00576FE7" w:rsidRDefault="00576FE7" w:rsidP="00D1100C">
      <w:pPr>
        <w:pStyle w:val="ListParagraph"/>
        <w:numPr>
          <w:ilvl w:val="0"/>
          <w:numId w:val="6"/>
        </w:numPr>
        <w:spacing w:after="0" w:line="240" w:lineRule="auto"/>
        <w:rPr>
          <w:rFonts w:ascii="Arial" w:hAnsi="Arial" w:cs="Arial"/>
          <w:lang w:eastAsia="zh-CN"/>
        </w:rPr>
      </w:pPr>
      <w:r>
        <w:rPr>
          <w:rFonts w:ascii="Arial" w:hAnsi="Arial" w:cs="Arial"/>
          <w:lang w:eastAsia="zh-CN"/>
        </w:rPr>
        <w:t>R</w:t>
      </w:r>
      <w:r w:rsidRPr="004F6E37">
        <w:rPr>
          <w:rFonts w:ascii="Arial" w:hAnsi="Arial" w:cs="Arial"/>
          <w:lang w:eastAsia="zh-CN"/>
        </w:rPr>
        <w:t>eplacing canteen tableware/takeaway items with suitable alternatives, including metal, bioplastics, wood, cardboard, etc, introducing a ‘latte levy’ to incentivise the use of reusable cups and reduce use of cups with a plastic lining.</w:t>
      </w:r>
    </w:p>
    <w:p w14:paraId="3A3C77ED" w14:textId="77777777" w:rsidR="00352BE9" w:rsidRDefault="00352BE9" w:rsidP="00352BE9">
      <w:pPr>
        <w:spacing w:after="0" w:line="240" w:lineRule="auto"/>
        <w:jc w:val="both"/>
        <w:rPr>
          <w:rFonts w:ascii="Arial" w:hAnsi="Arial" w:cs="Arial"/>
          <w:lang w:eastAsia="zh-CN"/>
        </w:rPr>
      </w:pPr>
    </w:p>
    <w:p w14:paraId="66F5EE17" w14:textId="05BA87F2" w:rsidR="00352BE9" w:rsidRDefault="00352BE9" w:rsidP="001235D8">
      <w:pPr>
        <w:pStyle w:val="Heading1"/>
        <w:numPr>
          <w:ilvl w:val="0"/>
          <w:numId w:val="18"/>
        </w:numPr>
        <w:spacing w:after="0" w:line="240" w:lineRule="auto"/>
        <w:jc w:val="both"/>
        <w:rPr>
          <w:lang w:eastAsia="zh-CN"/>
        </w:rPr>
      </w:pPr>
      <w:bookmarkStart w:id="37" w:name="_Toc168656158"/>
      <w:r>
        <w:rPr>
          <w:lang w:eastAsia="zh-CN"/>
        </w:rPr>
        <w:t>South East London Integrated Care System Green Plan</w:t>
      </w:r>
      <w:bookmarkEnd w:id="37"/>
    </w:p>
    <w:p w14:paraId="21632ECC" w14:textId="2CA075B5" w:rsidR="00390E35" w:rsidRDefault="00E67F55" w:rsidP="00352BE9">
      <w:pPr>
        <w:rPr>
          <w:rFonts w:ascii="Arial" w:hAnsi="Arial" w:cs="Arial"/>
          <w:lang w:eastAsia="zh-CN"/>
        </w:rPr>
      </w:pPr>
      <w:r>
        <w:rPr>
          <w:rFonts w:ascii="Arial" w:hAnsi="Arial" w:cs="Arial"/>
          <w:b/>
          <w:color w:val="0070C0"/>
          <w:lang w:eastAsia="zh-CN"/>
        </w:rPr>
        <w:t>Guidance: S</w:t>
      </w:r>
      <w:r w:rsidR="00390E35" w:rsidRPr="00390E35">
        <w:rPr>
          <w:rFonts w:ascii="Arial" w:hAnsi="Arial" w:cs="Arial"/>
          <w:b/>
          <w:color w:val="0070C0"/>
          <w:lang w:eastAsia="zh-CN"/>
        </w:rPr>
        <w:t>ee the</w:t>
      </w:r>
      <w:r w:rsidR="00390E35" w:rsidRPr="00390E35">
        <w:rPr>
          <w:rFonts w:ascii="Arial" w:hAnsi="Arial" w:cs="Arial"/>
          <w:color w:val="0070C0"/>
          <w:lang w:eastAsia="zh-CN"/>
        </w:rPr>
        <w:t xml:space="preserve"> </w:t>
      </w:r>
      <w:hyperlink r:id="rId17" w:history="1">
        <w:r w:rsidR="00390E35" w:rsidRPr="00390E35">
          <w:rPr>
            <w:rStyle w:val="Hyperlink"/>
            <w:rFonts w:ascii="Arial" w:hAnsi="Arial" w:cs="Arial"/>
            <w:lang w:eastAsia="zh-CN"/>
          </w:rPr>
          <w:t>ICS Green Plan Here</w:t>
        </w:r>
      </w:hyperlink>
      <w:r w:rsidR="00390E35">
        <w:rPr>
          <w:rFonts w:ascii="Arial" w:hAnsi="Arial" w:cs="Arial"/>
          <w:lang w:eastAsia="zh-CN"/>
        </w:rPr>
        <w:t xml:space="preserve"> </w:t>
      </w:r>
    </w:p>
    <w:p w14:paraId="19E3DBA6" w14:textId="1053BDCA" w:rsidR="00352BE9" w:rsidRPr="00352BE9" w:rsidRDefault="00352BE9" w:rsidP="00352BE9">
      <w:pPr>
        <w:rPr>
          <w:rFonts w:ascii="Arial" w:hAnsi="Arial" w:cs="Arial"/>
          <w:lang w:eastAsia="zh-CN"/>
        </w:rPr>
      </w:pPr>
      <w:r>
        <w:rPr>
          <w:rFonts w:ascii="Arial" w:hAnsi="Arial" w:cs="Arial"/>
          <w:lang w:eastAsia="zh-CN"/>
        </w:rPr>
        <w:t xml:space="preserve">The </w:t>
      </w:r>
      <w:r w:rsidRPr="00352BE9">
        <w:rPr>
          <w:rFonts w:ascii="Arial" w:hAnsi="Arial" w:cs="Arial"/>
          <w:lang w:eastAsia="zh-CN"/>
        </w:rPr>
        <w:t>South East London Integrated Care System</w:t>
      </w:r>
      <w:r>
        <w:rPr>
          <w:rFonts w:ascii="Arial" w:hAnsi="Arial" w:cs="Arial"/>
          <w:lang w:eastAsia="zh-CN"/>
        </w:rPr>
        <w:t xml:space="preserve"> in its “Green Plan 2022-2025” has adopted the following commitments</w:t>
      </w:r>
      <w:r w:rsidR="00987584">
        <w:rPr>
          <w:rFonts w:ascii="Arial" w:hAnsi="Arial" w:cs="Arial"/>
          <w:lang w:eastAsia="zh-CN"/>
        </w:rPr>
        <w:t xml:space="preserve"> in its plan. We would expect Suppliers to be able to address at least one or more of these commitments in their proposals:</w:t>
      </w:r>
    </w:p>
    <w:p w14:paraId="5FFE00E4" w14:textId="0D89E5D5"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make carbon reduction and sustainability part of our core business</w:t>
      </w:r>
      <w:r>
        <w:rPr>
          <w:rFonts w:ascii="Arial" w:hAnsi="Arial" w:cs="Arial"/>
          <w:lang w:eastAsia="zh-CN"/>
        </w:rPr>
        <w:t>.</w:t>
      </w:r>
    </w:p>
    <w:p w14:paraId="3AB0E612" w14:textId="63246220"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work to improve air quality in South East London</w:t>
      </w:r>
      <w:r>
        <w:rPr>
          <w:rFonts w:ascii="Arial" w:hAnsi="Arial" w:cs="Arial"/>
          <w:lang w:eastAsia="zh-CN"/>
        </w:rPr>
        <w:t>.</w:t>
      </w:r>
    </w:p>
    <w:p w14:paraId="36D1167F" w14:textId="2AD2150C"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reduce and decar</w:t>
      </w:r>
      <w:r>
        <w:rPr>
          <w:rFonts w:ascii="Arial" w:hAnsi="Arial" w:cs="Arial"/>
          <w:lang w:eastAsia="zh-CN"/>
        </w:rPr>
        <w:t>bonise our travel and transport.</w:t>
      </w:r>
    </w:p>
    <w:p w14:paraId="5136A5CB" w14:textId="25AB35AF"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optimise and reduce emissions from our estate in line with the national target of 80% reduction by 2032</w:t>
      </w:r>
      <w:r>
        <w:rPr>
          <w:rFonts w:ascii="Arial" w:hAnsi="Arial" w:cs="Arial"/>
          <w:lang w:eastAsia="zh-CN"/>
        </w:rPr>
        <w:t>.</w:t>
      </w:r>
    </w:p>
    <w:p w14:paraId="27F65903" w14:textId="7F6A221A"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review our existing and develop new models of care to reduce their environmental impact and improve social value</w:t>
      </w:r>
      <w:r>
        <w:rPr>
          <w:rFonts w:ascii="Arial" w:hAnsi="Arial" w:cs="Arial"/>
          <w:lang w:eastAsia="zh-CN"/>
        </w:rPr>
        <w:t>.</w:t>
      </w:r>
    </w:p>
    <w:p w14:paraId="79289B46" w14:textId="34374654"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use digital transformation to improve the sustainability of healthcare without compromising the quality of our care and exacerbating inequalities in access to care</w:t>
      </w:r>
      <w:r>
        <w:rPr>
          <w:rFonts w:ascii="Arial" w:hAnsi="Arial" w:cs="Arial"/>
          <w:lang w:eastAsia="zh-CN"/>
        </w:rPr>
        <w:t>.</w:t>
      </w:r>
    </w:p>
    <w:p w14:paraId="70B91988" w14:textId="4791D07E"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reduce the environmental impact of our medicines through optimisation of prescribing, use of low-carbon alternatives, and appropriate disposal</w:t>
      </w:r>
      <w:r>
        <w:rPr>
          <w:rFonts w:ascii="Arial" w:hAnsi="Arial" w:cs="Arial"/>
          <w:lang w:eastAsia="zh-CN"/>
        </w:rPr>
        <w:t>.</w:t>
      </w:r>
    </w:p>
    <w:p w14:paraId="6D1F8D23" w14:textId="3FF852A8"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use our supplies more efficiently, consider low-carbon alternatives, and collaborate on the decarbonisation of our suppliers</w:t>
      </w:r>
      <w:r>
        <w:rPr>
          <w:rFonts w:ascii="Arial" w:hAnsi="Arial" w:cs="Arial"/>
          <w:lang w:eastAsia="zh-CN"/>
        </w:rPr>
        <w:t>.</w:t>
      </w:r>
    </w:p>
    <w:p w14:paraId="56FA27C8" w14:textId="3487CB8D"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ensure all our inpatients have access to sustainable healthy food, and for food waste to landfill to be eradicated</w:t>
      </w:r>
      <w:r>
        <w:rPr>
          <w:rFonts w:ascii="Arial" w:hAnsi="Arial" w:cs="Arial"/>
          <w:lang w:eastAsia="zh-CN"/>
        </w:rPr>
        <w:t>.</w:t>
      </w:r>
    </w:p>
    <w:p w14:paraId="17F0B217" w14:textId="29A54990"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mitigate the risks of climate change and ensure climate change does not impact on the ICS’s ability to deliver core services and manage population health</w:t>
      </w:r>
      <w:r w:rsidR="00987584">
        <w:rPr>
          <w:rFonts w:ascii="Arial" w:hAnsi="Arial" w:cs="Arial"/>
          <w:lang w:eastAsia="zh-CN"/>
        </w:rPr>
        <w:t>.</w:t>
      </w:r>
    </w:p>
    <w:p w14:paraId="7D981846" w14:textId="4503D2A2" w:rsidR="00352BE9" w:rsidRPr="00352BE9" w:rsidRDefault="00352BE9" w:rsidP="001235D8">
      <w:pPr>
        <w:pStyle w:val="ListParagraph"/>
        <w:numPr>
          <w:ilvl w:val="0"/>
          <w:numId w:val="7"/>
        </w:numPr>
        <w:rPr>
          <w:rFonts w:ascii="Arial" w:hAnsi="Arial" w:cs="Arial"/>
          <w:lang w:eastAsia="zh-CN"/>
        </w:rPr>
      </w:pPr>
      <w:r w:rsidRPr="00352BE9">
        <w:rPr>
          <w:rFonts w:ascii="Arial" w:hAnsi="Arial" w:cs="Arial"/>
          <w:lang w:eastAsia="zh-CN"/>
        </w:rPr>
        <w:t>We will contribute to the improvement of and equal access to South East London’s green and blue spaces</w:t>
      </w:r>
      <w:r w:rsidR="00987584">
        <w:rPr>
          <w:rFonts w:ascii="Arial" w:hAnsi="Arial" w:cs="Arial"/>
          <w:lang w:eastAsia="zh-CN"/>
        </w:rPr>
        <w:t>.</w:t>
      </w:r>
    </w:p>
    <w:p w14:paraId="4C78C603" w14:textId="77777777" w:rsidR="00D40CFC" w:rsidRPr="00576FE7" w:rsidRDefault="00D40CFC" w:rsidP="00576FE7">
      <w:pPr>
        <w:rPr>
          <w:lang w:eastAsia="zh-CN"/>
        </w:rPr>
      </w:pPr>
    </w:p>
    <w:sectPr w:rsidR="00D40CFC" w:rsidRPr="00576FE7" w:rsidSect="002B393F">
      <w:pgSz w:w="11906" w:h="16838" w:code="9"/>
      <w:pgMar w:top="1469" w:right="1440" w:bottom="144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978FD" w14:textId="77777777" w:rsidR="006A62F6" w:rsidRDefault="006A62F6" w:rsidP="002475C4">
      <w:pPr>
        <w:spacing w:after="0" w:line="240" w:lineRule="auto"/>
      </w:pPr>
      <w:r>
        <w:separator/>
      </w:r>
    </w:p>
  </w:endnote>
  <w:endnote w:type="continuationSeparator" w:id="0">
    <w:p w14:paraId="676B6C8F" w14:textId="77777777" w:rsidR="006A62F6" w:rsidRDefault="006A62F6"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TTE1BBB9D8t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89746D" w:rsidRDefault="0089746D"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Pr>
                <w:rFonts w:ascii="Arial" w:hAnsi="Arial" w:cs="Arial"/>
                <w:bCs/>
                <w:noProof/>
              </w:rPr>
              <w:t>4</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Pr>
                <w:rFonts w:ascii="Arial" w:hAnsi="Arial" w:cs="Arial"/>
                <w:bCs/>
                <w:noProof/>
              </w:rPr>
              <w:t>12</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C9A62" w14:textId="77777777" w:rsidR="006A62F6" w:rsidRDefault="006A62F6" w:rsidP="002475C4">
      <w:pPr>
        <w:spacing w:after="0" w:line="240" w:lineRule="auto"/>
      </w:pPr>
      <w:r>
        <w:separator/>
      </w:r>
    </w:p>
  </w:footnote>
  <w:footnote w:type="continuationSeparator" w:id="0">
    <w:p w14:paraId="338AFDBF" w14:textId="77777777" w:rsidR="006A62F6" w:rsidRDefault="006A62F6"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0B4B5AF0" w:rsidR="0089746D" w:rsidRPr="001235D8" w:rsidRDefault="001235D8" w:rsidP="004F19ED">
    <w:pPr>
      <w:pStyle w:val="Header"/>
      <w:spacing w:after="0" w:line="240" w:lineRule="auto"/>
      <w:jc w:val="center"/>
      <w:rPr>
        <w:rFonts w:ascii="Arial" w:hAnsi="Arial" w:cs="Arial"/>
        <w:sz w:val="20"/>
      </w:rPr>
    </w:pPr>
    <w:r w:rsidRPr="001235D8">
      <w:rPr>
        <w:rFonts w:ascii="Arial" w:hAnsi="Arial" w:cs="Arial"/>
        <w:sz w:val="20"/>
      </w:rPr>
      <w:t>Official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F0B"/>
    <w:multiLevelType w:val="multilevel"/>
    <w:tmpl w:val="DF44D3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E21AD"/>
    <w:multiLevelType w:val="hybridMultilevel"/>
    <w:tmpl w:val="2610A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6877D6"/>
    <w:multiLevelType w:val="hybridMultilevel"/>
    <w:tmpl w:val="4064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22FE7"/>
    <w:multiLevelType w:val="hybridMultilevel"/>
    <w:tmpl w:val="C32E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634CC"/>
    <w:multiLevelType w:val="multilevel"/>
    <w:tmpl w:val="82AC61B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5540"/>
    <w:multiLevelType w:val="hybridMultilevel"/>
    <w:tmpl w:val="5F22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07D91"/>
    <w:multiLevelType w:val="hybridMultilevel"/>
    <w:tmpl w:val="D50C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371C5"/>
    <w:multiLevelType w:val="hybridMultilevel"/>
    <w:tmpl w:val="D37E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E5E81"/>
    <w:multiLevelType w:val="hybridMultilevel"/>
    <w:tmpl w:val="543ACA0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42597"/>
    <w:multiLevelType w:val="hybridMultilevel"/>
    <w:tmpl w:val="ADF8B5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69447B"/>
    <w:multiLevelType w:val="hybridMultilevel"/>
    <w:tmpl w:val="3BBE6930"/>
    <w:lvl w:ilvl="0" w:tplc="DD6AEBD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12885"/>
    <w:multiLevelType w:val="hybridMultilevel"/>
    <w:tmpl w:val="640A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F4C60"/>
    <w:multiLevelType w:val="hybridMultilevel"/>
    <w:tmpl w:val="7CFC682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684C6EFA"/>
    <w:multiLevelType w:val="hybridMultilevel"/>
    <w:tmpl w:val="944A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31DEA"/>
    <w:multiLevelType w:val="hybridMultilevel"/>
    <w:tmpl w:val="F458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91484"/>
    <w:multiLevelType w:val="multilevel"/>
    <w:tmpl w:val="EBD85F9E"/>
    <w:lvl w:ilvl="0">
      <w:start w:val="14"/>
      <w:numFmt w:val="decimal"/>
      <w:lvlText w:val="%1"/>
      <w:lvlJc w:val="left"/>
      <w:pPr>
        <w:ind w:left="480" w:hanging="480"/>
      </w:pPr>
      <w:rPr>
        <w:rFonts w:hint="default"/>
      </w:rPr>
    </w:lvl>
    <w:lvl w:ilvl="1">
      <w:start w:val="4"/>
      <w:numFmt w:val="decimal"/>
      <w:lvlText w:val="%1.%2"/>
      <w:lvlJc w:val="left"/>
      <w:pPr>
        <w:ind w:left="622" w:hanging="480"/>
      </w:pPr>
      <w:rPr>
        <w:rFonts w:asciiTheme="minorHAnsi" w:hAnsiTheme="minorHAnsi" w:hint="default"/>
        <w:color w:val="auto"/>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B2B3C"/>
    <w:multiLevelType w:val="hybridMultilevel"/>
    <w:tmpl w:val="B63E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9"/>
  </w:num>
  <w:num w:numId="5">
    <w:abstractNumId w:val="1"/>
  </w:num>
  <w:num w:numId="6">
    <w:abstractNumId w:val="18"/>
  </w:num>
  <w:num w:numId="7">
    <w:abstractNumId w:val="13"/>
  </w:num>
  <w:num w:numId="8">
    <w:abstractNumId w:val="7"/>
  </w:num>
  <w:num w:numId="9">
    <w:abstractNumId w:val="4"/>
  </w:num>
  <w:num w:numId="10">
    <w:abstractNumId w:val="5"/>
  </w:num>
  <w:num w:numId="11">
    <w:abstractNumId w:val="16"/>
  </w:num>
  <w:num w:numId="12">
    <w:abstractNumId w:val="10"/>
    <w:lvlOverride w:ilvl="0"/>
    <w:lvlOverride w:ilvl="1">
      <w:startOverride w:val="1"/>
    </w:lvlOverride>
    <w:lvlOverride w:ilvl="2"/>
    <w:lvlOverride w:ilvl="3"/>
    <w:lvlOverride w:ilvl="4"/>
    <w:lvlOverride w:ilvl="5"/>
    <w:lvlOverride w:ilvl="6"/>
    <w:lvlOverride w:ilvl="7"/>
    <w:lvlOverride w:ilvl="8"/>
  </w:num>
  <w:num w:numId="13">
    <w:abstractNumId w:val="11"/>
  </w:num>
  <w:num w:numId="14">
    <w:abstractNumId w:val="14"/>
  </w:num>
  <w:num w:numId="15">
    <w:abstractNumId w:val="8"/>
  </w:num>
  <w:num w:numId="16">
    <w:abstractNumId w:val="15"/>
  </w:num>
  <w:num w:numId="17">
    <w:abstractNumId w:val="17"/>
  </w:num>
  <w:num w:numId="18">
    <w:abstractNumId w:val="0"/>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27F9C"/>
    <w:rsid w:val="0003442E"/>
    <w:rsid w:val="00036439"/>
    <w:rsid w:val="00036863"/>
    <w:rsid w:val="0004768B"/>
    <w:rsid w:val="0005150E"/>
    <w:rsid w:val="00051FEC"/>
    <w:rsid w:val="00052CEE"/>
    <w:rsid w:val="00065266"/>
    <w:rsid w:val="00071BB8"/>
    <w:rsid w:val="00071CA6"/>
    <w:rsid w:val="000729B0"/>
    <w:rsid w:val="000810F6"/>
    <w:rsid w:val="000873B3"/>
    <w:rsid w:val="000B13A4"/>
    <w:rsid w:val="000B209C"/>
    <w:rsid w:val="000B34BA"/>
    <w:rsid w:val="000C11DE"/>
    <w:rsid w:val="000C164B"/>
    <w:rsid w:val="000C42CD"/>
    <w:rsid w:val="000C5EB0"/>
    <w:rsid w:val="000D67C2"/>
    <w:rsid w:val="000F2B4E"/>
    <w:rsid w:val="000F79B7"/>
    <w:rsid w:val="00100EB4"/>
    <w:rsid w:val="00110F30"/>
    <w:rsid w:val="00112340"/>
    <w:rsid w:val="00112509"/>
    <w:rsid w:val="001149C2"/>
    <w:rsid w:val="0011582D"/>
    <w:rsid w:val="00115F9F"/>
    <w:rsid w:val="001170C0"/>
    <w:rsid w:val="0012320F"/>
    <w:rsid w:val="001235D8"/>
    <w:rsid w:val="00133A15"/>
    <w:rsid w:val="00142188"/>
    <w:rsid w:val="001434C4"/>
    <w:rsid w:val="00144302"/>
    <w:rsid w:val="00152E1D"/>
    <w:rsid w:val="00154E67"/>
    <w:rsid w:val="00171F05"/>
    <w:rsid w:val="001741E4"/>
    <w:rsid w:val="00174330"/>
    <w:rsid w:val="001764E6"/>
    <w:rsid w:val="001802C4"/>
    <w:rsid w:val="00185815"/>
    <w:rsid w:val="001A08F3"/>
    <w:rsid w:val="001A1B58"/>
    <w:rsid w:val="001A5206"/>
    <w:rsid w:val="001A5D49"/>
    <w:rsid w:val="001B136C"/>
    <w:rsid w:val="001B36C2"/>
    <w:rsid w:val="001B5A37"/>
    <w:rsid w:val="001C13A9"/>
    <w:rsid w:val="001C2DCF"/>
    <w:rsid w:val="001C5479"/>
    <w:rsid w:val="001C6B7E"/>
    <w:rsid w:val="001D4A61"/>
    <w:rsid w:val="001D6FA2"/>
    <w:rsid w:val="001E489A"/>
    <w:rsid w:val="001E50C7"/>
    <w:rsid w:val="001E702A"/>
    <w:rsid w:val="001E7BDF"/>
    <w:rsid w:val="001F1853"/>
    <w:rsid w:val="00212A62"/>
    <w:rsid w:val="00217F1A"/>
    <w:rsid w:val="00230D73"/>
    <w:rsid w:val="00241FFA"/>
    <w:rsid w:val="00242E88"/>
    <w:rsid w:val="002475C4"/>
    <w:rsid w:val="00247712"/>
    <w:rsid w:val="002523F3"/>
    <w:rsid w:val="002529E2"/>
    <w:rsid w:val="002539AD"/>
    <w:rsid w:val="002630C5"/>
    <w:rsid w:val="002674FE"/>
    <w:rsid w:val="002743A1"/>
    <w:rsid w:val="0028043B"/>
    <w:rsid w:val="00280BF0"/>
    <w:rsid w:val="002845E9"/>
    <w:rsid w:val="002963F2"/>
    <w:rsid w:val="002A2DB0"/>
    <w:rsid w:val="002A620A"/>
    <w:rsid w:val="002A6C3E"/>
    <w:rsid w:val="002B1BB8"/>
    <w:rsid w:val="002B347D"/>
    <w:rsid w:val="002B3712"/>
    <w:rsid w:val="002B393F"/>
    <w:rsid w:val="002B48CA"/>
    <w:rsid w:val="002C7C58"/>
    <w:rsid w:val="002D3896"/>
    <w:rsid w:val="002E0FD4"/>
    <w:rsid w:val="002E1EE6"/>
    <w:rsid w:val="002E2BAD"/>
    <w:rsid w:val="002E4E47"/>
    <w:rsid w:val="002E52DF"/>
    <w:rsid w:val="002E53F7"/>
    <w:rsid w:val="002E7690"/>
    <w:rsid w:val="002F27CF"/>
    <w:rsid w:val="002F27F2"/>
    <w:rsid w:val="002F61CD"/>
    <w:rsid w:val="00300352"/>
    <w:rsid w:val="00301492"/>
    <w:rsid w:val="00302939"/>
    <w:rsid w:val="0030756D"/>
    <w:rsid w:val="003111DA"/>
    <w:rsid w:val="00314CDD"/>
    <w:rsid w:val="00314EDA"/>
    <w:rsid w:val="00315838"/>
    <w:rsid w:val="00316DEA"/>
    <w:rsid w:val="003174E0"/>
    <w:rsid w:val="00326359"/>
    <w:rsid w:val="003307EA"/>
    <w:rsid w:val="00335EC8"/>
    <w:rsid w:val="0033675B"/>
    <w:rsid w:val="00340F59"/>
    <w:rsid w:val="003410F4"/>
    <w:rsid w:val="00343794"/>
    <w:rsid w:val="00351299"/>
    <w:rsid w:val="00352BE9"/>
    <w:rsid w:val="003568F8"/>
    <w:rsid w:val="00361214"/>
    <w:rsid w:val="003748C8"/>
    <w:rsid w:val="0037714D"/>
    <w:rsid w:val="0037778B"/>
    <w:rsid w:val="003801FC"/>
    <w:rsid w:val="00382C06"/>
    <w:rsid w:val="003832FC"/>
    <w:rsid w:val="003834A6"/>
    <w:rsid w:val="00384E5F"/>
    <w:rsid w:val="00385DF2"/>
    <w:rsid w:val="00390CD2"/>
    <w:rsid w:val="00390E35"/>
    <w:rsid w:val="00396752"/>
    <w:rsid w:val="0039725A"/>
    <w:rsid w:val="003A083F"/>
    <w:rsid w:val="003B4238"/>
    <w:rsid w:val="003B5914"/>
    <w:rsid w:val="003C094F"/>
    <w:rsid w:val="003C3277"/>
    <w:rsid w:val="003C4DDE"/>
    <w:rsid w:val="003D15D9"/>
    <w:rsid w:val="003D193C"/>
    <w:rsid w:val="003D2C6A"/>
    <w:rsid w:val="003F5306"/>
    <w:rsid w:val="003F5823"/>
    <w:rsid w:val="0041067F"/>
    <w:rsid w:val="00416467"/>
    <w:rsid w:val="00423829"/>
    <w:rsid w:val="00425C26"/>
    <w:rsid w:val="004315CC"/>
    <w:rsid w:val="00431A3A"/>
    <w:rsid w:val="00445B45"/>
    <w:rsid w:val="00446BFC"/>
    <w:rsid w:val="00447194"/>
    <w:rsid w:val="00447F98"/>
    <w:rsid w:val="00452050"/>
    <w:rsid w:val="0045304D"/>
    <w:rsid w:val="004632D1"/>
    <w:rsid w:val="00465974"/>
    <w:rsid w:val="00472325"/>
    <w:rsid w:val="0047650B"/>
    <w:rsid w:val="004822E3"/>
    <w:rsid w:val="004840E3"/>
    <w:rsid w:val="00485A74"/>
    <w:rsid w:val="00486273"/>
    <w:rsid w:val="00495990"/>
    <w:rsid w:val="004A5873"/>
    <w:rsid w:val="004C20C1"/>
    <w:rsid w:val="004C3B7F"/>
    <w:rsid w:val="004D3979"/>
    <w:rsid w:val="004D5F27"/>
    <w:rsid w:val="004D7227"/>
    <w:rsid w:val="004E1EE9"/>
    <w:rsid w:val="004E2650"/>
    <w:rsid w:val="004E7714"/>
    <w:rsid w:val="004F174E"/>
    <w:rsid w:val="004F19ED"/>
    <w:rsid w:val="004F6E37"/>
    <w:rsid w:val="0051051D"/>
    <w:rsid w:val="00515DFA"/>
    <w:rsid w:val="00517BDF"/>
    <w:rsid w:val="00520000"/>
    <w:rsid w:val="00534F92"/>
    <w:rsid w:val="0053716A"/>
    <w:rsid w:val="00541966"/>
    <w:rsid w:val="00542DFB"/>
    <w:rsid w:val="005454A8"/>
    <w:rsid w:val="0055032D"/>
    <w:rsid w:val="0055399C"/>
    <w:rsid w:val="00555CEA"/>
    <w:rsid w:val="0055699B"/>
    <w:rsid w:val="00576A09"/>
    <w:rsid w:val="00576FE7"/>
    <w:rsid w:val="00581FE3"/>
    <w:rsid w:val="005822D4"/>
    <w:rsid w:val="00582563"/>
    <w:rsid w:val="00584075"/>
    <w:rsid w:val="00586DB1"/>
    <w:rsid w:val="005872F4"/>
    <w:rsid w:val="00587B5E"/>
    <w:rsid w:val="00590EA8"/>
    <w:rsid w:val="00597072"/>
    <w:rsid w:val="005A419F"/>
    <w:rsid w:val="005B29C5"/>
    <w:rsid w:val="005B4EFF"/>
    <w:rsid w:val="005B56D8"/>
    <w:rsid w:val="005B781A"/>
    <w:rsid w:val="005C10B0"/>
    <w:rsid w:val="005C4ADA"/>
    <w:rsid w:val="005C6C2B"/>
    <w:rsid w:val="005D02DF"/>
    <w:rsid w:val="005E14DA"/>
    <w:rsid w:val="005E42E0"/>
    <w:rsid w:val="005F020E"/>
    <w:rsid w:val="005F5629"/>
    <w:rsid w:val="005F56AB"/>
    <w:rsid w:val="00604269"/>
    <w:rsid w:val="00606EA3"/>
    <w:rsid w:val="00607AE1"/>
    <w:rsid w:val="006135DA"/>
    <w:rsid w:val="00613757"/>
    <w:rsid w:val="00614B26"/>
    <w:rsid w:val="006213C0"/>
    <w:rsid w:val="00623069"/>
    <w:rsid w:val="006277B6"/>
    <w:rsid w:val="006339ED"/>
    <w:rsid w:val="0063595D"/>
    <w:rsid w:val="0064101E"/>
    <w:rsid w:val="0064137E"/>
    <w:rsid w:val="00642F93"/>
    <w:rsid w:val="00645F41"/>
    <w:rsid w:val="00653246"/>
    <w:rsid w:val="00660C9D"/>
    <w:rsid w:val="0066216A"/>
    <w:rsid w:val="006655B7"/>
    <w:rsid w:val="00682AF3"/>
    <w:rsid w:val="00686354"/>
    <w:rsid w:val="006877DB"/>
    <w:rsid w:val="00692302"/>
    <w:rsid w:val="0069508D"/>
    <w:rsid w:val="00697C35"/>
    <w:rsid w:val="006A291A"/>
    <w:rsid w:val="006A4C51"/>
    <w:rsid w:val="006A62F6"/>
    <w:rsid w:val="006A63AB"/>
    <w:rsid w:val="006C69D6"/>
    <w:rsid w:val="006D3EF6"/>
    <w:rsid w:val="006D6EEC"/>
    <w:rsid w:val="006D7DBC"/>
    <w:rsid w:val="006E6CC4"/>
    <w:rsid w:val="006F36BA"/>
    <w:rsid w:val="006F789E"/>
    <w:rsid w:val="007004E7"/>
    <w:rsid w:val="00700D9E"/>
    <w:rsid w:val="00701B19"/>
    <w:rsid w:val="0070646D"/>
    <w:rsid w:val="007107E6"/>
    <w:rsid w:val="00715B65"/>
    <w:rsid w:val="00716F07"/>
    <w:rsid w:val="00726C12"/>
    <w:rsid w:val="00733323"/>
    <w:rsid w:val="00736CC2"/>
    <w:rsid w:val="007432B7"/>
    <w:rsid w:val="00745CF4"/>
    <w:rsid w:val="007564DF"/>
    <w:rsid w:val="0075755D"/>
    <w:rsid w:val="007624EC"/>
    <w:rsid w:val="00766498"/>
    <w:rsid w:val="0076690B"/>
    <w:rsid w:val="00766EED"/>
    <w:rsid w:val="007670E7"/>
    <w:rsid w:val="007730B2"/>
    <w:rsid w:val="0077468F"/>
    <w:rsid w:val="00780ACA"/>
    <w:rsid w:val="00781BAB"/>
    <w:rsid w:val="00782A4C"/>
    <w:rsid w:val="00791071"/>
    <w:rsid w:val="0079471F"/>
    <w:rsid w:val="00796CE4"/>
    <w:rsid w:val="007A61D0"/>
    <w:rsid w:val="007A73C0"/>
    <w:rsid w:val="007B35F6"/>
    <w:rsid w:val="007B5E35"/>
    <w:rsid w:val="007C0B93"/>
    <w:rsid w:val="007C2C26"/>
    <w:rsid w:val="007C4D75"/>
    <w:rsid w:val="007C7D7A"/>
    <w:rsid w:val="007D2DCB"/>
    <w:rsid w:val="007D32AD"/>
    <w:rsid w:val="007D671A"/>
    <w:rsid w:val="007E3C94"/>
    <w:rsid w:val="007E622B"/>
    <w:rsid w:val="007E714C"/>
    <w:rsid w:val="007F0EA1"/>
    <w:rsid w:val="007F3103"/>
    <w:rsid w:val="007F6F13"/>
    <w:rsid w:val="00801E3E"/>
    <w:rsid w:val="008145A3"/>
    <w:rsid w:val="00817A5A"/>
    <w:rsid w:val="00822BF3"/>
    <w:rsid w:val="008235B5"/>
    <w:rsid w:val="008251CD"/>
    <w:rsid w:val="00825616"/>
    <w:rsid w:val="00827F3A"/>
    <w:rsid w:val="008333E0"/>
    <w:rsid w:val="008425DC"/>
    <w:rsid w:val="00842FDD"/>
    <w:rsid w:val="00846A13"/>
    <w:rsid w:val="00852EDA"/>
    <w:rsid w:val="00856D0C"/>
    <w:rsid w:val="008643A8"/>
    <w:rsid w:val="00871754"/>
    <w:rsid w:val="00874E42"/>
    <w:rsid w:val="00876791"/>
    <w:rsid w:val="00876AA3"/>
    <w:rsid w:val="008771B8"/>
    <w:rsid w:val="00877B14"/>
    <w:rsid w:val="008817CF"/>
    <w:rsid w:val="008868C2"/>
    <w:rsid w:val="00894545"/>
    <w:rsid w:val="0089746D"/>
    <w:rsid w:val="008A294F"/>
    <w:rsid w:val="008A46D7"/>
    <w:rsid w:val="008A4D0F"/>
    <w:rsid w:val="008A7A21"/>
    <w:rsid w:val="008B2E24"/>
    <w:rsid w:val="008B3EB7"/>
    <w:rsid w:val="008B56A0"/>
    <w:rsid w:val="008C0FFF"/>
    <w:rsid w:val="008C6323"/>
    <w:rsid w:val="008D0326"/>
    <w:rsid w:val="008D196D"/>
    <w:rsid w:val="008D2BF1"/>
    <w:rsid w:val="008D5AC8"/>
    <w:rsid w:val="008D7B5B"/>
    <w:rsid w:val="008E0806"/>
    <w:rsid w:val="008E0AF7"/>
    <w:rsid w:val="008E1147"/>
    <w:rsid w:val="008E1D89"/>
    <w:rsid w:val="008E432E"/>
    <w:rsid w:val="008F1B71"/>
    <w:rsid w:val="008F6C6E"/>
    <w:rsid w:val="008F74BF"/>
    <w:rsid w:val="00900FD1"/>
    <w:rsid w:val="00904716"/>
    <w:rsid w:val="00907D8F"/>
    <w:rsid w:val="00920324"/>
    <w:rsid w:val="00920CD6"/>
    <w:rsid w:val="00926290"/>
    <w:rsid w:val="00930BD5"/>
    <w:rsid w:val="00937FAF"/>
    <w:rsid w:val="0094063D"/>
    <w:rsid w:val="0094404B"/>
    <w:rsid w:val="00946E64"/>
    <w:rsid w:val="0095465C"/>
    <w:rsid w:val="00957A0D"/>
    <w:rsid w:val="00963086"/>
    <w:rsid w:val="009644B8"/>
    <w:rsid w:val="00966FC7"/>
    <w:rsid w:val="00970051"/>
    <w:rsid w:val="009745EE"/>
    <w:rsid w:val="009762EC"/>
    <w:rsid w:val="009810E9"/>
    <w:rsid w:val="00983862"/>
    <w:rsid w:val="009868FA"/>
    <w:rsid w:val="00987584"/>
    <w:rsid w:val="00991CC4"/>
    <w:rsid w:val="009A248D"/>
    <w:rsid w:val="009A3355"/>
    <w:rsid w:val="009A5F35"/>
    <w:rsid w:val="009B7A26"/>
    <w:rsid w:val="009C3190"/>
    <w:rsid w:val="009C590B"/>
    <w:rsid w:val="009C7E6B"/>
    <w:rsid w:val="009D1247"/>
    <w:rsid w:val="009D5E55"/>
    <w:rsid w:val="009D6D7E"/>
    <w:rsid w:val="009E0E6D"/>
    <w:rsid w:val="009E2191"/>
    <w:rsid w:val="00A037B6"/>
    <w:rsid w:val="00A1300A"/>
    <w:rsid w:val="00A14ACA"/>
    <w:rsid w:val="00A17BC3"/>
    <w:rsid w:val="00A204D4"/>
    <w:rsid w:val="00A43C11"/>
    <w:rsid w:val="00A448DB"/>
    <w:rsid w:val="00A45305"/>
    <w:rsid w:val="00A548EA"/>
    <w:rsid w:val="00A55976"/>
    <w:rsid w:val="00A71056"/>
    <w:rsid w:val="00A73AED"/>
    <w:rsid w:val="00A767A0"/>
    <w:rsid w:val="00A831F8"/>
    <w:rsid w:val="00A863C2"/>
    <w:rsid w:val="00A97D3D"/>
    <w:rsid w:val="00AA0C99"/>
    <w:rsid w:val="00AA1B04"/>
    <w:rsid w:val="00AB1939"/>
    <w:rsid w:val="00AD135D"/>
    <w:rsid w:val="00AD17BF"/>
    <w:rsid w:val="00AD2F7E"/>
    <w:rsid w:val="00AE01EF"/>
    <w:rsid w:val="00AE047C"/>
    <w:rsid w:val="00AF462D"/>
    <w:rsid w:val="00AF7BB0"/>
    <w:rsid w:val="00B01D0D"/>
    <w:rsid w:val="00B061EA"/>
    <w:rsid w:val="00B15220"/>
    <w:rsid w:val="00B164AE"/>
    <w:rsid w:val="00B24C53"/>
    <w:rsid w:val="00B2595E"/>
    <w:rsid w:val="00B26460"/>
    <w:rsid w:val="00B33AC5"/>
    <w:rsid w:val="00B3442F"/>
    <w:rsid w:val="00B34DDE"/>
    <w:rsid w:val="00B41CDB"/>
    <w:rsid w:val="00B42B19"/>
    <w:rsid w:val="00B42B99"/>
    <w:rsid w:val="00B52A72"/>
    <w:rsid w:val="00B5631D"/>
    <w:rsid w:val="00B603F8"/>
    <w:rsid w:val="00B629EB"/>
    <w:rsid w:val="00B66709"/>
    <w:rsid w:val="00B671BD"/>
    <w:rsid w:val="00B71CC3"/>
    <w:rsid w:val="00B75237"/>
    <w:rsid w:val="00B80E35"/>
    <w:rsid w:val="00B80FF8"/>
    <w:rsid w:val="00B817F1"/>
    <w:rsid w:val="00B86FA4"/>
    <w:rsid w:val="00B87462"/>
    <w:rsid w:val="00B9168D"/>
    <w:rsid w:val="00B938B6"/>
    <w:rsid w:val="00BA6028"/>
    <w:rsid w:val="00BB0055"/>
    <w:rsid w:val="00BB55E0"/>
    <w:rsid w:val="00BB73EB"/>
    <w:rsid w:val="00BC2609"/>
    <w:rsid w:val="00BC46BC"/>
    <w:rsid w:val="00BD38D7"/>
    <w:rsid w:val="00BD42D7"/>
    <w:rsid w:val="00BD74E7"/>
    <w:rsid w:val="00BE18ED"/>
    <w:rsid w:val="00BF5C1D"/>
    <w:rsid w:val="00C06EE8"/>
    <w:rsid w:val="00C13F2E"/>
    <w:rsid w:val="00C143DF"/>
    <w:rsid w:val="00C171C3"/>
    <w:rsid w:val="00C2044F"/>
    <w:rsid w:val="00C23023"/>
    <w:rsid w:val="00C23B22"/>
    <w:rsid w:val="00C25F87"/>
    <w:rsid w:val="00C30B13"/>
    <w:rsid w:val="00C353AF"/>
    <w:rsid w:val="00C435EC"/>
    <w:rsid w:val="00C5152C"/>
    <w:rsid w:val="00C51D66"/>
    <w:rsid w:val="00C66F91"/>
    <w:rsid w:val="00C67D5C"/>
    <w:rsid w:val="00C72470"/>
    <w:rsid w:val="00C76DE5"/>
    <w:rsid w:val="00C86372"/>
    <w:rsid w:val="00C86F6D"/>
    <w:rsid w:val="00C90D70"/>
    <w:rsid w:val="00C96E4C"/>
    <w:rsid w:val="00CA2B8F"/>
    <w:rsid w:val="00CA2C8B"/>
    <w:rsid w:val="00CA4FC5"/>
    <w:rsid w:val="00CA782E"/>
    <w:rsid w:val="00CB3189"/>
    <w:rsid w:val="00CB468B"/>
    <w:rsid w:val="00CC1B65"/>
    <w:rsid w:val="00CD1BA1"/>
    <w:rsid w:val="00CD2FFC"/>
    <w:rsid w:val="00CD33CA"/>
    <w:rsid w:val="00CE0D94"/>
    <w:rsid w:val="00CE3784"/>
    <w:rsid w:val="00CE74D8"/>
    <w:rsid w:val="00CE7824"/>
    <w:rsid w:val="00CF0C89"/>
    <w:rsid w:val="00CF1E33"/>
    <w:rsid w:val="00CF20D4"/>
    <w:rsid w:val="00CF47A0"/>
    <w:rsid w:val="00D03388"/>
    <w:rsid w:val="00D03620"/>
    <w:rsid w:val="00D05A6E"/>
    <w:rsid w:val="00D0644B"/>
    <w:rsid w:val="00D070DD"/>
    <w:rsid w:val="00D073C0"/>
    <w:rsid w:val="00D1100C"/>
    <w:rsid w:val="00D119DE"/>
    <w:rsid w:val="00D120D9"/>
    <w:rsid w:val="00D369B4"/>
    <w:rsid w:val="00D4054F"/>
    <w:rsid w:val="00D40CFC"/>
    <w:rsid w:val="00D4133D"/>
    <w:rsid w:val="00D438E3"/>
    <w:rsid w:val="00D44985"/>
    <w:rsid w:val="00D4757B"/>
    <w:rsid w:val="00D50221"/>
    <w:rsid w:val="00D55D65"/>
    <w:rsid w:val="00D61D4B"/>
    <w:rsid w:val="00D66984"/>
    <w:rsid w:val="00D66ED1"/>
    <w:rsid w:val="00D75573"/>
    <w:rsid w:val="00D77287"/>
    <w:rsid w:val="00D83787"/>
    <w:rsid w:val="00D8564D"/>
    <w:rsid w:val="00D871F1"/>
    <w:rsid w:val="00D87C60"/>
    <w:rsid w:val="00D934E2"/>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5FBB"/>
    <w:rsid w:val="00E06350"/>
    <w:rsid w:val="00E078DC"/>
    <w:rsid w:val="00E07EAD"/>
    <w:rsid w:val="00E14502"/>
    <w:rsid w:val="00E16316"/>
    <w:rsid w:val="00E16D8B"/>
    <w:rsid w:val="00E250F3"/>
    <w:rsid w:val="00E30FE8"/>
    <w:rsid w:val="00E321A6"/>
    <w:rsid w:val="00E3765E"/>
    <w:rsid w:val="00E45C51"/>
    <w:rsid w:val="00E466A8"/>
    <w:rsid w:val="00E471E8"/>
    <w:rsid w:val="00E61927"/>
    <w:rsid w:val="00E650A9"/>
    <w:rsid w:val="00E66CF4"/>
    <w:rsid w:val="00E67F55"/>
    <w:rsid w:val="00E71851"/>
    <w:rsid w:val="00E83311"/>
    <w:rsid w:val="00E85C60"/>
    <w:rsid w:val="00E87C0B"/>
    <w:rsid w:val="00E9338B"/>
    <w:rsid w:val="00E93555"/>
    <w:rsid w:val="00E9487A"/>
    <w:rsid w:val="00E94892"/>
    <w:rsid w:val="00E9726A"/>
    <w:rsid w:val="00EA2349"/>
    <w:rsid w:val="00EA3747"/>
    <w:rsid w:val="00EA6380"/>
    <w:rsid w:val="00EB2999"/>
    <w:rsid w:val="00EB57A2"/>
    <w:rsid w:val="00EC0123"/>
    <w:rsid w:val="00EC2B05"/>
    <w:rsid w:val="00EC3DB4"/>
    <w:rsid w:val="00EC4B42"/>
    <w:rsid w:val="00EC4C7F"/>
    <w:rsid w:val="00ED033C"/>
    <w:rsid w:val="00ED2A39"/>
    <w:rsid w:val="00ED2E10"/>
    <w:rsid w:val="00EE0FE4"/>
    <w:rsid w:val="00EE1651"/>
    <w:rsid w:val="00EE44F8"/>
    <w:rsid w:val="00EF077D"/>
    <w:rsid w:val="00EF5CBA"/>
    <w:rsid w:val="00F01A79"/>
    <w:rsid w:val="00F036F1"/>
    <w:rsid w:val="00F245A0"/>
    <w:rsid w:val="00F25C2A"/>
    <w:rsid w:val="00F30B18"/>
    <w:rsid w:val="00F3707D"/>
    <w:rsid w:val="00F4307E"/>
    <w:rsid w:val="00F44263"/>
    <w:rsid w:val="00F44636"/>
    <w:rsid w:val="00F44E0C"/>
    <w:rsid w:val="00F47786"/>
    <w:rsid w:val="00F51EEB"/>
    <w:rsid w:val="00F54286"/>
    <w:rsid w:val="00F57ABD"/>
    <w:rsid w:val="00F64AA1"/>
    <w:rsid w:val="00F65F05"/>
    <w:rsid w:val="00F67A12"/>
    <w:rsid w:val="00F67AF1"/>
    <w:rsid w:val="00F713F3"/>
    <w:rsid w:val="00F756E8"/>
    <w:rsid w:val="00F75E01"/>
    <w:rsid w:val="00F93062"/>
    <w:rsid w:val="00F933B6"/>
    <w:rsid w:val="00F95FA1"/>
    <w:rsid w:val="00FC27DB"/>
    <w:rsid w:val="00FC2E1B"/>
    <w:rsid w:val="00FC32C2"/>
    <w:rsid w:val="00FC380F"/>
    <w:rsid w:val="00FC484F"/>
    <w:rsid w:val="00FC5BBF"/>
    <w:rsid w:val="00FC6008"/>
    <w:rsid w:val="00FD0740"/>
    <w:rsid w:val="00FD0885"/>
    <w:rsid w:val="00FD18A7"/>
    <w:rsid w:val="00FD7BA5"/>
    <w:rsid w:val="00FE0745"/>
    <w:rsid w:val="00FE2847"/>
    <w:rsid w:val="00FE47FD"/>
    <w:rsid w:val="00FF137A"/>
    <w:rsid w:val="00FF31B2"/>
    <w:rsid w:val="00FF3B6E"/>
    <w:rsid w:val="00FF77F0"/>
    <w:rsid w:val="00FF786B"/>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1235D8"/>
    <w:pPr>
      <w:keepNext/>
      <w:numPr>
        <w:ilvl w:val="1"/>
        <w:numId w:val="2"/>
      </w:numPr>
      <w:spacing w:after="0" w:line="360" w:lineRule="auto"/>
      <w:ind w:left="720" w:hanging="720"/>
      <w:outlineLvl w:val="1"/>
    </w:pPr>
    <w:rPr>
      <w:rFonts w:ascii="Arial" w:eastAsia="SimSun" w:hAnsi="Arial"/>
      <w:b/>
      <w:bCs/>
      <w:iCs/>
      <w:szCs w:val="28"/>
    </w:rPr>
  </w:style>
  <w:style w:type="paragraph" w:styleId="Heading3">
    <w:name w:val="heading 3"/>
    <w:basedOn w:val="Normal"/>
    <w:next w:val="Normal"/>
    <w:link w:val="Heading3Char"/>
    <w:uiPriority w:val="9"/>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1235D8"/>
    <w:rPr>
      <w:rFonts w:ascii="Arial" w:eastAsia="SimSun" w:hAnsi="Arial" w:cs="Times New Roman"/>
      <w:b/>
      <w:bCs/>
      <w:iCs/>
      <w:sz w:val="22"/>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unhideWhenUsed/>
    <w:rsid w:val="002475C4"/>
    <w:rPr>
      <w:sz w:val="20"/>
      <w:szCs w:val="20"/>
    </w:rPr>
  </w:style>
  <w:style w:type="character" w:customStyle="1" w:styleId="CommentTextChar">
    <w:name w:val="Comment Text Char"/>
    <w:basedOn w:val="DefaultParagraphFont"/>
    <w:link w:val="CommentText"/>
    <w:uiPriority w:val="99"/>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styleId="TOC3">
    <w:name w:val="toc 3"/>
    <w:basedOn w:val="Normal"/>
    <w:next w:val="Normal"/>
    <w:autoRedefine/>
    <w:uiPriority w:val="39"/>
    <w:unhideWhenUsed/>
    <w:rsid w:val="00AF7BB0"/>
    <w:pPr>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AF7BB0"/>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F7BB0"/>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F7BB0"/>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F7BB0"/>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F7BB0"/>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F7BB0"/>
    <w:pPr>
      <w:spacing w:after="100" w:line="259" w:lineRule="auto"/>
      <w:ind w:left="1760"/>
    </w:pPr>
    <w:rPr>
      <w:rFonts w:asciiTheme="minorHAnsi" w:eastAsiaTheme="minorEastAsia" w:hAnsiTheme="minorHAnsi" w:cstheme="minorBidi"/>
      <w:lang w:eastAsia="en-GB"/>
    </w:rPr>
  </w:style>
  <w:style w:type="character" w:customStyle="1" w:styleId="slds-truncate">
    <w:name w:val="slds-truncate"/>
    <w:basedOn w:val="DefaultParagraphFont"/>
    <w:rsid w:val="00027F9C"/>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856D0C"/>
    <w:rPr>
      <w:rFonts w:ascii="Calibri" w:eastAsia="Calibri" w:hAnsi="Calibri" w:cs="Times New Roman"/>
      <w:sz w:val="22"/>
    </w:rPr>
  </w:style>
  <w:style w:type="paragraph" w:customStyle="1" w:styleId="Default">
    <w:name w:val="Default"/>
    <w:rsid w:val="005C10B0"/>
    <w:pPr>
      <w:autoSpaceDE w:val="0"/>
      <w:autoSpaceDN w:val="0"/>
      <w:adjustRightInd w:val="0"/>
      <w:spacing w:after="0" w:line="240" w:lineRule="auto"/>
    </w:pPr>
    <w:rPr>
      <w:rFonts w:ascii="Calibri" w:hAnsi="Calibri" w:cs="Calibri"/>
      <w:color w:val="000000"/>
      <w:sz w:val="24"/>
      <w:szCs w:val="24"/>
    </w:rPr>
  </w:style>
  <w:style w:type="character" w:customStyle="1" w:styleId="Bullet1Char">
    <w:name w:val="Bullet 1 Char"/>
    <w:basedOn w:val="ListParagraphChar"/>
    <w:rsid w:val="00FF3B6E"/>
    <w:rPr>
      <w:rFonts w:ascii="Calibri" w:eastAsia="Calibri" w:hAnsi="Calibri" w:cs="Times New Roman"/>
      <w:color w:val="000000" w:themeColor="text1"/>
      <w:sz w:val="24"/>
      <w:szCs w:val="24"/>
    </w:rPr>
  </w:style>
  <w:style w:type="paragraph" w:customStyle="1" w:styleId="CM19">
    <w:name w:val="CM19"/>
    <w:basedOn w:val="Normal"/>
    <w:rsid w:val="001A1B58"/>
    <w:pPr>
      <w:autoSpaceDE w:val="0"/>
      <w:autoSpaceDN w:val="0"/>
      <w:spacing w:after="0" w:line="240" w:lineRule="auto"/>
    </w:pPr>
    <w:rPr>
      <w:rFonts w:ascii="TTE1BBB9D8t00" w:eastAsiaTheme="minorHAnsi" w:hAnsi="TTE1BBB9D8t00"/>
      <w:sz w:val="24"/>
      <w:szCs w:val="24"/>
      <w:lang w:eastAsia="en-GB"/>
    </w:rPr>
  </w:style>
  <w:style w:type="paragraph" w:customStyle="1" w:styleId="CM6">
    <w:name w:val="CM6"/>
    <w:basedOn w:val="Normal"/>
    <w:rsid w:val="001A1B58"/>
    <w:pPr>
      <w:autoSpaceDE w:val="0"/>
      <w:autoSpaceDN w:val="0"/>
      <w:spacing w:after="0" w:line="278" w:lineRule="atLeast"/>
    </w:pPr>
    <w:rPr>
      <w:rFonts w:ascii="TTE1BBB9D8t00" w:eastAsiaTheme="minorHAnsi" w:hAnsi="TTE1BBB9D8t00"/>
      <w:sz w:val="24"/>
      <w:szCs w:val="24"/>
      <w:lang w:eastAsia="en-GB"/>
    </w:rPr>
  </w:style>
  <w:style w:type="character" w:styleId="UnresolvedMention">
    <w:name w:val="Unresolved Mention"/>
    <w:basedOn w:val="DefaultParagraphFont"/>
    <w:uiPriority w:val="99"/>
    <w:semiHidden/>
    <w:unhideWhenUsed/>
    <w:rsid w:val="00E0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403721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G:\Finance\Procure\SMART-TOG\SOURCING\Non-Clinical_Team\Other\Trust%20Specific%20Stuff\ICS\ICS%20Green%20Plan%202022-2025.pdf"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policy-note-0620-taking-account-of-social-value-in-the-award-of-central-govern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7CF2732CDCC4C8BFF096C251BDED7" ma:contentTypeVersion="16" ma:contentTypeDescription="Create a new document." ma:contentTypeScope="" ma:versionID="2d77867206e8d83792eccd4f8efe2dee">
  <xsd:schema xmlns:xsd="http://www.w3.org/2001/XMLSchema" xmlns:xs="http://www.w3.org/2001/XMLSchema" xmlns:p="http://schemas.microsoft.com/office/2006/metadata/properties" xmlns:ns3="3e514125-decc-4577-ae27-8f89cf0706dd" xmlns:ns4="0cb128ae-0102-4cee-abac-7dd3109b3daa" targetNamespace="http://schemas.microsoft.com/office/2006/metadata/properties" ma:root="true" ma:fieldsID="fee0d31fb2623a3dd15c88ac37f40db4" ns3:_="" ns4:_="">
    <xsd:import namespace="3e514125-decc-4577-ae27-8f89cf0706dd"/>
    <xsd:import namespace="0cb128ae-0102-4cee-abac-7dd3109b3d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14125-decc-4577-ae27-8f89cf070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128ae-0102-4cee-abac-7dd3109b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514125-decc-4577-ae27-8f89cf0706d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E1E22-F3BD-490D-A966-4D0ACE806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14125-decc-4577-ae27-8f89cf0706dd"/>
    <ds:schemaRef ds:uri="0cb128ae-0102-4cee-abac-7dd3109b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3e514125-decc-4577-ae27-8f89cf0706dd"/>
    <ds:schemaRef ds:uri="http://schemas.microsoft.com/office/infopath/2007/PartnerControls"/>
    <ds:schemaRef ds:uri="http://schemas.openxmlformats.org/package/2006/metadata/core-properties"/>
    <ds:schemaRef ds:uri="0cb128ae-0102-4cee-abac-7dd3109b3daa"/>
    <ds:schemaRef ds:uri="http://purl.org/dc/dcmitype/"/>
  </ds:schemaRefs>
</ds:datastoreItem>
</file>

<file path=customXml/itemProps4.xml><?xml version="1.0" encoding="utf-8"?>
<ds:datastoreItem xmlns:ds="http://schemas.openxmlformats.org/officeDocument/2006/customXml" ds:itemID="{86189B31-7150-497B-A1CC-D4700342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3538</Words>
  <Characters>20167</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2</cp:revision>
  <cp:lastPrinted>2019-08-20T13:43:00Z</cp:lastPrinted>
  <dcterms:created xsi:type="dcterms:W3CDTF">2024-06-07T11:36:00Z</dcterms:created>
  <dcterms:modified xsi:type="dcterms:W3CDTF">2024-06-07T11:36:00Z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0x010100FA67CF2732CDCC4C8BFF096C251BDED7</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WinDIP File ID">
    <vt:lpwstr>19f20e32-0bcb-41e9-909d-fd5fce7a1d12</vt:lpwstr>
  </property>
</Properties>
</file>