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71FFD" w14:textId="77777777" w:rsidR="002C34D4" w:rsidRDefault="002C34D4" w:rsidP="002C34D4">
      <w:pPr>
        <w:pStyle w:val="Logos"/>
        <w:tabs>
          <w:tab w:val="right" w:pos="9498"/>
        </w:tabs>
      </w:pPr>
      <w:r>
        <w:drawing>
          <wp:inline distT="0" distB="0" distL="0" distR="0" wp14:anchorId="7982F2C8" wp14:editId="2FA8E183">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606308FF" w14:textId="77777777" w:rsidR="005C0B41" w:rsidRPr="00B818C3" w:rsidRDefault="00A57128" w:rsidP="00B818C3">
      <w:pPr>
        <w:pStyle w:val="Heading1"/>
        <w:jc w:val="center"/>
        <w:rPr>
          <w:sz w:val="44"/>
          <w:szCs w:val="44"/>
        </w:rPr>
      </w:pPr>
      <w:r w:rsidRPr="00B818C3">
        <w:rPr>
          <w:sz w:val="44"/>
          <w:szCs w:val="44"/>
        </w:rPr>
        <w:t>Expression of interest</w:t>
      </w:r>
    </w:p>
    <w:p w14:paraId="525D018B" w14:textId="77777777" w:rsidR="00A57128" w:rsidRDefault="00A57128" w:rsidP="00A57128"/>
    <w:p w14:paraId="55110258" w14:textId="77777777" w:rsidR="00A57128" w:rsidRPr="007E0083" w:rsidRDefault="00A57128" w:rsidP="00EE71A2">
      <w:pPr>
        <w:pStyle w:val="Heading1"/>
      </w:pPr>
      <w:r w:rsidRPr="007E0083">
        <w:t>Title:</w:t>
      </w:r>
      <w:r w:rsidR="007A516F">
        <w:t xml:space="preserve"> Opportunity Areas – Impact Evaluation</w:t>
      </w:r>
    </w:p>
    <w:p w14:paraId="0893C370" w14:textId="00D16544" w:rsidR="00A57128" w:rsidRPr="007E0083" w:rsidRDefault="00A57128" w:rsidP="00A57128">
      <w:pPr>
        <w:rPr>
          <w:b/>
        </w:rPr>
      </w:pPr>
      <w:r w:rsidRPr="007E0083">
        <w:rPr>
          <w:b/>
        </w:rPr>
        <w:t xml:space="preserve">Project reference: </w:t>
      </w:r>
      <w:r w:rsidR="000B7532">
        <w:rPr>
          <w:b/>
        </w:rPr>
        <w:t>2017/034</w:t>
      </w:r>
    </w:p>
    <w:p w14:paraId="27BD4E85" w14:textId="7C2E9FFD" w:rsidR="00A57128" w:rsidRPr="007E0083" w:rsidRDefault="00A57128" w:rsidP="00A57128">
      <w:pPr>
        <w:rPr>
          <w:b/>
        </w:rPr>
      </w:pPr>
      <w:r w:rsidRPr="007E0083">
        <w:rPr>
          <w:b/>
        </w:rPr>
        <w:t>Deadline for expressions of interest:</w:t>
      </w:r>
      <w:r w:rsidR="00A03BE2">
        <w:rPr>
          <w:b/>
        </w:rPr>
        <w:t xml:space="preserve"> </w:t>
      </w:r>
      <w:r w:rsidR="000B7532">
        <w:rPr>
          <w:b/>
        </w:rPr>
        <w:t xml:space="preserve">5pm on </w:t>
      </w:r>
      <w:r w:rsidR="00A03BE2">
        <w:rPr>
          <w:b/>
        </w:rPr>
        <w:t>1</w:t>
      </w:r>
      <w:r w:rsidR="0028214A">
        <w:rPr>
          <w:b/>
        </w:rPr>
        <w:t>3</w:t>
      </w:r>
      <w:r w:rsidR="00A03BE2" w:rsidRPr="00A03BE2">
        <w:rPr>
          <w:b/>
          <w:vertAlign w:val="superscript"/>
        </w:rPr>
        <w:t>th</w:t>
      </w:r>
      <w:r w:rsidR="00A03BE2">
        <w:rPr>
          <w:b/>
        </w:rPr>
        <w:t xml:space="preserve"> October 2017</w:t>
      </w:r>
    </w:p>
    <w:p w14:paraId="247A0BF3" w14:textId="77777777" w:rsidR="00A57128" w:rsidRPr="001F2CE2" w:rsidRDefault="00A57128" w:rsidP="001F2CE2">
      <w:pPr>
        <w:pStyle w:val="Heading2"/>
      </w:pPr>
      <w:r w:rsidRPr="001F2CE2">
        <w:t>Summary</w:t>
      </w:r>
    </w:p>
    <w:p w14:paraId="792935A0" w14:textId="6B1E4F3A" w:rsidR="005C3004" w:rsidRDefault="005C3004" w:rsidP="005C3004">
      <w:pPr>
        <w:pStyle w:val="Default"/>
        <w:spacing w:before="100" w:beforeAutospacing="1" w:after="100" w:afterAutospacing="1"/>
        <w:rPr>
          <w:sz w:val="22"/>
          <w:szCs w:val="22"/>
        </w:rPr>
      </w:pPr>
      <w:r w:rsidRPr="003E05F9">
        <w:rPr>
          <w:sz w:val="22"/>
          <w:szCs w:val="22"/>
        </w:rPr>
        <w:t>Expressions of interest are sought for</w:t>
      </w:r>
      <w:r>
        <w:rPr>
          <w:sz w:val="22"/>
          <w:szCs w:val="22"/>
        </w:rPr>
        <w:t xml:space="preserve"> an impact evaluation of the Opportunity Areas programme. This will involve research on the overall impact of the programme; </w:t>
      </w:r>
      <w:r w:rsidR="00466B34">
        <w:rPr>
          <w:sz w:val="22"/>
          <w:szCs w:val="22"/>
        </w:rPr>
        <w:t>the impact of</w:t>
      </w:r>
      <w:r>
        <w:rPr>
          <w:sz w:val="22"/>
          <w:szCs w:val="22"/>
        </w:rPr>
        <w:t xml:space="preserve"> a sample of interventions; analysis of impacts from adopting a place-based approach; and cost-effectiveness analysis.</w:t>
      </w:r>
    </w:p>
    <w:p w14:paraId="3CFB3ED9" w14:textId="641AECA8" w:rsidR="005C3004" w:rsidRPr="00A03BE2" w:rsidRDefault="005C3004" w:rsidP="005C3004">
      <w:pPr>
        <w:pStyle w:val="Default"/>
        <w:spacing w:before="100" w:beforeAutospacing="1" w:after="100" w:afterAutospacing="1"/>
        <w:rPr>
          <w:rFonts w:eastAsia="Times New Roman" w:cs="Times New Roman"/>
          <w:b/>
          <w:color w:val="auto"/>
          <w:sz w:val="22"/>
          <w:lang w:eastAsia="en-GB"/>
        </w:rPr>
      </w:pPr>
      <w:r w:rsidRPr="003E05F9">
        <w:rPr>
          <w:sz w:val="22"/>
          <w:szCs w:val="22"/>
        </w:rPr>
        <w:t>This expression of interest was posted on</w:t>
      </w:r>
      <w:r w:rsidR="00A03BE2">
        <w:rPr>
          <w:sz w:val="22"/>
          <w:szCs w:val="22"/>
        </w:rPr>
        <w:t>:</w:t>
      </w:r>
      <w:r w:rsidRPr="003E05F9">
        <w:rPr>
          <w:sz w:val="22"/>
          <w:szCs w:val="22"/>
        </w:rPr>
        <w:t xml:space="preserve"> </w:t>
      </w:r>
      <w:r w:rsidR="00A03BE2" w:rsidRPr="00A03BE2">
        <w:rPr>
          <w:rFonts w:eastAsia="Times New Roman" w:cs="Times New Roman"/>
          <w:b/>
          <w:color w:val="auto"/>
          <w:sz w:val="22"/>
          <w:lang w:eastAsia="en-GB"/>
        </w:rPr>
        <w:t>2</w:t>
      </w:r>
      <w:r w:rsidR="000B7532">
        <w:rPr>
          <w:rFonts w:eastAsia="Times New Roman" w:cs="Times New Roman"/>
          <w:b/>
          <w:color w:val="auto"/>
          <w:sz w:val="22"/>
          <w:lang w:eastAsia="en-GB"/>
        </w:rPr>
        <w:t>8</w:t>
      </w:r>
      <w:r w:rsidR="00A03BE2" w:rsidRPr="00A03BE2">
        <w:rPr>
          <w:rFonts w:eastAsia="Times New Roman" w:cs="Times New Roman"/>
          <w:b/>
          <w:color w:val="auto"/>
          <w:sz w:val="22"/>
          <w:lang w:eastAsia="en-GB"/>
        </w:rPr>
        <w:t>th September 2017</w:t>
      </w:r>
    </w:p>
    <w:p w14:paraId="0DA6F143" w14:textId="77777777" w:rsidR="00A57128" w:rsidRDefault="00A57128" w:rsidP="001F2CE2">
      <w:pPr>
        <w:pStyle w:val="Heading2"/>
      </w:pPr>
      <w:r>
        <w:t>Background</w:t>
      </w:r>
    </w:p>
    <w:p w14:paraId="5882566E" w14:textId="6EB4F90D" w:rsidR="007D23FF" w:rsidRDefault="00537D89" w:rsidP="006566E3">
      <w:pPr>
        <w:tabs>
          <w:tab w:val="num" w:pos="567"/>
        </w:tabs>
        <w:rPr>
          <w:rFonts w:cs="Arial"/>
          <w:color w:val="000000"/>
          <w:szCs w:val="22"/>
        </w:rPr>
      </w:pPr>
      <w:r>
        <w:rPr>
          <w:rFonts w:cs="Arial"/>
          <w:color w:val="000000"/>
          <w:szCs w:val="22"/>
        </w:rPr>
        <w:t xml:space="preserve">The Secretary of State announced a new </w:t>
      </w:r>
      <w:hyperlink r:id="rId14" w:history="1">
        <w:r w:rsidRPr="003E73C7">
          <w:rPr>
            <w:rStyle w:val="Hyperlink"/>
            <w:rFonts w:cs="Arial"/>
            <w:sz w:val="22"/>
            <w:szCs w:val="22"/>
          </w:rPr>
          <w:t>social mobility package</w:t>
        </w:r>
      </w:hyperlink>
      <w:r>
        <w:rPr>
          <w:rFonts w:cs="Arial"/>
          <w:color w:val="000000"/>
          <w:szCs w:val="22"/>
        </w:rPr>
        <w:t xml:space="preserve"> in October 2016. At the heart of this is the strategy for Opportunity Areas</w:t>
      </w:r>
      <w:r w:rsidR="004373BB">
        <w:rPr>
          <w:rFonts w:cs="Arial"/>
          <w:color w:val="000000"/>
          <w:szCs w:val="22"/>
        </w:rPr>
        <w:t>:</w:t>
      </w:r>
      <w:r>
        <w:rPr>
          <w:rFonts w:cs="Arial"/>
          <w:color w:val="000000"/>
          <w:szCs w:val="22"/>
        </w:rPr>
        <w:t xml:space="preserve"> local areas which will typically face entrenched and widespread </w:t>
      </w:r>
      <w:r w:rsidR="00255529">
        <w:rPr>
          <w:rFonts w:cs="Arial"/>
          <w:color w:val="000000"/>
          <w:szCs w:val="22"/>
        </w:rPr>
        <w:t>educational challenges</w:t>
      </w:r>
      <w:r>
        <w:rPr>
          <w:rFonts w:cs="Arial"/>
          <w:color w:val="000000"/>
          <w:szCs w:val="22"/>
        </w:rPr>
        <w:t xml:space="preserve">. </w:t>
      </w:r>
      <w:r w:rsidR="007D23FF" w:rsidRPr="003E73C7">
        <w:rPr>
          <w:rFonts w:cs="Arial"/>
          <w:color w:val="000000"/>
          <w:szCs w:val="22"/>
        </w:rPr>
        <w:t xml:space="preserve">The first </w:t>
      </w:r>
      <w:r w:rsidR="006566E3">
        <w:rPr>
          <w:rFonts w:cs="Arial"/>
          <w:color w:val="000000"/>
          <w:szCs w:val="22"/>
        </w:rPr>
        <w:t>six</w:t>
      </w:r>
      <w:r w:rsidR="007D23FF" w:rsidRPr="003E73C7">
        <w:rPr>
          <w:rFonts w:cs="Arial"/>
          <w:color w:val="000000"/>
          <w:szCs w:val="22"/>
        </w:rPr>
        <w:t xml:space="preserve"> Opportunity Areas announced </w:t>
      </w:r>
      <w:r w:rsidR="006566E3">
        <w:rPr>
          <w:rFonts w:cs="Arial"/>
          <w:color w:val="000000"/>
          <w:szCs w:val="22"/>
        </w:rPr>
        <w:t xml:space="preserve">were </w:t>
      </w:r>
      <w:r w:rsidR="007D23FF" w:rsidRPr="003E73C7">
        <w:rPr>
          <w:rFonts w:cs="Arial"/>
          <w:color w:val="000000"/>
          <w:szCs w:val="22"/>
        </w:rPr>
        <w:t xml:space="preserve">Oldham, </w:t>
      </w:r>
      <w:r w:rsidR="00EB0D87">
        <w:rPr>
          <w:rFonts w:cs="Arial"/>
          <w:color w:val="000000"/>
          <w:szCs w:val="22"/>
        </w:rPr>
        <w:t>North Yorkshire Coast</w:t>
      </w:r>
      <w:r w:rsidR="00EB0D87">
        <w:rPr>
          <w:rStyle w:val="FootnoteReference"/>
          <w:rFonts w:cs="Arial"/>
          <w:color w:val="000000"/>
          <w:szCs w:val="22"/>
        </w:rPr>
        <w:footnoteReference w:id="1"/>
      </w:r>
      <w:r w:rsidR="007D23FF" w:rsidRPr="003E73C7">
        <w:rPr>
          <w:rFonts w:cs="Arial"/>
          <w:color w:val="000000"/>
          <w:szCs w:val="22"/>
        </w:rPr>
        <w:t>, Derby, Norwich, West Somerset</w:t>
      </w:r>
      <w:r w:rsidR="00E62816">
        <w:rPr>
          <w:rFonts w:cs="Arial"/>
          <w:color w:val="000000"/>
          <w:szCs w:val="22"/>
        </w:rPr>
        <w:t xml:space="preserve"> and</w:t>
      </w:r>
      <w:r w:rsidR="007D23FF" w:rsidRPr="003E73C7">
        <w:rPr>
          <w:rFonts w:cs="Arial"/>
          <w:color w:val="000000"/>
          <w:szCs w:val="22"/>
        </w:rPr>
        <w:t xml:space="preserve"> Blackpool</w:t>
      </w:r>
      <w:r w:rsidR="006566E3">
        <w:rPr>
          <w:rFonts w:cs="Arial"/>
          <w:color w:val="000000"/>
          <w:szCs w:val="22"/>
        </w:rPr>
        <w:t>.</w:t>
      </w:r>
      <w:r w:rsidR="007D23FF" w:rsidRPr="003E73C7">
        <w:rPr>
          <w:rFonts w:cs="Arial"/>
          <w:color w:val="000000"/>
          <w:szCs w:val="22"/>
        </w:rPr>
        <w:t xml:space="preserve"> </w:t>
      </w:r>
      <w:r w:rsidR="006566E3">
        <w:rPr>
          <w:rFonts w:cs="Arial"/>
          <w:color w:val="000000"/>
          <w:szCs w:val="22"/>
        </w:rPr>
        <w:t>I</w:t>
      </w:r>
      <w:r w:rsidR="006566E3" w:rsidRPr="003E73C7">
        <w:rPr>
          <w:rFonts w:cs="Arial"/>
          <w:color w:val="000000"/>
          <w:szCs w:val="22"/>
        </w:rPr>
        <w:t>n January 2017</w:t>
      </w:r>
      <w:r w:rsidR="006566E3">
        <w:rPr>
          <w:rFonts w:cs="Arial"/>
          <w:color w:val="000000"/>
          <w:szCs w:val="22"/>
        </w:rPr>
        <w:t xml:space="preserve">, </w:t>
      </w:r>
      <w:hyperlink r:id="rId15" w:history="1">
        <w:r w:rsidR="006566E3" w:rsidRPr="00EB7902">
          <w:rPr>
            <w:rStyle w:val="Hyperlink"/>
            <w:rFonts w:cs="Arial"/>
            <w:sz w:val="22"/>
            <w:szCs w:val="22"/>
          </w:rPr>
          <w:t>a</w:t>
        </w:r>
        <w:r w:rsidR="007D23FF" w:rsidRPr="00EB7902">
          <w:rPr>
            <w:rStyle w:val="Hyperlink"/>
            <w:rFonts w:cs="Arial"/>
            <w:sz w:val="22"/>
            <w:szCs w:val="22"/>
          </w:rPr>
          <w:t xml:space="preserve"> further</w:t>
        </w:r>
        <w:r w:rsidR="006566E3" w:rsidRPr="00EB7902">
          <w:rPr>
            <w:rStyle w:val="Hyperlink"/>
            <w:rFonts w:cs="Arial"/>
            <w:sz w:val="22"/>
            <w:szCs w:val="22"/>
          </w:rPr>
          <w:t xml:space="preserve"> six</w:t>
        </w:r>
        <w:r w:rsidR="007D23FF" w:rsidRPr="00EB7902">
          <w:rPr>
            <w:rStyle w:val="Hyperlink"/>
            <w:rFonts w:cs="Arial"/>
            <w:sz w:val="22"/>
            <w:szCs w:val="22"/>
          </w:rPr>
          <w:t xml:space="preserve"> Opportunity Areas</w:t>
        </w:r>
      </w:hyperlink>
      <w:r w:rsidR="007D23FF" w:rsidRPr="003E73C7">
        <w:rPr>
          <w:rFonts w:cs="Arial"/>
          <w:color w:val="000000"/>
          <w:szCs w:val="22"/>
        </w:rPr>
        <w:t xml:space="preserve"> </w:t>
      </w:r>
      <w:r w:rsidR="006566E3">
        <w:rPr>
          <w:rFonts w:cs="Arial"/>
          <w:color w:val="000000"/>
          <w:szCs w:val="22"/>
        </w:rPr>
        <w:t xml:space="preserve">were announced: </w:t>
      </w:r>
      <w:r w:rsidR="007D23FF" w:rsidRPr="003E73C7">
        <w:rPr>
          <w:rFonts w:cs="Arial"/>
          <w:color w:val="000000"/>
          <w:szCs w:val="22"/>
        </w:rPr>
        <w:t xml:space="preserve">Stoke-on-Trent, Doncaster, Ipswich, Fenland and East Cambridgeshire, Hastings and Bradford. </w:t>
      </w:r>
      <w:r w:rsidR="006566E3" w:rsidRPr="003E73C7">
        <w:rPr>
          <w:rFonts w:cs="Arial"/>
          <w:color w:val="000000"/>
          <w:szCs w:val="22"/>
        </w:rPr>
        <w:t>The programme was launched with a budget of £72 million across three financial years (2017-18, 2018-19 and 2019-20</w:t>
      </w:r>
      <w:r w:rsidR="006566E3">
        <w:rPr>
          <w:rFonts w:cs="Arial"/>
          <w:color w:val="000000"/>
          <w:szCs w:val="22"/>
        </w:rPr>
        <w:t>).</w:t>
      </w:r>
    </w:p>
    <w:p w14:paraId="1B3A918E" w14:textId="5E043F3E" w:rsidR="003E73C7" w:rsidRPr="003E73C7" w:rsidRDefault="006409BC" w:rsidP="00EF22A4">
      <w:pPr>
        <w:pStyle w:val="Numbered"/>
        <w:spacing w:after="160" w:line="288" w:lineRule="auto"/>
        <w:rPr>
          <w:rFonts w:cs="Arial"/>
          <w:color w:val="000000"/>
          <w:szCs w:val="22"/>
        </w:rPr>
      </w:pPr>
      <w:r>
        <w:rPr>
          <w:rFonts w:cs="Arial"/>
          <w:color w:val="000000"/>
          <w:sz w:val="22"/>
          <w:szCs w:val="22"/>
          <w:lang w:eastAsia="en-GB"/>
        </w:rPr>
        <w:t>Within each Opportunity A</w:t>
      </w:r>
      <w:r w:rsidR="007D23FF">
        <w:rPr>
          <w:rFonts w:cs="Arial"/>
          <w:color w:val="000000"/>
          <w:sz w:val="22"/>
          <w:szCs w:val="22"/>
          <w:lang w:eastAsia="en-GB"/>
        </w:rPr>
        <w:t>rea, the Department for Education (DfE) is providing support</w:t>
      </w:r>
      <w:r w:rsidR="00537D89">
        <w:rPr>
          <w:rFonts w:cs="Arial"/>
          <w:color w:val="000000"/>
          <w:sz w:val="22"/>
          <w:szCs w:val="22"/>
          <w:lang w:eastAsia="en-GB"/>
        </w:rPr>
        <w:t xml:space="preserve"> </w:t>
      </w:r>
      <w:r w:rsidR="007D23FF">
        <w:rPr>
          <w:rFonts w:cs="Arial"/>
          <w:color w:val="000000"/>
          <w:sz w:val="22"/>
          <w:szCs w:val="22"/>
          <w:lang w:eastAsia="en-GB"/>
        </w:rPr>
        <w:t>to develop and implement a locally-focused programme,</w:t>
      </w:r>
      <w:r w:rsidR="00537D89">
        <w:rPr>
          <w:rFonts w:cs="Arial"/>
          <w:color w:val="000000"/>
          <w:sz w:val="22"/>
          <w:szCs w:val="22"/>
          <w:lang w:eastAsia="en-GB"/>
        </w:rPr>
        <w:t xml:space="preserve"> targeted and tailored to the </w:t>
      </w:r>
      <w:r w:rsidR="007D23FF">
        <w:rPr>
          <w:rFonts w:cs="Arial"/>
          <w:color w:val="000000"/>
          <w:sz w:val="22"/>
          <w:szCs w:val="22"/>
          <w:lang w:eastAsia="en-GB"/>
        </w:rPr>
        <w:t xml:space="preserve">local </w:t>
      </w:r>
      <w:r w:rsidR="00537D89">
        <w:rPr>
          <w:rFonts w:cs="Arial"/>
          <w:color w:val="000000"/>
          <w:sz w:val="22"/>
          <w:szCs w:val="22"/>
          <w:lang w:eastAsia="en-GB"/>
        </w:rPr>
        <w:t>issues identified and to that which is likely to have the biggest impact.</w:t>
      </w:r>
      <w:r w:rsidR="00537D89" w:rsidRPr="003E73C7">
        <w:rPr>
          <w:rFonts w:cs="Arial"/>
          <w:color w:val="000000"/>
          <w:sz w:val="22"/>
          <w:szCs w:val="22"/>
          <w:lang w:eastAsia="en-GB"/>
        </w:rPr>
        <w:t xml:space="preserve"> </w:t>
      </w:r>
    </w:p>
    <w:p w14:paraId="30EEB507" w14:textId="00531BD0" w:rsidR="001F13B7" w:rsidRDefault="003E73C7" w:rsidP="001F13B7">
      <w:pPr>
        <w:tabs>
          <w:tab w:val="num" w:pos="567"/>
        </w:tabs>
        <w:rPr>
          <w:rFonts w:cs="Arial"/>
          <w:szCs w:val="22"/>
        </w:rPr>
      </w:pPr>
      <w:r w:rsidRPr="003E73C7">
        <w:rPr>
          <w:rFonts w:cs="Arial"/>
          <w:color w:val="000000"/>
          <w:szCs w:val="22"/>
        </w:rPr>
        <w:t xml:space="preserve">The </w:t>
      </w:r>
      <w:r w:rsidR="00EF22A4">
        <w:rPr>
          <w:rFonts w:cs="Arial"/>
          <w:color w:val="000000"/>
          <w:szCs w:val="22"/>
        </w:rPr>
        <w:t>evaluation</w:t>
      </w:r>
      <w:r w:rsidRPr="003E73C7">
        <w:rPr>
          <w:rFonts w:cs="Arial"/>
          <w:color w:val="000000"/>
          <w:szCs w:val="22"/>
        </w:rPr>
        <w:t xml:space="preserve"> being tendered </w:t>
      </w:r>
      <w:r w:rsidR="00EF22A4">
        <w:rPr>
          <w:rFonts w:cs="Arial"/>
          <w:color w:val="000000"/>
          <w:szCs w:val="22"/>
        </w:rPr>
        <w:t>should seek</w:t>
      </w:r>
      <w:r w:rsidRPr="003E73C7">
        <w:rPr>
          <w:rFonts w:cs="Arial"/>
          <w:color w:val="000000"/>
          <w:szCs w:val="22"/>
        </w:rPr>
        <w:t xml:space="preserve"> </w:t>
      </w:r>
      <w:r w:rsidR="00EB0D87">
        <w:rPr>
          <w:rFonts w:cs="Arial"/>
          <w:color w:val="000000"/>
          <w:szCs w:val="22"/>
        </w:rPr>
        <w:t xml:space="preserve">to </w:t>
      </w:r>
      <w:r w:rsidRPr="003E73C7">
        <w:rPr>
          <w:rFonts w:cs="Arial"/>
          <w:color w:val="000000"/>
          <w:szCs w:val="22"/>
        </w:rPr>
        <w:t xml:space="preserve">explore the progress of </w:t>
      </w:r>
      <w:r w:rsidR="00EB0D87">
        <w:rPr>
          <w:rFonts w:cs="Arial"/>
          <w:color w:val="000000"/>
          <w:szCs w:val="22"/>
        </w:rPr>
        <w:t xml:space="preserve">the </w:t>
      </w:r>
      <w:r w:rsidRPr="003E73C7">
        <w:rPr>
          <w:rFonts w:cs="Arial"/>
          <w:color w:val="000000"/>
          <w:szCs w:val="22"/>
        </w:rPr>
        <w:t xml:space="preserve">Opportunity Areas </w:t>
      </w:r>
      <w:r w:rsidR="00EB0D87">
        <w:rPr>
          <w:rFonts w:cs="Arial"/>
          <w:color w:val="000000"/>
          <w:szCs w:val="22"/>
        </w:rPr>
        <w:t xml:space="preserve">programme </w:t>
      </w:r>
      <w:r w:rsidRPr="003E73C7">
        <w:rPr>
          <w:rFonts w:cs="Arial"/>
          <w:color w:val="000000"/>
          <w:szCs w:val="22"/>
        </w:rPr>
        <w:t xml:space="preserve">across the remainder of </w:t>
      </w:r>
      <w:r w:rsidR="00EF22A4">
        <w:rPr>
          <w:rFonts w:cs="Arial"/>
          <w:color w:val="000000"/>
          <w:szCs w:val="22"/>
        </w:rPr>
        <w:t>its implementation (until 2020)</w:t>
      </w:r>
      <w:r w:rsidRPr="003E73C7">
        <w:rPr>
          <w:rFonts w:cs="Arial"/>
          <w:color w:val="000000"/>
          <w:szCs w:val="22"/>
        </w:rPr>
        <w:t xml:space="preserve"> and provide a rigorous and detailed evaluation of </w:t>
      </w:r>
      <w:r w:rsidR="00423501">
        <w:rPr>
          <w:rFonts w:cs="Arial"/>
          <w:color w:val="000000"/>
          <w:szCs w:val="22"/>
        </w:rPr>
        <w:t xml:space="preserve">the programme’s </w:t>
      </w:r>
      <w:r w:rsidRPr="003E73C7">
        <w:rPr>
          <w:rFonts w:cs="Arial"/>
          <w:color w:val="000000"/>
          <w:szCs w:val="22"/>
        </w:rPr>
        <w:t>impact</w:t>
      </w:r>
      <w:r w:rsidRPr="003E73C7">
        <w:rPr>
          <w:rFonts w:cs="Arial"/>
          <w:szCs w:val="22"/>
        </w:rPr>
        <w:t>.</w:t>
      </w:r>
      <w:r w:rsidR="001F13B7">
        <w:rPr>
          <w:rFonts w:cs="Arial"/>
          <w:szCs w:val="22"/>
        </w:rPr>
        <w:t xml:space="preserve"> This project </w:t>
      </w:r>
      <w:r w:rsidR="001F13B7" w:rsidRPr="00BD5B34">
        <w:rPr>
          <w:rFonts w:cs="Arial"/>
          <w:szCs w:val="22"/>
        </w:rPr>
        <w:t>builds on the process eva</w:t>
      </w:r>
      <w:r w:rsidR="001F13B7">
        <w:rPr>
          <w:rFonts w:cs="Arial"/>
          <w:szCs w:val="22"/>
        </w:rPr>
        <w:t>luation of the first year of</w:t>
      </w:r>
      <w:r w:rsidR="001F13B7" w:rsidRPr="00BD5B34">
        <w:rPr>
          <w:rFonts w:cs="Arial"/>
          <w:szCs w:val="22"/>
        </w:rPr>
        <w:t xml:space="preserve"> </w:t>
      </w:r>
      <w:r w:rsidR="00423501">
        <w:rPr>
          <w:rFonts w:cs="Arial"/>
          <w:szCs w:val="22"/>
        </w:rPr>
        <w:t xml:space="preserve">the </w:t>
      </w:r>
      <w:r w:rsidR="001F13B7">
        <w:rPr>
          <w:rFonts w:cs="Arial"/>
          <w:szCs w:val="22"/>
        </w:rPr>
        <w:t>Opportunity Areas</w:t>
      </w:r>
      <w:r w:rsidR="00423501">
        <w:rPr>
          <w:rFonts w:cs="Arial"/>
          <w:szCs w:val="22"/>
        </w:rPr>
        <w:t xml:space="preserve"> programme</w:t>
      </w:r>
      <w:r w:rsidR="001F13B7">
        <w:rPr>
          <w:rFonts w:cs="Arial"/>
          <w:szCs w:val="22"/>
        </w:rPr>
        <w:t>,</w:t>
      </w:r>
      <w:r w:rsidR="001F13B7" w:rsidRPr="00BD5B34">
        <w:rPr>
          <w:rFonts w:cs="Arial"/>
          <w:szCs w:val="22"/>
        </w:rPr>
        <w:t xml:space="preserve"> commissioned from the National Foundation for </w:t>
      </w:r>
      <w:r w:rsidR="001F13B7" w:rsidRPr="00BD5B34">
        <w:rPr>
          <w:rFonts w:cs="Arial"/>
          <w:szCs w:val="22"/>
        </w:rPr>
        <w:lastRenderedPageBreak/>
        <w:t xml:space="preserve">Educational Research (NFER) in December 2016 and due to conclude in Spring 2018. </w:t>
      </w:r>
      <w:r w:rsidR="001F13B7">
        <w:rPr>
          <w:rFonts w:cs="Arial"/>
          <w:szCs w:val="22"/>
        </w:rPr>
        <w:t>Additionally, t</w:t>
      </w:r>
      <w:r w:rsidR="001F13B7" w:rsidRPr="00BD5B34">
        <w:rPr>
          <w:rFonts w:cs="Arial"/>
          <w:szCs w:val="22"/>
        </w:rPr>
        <w:t xml:space="preserve">he evaluation will work alongside the </w:t>
      </w:r>
      <w:r w:rsidR="001F13B7">
        <w:rPr>
          <w:rFonts w:cs="Arial"/>
          <w:szCs w:val="22"/>
        </w:rPr>
        <w:t>D</w:t>
      </w:r>
      <w:r w:rsidR="006409BC">
        <w:rPr>
          <w:rFonts w:cs="Arial"/>
          <w:szCs w:val="22"/>
        </w:rPr>
        <w:t>fE</w:t>
      </w:r>
      <w:r w:rsidR="00EB0D87">
        <w:rPr>
          <w:rFonts w:cs="Arial"/>
          <w:szCs w:val="22"/>
        </w:rPr>
        <w:t xml:space="preserve"> Opportunity Areas</w:t>
      </w:r>
      <w:r w:rsidR="001F13B7">
        <w:rPr>
          <w:rFonts w:cs="Arial"/>
          <w:szCs w:val="22"/>
        </w:rPr>
        <w:t xml:space="preserve"> </w:t>
      </w:r>
      <w:r w:rsidR="001F13B7" w:rsidRPr="00BD5B34">
        <w:rPr>
          <w:rFonts w:cs="Arial"/>
          <w:szCs w:val="22"/>
        </w:rPr>
        <w:t xml:space="preserve">data team, who have focused on delivering the </w:t>
      </w:r>
      <w:r w:rsidR="0068573F">
        <w:rPr>
          <w:rFonts w:cs="Arial"/>
          <w:szCs w:val="22"/>
        </w:rPr>
        <w:t xml:space="preserve">educational </w:t>
      </w:r>
      <w:r w:rsidR="00EB0D87">
        <w:rPr>
          <w:rFonts w:cs="Arial"/>
          <w:szCs w:val="22"/>
        </w:rPr>
        <w:t xml:space="preserve">outcomes </w:t>
      </w:r>
      <w:r w:rsidR="001F13B7" w:rsidRPr="00BD5B34">
        <w:rPr>
          <w:rFonts w:cs="Arial"/>
          <w:szCs w:val="22"/>
        </w:rPr>
        <w:t xml:space="preserve">and performance data which underpinned selection of the areas and </w:t>
      </w:r>
      <w:r w:rsidR="00EB0D87">
        <w:rPr>
          <w:rFonts w:cs="Arial"/>
          <w:szCs w:val="22"/>
        </w:rPr>
        <w:t xml:space="preserve">the detailed diagnosis of local performance </w:t>
      </w:r>
      <w:r w:rsidR="001F13B7" w:rsidRPr="00BD5B34">
        <w:rPr>
          <w:rFonts w:cs="Arial"/>
          <w:szCs w:val="22"/>
        </w:rPr>
        <w:t xml:space="preserve">issues. </w:t>
      </w:r>
    </w:p>
    <w:p w14:paraId="50A3891C" w14:textId="77777777" w:rsidR="00A57128" w:rsidRDefault="00A57128" w:rsidP="001F2CE2">
      <w:pPr>
        <w:pStyle w:val="Heading2"/>
      </w:pPr>
      <w:r w:rsidRPr="003E05F9">
        <w:t>Evaluation aims</w:t>
      </w:r>
    </w:p>
    <w:p w14:paraId="2CCFE086" w14:textId="77777777" w:rsidR="00404469" w:rsidRDefault="00404469" w:rsidP="00404469">
      <w:pPr>
        <w:tabs>
          <w:tab w:val="num" w:pos="567"/>
        </w:tabs>
        <w:rPr>
          <w:rFonts w:cs="Arial"/>
          <w:szCs w:val="22"/>
        </w:rPr>
      </w:pPr>
      <w:r>
        <w:rPr>
          <w:rFonts w:cs="Arial"/>
          <w:szCs w:val="22"/>
        </w:rPr>
        <w:t>The primary objectives</w:t>
      </w:r>
      <w:r w:rsidR="007D23FF">
        <w:rPr>
          <w:rFonts w:cs="Arial"/>
          <w:szCs w:val="22"/>
        </w:rPr>
        <w:t xml:space="preserve"> for the project </w:t>
      </w:r>
      <w:r>
        <w:rPr>
          <w:rFonts w:cs="Arial"/>
          <w:szCs w:val="22"/>
        </w:rPr>
        <w:t>are to:</w:t>
      </w:r>
    </w:p>
    <w:p w14:paraId="3DE536FE" w14:textId="11FA195C" w:rsidR="00404469" w:rsidRDefault="00404469" w:rsidP="00BD5B34">
      <w:pPr>
        <w:pStyle w:val="Bullets"/>
        <w:numPr>
          <w:ilvl w:val="0"/>
          <w:numId w:val="48"/>
        </w:numPr>
        <w:spacing w:after="120" w:line="288" w:lineRule="auto"/>
        <w:contextualSpacing w:val="0"/>
        <w:jc w:val="both"/>
        <w:rPr>
          <w:rFonts w:ascii="Arial" w:hAnsi="Arial"/>
          <w:sz w:val="22"/>
        </w:rPr>
      </w:pPr>
      <w:r>
        <w:rPr>
          <w:rFonts w:ascii="Arial" w:hAnsi="Arial"/>
          <w:sz w:val="22"/>
        </w:rPr>
        <w:t>Assess whether the increased focus, funding and accountability an</w:t>
      </w:r>
      <w:r w:rsidR="00EF22A4">
        <w:rPr>
          <w:rFonts w:ascii="Arial" w:hAnsi="Arial"/>
          <w:sz w:val="22"/>
        </w:rPr>
        <w:t xml:space="preserve"> Opportunity Area</w:t>
      </w:r>
      <w:r>
        <w:rPr>
          <w:rFonts w:ascii="Arial" w:hAnsi="Arial"/>
          <w:sz w:val="22"/>
        </w:rPr>
        <w:t xml:space="preserve"> receives is associated with an improvement in </w:t>
      </w:r>
      <w:r w:rsidR="000007A0">
        <w:rPr>
          <w:rFonts w:ascii="Arial" w:hAnsi="Arial"/>
          <w:sz w:val="22"/>
        </w:rPr>
        <w:t xml:space="preserve">educational </w:t>
      </w:r>
      <w:r w:rsidR="00E62816">
        <w:rPr>
          <w:rFonts w:ascii="Arial" w:hAnsi="Arial"/>
          <w:sz w:val="22"/>
        </w:rPr>
        <w:t xml:space="preserve">and related </w:t>
      </w:r>
      <w:r w:rsidR="000007A0">
        <w:rPr>
          <w:rFonts w:ascii="Arial" w:hAnsi="Arial"/>
          <w:sz w:val="22"/>
        </w:rPr>
        <w:t>outcomes</w:t>
      </w:r>
      <w:r>
        <w:rPr>
          <w:rFonts w:ascii="Arial" w:hAnsi="Arial"/>
          <w:sz w:val="22"/>
        </w:rPr>
        <w:t>, relative to similar areas which are not Opportunity Areas.</w:t>
      </w:r>
    </w:p>
    <w:p w14:paraId="1D7B7E99" w14:textId="77777777" w:rsidR="00404469" w:rsidRDefault="00404469" w:rsidP="00BD5B34">
      <w:pPr>
        <w:pStyle w:val="Bullets"/>
        <w:numPr>
          <w:ilvl w:val="0"/>
          <w:numId w:val="48"/>
        </w:numPr>
        <w:spacing w:after="120" w:line="288" w:lineRule="auto"/>
        <w:contextualSpacing w:val="0"/>
        <w:jc w:val="both"/>
        <w:rPr>
          <w:rFonts w:ascii="Arial" w:hAnsi="Arial"/>
          <w:sz w:val="22"/>
        </w:rPr>
      </w:pPr>
      <w:r>
        <w:rPr>
          <w:rFonts w:ascii="Arial" w:hAnsi="Arial"/>
          <w:sz w:val="22"/>
        </w:rPr>
        <w:t>Build the evidence base on social mobility interventions</w:t>
      </w:r>
      <w:r w:rsidR="00BD5B34">
        <w:rPr>
          <w:rFonts w:ascii="Arial" w:hAnsi="Arial"/>
          <w:sz w:val="22"/>
        </w:rPr>
        <w:t>, exa</w:t>
      </w:r>
      <w:r w:rsidR="00D024B3">
        <w:rPr>
          <w:rFonts w:ascii="Arial" w:hAnsi="Arial"/>
          <w:sz w:val="22"/>
        </w:rPr>
        <w:t>mining what has worked within Opportunity Area</w:t>
      </w:r>
      <w:r w:rsidR="00BD5B34">
        <w:rPr>
          <w:rFonts w:ascii="Arial" w:hAnsi="Arial"/>
          <w:sz w:val="22"/>
        </w:rPr>
        <w:t xml:space="preserve">s and </w:t>
      </w:r>
      <w:r>
        <w:rPr>
          <w:rFonts w:ascii="Arial" w:hAnsi="Arial"/>
          <w:sz w:val="22"/>
        </w:rPr>
        <w:t>identify</w:t>
      </w:r>
      <w:r w:rsidR="00BD5B34">
        <w:rPr>
          <w:rFonts w:ascii="Arial" w:hAnsi="Arial"/>
          <w:sz w:val="22"/>
        </w:rPr>
        <w:t>ing</w:t>
      </w:r>
      <w:r>
        <w:rPr>
          <w:rFonts w:ascii="Arial" w:hAnsi="Arial"/>
          <w:sz w:val="22"/>
        </w:rPr>
        <w:t xml:space="preserve"> </w:t>
      </w:r>
      <w:r w:rsidR="00D024B3">
        <w:rPr>
          <w:rFonts w:ascii="Arial" w:hAnsi="Arial"/>
          <w:sz w:val="22"/>
        </w:rPr>
        <w:t>i</w:t>
      </w:r>
      <w:r>
        <w:rPr>
          <w:rFonts w:ascii="Arial" w:hAnsi="Arial"/>
          <w:sz w:val="22"/>
        </w:rPr>
        <w:t>nterventions which have the potential to be implemented in different areas or regions.</w:t>
      </w:r>
    </w:p>
    <w:p w14:paraId="25B482A2" w14:textId="77777777" w:rsidR="00404469" w:rsidRPr="00D024B3" w:rsidRDefault="00404469" w:rsidP="004216AE">
      <w:pPr>
        <w:pStyle w:val="Bullets"/>
        <w:numPr>
          <w:ilvl w:val="0"/>
          <w:numId w:val="48"/>
        </w:numPr>
        <w:spacing w:after="160" w:line="288" w:lineRule="auto"/>
        <w:contextualSpacing w:val="0"/>
        <w:jc w:val="both"/>
        <w:rPr>
          <w:rFonts w:ascii="Arial" w:hAnsi="Arial"/>
          <w:sz w:val="22"/>
        </w:rPr>
      </w:pPr>
      <w:r w:rsidRPr="00D024B3">
        <w:rPr>
          <w:rFonts w:ascii="Arial" w:hAnsi="Arial"/>
          <w:sz w:val="22"/>
        </w:rPr>
        <w:t>Understand what works in creating and delivering a sustainable place</w:t>
      </w:r>
      <w:r w:rsidR="00EA43CE">
        <w:rPr>
          <w:rFonts w:ascii="Arial" w:hAnsi="Arial"/>
          <w:sz w:val="22"/>
        </w:rPr>
        <w:t>-</w:t>
      </w:r>
      <w:r w:rsidRPr="00D024B3">
        <w:rPr>
          <w:rFonts w:ascii="Arial" w:hAnsi="Arial"/>
          <w:sz w:val="22"/>
        </w:rPr>
        <w:t xml:space="preserve">based approach to tackling educational issues at a local level. This includes </w:t>
      </w:r>
      <w:r w:rsidR="00EA43CE">
        <w:rPr>
          <w:rFonts w:ascii="Arial" w:hAnsi="Arial"/>
          <w:sz w:val="22"/>
        </w:rPr>
        <w:t xml:space="preserve">both </w:t>
      </w:r>
      <w:r w:rsidRPr="00D024B3">
        <w:rPr>
          <w:rFonts w:ascii="Arial" w:hAnsi="Arial"/>
          <w:sz w:val="22"/>
        </w:rPr>
        <w:t>understanding whether a place</w:t>
      </w:r>
      <w:r w:rsidR="00D024B3">
        <w:rPr>
          <w:rFonts w:ascii="Arial" w:hAnsi="Arial"/>
          <w:sz w:val="22"/>
        </w:rPr>
        <w:t>-</w:t>
      </w:r>
      <w:r w:rsidRPr="00D024B3">
        <w:rPr>
          <w:rFonts w:ascii="Arial" w:hAnsi="Arial"/>
          <w:sz w:val="22"/>
        </w:rPr>
        <w:t xml:space="preserve">based approach has benefits in effecting </w:t>
      </w:r>
      <w:r w:rsidR="00EA43CE">
        <w:rPr>
          <w:rFonts w:ascii="Arial" w:hAnsi="Arial"/>
          <w:sz w:val="22"/>
        </w:rPr>
        <w:t>systemic</w:t>
      </w:r>
      <w:r w:rsidR="00D024B3" w:rsidRPr="00D024B3">
        <w:rPr>
          <w:rFonts w:ascii="Arial" w:hAnsi="Arial"/>
          <w:sz w:val="22"/>
        </w:rPr>
        <w:t xml:space="preserve"> improvement and </w:t>
      </w:r>
      <w:r w:rsidRPr="00D024B3">
        <w:rPr>
          <w:rFonts w:ascii="Arial" w:hAnsi="Arial"/>
          <w:sz w:val="22"/>
        </w:rPr>
        <w:t>build</w:t>
      </w:r>
      <w:r w:rsidR="00D024B3" w:rsidRPr="00D024B3">
        <w:rPr>
          <w:rFonts w:ascii="Arial" w:hAnsi="Arial"/>
          <w:sz w:val="22"/>
        </w:rPr>
        <w:t>ing</w:t>
      </w:r>
      <w:r w:rsidRPr="00D024B3">
        <w:rPr>
          <w:rFonts w:ascii="Arial" w:hAnsi="Arial"/>
          <w:sz w:val="22"/>
        </w:rPr>
        <w:t xml:space="preserve"> the evide</w:t>
      </w:r>
      <w:r w:rsidR="00EA43CE">
        <w:rPr>
          <w:rFonts w:ascii="Arial" w:hAnsi="Arial"/>
          <w:sz w:val="22"/>
        </w:rPr>
        <w:t xml:space="preserve">nce base on what works in </w:t>
      </w:r>
      <w:r w:rsidRPr="00D024B3">
        <w:rPr>
          <w:rFonts w:ascii="Arial" w:hAnsi="Arial"/>
          <w:sz w:val="22"/>
        </w:rPr>
        <w:t>particular types of locations</w:t>
      </w:r>
      <w:r w:rsidR="00EA43CE">
        <w:rPr>
          <w:rFonts w:ascii="Arial" w:hAnsi="Arial"/>
          <w:sz w:val="22"/>
        </w:rPr>
        <w:t>, e.g. coastal or</w:t>
      </w:r>
      <w:r w:rsidRPr="00D024B3">
        <w:rPr>
          <w:rFonts w:ascii="Arial" w:hAnsi="Arial"/>
          <w:sz w:val="22"/>
        </w:rPr>
        <w:t xml:space="preserve"> geographically isolated locations</w:t>
      </w:r>
      <w:r w:rsidR="00AC5CD7" w:rsidRPr="00D024B3">
        <w:rPr>
          <w:rFonts w:ascii="Arial" w:hAnsi="Arial"/>
          <w:sz w:val="22"/>
        </w:rPr>
        <w:t>.</w:t>
      </w:r>
    </w:p>
    <w:p w14:paraId="1F512EDE" w14:textId="77777777" w:rsidR="00361779" w:rsidRDefault="00361779" w:rsidP="00361779">
      <w:r>
        <w:t xml:space="preserve">The </w:t>
      </w:r>
      <w:r w:rsidR="00053FFD">
        <w:t xml:space="preserve">proposed </w:t>
      </w:r>
      <w:r>
        <w:t>evaluation programme should comprise the following strands:</w:t>
      </w:r>
    </w:p>
    <w:p w14:paraId="087FCD4C" w14:textId="52E4C755" w:rsidR="00361779" w:rsidRDefault="00361779" w:rsidP="00AC5CD7">
      <w:pPr>
        <w:pStyle w:val="ListParagraph"/>
        <w:numPr>
          <w:ilvl w:val="0"/>
          <w:numId w:val="39"/>
        </w:numPr>
        <w:ind w:left="714" w:hanging="357"/>
      </w:pPr>
      <w:r>
        <w:t>Overall impact evaluation –</w:t>
      </w:r>
      <w:r w:rsidR="00A64B0F">
        <w:t xml:space="preserve"> </w:t>
      </w:r>
      <w:r>
        <w:t xml:space="preserve">a </w:t>
      </w:r>
      <w:r w:rsidR="004C267E">
        <w:t>quasi-experimental</w:t>
      </w:r>
      <w:r>
        <w:t xml:space="preserve"> analysis comparing O</w:t>
      </w:r>
      <w:r w:rsidR="00053FFD">
        <w:t>pportunity Areas</w:t>
      </w:r>
      <w:r>
        <w:t xml:space="preserve"> </w:t>
      </w:r>
      <w:r w:rsidR="000007A0">
        <w:t>outcomes</w:t>
      </w:r>
      <w:r w:rsidR="00AF3CD8">
        <w:t xml:space="preserve"> </w:t>
      </w:r>
      <w:r>
        <w:t>against matched comparison area</w:t>
      </w:r>
      <w:r w:rsidR="00423501">
        <w:t>s</w:t>
      </w:r>
      <w:r>
        <w:t xml:space="preserve">. </w:t>
      </w:r>
    </w:p>
    <w:p w14:paraId="29F39D80" w14:textId="57C21156" w:rsidR="00361779" w:rsidRDefault="00361779" w:rsidP="00AC5CD7">
      <w:pPr>
        <w:pStyle w:val="ListParagraph"/>
        <w:numPr>
          <w:ilvl w:val="0"/>
          <w:numId w:val="39"/>
        </w:numPr>
        <w:ind w:left="714" w:hanging="357"/>
      </w:pPr>
      <w:r>
        <w:t xml:space="preserve">Intervention level evaluation – which will analyse the delivery and impact of a </w:t>
      </w:r>
      <w:r w:rsidR="00B125D0">
        <w:t>subset</w:t>
      </w:r>
      <w:r>
        <w:t xml:space="preserve"> of interventions within </w:t>
      </w:r>
      <w:r w:rsidR="00053FFD">
        <w:t>Opportunity Areas</w:t>
      </w:r>
    </w:p>
    <w:p w14:paraId="01EDF685" w14:textId="43C7CC95" w:rsidR="00361779" w:rsidRDefault="006016E2" w:rsidP="00361779">
      <w:pPr>
        <w:pStyle w:val="ListParagraph"/>
        <w:numPr>
          <w:ilvl w:val="0"/>
          <w:numId w:val="39"/>
        </w:numPr>
      </w:pPr>
      <w:r>
        <w:t>Analysis of i</w:t>
      </w:r>
      <w:r w:rsidR="00361779">
        <w:t>mplementing a place-based approach</w:t>
      </w:r>
      <w:r w:rsidR="000441EA">
        <w:t xml:space="preserve"> and its impact</w:t>
      </w:r>
      <w:r w:rsidR="00361779">
        <w:t xml:space="preserve"> – which wil</w:t>
      </w:r>
      <w:r>
        <w:t>l explore</w:t>
      </w:r>
      <w:r w:rsidR="00361779">
        <w:t xml:space="preserve"> the overall approach to delivery and holistic place-based approaches to key challenges</w:t>
      </w:r>
      <w:r>
        <w:t xml:space="preserve"> in Opportunity Areas</w:t>
      </w:r>
    </w:p>
    <w:p w14:paraId="039A9BCA" w14:textId="6C5C531D" w:rsidR="00CA160D" w:rsidRDefault="00361779" w:rsidP="00CA160D">
      <w:pPr>
        <w:pStyle w:val="ListParagraph"/>
        <w:numPr>
          <w:ilvl w:val="0"/>
          <w:numId w:val="39"/>
        </w:numPr>
      </w:pPr>
      <w:r>
        <w:t xml:space="preserve">Cost benefit analysis – </w:t>
      </w:r>
      <w:r w:rsidR="006016E2">
        <w:t xml:space="preserve">on the </w:t>
      </w:r>
      <w:r>
        <w:t>financial, economic and social</w:t>
      </w:r>
      <w:r w:rsidR="006016E2">
        <w:t xml:space="preserve"> dimensions of the Opportunity Areas programme</w:t>
      </w:r>
      <w:r w:rsidR="00E62816">
        <w:t>.</w:t>
      </w:r>
    </w:p>
    <w:p w14:paraId="44DB8102" w14:textId="77777777" w:rsidR="00867E7A" w:rsidRDefault="00CA160D" w:rsidP="00942B64">
      <w:pPr>
        <w:tabs>
          <w:tab w:val="num" w:pos="567"/>
        </w:tabs>
        <w:rPr>
          <w:rFonts w:cs="Arial"/>
          <w:szCs w:val="22"/>
        </w:rPr>
      </w:pPr>
      <w:r>
        <w:t xml:space="preserve">We commissioned </w:t>
      </w:r>
      <w:hyperlink r:id="rId16" w:history="1">
        <w:r w:rsidRPr="00CA160D">
          <w:rPr>
            <w:rStyle w:val="Hyperlink"/>
            <w:sz w:val="22"/>
          </w:rPr>
          <w:t>scoping work</w:t>
        </w:r>
      </w:hyperlink>
      <w:r>
        <w:t xml:space="preserve"> from York Consulting to inform our evaluation of the research tenders and to review the types of methods contractors could consider. However, </w:t>
      </w:r>
      <w:r>
        <w:rPr>
          <w:rFonts w:cs="Arial"/>
          <w:szCs w:val="22"/>
        </w:rPr>
        <w:t xml:space="preserve">we </w:t>
      </w:r>
      <w:r w:rsidR="00423501">
        <w:rPr>
          <w:rFonts w:cs="Arial"/>
          <w:szCs w:val="22"/>
        </w:rPr>
        <w:t>expect bidders</w:t>
      </w:r>
      <w:r w:rsidR="00F86983">
        <w:rPr>
          <w:rFonts w:cs="Arial"/>
          <w:szCs w:val="22"/>
        </w:rPr>
        <w:t xml:space="preserve"> or consortia</w:t>
      </w:r>
      <w:r w:rsidR="00423501">
        <w:rPr>
          <w:rFonts w:cs="Arial"/>
          <w:szCs w:val="22"/>
        </w:rPr>
        <w:t xml:space="preserve"> to set out the methods they recommend as being the best value way of answering the research questions and delivering these strands of work. </w:t>
      </w:r>
    </w:p>
    <w:p w14:paraId="5830FB2F" w14:textId="768419B7" w:rsidR="00942B64" w:rsidRDefault="00423501" w:rsidP="00942B64">
      <w:pPr>
        <w:tabs>
          <w:tab w:val="num" w:pos="567"/>
        </w:tabs>
      </w:pPr>
      <w:r>
        <w:rPr>
          <w:rFonts w:cs="Arial"/>
          <w:szCs w:val="22"/>
        </w:rPr>
        <w:t>As this is a large multi-strand project</w:t>
      </w:r>
      <w:r w:rsidR="000441EA">
        <w:rPr>
          <w:rFonts w:cs="Arial"/>
          <w:szCs w:val="22"/>
        </w:rPr>
        <w:t>;</w:t>
      </w:r>
      <w:r>
        <w:rPr>
          <w:rFonts w:cs="Arial"/>
          <w:szCs w:val="22"/>
        </w:rPr>
        <w:t xml:space="preserve"> </w:t>
      </w:r>
      <w:r w:rsidR="000441EA">
        <w:rPr>
          <w:rFonts w:cs="Arial"/>
          <w:szCs w:val="22"/>
        </w:rPr>
        <w:t xml:space="preserve">experience </w:t>
      </w:r>
      <w:r>
        <w:rPr>
          <w:rFonts w:cs="Arial"/>
          <w:szCs w:val="22"/>
        </w:rPr>
        <w:t>of evaluating complex policies</w:t>
      </w:r>
      <w:r w:rsidR="000441EA">
        <w:rPr>
          <w:rFonts w:cs="Arial"/>
          <w:szCs w:val="22"/>
        </w:rPr>
        <w:t xml:space="preserve"> is particularly important.  </w:t>
      </w:r>
      <w:r w:rsidR="00942B64">
        <w:rPr>
          <w:rFonts w:cs="Arial"/>
          <w:szCs w:val="22"/>
        </w:rPr>
        <w:t xml:space="preserve">We are also open to proposals which include theory based policy evaluation techniques as part of the analysis of implementation of a place-based approach strand of work. </w:t>
      </w:r>
    </w:p>
    <w:p w14:paraId="1561B5C8" w14:textId="254169AB" w:rsidR="002C720D" w:rsidRPr="00CA160D" w:rsidRDefault="000441EA" w:rsidP="00CA160D">
      <w:r>
        <w:rPr>
          <w:rFonts w:cs="Arial"/>
          <w:szCs w:val="22"/>
        </w:rPr>
        <w:t>W</w:t>
      </w:r>
      <w:r w:rsidR="00CA160D">
        <w:rPr>
          <w:rFonts w:cs="Arial"/>
          <w:szCs w:val="22"/>
        </w:rPr>
        <w:t>e would also welcome proposals</w:t>
      </w:r>
      <w:r>
        <w:rPr>
          <w:rFonts w:cs="Arial"/>
          <w:szCs w:val="22"/>
        </w:rPr>
        <w:t xml:space="preserve"> for identifying impact at a more thematic level e.g. how we might assess the programme impact of different OA approaches to </w:t>
      </w:r>
      <w:r w:rsidR="00292D78">
        <w:rPr>
          <w:rFonts w:cs="Arial"/>
          <w:szCs w:val="22"/>
        </w:rPr>
        <w:t xml:space="preserve">cross programme challenges such as </w:t>
      </w:r>
      <w:r w:rsidR="00867E7A">
        <w:rPr>
          <w:rFonts w:cs="Arial"/>
          <w:szCs w:val="22"/>
        </w:rPr>
        <w:t xml:space="preserve">improving </w:t>
      </w:r>
      <w:r>
        <w:rPr>
          <w:rFonts w:cs="Arial"/>
          <w:szCs w:val="22"/>
        </w:rPr>
        <w:t xml:space="preserve">language development in the early years. </w:t>
      </w:r>
    </w:p>
    <w:p w14:paraId="63415070" w14:textId="77777777" w:rsidR="00867E7A" w:rsidRDefault="00867E7A" w:rsidP="001F2CE2">
      <w:pPr>
        <w:pStyle w:val="Heading2"/>
      </w:pPr>
    </w:p>
    <w:p w14:paraId="29092D92" w14:textId="28446772" w:rsidR="004A600B" w:rsidRDefault="004A600B" w:rsidP="001F2CE2">
      <w:pPr>
        <w:pStyle w:val="Heading2"/>
      </w:pPr>
      <w:r>
        <w:t>Timing</w:t>
      </w:r>
    </w:p>
    <w:p w14:paraId="60260CAF" w14:textId="64CBEDBF" w:rsidR="00243D59" w:rsidRDefault="00A03BE2" w:rsidP="00243D59">
      <w:pPr>
        <w:pStyle w:val="ListParagraph"/>
        <w:numPr>
          <w:ilvl w:val="0"/>
          <w:numId w:val="44"/>
        </w:numPr>
        <w:ind w:left="851" w:hanging="491"/>
      </w:pPr>
      <w:r>
        <w:t>Deadline for EOIs – 5pm, 13</w:t>
      </w:r>
      <w:r w:rsidR="00041AE5" w:rsidRPr="00041AE5">
        <w:rPr>
          <w:vertAlign w:val="superscript"/>
        </w:rPr>
        <w:t>th</w:t>
      </w:r>
      <w:r w:rsidR="00041AE5">
        <w:t xml:space="preserve"> October 2017</w:t>
      </w:r>
    </w:p>
    <w:p w14:paraId="2EC17CD4" w14:textId="14EDCF07" w:rsidR="00243D59" w:rsidRDefault="00243D59" w:rsidP="00243D59">
      <w:pPr>
        <w:pStyle w:val="ListParagraph"/>
        <w:numPr>
          <w:ilvl w:val="0"/>
          <w:numId w:val="44"/>
        </w:numPr>
        <w:ind w:left="851" w:hanging="491"/>
      </w:pPr>
      <w:r>
        <w:t>Invit</w:t>
      </w:r>
      <w:r w:rsidR="00A03BE2">
        <w:t>ations to Tender issued – w/c 23</w:t>
      </w:r>
      <w:r w:rsidR="00A03BE2" w:rsidRPr="00A03BE2">
        <w:rPr>
          <w:vertAlign w:val="superscript"/>
        </w:rPr>
        <w:t>rd</w:t>
      </w:r>
      <w:r w:rsidR="00A03BE2">
        <w:t xml:space="preserve"> October </w:t>
      </w:r>
      <w:r w:rsidR="00041AE5">
        <w:t>2017</w:t>
      </w:r>
    </w:p>
    <w:p w14:paraId="4FDE9008" w14:textId="483BCBAA" w:rsidR="00243D59" w:rsidRDefault="00243D59" w:rsidP="00243D59">
      <w:pPr>
        <w:pStyle w:val="ListParagraph"/>
        <w:numPr>
          <w:ilvl w:val="0"/>
          <w:numId w:val="44"/>
        </w:numPr>
        <w:ind w:left="851" w:hanging="491"/>
      </w:pPr>
      <w:r>
        <w:t xml:space="preserve">Deadline for ITT submission – </w:t>
      </w:r>
      <w:r w:rsidR="00A03BE2">
        <w:t>w/c 13</w:t>
      </w:r>
      <w:r w:rsidR="00A03BE2" w:rsidRPr="00A03BE2">
        <w:rPr>
          <w:vertAlign w:val="superscript"/>
        </w:rPr>
        <w:t>th</w:t>
      </w:r>
      <w:r w:rsidR="00A03BE2">
        <w:t xml:space="preserve"> November </w:t>
      </w:r>
      <w:r w:rsidR="00041AE5">
        <w:t>2017</w:t>
      </w:r>
    </w:p>
    <w:p w14:paraId="28485388" w14:textId="36BBEA0C" w:rsidR="00243D59" w:rsidRDefault="00243D59" w:rsidP="00243D59">
      <w:pPr>
        <w:pStyle w:val="ListParagraph"/>
        <w:numPr>
          <w:ilvl w:val="0"/>
          <w:numId w:val="44"/>
        </w:numPr>
        <w:ind w:left="851" w:hanging="491"/>
      </w:pPr>
      <w:r>
        <w:t xml:space="preserve">Interviews (if required) – W/C </w:t>
      </w:r>
      <w:r w:rsidR="00A03BE2">
        <w:t>20</w:t>
      </w:r>
      <w:r w:rsidR="00041AE5" w:rsidRPr="00041AE5">
        <w:rPr>
          <w:vertAlign w:val="superscript"/>
        </w:rPr>
        <w:t>th</w:t>
      </w:r>
      <w:r w:rsidR="00041AE5">
        <w:t xml:space="preserve"> November 2017</w:t>
      </w:r>
    </w:p>
    <w:p w14:paraId="79B94CF6" w14:textId="77777777" w:rsidR="00243D59" w:rsidRDefault="00243D59" w:rsidP="00243D59">
      <w:pPr>
        <w:pStyle w:val="ListParagraph"/>
        <w:numPr>
          <w:ilvl w:val="0"/>
          <w:numId w:val="44"/>
        </w:numPr>
        <w:ind w:left="851" w:hanging="491"/>
      </w:pPr>
      <w:r>
        <w:t xml:space="preserve">Contract signed – Estimated </w:t>
      </w:r>
      <w:r w:rsidR="00041AE5">
        <w:t>13</w:t>
      </w:r>
      <w:r w:rsidR="00041AE5" w:rsidRPr="00041AE5">
        <w:rPr>
          <w:vertAlign w:val="superscript"/>
        </w:rPr>
        <w:t>th</w:t>
      </w:r>
      <w:r w:rsidR="00041AE5">
        <w:t xml:space="preserve"> December 2017</w:t>
      </w:r>
    </w:p>
    <w:p w14:paraId="54CA8149" w14:textId="77777777" w:rsidR="004A600B" w:rsidRDefault="004A600B" w:rsidP="007E0083">
      <w:pPr>
        <w:pStyle w:val="Heading2"/>
      </w:pPr>
      <w:r w:rsidRPr="004A600B">
        <w:t>Assessment criteria</w:t>
      </w:r>
    </w:p>
    <w:p w14:paraId="77CEBA8A" w14:textId="77777777" w:rsidR="00DD3E70" w:rsidRPr="00DD3E70" w:rsidRDefault="00DD3E70" w:rsidP="00AC5CD7">
      <w:r w:rsidRPr="00AC5CD7">
        <w:t>Expressions of interest will be assessed against the following criteria</w:t>
      </w:r>
      <w:r w:rsidR="00AC5CD7">
        <w:t>:</w:t>
      </w:r>
    </w:p>
    <w:p w14:paraId="50D724FC" w14:textId="2B7AADB4" w:rsidR="00DD3E70" w:rsidRPr="004B2209" w:rsidRDefault="00DD3E70" w:rsidP="00AC5CD7">
      <w:pPr>
        <w:pStyle w:val="Default"/>
        <w:numPr>
          <w:ilvl w:val="0"/>
          <w:numId w:val="19"/>
        </w:numPr>
        <w:spacing w:after="160" w:line="288" w:lineRule="auto"/>
        <w:rPr>
          <w:sz w:val="22"/>
          <w:szCs w:val="22"/>
        </w:rPr>
      </w:pPr>
      <w:r>
        <w:rPr>
          <w:sz w:val="22"/>
          <w:szCs w:val="22"/>
        </w:rPr>
        <w:t xml:space="preserve">Understanding of the Department’s requirement, including an outline of the proposed approach to conducting a large </w:t>
      </w:r>
      <w:r w:rsidR="00867E7A">
        <w:rPr>
          <w:sz w:val="22"/>
          <w:szCs w:val="22"/>
        </w:rPr>
        <w:t xml:space="preserve">and complex </w:t>
      </w:r>
      <w:r>
        <w:rPr>
          <w:sz w:val="22"/>
          <w:szCs w:val="22"/>
        </w:rPr>
        <w:t xml:space="preserve">multi-strand evaluation including </w:t>
      </w:r>
      <w:r w:rsidR="00C80E90">
        <w:rPr>
          <w:sz w:val="22"/>
          <w:szCs w:val="22"/>
        </w:rPr>
        <w:t>scoping and sampling interventions for detailed evaluation and the project rationale</w:t>
      </w:r>
      <w:r w:rsidRPr="004B2209">
        <w:rPr>
          <w:sz w:val="22"/>
          <w:szCs w:val="22"/>
        </w:rPr>
        <w:t>.</w:t>
      </w:r>
      <w:r>
        <w:rPr>
          <w:sz w:val="22"/>
          <w:szCs w:val="22"/>
        </w:rPr>
        <w:t xml:space="preserve"> (40%).</w:t>
      </w:r>
      <w:r w:rsidRPr="004B2209">
        <w:rPr>
          <w:sz w:val="22"/>
          <w:szCs w:val="22"/>
        </w:rPr>
        <w:t xml:space="preserve"> </w:t>
      </w:r>
    </w:p>
    <w:p w14:paraId="68B2C444" w14:textId="77777777" w:rsidR="00DD3E70" w:rsidRPr="004B2209" w:rsidRDefault="00DD3E70" w:rsidP="00AC5CD7">
      <w:pPr>
        <w:pStyle w:val="Default"/>
        <w:numPr>
          <w:ilvl w:val="0"/>
          <w:numId w:val="19"/>
        </w:numPr>
        <w:spacing w:after="160" w:line="288" w:lineRule="auto"/>
        <w:rPr>
          <w:sz w:val="22"/>
          <w:szCs w:val="22"/>
        </w:rPr>
      </w:pPr>
      <w:r w:rsidRPr="004B2209">
        <w:rPr>
          <w:sz w:val="22"/>
          <w:szCs w:val="22"/>
        </w:rPr>
        <w:t>Evidence of</w:t>
      </w:r>
      <w:r>
        <w:rPr>
          <w:sz w:val="22"/>
          <w:szCs w:val="22"/>
        </w:rPr>
        <w:t xml:space="preserve"> expertise and</w:t>
      </w:r>
      <w:r w:rsidRPr="004B2209">
        <w:rPr>
          <w:sz w:val="22"/>
          <w:szCs w:val="22"/>
        </w:rPr>
        <w:t xml:space="preserve"> experience o</w:t>
      </w:r>
      <w:r>
        <w:rPr>
          <w:sz w:val="22"/>
          <w:szCs w:val="22"/>
        </w:rPr>
        <w:t xml:space="preserve">f the broader methodologies to be used; of </w:t>
      </w:r>
      <w:r w:rsidRPr="004B2209">
        <w:rPr>
          <w:sz w:val="22"/>
          <w:szCs w:val="22"/>
        </w:rPr>
        <w:t xml:space="preserve">research with </w:t>
      </w:r>
      <w:r>
        <w:rPr>
          <w:sz w:val="22"/>
          <w:szCs w:val="22"/>
        </w:rPr>
        <w:t>schools and within the education system; and with senior school and education stakeholders (40%)</w:t>
      </w:r>
      <w:r w:rsidRPr="004B2209">
        <w:rPr>
          <w:sz w:val="22"/>
          <w:szCs w:val="22"/>
        </w:rPr>
        <w:t xml:space="preserve">. </w:t>
      </w:r>
    </w:p>
    <w:p w14:paraId="2D20540C" w14:textId="77777777" w:rsidR="00DD3E70" w:rsidRDefault="00DD3E70" w:rsidP="00AC5CD7">
      <w:pPr>
        <w:pStyle w:val="Default"/>
        <w:numPr>
          <w:ilvl w:val="0"/>
          <w:numId w:val="19"/>
        </w:numPr>
        <w:spacing w:after="160" w:line="288" w:lineRule="auto"/>
        <w:rPr>
          <w:sz w:val="22"/>
          <w:szCs w:val="22"/>
        </w:rPr>
      </w:pPr>
      <w:r>
        <w:rPr>
          <w:sz w:val="22"/>
          <w:szCs w:val="22"/>
        </w:rPr>
        <w:t>Indicative cost of your proposal (20%).</w:t>
      </w:r>
    </w:p>
    <w:p w14:paraId="4C45270D" w14:textId="77777777" w:rsidR="00AC5CD7" w:rsidRDefault="00AC5CD7" w:rsidP="00AC5CD7">
      <w:pPr>
        <w:spacing w:before="160"/>
      </w:pPr>
      <w:r w:rsidRPr="00AC5CD7">
        <w:t>CVs and references are not required at this stage</w:t>
      </w:r>
      <w:r>
        <w:t>.</w:t>
      </w:r>
    </w:p>
    <w:p w14:paraId="13F7FDA2" w14:textId="77777777" w:rsidR="00AC5CD7" w:rsidRPr="00915C18" w:rsidRDefault="00AC5CD7"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4A42F1D6"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2BC9F683" w14:textId="0172AAEE" w:rsidR="00915C18" w:rsidRDefault="00915C18" w:rsidP="00915C18">
            <w:pPr>
              <w:spacing w:before="160"/>
              <w:rPr>
                <w:b/>
                <w:bCs/>
                <w:sz w:val="28"/>
                <w:szCs w:val="20"/>
              </w:rPr>
            </w:pPr>
            <w:r w:rsidRPr="00915C18">
              <w:rPr>
                <w:b/>
                <w:bCs/>
                <w:sz w:val="28"/>
                <w:szCs w:val="20"/>
              </w:rPr>
              <w:t>Closing date for EOIs:</w:t>
            </w:r>
            <w:r w:rsidR="00AC5CD7">
              <w:rPr>
                <w:b/>
                <w:bCs/>
                <w:sz w:val="28"/>
                <w:szCs w:val="20"/>
              </w:rPr>
              <w:t xml:space="preserve"> </w:t>
            </w:r>
            <w:r w:rsidR="000B7532">
              <w:rPr>
                <w:b/>
                <w:bCs/>
                <w:sz w:val="28"/>
                <w:szCs w:val="20"/>
              </w:rPr>
              <w:t xml:space="preserve">5pm on </w:t>
            </w:r>
            <w:bookmarkStart w:id="0" w:name="_GoBack"/>
            <w:bookmarkEnd w:id="0"/>
            <w:r w:rsidR="00685320">
              <w:rPr>
                <w:b/>
                <w:bCs/>
                <w:sz w:val="28"/>
                <w:szCs w:val="20"/>
              </w:rPr>
              <w:t>13</w:t>
            </w:r>
            <w:r w:rsidR="00AC5CD7" w:rsidRPr="00AC5CD7">
              <w:rPr>
                <w:b/>
                <w:bCs/>
                <w:sz w:val="28"/>
                <w:szCs w:val="20"/>
                <w:vertAlign w:val="superscript"/>
              </w:rPr>
              <w:t>th</w:t>
            </w:r>
            <w:r w:rsidR="00AC5CD7">
              <w:rPr>
                <w:b/>
                <w:bCs/>
                <w:sz w:val="28"/>
                <w:szCs w:val="20"/>
              </w:rPr>
              <w:t xml:space="preserve"> October 2017</w:t>
            </w:r>
          </w:p>
          <w:p w14:paraId="7E02BE14" w14:textId="77777777" w:rsidR="00A85EBD" w:rsidRDefault="00915C18" w:rsidP="00AC5CD7">
            <w:pPr>
              <w:rPr>
                <w:rFonts w:ascii="Calibri" w:hAnsi="Calibri"/>
              </w:rPr>
            </w:pPr>
            <w:r w:rsidRPr="00915C18">
              <w:rPr>
                <w:b/>
                <w:bCs/>
                <w:sz w:val="28"/>
                <w:szCs w:val="20"/>
              </w:rPr>
              <w:t>Send your EOI form to:</w:t>
            </w:r>
            <w:r w:rsidR="00BE2E26">
              <w:rPr>
                <w:b/>
                <w:bCs/>
                <w:sz w:val="28"/>
                <w:szCs w:val="20"/>
              </w:rPr>
              <w:t xml:space="preserve"> </w:t>
            </w:r>
            <w:hyperlink r:id="rId17" w:history="1">
              <w:r w:rsidR="00AC5CD7" w:rsidRPr="00BA21FA">
                <w:rPr>
                  <w:rStyle w:val="Hyperlink"/>
                  <w:b/>
                  <w:bCs/>
                  <w:sz w:val="28"/>
                  <w:szCs w:val="20"/>
                </w:rPr>
                <w:t>katya.williams@education.gov.uk</w:t>
              </w:r>
            </w:hyperlink>
            <w:r w:rsidR="00AC5CD7">
              <w:rPr>
                <w:b/>
                <w:bCs/>
                <w:sz w:val="28"/>
                <w:szCs w:val="20"/>
              </w:rPr>
              <w:t xml:space="preserve"> and </w:t>
            </w:r>
            <w:hyperlink r:id="rId18" w:history="1">
              <w:r w:rsidR="00AC5CD7" w:rsidRPr="00BA21FA">
                <w:rPr>
                  <w:rStyle w:val="Hyperlink"/>
                  <w:b/>
                  <w:bCs/>
                  <w:sz w:val="28"/>
                  <w:szCs w:val="20"/>
                </w:rPr>
                <w:t>matt.mawer@education.gov.uk</w:t>
              </w:r>
            </w:hyperlink>
          </w:p>
        </w:tc>
      </w:tr>
    </w:tbl>
    <w:p w14:paraId="0544803A" w14:textId="77777777" w:rsidR="00FC2B3C" w:rsidRDefault="00FC2B3C" w:rsidP="00995398">
      <w:pPr>
        <w:pStyle w:val="EndBox"/>
      </w:pPr>
    </w:p>
    <w:p w14:paraId="2FF7F09C" w14:textId="77777777" w:rsidR="00915C18" w:rsidRPr="003E05F9" w:rsidRDefault="00094338" w:rsidP="001F2CE2">
      <w:pPr>
        <w:pStyle w:val="Heading2"/>
      </w:pPr>
      <w:r>
        <w:t>H</w:t>
      </w:r>
      <w:r w:rsidR="00915C18" w:rsidRPr="003E05F9">
        <w:t xml:space="preserve">ow to submit an </w:t>
      </w:r>
      <w:r w:rsidRPr="00094338">
        <w:t>e</w:t>
      </w:r>
      <w:r w:rsidR="00AB29C1">
        <w:t>x</w:t>
      </w:r>
      <w:r w:rsidRPr="00094338">
        <w:t>pressions of interest</w:t>
      </w:r>
    </w:p>
    <w:p w14:paraId="55D66BB5" w14:textId="77777777" w:rsidR="00D919FB"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w:t>
      </w:r>
      <w:r w:rsidR="00D919FB" w:rsidRPr="00D919FB">
        <w:t>Expressions of interests submitted must be no more than 1000 words overall this includes any website links – anything longer will be disregarded.</w:t>
      </w:r>
    </w:p>
    <w:p w14:paraId="1DEEF332" w14:textId="77777777" w:rsidR="00814CCF" w:rsidRDefault="00814CCF" w:rsidP="00814CCF">
      <w:r>
        <w:t xml:space="preserve">A submission of an EOI does not guarantee an invitation to tender and the Department does not routinely advise organisations that they have not been successful in being invited to tender. Feedback is however available on request. </w:t>
      </w:r>
    </w:p>
    <w:p w14:paraId="72F482FA" w14:textId="77777777"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w:t>
      </w:r>
      <w:r>
        <w:lastRenderedPageBreak/>
        <w:t xml:space="preserve">already registered and have forgotten your ID number, please send an email to </w:t>
      </w:r>
      <w:hyperlink r:id="rId19" w:history="1">
        <w:r w:rsidR="003E3ED2" w:rsidRPr="00DF7B06">
          <w:rPr>
            <w:rStyle w:val="Hyperlink"/>
            <w:sz w:val="22"/>
          </w:rPr>
          <w:t>Enquiries.RBU@education.gov.uk</w:t>
        </w:r>
      </w:hyperlink>
    </w:p>
    <w:p w14:paraId="2951AB68" w14:textId="77777777" w:rsidR="00915C18" w:rsidRDefault="00814CCF" w:rsidP="00814CCF">
      <w:r>
        <w:t xml:space="preserve">All contracts are let on the basis of the </w:t>
      </w:r>
      <w:hyperlink r:id="rId20"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0915D4D9" w14:textId="1DD8A900" w:rsidR="00E84AE9" w:rsidRDefault="00C2496D" w:rsidP="00547491">
      <w:r w:rsidRPr="00995398">
        <w:t>©</w:t>
      </w:r>
      <w:r w:rsidR="005D3B59" w:rsidRPr="005D3B59">
        <w:t xml:space="preserve"> </w:t>
      </w:r>
      <w:r w:rsidR="00EE71A2">
        <w:t xml:space="preserve">Crown copyright </w:t>
      </w:r>
      <w:r w:rsidR="00BE2E26">
        <w:t>2017</w:t>
      </w:r>
    </w:p>
    <w:sectPr w:rsidR="00E84AE9" w:rsidSect="00622501">
      <w:footerReference w:type="default" r:id="rId21"/>
      <w:headerReference w:type="first" r:id="rId22"/>
      <w:footerReference w:type="first" r:id="rId23"/>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C818C" w14:textId="77777777" w:rsidR="004216AE" w:rsidRDefault="004216AE" w:rsidP="002B6D93">
      <w:r>
        <w:separator/>
      </w:r>
    </w:p>
    <w:p w14:paraId="61F2B7B1" w14:textId="77777777" w:rsidR="004216AE" w:rsidRDefault="004216AE"/>
  </w:endnote>
  <w:endnote w:type="continuationSeparator" w:id="0">
    <w:p w14:paraId="742150AB" w14:textId="77777777" w:rsidR="004216AE" w:rsidRDefault="004216AE" w:rsidP="002B6D93">
      <w:r>
        <w:continuationSeparator/>
      </w:r>
    </w:p>
    <w:p w14:paraId="3D209C51" w14:textId="77777777" w:rsidR="004216AE" w:rsidRDefault="00421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2028D43D" w14:textId="4D3C03FA" w:rsidR="004216AE" w:rsidRDefault="004216AE"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0B7532">
          <w:rPr>
            <w:noProof/>
          </w:rPr>
          <w:t>4</w:t>
        </w:r>
        <w:r>
          <w:rPr>
            <w:noProof/>
          </w:rPr>
          <w:fldChar w:fldCharType="end"/>
        </w:r>
      </w:p>
    </w:sdtContent>
  </w:sdt>
  <w:p w14:paraId="5962DF15" w14:textId="77777777" w:rsidR="004216AE" w:rsidRDefault="004216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EE6C0" w14:textId="77777777" w:rsidR="004216AE" w:rsidRPr="006E6ADB" w:rsidRDefault="004216AE" w:rsidP="004A3626">
    <w:pPr>
      <w:tabs>
        <w:tab w:val="left" w:pos="7088"/>
      </w:tabs>
      <w:spacing w:before="240"/>
      <w:rPr>
        <w:szCs w:val="20"/>
      </w:rPr>
    </w:pPr>
    <w:r w:rsidRPr="006E6ADB">
      <w:rPr>
        <w:szCs w:val="20"/>
      </w:rPr>
      <w:tab/>
      <w:t xml:space="preserve">Published: </w:t>
    </w:r>
    <w:r>
      <w:rPr>
        <w:szCs w:val="20"/>
      </w:rPr>
      <w:t>October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995BE" w14:textId="77777777" w:rsidR="004216AE" w:rsidRDefault="004216AE" w:rsidP="002B6D93">
      <w:r>
        <w:separator/>
      </w:r>
    </w:p>
    <w:p w14:paraId="74528372" w14:textId="77777777" w:rsidR="004216AE" w:rsidRDefault="004216AE"/>
  </w:footnote>
  <w:footnote w:type="continuationSeparator" w:id="0">
    <w:p w14:paraId="6634B7CD" w14:textId="77777777" w:rsidR="004216AE" w:rsidRDefault="004216AE" w:rsidP="002B6D93">
      <w:r>
        <w:continuationSeparator/>
      </w:r>
    </w:p>
    <w:p w14:paraId="0F7C10D6" w14:textId="77777777" w:rsidR="004216AE" w:rsidRDefault="004216AE"/>
  </w:footnote>
  <w:footnote w:id="1">
    <w:p w14:paraId="1A24913E" w14:textId="77777777" w:rsidR="004216AE" w:rsidRDefault="004216AE">
      <w:pPr>
        <w:pStyle w:val="FootnoteText"/>
      </w:pPr>
      <w:r>
        <w:rPr>
          <w:rStyle w:val="FootnoteReference"/>
        </w:rPr>
        <w:footnoteRef/>
      </w:r>
      <w:r>
        <w:t xml:space="preserve"> </w:t>
      </w:r>
      <w:r w:rsidRPr="00716652">
        <w:rPr>
          <w:rFonts w:cs="Arial"/>
          <w:sz w:val="16"/>
          <w:szCs w:val="16"/>
        </w:rPr>
        <w:t>Since this initial announcement, we are now referring to the Opportunity Area covered by the Scarborough local authority district as the North Yorkshire Coast Opportunity Area, to better distinguish between references to Scarborough town and the wider area.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E5DD3" w14:textId="11064CAC" w:rsidR="004216AE" w:rsidRDefault="004216AE">
    <w:pPr>
      <w:pStyle w:val="Header"/>
    </w:pPr>
    <w:r>
      <w:t xml:space="preserve">Last saved: </w:t>
    </w:r>
    <w:r>
      <w:fldChar w:fldCharType="begin"/>
    </w:r>
    <w:r>
      <w:instrText xml:space="preserve"> SAVEDATE  \@ "dd/MM/yyyy HH:mm"  \* MERGEFORMAT </w:instrText>
    </w:r>
    <w:r>
      <w:fldChar w:fldCharType="separate"/>
    </w:r>
    <w:r w:rsidR="000B7532">
      <w:rPr>
        <w:noProof/>
      </w:rPr>
      <w:t>26/09/2017 15:46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490800"/>
    <w:multiLevelType w:val="hybridMultilevel"/>
    <w:tmpl w:val="3412FCEE"/>
    <w:lvl w:ilvl="0" w:tplc="599E6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4914FB"/>
    <w:multiLevelType w:val="hybridMultilevel"/>
    <w:tmpl w:val="0D3ABBD8"/>
    <w:lvl w:ilvl="0" w:tplc="599E6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F6103"/>
    <w:multiLevelType w:val="hybridMultilevel"/>
    <w:tmpl w:val="51103D62"/>
    <w:lvl w:ilvl="0" w:tplc="1194C09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E3E19"/>
    <w:multiLevelType w:val="hybridMultilevel"/>
    <w:tmpl w:val="1C9850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FF40475"/>
    <w:multiLevelType w:val="hybridMultilevel"/>
    <w:tmpl w:val="3476F8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8B1C51"/>
    <w:multiLevelType w:val="hybridMultilevel"/>
    <w:tmpl w:val="24CAB9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5F560B5"/>
    <w:multiLevelType w:val="hybridMultilevel"/>
    <w:tmpl w:val="34F296AE"/>
    <w:lvl w:ilvl="0" w:tplc="1FA0C7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BCC59C8"/>
    <w:multiLevelType w:val="hybridMultilevel"/>
    <w:tmpl w:val="07E64944"/>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87BA1"/>
    <w:multiLevelType w:val="hybridMultilevel"/>
    <w:tmpl w:val="1FB6E6A2"/>
    <w:lvl w:ilvl="0" w:tplc="08090017">
      <w:start w:val="1"/>
      <w:numFmt w:val="lowerLetter"/>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1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C31FD"/>
    <w:multiLevelType w:val="hybridMultilevel"/>
    <w:tmpl w:val="24CAB9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DD13FDC"/>
    <w:multiLevelType w:val="hybridMultilevel"/>
    <w:tmpl w:val="24CAB9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5F46E25"/>
    <w:multiLevelType w:val="hybridMultilevel"/>
    <w:tmpl w:val="BC9AF0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8B1602A"/>
    <w:multiLevelType w:val="hybridMultilevel"/>
    <w:tmpl w:val="D5D4DAF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C7455CF"/>
    <w:multiLevelType w:val="hybridMultilevel"/>
    <w:tmpl w:val="88BC0A42"/>
    <w:lvl w:ilvl="0" w:tplc="39A864E8">
      <w:start w:val="1"/>
      <w:numFmt w:val="bullet"/>
      <w:pStyle w:val="Bullets"/>
      <w:lvlText w:val=""/>
      <w:lvlJc w:val="left"/>
      <w:pPr>
        <w:ind w:left="1003" w:hanging="360"/>
      </w:pPr>
      <w:rPr>
        <w:rFonts w:ascii="Symbol" w:hAnsi="Symbol" w:hint="default"/>
      </w:rPr>
    </w:lvl>
    <w:lvl w:ilvl="1" w:tplc="E36C415E">
      <w:start w:val="1"/>
      <w:numFmt w:val="bullet"/>
      <w:pStyle w:val="SubBullets"/>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2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205800"/>
    <w:multiLevelType w:val="hybridMultilevel"/>
    <w:tmpl w:val="98101D20"/>
    <w:lvl w:ilvl="0" w:tplc="1194C09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70338D"/>
    <w:multiLevelType w:val="hybridMultilevel"/>
    <w:tmpl w:val="F22620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C2D7F8E"/>
    <w:multiLevelType w:val="hybridMultilevel"/>
    <w:tmpl w:val="24CAB9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36D1A05"/>
    <w:multiLevelType w:val="hybridMultilevel"/>
    <w:tmpl w:val="52842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B53162E"/>
    <w:multiLevelType w:val="hybridMultilevel"/>
    <w:tmpl w:val="092C3D58"/>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6F9B5516"/>
    <w:multiLevelType w:val="hybridMultilevel"/>
    <w:tmpl w:val="34F296AE"/>
    <w:lvl w:ilvl="0" w:tplc="1FA0C73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4605E35"/>
    <w:multiLevelType w:val="hybridMultilevel"/>
    <w:tmpl w:val="B9F0C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80291D"/>
    <w:multiLevelType w:val="hybridMultilevel"/>
    <w:tmpl w:val="F1F6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B84C12"/>
    <w:multiLevelType w:val="hybridMultilevel"/>
    <w:tmpl w:val="0BF8AAE2"/>
    <w:lvl w:ilvl="0" w:tplc="1194C09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32"/>
  </w:num>
  <w:num w:numId="4">
    <w:abstractNumId w:val="19"/>
  </w:num>
  <w:num w:numId="5">
    <w:abstractNumId w:val="11"/>
  </w:num>
  <w:num w:numId="6">
    <w:abstractNumId w:val="24"/>
  </w:num>
  <w:num w:numId="7">
    <w:abstractNumId w:val="3"/>
  </w:num>
  <w:num w:numId="8">
    <w:abstractNumId w:val="1"/>
  </w:num>
  <w:num w:numId="9">
    <w:abstractNumId w:val="0"/>
  </w:num>
  <w:num w:numId="10">
    <w:abstractNumId w:val="27"/>
  </w:num>
  <w:num w:numId="11">
    <w:abstractNumId w:val="24"/>
  </w:num>
  <w:num w:numId="12">
    <w:abstractNumId w:val="38"/>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6"/>
  </w:num>
  <w:num w:numId="18">
    <w:abstractNumId w:val="20"/>
  </w:num>
  <w:num w:numId="19">
    <w:abstractNumId w:val="17"/>
  </w:num>
  <w:num w:numId="20">
    <w:abstractNumId w:val="2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5"/>
  </w:num>
  <w:num w:numId="39">
    <w:abstractNumId w:val="35"/>
  </w:num>
  <w:num w:numId="40">
    <w:abstractNumId w:val="7"/>
  </w:num>
  <w:num w:numId="41">
    <w:abstractNumId w:val="9"/>
  </w:num>
  <w:num w:numId="42">
    <w:abstractNumId w:val="28"/>
  </w:num>
  <w:num w:numId="43">
    <w:abstractNumId w:val="37"/>
  </w:num>
  <w:num w:numId="44">
    <w:abstractNumId w:val="39"/>
  </w:num>
  <w:num w:numId="45">
    <w:abstractNumId w:val="12"/>
  </w:num>
  <w:num w:numId="46">
    <w:abstractNumId w:val="34"/>
  </w:num>
  <w:num w:numId="47">
    <w:abstractNumId w:val="10"/>
  </w:num>
  <w:num w:numId="48">
    <w:abstractNumId w:val="36"/>
  </w:num>
  <w:num w:numId="49">
    <w:abstractNumId w:val="31"/>
  </w:num>
  <w:num w:numId="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457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7A0"/>
    <w:rsid w:val="00011A88"/>
    <w:rsid w:val="00012381"/>
    <w:rsid w:val="00013A6E"/>
    <w:rsid w:val="0002203B"/>
    <w:rsid w:val="00031EE0"/>
    <w:rsid w:val="00031F36"/>
    <w:rsid w:val="00041AE5"/>
    <w:rsid w:val="000441EA"/>
    <w:rsid w:val="000442BD"/>
    <w:rsid w:val="00053FFD"/>
    <w:rsid w:val="00057100"/>
    <w:rsid w:val="000571AE"/>
    <w:rsid w:val="00065E86"/>
    <w:rsid w:val="00066B1C"/>
    <w:rsid w:val="00071349"/>
    <w:rsid w:val="000720CD"/>
    <w:rsid w:val="00083A73"/>
    <w:rsid w:val="00094338"/>
    <w:rsid w:val="000A10F4"/>
    <w:rsid w:val="000B3DE0"/>
    <w:rsid w:val="000B7532"/>
    <w:rsid w:val="000C69E9"/>
    <w:rsid w:val="000D1D30"/>
    <w:rsid w:val="000D4433"/>
    <w:rsid w:val="000E3350"/>
    <w:rsid w:val="000F73F3"/>
    <w:rsid w:val="000F7BAC"/>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3B7"/>
    <w:rsid w:val="001F1B30"/>
    <w:rsid w:val="001F2CE2"/>
    <w:rsid w:val="00203EC9"/>
    <w:rsid w:val="002113CF"/>
    <w:rsid w:val="0022255C"/>
    <w:rsid w:val="0022489D"/>
    <w:rsid w:val="002262F3"/>
    <w:rsid w:val="00230559"/>
    <w:rsid w:val="002332F8"/>
    <w:rsid w:val="00234F75"/>
    <w:rsid w:val="00240F4B"/>
    <w:rsid w:val="00243D59"/>
    <w:rsid w:val="00254C15"/>
    <w:rsid w:val="00255529"/>
    <w:rsid w:val="002575C5"/>
    <w:rsid w:val="002639B5"/>
    <w:rsid w:val="0027231C"/>
    <w:rsid w:val="0027252F"/>
    <w:rsid w:val="0028214A"/>
    <w:rsid w:val="002839B5"/>
    <w:rsid w:val="00287788"/>
    <w:rsid w:val="00292D78"/>
    <w:rsid w:val="002A28F7"/>
    <w:rsid w:val="002A3153"/>
    <w:rsid w:val="002A5858"/>
    <w:rsid w:val="002B51B7"/>
    <w:rsid w:val="002B6D93"/>
    <w:rsid w:val="002C34D4"/>
    <w:rsid w:val="002C3AA4"/>
    <w:rsid w:val="002C720D"/>
    <w:rsid w:val="002E463F"/>
    <w:rsid w:val="002E4E9A"/>
    <w:rsid w:val="002E508B"/>
    <w:rsid w:val="002E5F9F"/>
    <w:rsid w:val="002E7849"/>
    <w:rsid w:val="002F7128"/>
    <w:rsid w:val="00300F99"/>
    <w:rsid w:val="00342F8B"/>
    <w:rsid w:val="00361752"/>
    <w:rsid w:val="00361779"/>
    <w:rsid w:val="00374981"/>
    <w:rsid w:val="0037597C"/>
    <w:rsid w:val="003810D8"/>
    <w:rsid w:val="003853A4"/>
    <w:rsid w:val="0039725F"/>
    <w:rsid w:val="003A1CC2"/>
    <w:rsid w:val="003C60B5"/>
    <w:rsid w:val="003D1EFE"/>
    <w:rsid w:val="003E1329"/>
    <w:rsid w:val="003E3ED2"/>
    <w:rsid w:val="003E73C7"/>
    <w:rsid w:val="00400E1D"/>
    <w:rsid w:val="00403D1C"/>
    <w:rsid w:val="00404469"/>
    <w:rsid w:val="0041427C"/>
    <w:rsid w:val="0042122D"/>
    <w:rsid w:val="004216AE"/>
    <w:rsid w:val="004216FF"/>
    <w:rsid w:val="00423501"/>
    <w:rsid w:val="004242C5"/>
    <w:rsid w:val="004339FB"/>
    <w:rsid w:val="004373BB"/>
    <w:rsid w:val="00446F12"/>
    <w:rsid w:val="004509BE"/>
    <w:rsid w:val="00456560"/>
    <w:rsid w:val="0046595B"/>
    <w:rsid w:val="00466B34"/>
    <w:rsid w:val="00470223"/>
    <w:rsid w:val="004866AD"/>
    <w:rsid w:val="004A3626"/>
    <w:rsid w:val="004A3E98"/>
    <w:rsid w:val="004A600B"/>
    <w:rsid w:val="004B08AC"/>
    <w:rsid w:val="004C267E"/>
    <w:rsid w:val="004C5600"/>
    <w:rsid w:val="004D13A3"/>
    <w:rsid w:val="004D73C6"/>
    <w:rsid w:val="004E5405"/>
    <w:rsid w:val="004E6CD9"/>
    <w:rsid w:val="004F20E3"/>
    <w:rsid w:val="004F211A"/>
    <w:rsid w:val="004F3159"/>
    <w:rsid w:val="004F4AEF"/>
    <w:rsid w:val="005247AD"/>
    <w:rsid w:val="005360B7"/>
    <w:rsid w:val="00536E0B"/>
    <w:rsid w:val="00537D89"/>
    <w:rsid w:val="00547491"/>
    <w:rsid w:val="005535E5"/>
    <w:rsid w:val="00560451"/>
    <w:rsid w:val="0057250B"/>
    <w:rsid w:val="00574294"/>
    <w:rsid w:val="005749C5"/>
    <w:rsid w:val="0057670A"/>
    <w:rsid w:val="00581D79"/>
    <w:rsid w:val="00586D7C"/>
    <w:rsid w:val="005905B1"/>
    <w:rsid w:val="005914F1"/>
    <w:rsid w:val="005946C7"/>
    <w:rsid w:val="005A016F"/>
    <w:rsid w:val="005A07FF"/>
    <w:rsid w:val="005A0891"/>
    <w:rsid w:val="005C0B41"/>
    <w:rsid w:val="005C1770"/>
    <w:rsid w:val="005C2D94"/>
    <w:rsid w:val="005C3004"/>
    <w:rsid w:val="005C657D"/>
    <w:rsid w:val="005D3B59"/>
    <w:rsid w:val="005E3024"/>
    <w:rsid w:val="005F107C"/>
    <w:rsid w:val="006016E2"/>
    <w:rsid w:val="0060702F"/>
    <w:rsid w:val="006108B3"/>
    <w:rsid w:val="00622501"/>
    <w:rsid w:val="006237FB"/>
    <w:rsid w:val="0062451E"/>
    <w:rsid w:val="00635D57"/>
    <w:rsid w:val="00640032"/>
    <w:rsid w:val="006409BC"/>
    <w:rsid w:val="006418B2"/>
    <w:rsid w:val="00642404"/>
    <w:rsid w:val="00647EFA"/>
    <w:rsid w:val="00651E33"/>
    <w:rsid w:val="00652973"/>
    <w:rsid w:val="00653AA1"/>
    <w:rsid w:val="006558CA"/>
    <w:rsid w:val="006566E3"/>
    <w:rsid w:val="00657E79"/>
    <w:rsid w:val="006606F5"/>
    <w:rsid w:val="006663E6"/>
    <w:rsid w:val="00670ADC"/>
    <w:rsid w:val="0067185E"/>
    <w:rsid w:val="00671D5B"/>
    <w:rsid w:val="006775FA"/>
    <w:rsid w:val="00684973"/>
    <w:rsid w:val="00685320"/>
    <w:rsid w:val="0068544D"/>
    <w:rsid w:val="0068573F"/>
    <w:rsid w:val="00695D08"/>
    <w:rsid w:val="006A0243"/>
    <w:rsid w:val="006A27AA"/>
    <w:rsid w:val="006A3602"/>
    <w:rsid w:val="006B1F9F"/>
    <w:rsid w:val="006C382D"/>
    <w:rsid w:val="006D1162"/>
    <w:rsid w:val="006E6ADB"/>
    <w:rsid w:val="006E7F39"/>
    <w:rsid w:val="006F1F96"/>
    <w:rsid w:val="00700B01"/>
    <w:rsid w:val="00702EBF"/>
    <w:rsid w:val="00713414"/>
    <w:rsid w:val="00716F05"/>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16F"/>
    <w:rsid w:val="007A5759"/>
    <w:rsid w:val="007B3CFE"/>
    <w:rsid w:val="007C19E4"/>
    <w:rsid w:val="007C41A5"/>
    <w:rsid w:val="007C58BE"/>
    <w:rsid w:val="007C7B21"/>
    <w:rsid w:val="007D080B"/>
    <w:rsid w:val="007D23FF"/>
    <w:rsid w:val="007E0083"/>
    <w:rsid w:val="007F740E"/>
    <w:rsid w:val="00812E30"/>
    <w:rsid w:val="00814CCF"/>
    <w:rsid w:val="0081692A"/>
    <w:rsid w:val="00816E77"/>
    <w:rsid w:val="00831263"/>
    <w:rsid w:val="00831DB7"/>
    <w:rsid w:val="00832EBF"/>
    <w:rsid w:val="008366CB"/>
    <w:rsid w:val="00837F3A"/>
    <w:rsid w:val="008620F3"/>
    <w:rsid w:val="00863986"/>
    <w:rsid w:val="00866257"/>
    <w:rsid w:val="00867E7A"/>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9B"/>
    <w:rsid w:val="008D15AA"/>
    <w:rsid w:val="008D59FC"/>
    <w:rsid w:val="008D6968"/>
    <w:rsid w:val="008E3F07"/>
    <w:rsid w:val="008E5F36"/>
    <w:rsid w:val="008F2757"/>
    <w:rsid w:val="008F2E4F"/>
    <w:rsid w:val="008F7436"/>
    <w:rsid w:val="009055E4"/>
    <w:rsid w:val="00915C18"/>
    <w:rsid w:val="00917E9C"/>
    <w:rsid w:val="00924BBD"/>
    <w:rsid w:val="00926A3C"/>
    <w:rsid w:val="0093027C"/>
    <w:rsid w:val="0093589A"/>
    <w:rsid w:val="0094189B"/>
    <w:rsid w:val="00942B64"/>
    <w:rsid w:val="00951C56"/>
    <w:rsid w:val="0095599F"/>
    <w:rsid w:val="0096424B"/>
    <w:rsid w:val="009701C8"/>
    <w:rsid w:val="00972EFD"/>
    <w:rsid w:val="009738B6"/>
    <w:rsid w:val="00984C6D"/>
    <w:rsid w:val="00986616"/>
    <w:rsid w:val="00995398"/>
    <w:rsid w:val="009B32FA"/>
    <w:rsid w:val="009C2C02"/>
    <w:rsid w:val="009C73CF"/>
    <w:rsid w:val="009E00AE"/>
    <w:rsid w:val="009E09D3"/>
    <w:rsid w:val="009E6E74"/>
    <w:rsid w:val="009E7EE1"/>
    <w:rsid w:val="009E7F32"/>
    <w:rsid w:val="00A03BE2"/>
    <w:rsid w:val="00A27C0E"/>
    <w:rsid w:val="00A30BA1"/>
    <w:rsid w:val="00A37DEE"/>
    <w:rsid w:val="00A433C3"/>
    <w:rsid w:val="00A43DF7"/>
    <w:rsid w:val="00A54BB7"/>
    <w:rsid w:val="00A5643A"/>
    <w:rsid w:val="00A57128"/>
    <w:rsid w:val="00A5723C"/>
    <w:rsid w:val="00A64B0F"/>
    <w:rsid w:val="00A707A4"/>
    <w:rsid w:val="00A7274B"/>
    <w:rsid w:val="00A73FB8"/>
    <w:rsid w:val="00A75086"/>
    <w:rsid w:val="00A763CB"/>
    <w:rsid w:val="00A801D1"/>
    <w:rsid w:val="00A81F69"/>
    <w:rsid w:val="00A85EBD"/>
    <w:rsid w:val="00AA3484"/>
    <w:rsid w:val="00AA7E7B"/>
    <w:rsid w:val="00AB29C1"/>
    <w:rsid w:val="00AB6D0F"/>
    <w:rsid w:val="00AB7858"/>
    <w:rsid w:val="00AC5CD7"/>
    <w:rsid w:val="00AC61A6"/>
    <w:rsid w:val="00AD1BE5"/>
    <w:rsid w:val="00AD1DD2"/>
    <w:rsid w:val="00AD2062"/>
    <w:rsid w:val="00AD2F1D"/>
    <w:rsid w:val="00AE1E46"/>
    <w:rsid w:val="00AE4296"/>
    <w:rsid w:val="00AF0989"/>
    <w:rsid w:val="00AF2191"/>
    <w:rsid w:val="00AF3CD8"/>
    <w:rsid w:val="00AF785C"/>
    <w:rsid w:val="00B125D0"/>
    <w:rsid w:val="00B336AF"/>
    <w:rsid w:val="00B3498C"/>
    <w:rsid w:val="00B358B3"/>
    <w:rsid w:val="00B35CE9"/>
    <w:rsid w:val="00B43CAD"/>
    <w:rsid w:val="00B53333"/>
    <w:rsid w:val="00B55A49"/>
    <w:rsid w:val="00B64265"/>
    <w:rsid w:val="00B67F76"/>
    <w:rsid w:val="00B70CD6"/>
    <w:rsid w:val="00B70EFF"/>
    <w:rsid w:val="00B7558C"/>
    <w:rsid w:val="00B818C3"/>
    <w:rsid w:val="00B9194F"/>
    <w:rsid w:val="00BA003B"/>
    <w:rsid w:val="00BB05E2"/>
    <w:rsid w:val="00BC1993"/>
    <w:rsid w:val="00BD1111"/>
    <w:rsid w:val="00BD26B6"/>
    <w:rsid w:val="00BD5B34"/>
    <w:rsid w:val="00BE01C6"/>
    <w:rsid w:val="00BE2A13"/>
    <w:rsid w:val="00BE2E2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21A"/>
    <w:rsid w:val="00C76325"/>
    <w:rsid w:val="00C80E90"/>
    <w:rsid w:val="00C8124F"/>
    <w:rsid w:val="00C81513"/>
    <w:rsid w:val="00C84637"/>
    <w:rsid w:val="00C92AD3"/>
    <w:rsid w:val="00CA1009"/>
    <w:rsid w:val="00CA160D"/>
    <w:rsid w:val="00CA18B4"/>
    <w:rsid w:val="00CA1F32"/>
    <w:rsid w:val="00CA30B4"/>
    <w:rsid w:val="00CA610B"/>
    <w:rsid w:val="00CA72FC"/>
    <w:rsid w:val="00CB56F5"/>
    <w:rsid w:val="00CB6E04"/>
    <w:rsid w:val="00CC2512"/>
    <w:rsid w:val="00CC547F"/>
    <w:rsid w:val="00CC679D"/>
    <w:rsid w:val="00CD5D21"/>
    <w:rsid w:val="00CE2652"/>
    <w:rsid w:val="00CE56E5"/>
    <w:rsid w:val="00CE7906"/>
    <w:rsid w:val="00CF0E19"/>
    <w:rsid w:val="00D024B3"/>
    <w:rsid w:val="00D11353"/>
    <w:rsid w:val="00D27D9B"/>
    <w:rsid w:val="00D376DB"/>
    <w:rsid w:val="00D408A5"/>
    <w:rsid w:val="00D40DE9"/>
    <w:rsid w:val="00D41212"/>
    <w:rsid w:val="00D42B45"/>
    <w:rsid w:val="00D57EE0"/>
    <w:rsid w:val="00D660A1"/>
    <w:rsid w:val="00D75416"/>
    <w:rsid w:val="00D919FB"/>
    <w:rsid w:val="00D92274"/>
    <w:rsid w:val="00D94339"/>
    <w:rsid w:val="00D9570D"/>
    <w:rsid w:val="00D9707F"/>
    <w:rsid w:val="00D97DD2"/>
    <w:rsid w:val="00DA0AD5"/>
    <w:rsid w:val="00DA1B01"/>
    <w:rsid w:val="00DA1F8E"/>
    <w:rsid w:val="00DA57A4"/>
    <w:rsid w:val="00DB0D07"/>
    <w:rsid w:val="00DB56EB"/>
    <w:rsid w:val="00DC39E8"/>
    <w:rsid w:val="00DC4922"/>
    <w:rsid w:val="00DD3A4E"/>
    <w:rsid w:val="00DD3E70"/>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2816"/>
    <w:rsid w:val="00E66B4F"/>
    <w:rsid w:val="00E741D5"/>
    <w:rsid w:val="00E74474"/>
    <w:rsid w:val="00E84AE9"/>
    <w:rsid w:val="00E87A6A"/>
    <w:rsid w:val="00E9232A"/>
    <w:rsid w:val="00EA43CE"/>
    <w:rsid w:val="00EA4D1B"/>
    <w:rsid w:val="00EB0D87"/>
    <w:rsid w:val="00EB1D11"/>
    <w:rsid w:val="00EB7902"/>
    <w:rsid w:val="00EC1297"/>
    <w:rsid w:val="00EC3DC1"/>
    <w:rsid w:val="00ED2F1C"/>
    <w:rsid w:val="00ED3D05"/>
    <w:rsid w:val="00EE64AE"/>
    <w:rsid w:val="00EE71A2"/>
    <w:rsid w:val="00EF22A4"/>
    <w:rsid w:val="00F04DAD"/>
    <w:rsid w:val="00F06445"/>
    <w:rsid w:val="00F07114"/>
    <w:rsid w:val="00F206A7"/>
    <w:rsid w:val="00F22C8A"/>
    <w:rsid w:val="00F25855"/>
    <w:rsid w:val="00F3105E"/>
    <w:rsid w:val="00F31F4B"/>
    <w:rsid w:val="00F34E06"/>
    <w:rsid w:val="00F41591"/>
    <w:rsid w:val="00F41A63"/>
    <w:rsid w:val="00F45BEB"/>
    <w:rsid w:val="00F54523"/>
    <w:rsid w:val="00F54B50"/>
    <w:rsid w:val="00F84544"/>
    <w:rsid w:val="00F85AA7"/>
    <w:rsid w:val="00F86983"/>
    <w:rsid w:val="00F954FA"/>
    <w:rsid w:val="00F95B1F"/>
    <w:rsid w:val="00FA05B2"/>
    <w:rsid w:val="00FA68A7"/>
    <w:rsid w:val="00FC0C51"/>
    <w:rsid w:val="00FC2B3C"/>
    <w:rsid w:val="00FD1CD8"/>
    <w:rsid w:val="00FD4C00"/>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04f75,#260859,#004712,#8a2529,#c2a204,#e87d1e"/>
    </o:shapedefaults>
    <o:shapelayout v:ext="edit">
      <o:idmap v:ext="edit" data="1"/>
    </o:shapelayout>
  </w:shapeDefaults>
  <w:decimalSymbol w:val="."/>
  <w:listSeparator w:val=","/>
  <w14:docId w14:val="39C652E2"/>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
    <w:name w:val="Numbered"/>
    <w:basedOn w:val="Normal"/>
    <w:rsid w:val="00984C6D"/>
    <w:pPr>
      <w:widowControl w:val="0"/>
      <w:overflowPunct w:val="0"/>
      <w:autoSpaceDE w:val="0"/>
      <w:autoSpaceDN w:val="0"/>
      <w:adjustRightInd w:val="0"/>
      <w:spacing w:after="240" w:line="240" w:lineRule="auto"/>
      <w:textAlignment w:val="baseline"/>
    </w:pPr>
    <w:rPr>
      <w:sz w:val="24"/>
      <w:szCs w:val="20"/>
      <w:lang w:eastAsia="en-US"/>
    </w:rPr>
  </w:style>
  <w:style w:type="paragraph" w:customStyle="1" w:styleId="Bullets">
    <w:name w:val="Bullets"/>
    <w:basedOn w:val="Normal"/>
    <w:qFormat/>
    <w:rsid w:val="00404469"/>
    <w:pPr>
      <w:numPr>
        <w:numId w:val="20"/>
      </w:numPr>
      <w:spacing w:after="60" w:line="240" w:lineRule="auto"/>
      <w:contextualSpacing/>
    </w:pPr>
    <w:rPr>
      <w:rFonts w:ascii="Times New Roman" w:hAnsi="Times New Roman" w:cs="Arial"/>
      <w:sz w:val="28"/>
      <w:szCs w:val="22"/>
    </w:rPr>
  </w:style>
  <w:style w:type="paragraph" w:customStyle="1" w:styleId="SubBullets">
    <w:name w:val="Sub Bullets"/>
    <w:basedOn w:val="Bullets"/>
    <w:semiHidden/>
    <w:qFormat/>
    <w:rsid w:val="00404469"/>
    <w:pPr>
      <w:numPr>
        <w:ilvl w:val="1"/>
      </w:numPr>
      <w:tabs>
        <w:tab w:val="num" w:pos="1440"/>
      </w:tabs>
      <w:ind w:left="1718" w:hanging="357"/>
    </w:pPr>
  </w:style>
  <w:style w:type="paragraph" w:styleId="Revision">
    <w:name w:val="Revision"/>
    <w:hidden/>
    <w:uiPriority w:val="99"/>
    <w:semiHidden/>
    <w:rsid w:val="008D159B"/>
    <w:rPr>
      <w:sz w:val="22"/>
      <w:szCs w:val="24"/>
    </w:rPr>
  </w:style>
  <w:style w:type="paragraph" w:styleId="FootnoteText">
    <w:name w:val="footnote text"/>
    <w:basedOn w:val="Normal"/>
    <w:link w:val="FootnoteTextChar"/>
    <w:semiHidden/>
    <w:unhideWhenUsed/>
    <w:rsid w:val="00EB0D87"/>
    <w:pPr>
      <w:spacing w:after="0" w:line="240" w:lineRule="auto"/>
    </w:pPr>
    <w:rPr>
      <w:sz w:val="20"/>
      <w:szCs w:val="20"/>
    </w:rPr>
  </w:style>
  <w:style w:type="character" w:customStyle="1" w:styleId="FootnoteTextChar">
    <w:name w:val="Footnote Text Char"/>
    <w:basedOn w:val="DefaultParagraphFont"/>
    <w:link w:val="FootnoteText"/>
    <w:semiHidden/>
    <w:rsid w:val="00EB0D87"/>
  </w:style>
  <w:style w:type="character" w:styleId="FootnoteReference">
    <w:name w:val="footnote reference"/>
    <w:basedOn w:val="DefaultParagraphFont"/>
    <w:semiHidden/>
    <w:unhideWhenUsed/>
    <w:rsid w:val="00EB0D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11250292">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97262590">
      <w:bodyDiv w:val="1"/>
      <w:marLeft w:val="0"/>
      <w:marRight w:val="0"/>
      <w:marTop w:val="0"/>
      <w:marBottom w:val="0"/>
      <w:divBdr>
        <w:top w:val="none" w:sz="0" w:space="0" w:color="auto"/>
        <w:left w:val="none" w:sz="0" w:space="0" w:color="auto"/>
        <w:bottom w:val="none" w:sz="0" w:space="0" w:color="auto"/>
        <w:right w:val="none" w:sz="0" w:space="0" w:color="auto"/>
      </w:divBdr>
    </w:div>
    <w:div w:id="1531261864">
      <w:bodyDiv w:val="1"/>
      <w:marLeft w:val="0"/>
      <w:marRight w:val="0"/>
      <w:marTop w:val="0"/>
      <w:marBottom w:val="0"/>
      <w:divBdr>
        <w:top w:val="none" w:sz="0" w:space="0" w:color="auto"/>
        <w:left w:val="none" w:sz="0" w:space="0" w:color="auto"/>
        <w:bottom w:val="none" w:sz="0" w:space="0" w:color="auto"/>
        <w:right w:val="none" w:sz="0" w:space="0" w:color="auto"/>
      </w:divBdr>
    </w:div>
    <w:div w:id="1547374823">
      <w:bodyDiv w:val="1"/>
      <w:marLeft w:val="0"/>
      <w:marRight w:val="0"/>
      <w:marTop w:val="0"/>
      <w:marBottom w:val="0"/>
      <w:divBdr>
        <w:top w:val="none" w:sz="0" w:space="0" w:color="auto"/>
        <w:left w:val="none" w:sz="0" w:space="0" w:color="auto"/>
        <w:bottom w:val="none" w:sz="0" w:space="0" w:color="auto"/>
        <w:right w:val="none" w:sz="0" w:space="0" w:color="auto"/>
      </w:divBdr>
    </w:div>
    <w:div w:id="1793203216">
      <w:bodyDiv w:val="1"/>
      <w:marLeft w:val="0"/>
      <w:marRight w:val="0"/>
      <w:marTop w:val="0"/>
      <w:marBottom w:val="0"/>
      <w:divBdr>
        <w:top w:val="none" w:sz="0" w:space="0" w:color="auto"/>
        <w:left w:val="none" w:sz="0" w:space="0" w:color="auto"/>
        <w:bottom w:val="none" w:sz="0" w:space="0" w:color="auto"/>
        <w:right w:val="none" w:sz="0" w:space="0" w:color="auto"/>
      </w:divBdr>
    </w:div>
    <w:div w:id="1869219090">
      <w:bodyDiv w:val="1"/>
      <w:marLeft w:val="0"/>
      <w:marRight w:val="0"/>
      <w:marTop w:val="0"/>
      <w:marBottom w:val="0"/>
      <w:divBdr>
        <w:top w:val="none" w:sz="0" w:space="0" w:color="auto"/>
        <w:left w:val="none" w:sz="0" w:space="0" w:color="auto"/>
        <w:bottom w:val="none" w:sz="0" w:space="0" w:color="auto"/>
        <w:right w:val="none" w:sz="0" w:space="0" w:color="auto"/>
      </w:divBdr>
    </w:div>
    <w:div w:id="195783299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matt.mawer@education.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atya.williams@education.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637716/Analytical_Associate_Pool_-_summary_of_projects_August_2017.pdf" TargetMode="External"/><Relationship Id="rId20" Type="http://schemas.openxmlformats.org/officeDocument/2006/relationships/hyperlink" Target="https://www.gov.uk/government/publications/eoi-guid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news/education-secretary-announces-6-new-opportunity-area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Enquiries.RBU@education.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news/social-mobility-package-unveiled-by-education-secretar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68F9AF-80F1-4673-945B-98707DC7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6313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7290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2017-09-25T13:27:00Z</cp:lastPrinted>
  <dcterms:created xsi:type="dcterms:W3CDTF">2017-09-28T12:58:00Z</dcterms:created>
  <dcterms:modified xsi:type="dcterms:W3CDTF">2017-09-28T12:58:00Z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