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9"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000000"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675C9CDF"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6F2892">
                                            <w:rPr>
                                              <w:rFonts w:eastAsia="Calibri"/>
                                              <w:b/>
                                              <w:color w:val="244061" w:themeColor="accent1" w:themeShade="80"/>
                                              <w:sz w:val="44"/>
                                              <w:szCs w:val="44"/>
                                            </w:rPr>
                                            <w:t>51 Herbert</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4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675C9CDF"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6F2892">
                                      <w:rPr>
                                        <w:rFonts w:eastAsia="Calibri"/>
                                        <w:b/>
                                        <w:color w:val="244061" w:themeColor="accent1" w:themeShade="80"/>
                                        <w:sz w:val="44"/>
                                        <w:szCs w:val="44"/>
                                      </w:rPr>
                                      <w:t>51 Herbert</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07C45D38"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18D3562C" w:rsidRPr="003B5B77">
                  <w:rPr>
                    <w:rFonts w:cs="Arial"/>
                    <w:sz w:val="28"/>
                    <w:szCs w:val="28"/>
                  </w:rPr>
                  <w:t>0</w:t>
                </w:r>
                <w:r w:rsidR="00E216E3">
                  <w:rPr>
                    <w:rFonts w:cs="Arial"/>
                    <w:sz w:val="28"/>
                    <w:szCs w:val="28"/>
                  </w:rPr>
                  <w:t>7</w:t>
                </w:r>
                <w:r w:rsidR="02E8F6A6" w:rsidRPr="003B5B77">
                  <w:rPr>
                    <w:rFonts w:cs="Arial"/>
                    <w:sz w:val="28"/>
                    <w:szCs w:val="28"/>
                  </w:rPr>
                  <w:t xml:space="preserve"> </w:t>
                </w:r>
                <w:r w:rsidR="003B5B77">
                  <w:rPr>
                    <w:rFonts w:cs="Arial"/>
                    <w:sz w:val="28"/>
                    <w:szCs w:val="28"/>
                  </w:rPr>
                  <w:t>October</w:t>
                </w:r>
                <w:r w:rsidR="608600E6" w:rsidRPr="003B5B77">
                  <w:rPr>
                    <w:rFonts w:cs="Arial"/>
                    <w:sz w:val="28"/>
                    <w:szCs w:val="28"/>
                  </w:rPr>
                  <w:t xml:space="preserve"> </w:t>
                </w:r>
                <w:r w:rsidR="006B24EE" w:rsidRPr="003B5B77">
                  <w:rPr>
                    <w:rFonts w:cs="Arial"/>
                    <w:sz w:val="28"/>
                    <w:szCs w:val="28"/>
                  </w:rPr>
                  <w:t>2022</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77ECB6D0" w:rsidR="00084DFC" w:rsidRDefault="0005557F" w:rsidP="3C82CBB1">
          <w:pPr>
            <w:ind w:left="709" w:right="402"/>
            <w:rPr>
              <w:b/>
              <w:bCs/>
              <w:color w:val="000000"/>
              <w:sz w:val="36"/>
              <w:szCs w:val="36"/>
              <w:u w:val="single"/>
            </w:rPr>
          </w:pPr>
          <w:r w:rsidRPr="00E44A95">
            <w:rPr>
              <w:b/>
              <w:bCs/>
              <w:color w:val="000000" w:themeColor="text1"/>
              <w:sz w:val="36"/>
              <w:szCs w:val="36"/>
              <w:u w:val="single"/>
            </w:rPr>
            <w:t xml:space="preserve">15:00 GMT on </w:t>
          </w:r>
          <w:r w:rsidR="5DD34893" w:rsidRPr="00E44A95">
            <w:rPr>
              <w:b/>
              <w:bCs/>
              <w:color w:val="000000" w:themeColor="text1"/>
              <w:sz w:val="36"/>
              <w:szCs w:val="36"/>
              <w:u w:val="single"/>
            </w:rPr>
            <w:t>2</w:t>
          </w:r>
          <w:r w:rsidR="0038338E">
            <w:rPr>
              <w:b/>
              <w:bCs/>
              <w:color w:val="000000" w:themeColor="text1"/>
              <w:sz w:val="36"/>
              <w:szCs w:val="36"/>
              <w:u w:val="single"/>
            </w:rPr>
            <w:t>4</w:t>
          </w:r>
          <w:r w:rsidR="000C4306" w:rsidRPr="00E44A95">
            <w:rPr>
              <w:b/>
              <w:bCs/>
              <w:color w:val="000000" w:themeColor="text1"/>
              <w:sz w:val="36"/>
              <w:szCs w:val="36"/>
              <w:u w:val="single"/>
            </w:rPr>
            <w:t xml:space="preserve"> </w:t>
          </w:r>
          <w:r w:rsidR="00E44A95">
            <w:rPr>
              <w:b/>
              <w:bCs/>
              <w:color w:val="000000" w:themeColor="text1"/>
              <w:sz w:val="36"/>
              <w:szCs w:val="36"/>
              <w:u w:val="single"/>
            </w:rPr>
            <w:t>October</w:t>
          </w:r>
          <w:r w:rsidR="00163FDB" w:rsidRPr="00E44A95">
            <w:rPr>
              <w:b/>
              <w:bCs/>
              <w:color w:val="000000" w:themeColor="text1"/>
              <w:sz w:val="36"/>
              <w:szCs w:val="36"/>
              <w:u w:val="single"/>
            </w:rPr>
            <w:t xml:space="preserve"> </w:t>
          </w:r>
          <w:r w:rsidR="006B24EE" w:rsidRPr="00E44A95">
            <w:rPr>
              <w:b/>
              <w:bCs/>
              <w:color w:val="000000" w:themeColor="text1"/>
              <w:sz w:val="36"/>
              <w:szCs w:val="36"/>
              <w:u w:val="single"/>
            </w:rPr>
            <w:t>2</w:t>
          </w:r>
          <w:r w:rsidR="0034609F" w:rsidRPr="00E44A95">
            <w:rPr>
              <w:b/>
              <w:bCs/>
              <w:color w:val="000000" w:themeColor="text1"/>
              <w:sz w:val="36"/>
              <w:szCs w:val="36"/>
              <w:u w:val="single"/>
            </w:rPr>
            <w:t>02</w:t>
          </w:r>
          <w:r w:rsidR="00C90F08" w:rsidRPr="00E44A95">
            <w:rPr>
              <w:b/>
              <w:bCs/>
              <w:color w:val="000000" w:themeColor="text1"/>
              <w:sz w:val="36"/>
              <w:szCs w:val="36"/>
              <w:u w:val="single"/>
            </w:rPr>
            <w:t>2</w:t>
          </w:r>
        </w:p>
        <w:p w14:paraId="20FDDD33" w14:textId="7365F8D9" w:rsidR="00BB5ACD" w:rsidRDefault="00BB5ACD" w:rsidP="00AF0362">
          <w:pPr>
            <w:ind w:left="709" w:right="402"/>
            <w:jc w:val="right"/>
            <w:rPr>
              <w:rFonts w:cs="Arial"/>
              <w:b/>
              <w:sz w:val="28"/>
              <w:szCs w:val="28"/>
            </w:rPr>
          </w:pPr>
        </w:p>
        <w:p w14:paraId="2A088DAD" w14:textId="252FEE9B" w:rsidR="00E216E3" w:rsidRDefault="00E216E3" w:rsidP="00AF0362">
          <w:pPr>
            <w:ind w:left="709" w:right="402"/>
            <w:jc w:val="right"/>
            <w:rPr>
              <w:rFonts w:cs="Arial"/>
              <w:b/>
              <w:sz w:val="28"/>
              <w:szCs w:val="28"/>
            </w:rPr>
          </w:pPr>
        </w:p>
        <w:p w14:paraId="3AE17219" w14:textId="75E2EEFD" w:rsidR="00E216E3" w:rsidRDefault="00E216E3" w:rsidP="00AF0362">
          <w:pPr>
            <w:ind w:left="709" w:right="402"/>
            <w:jc w:val="right"/>
            <w:rPr>
              <w:rFonts w:cs="Arial"/>
              <w:b/>
              <w:sz w:val="28"/>
              <w:szCs w:val="28"/>
            </w:rPr>
          </w:pPr>
        </w:p>
        <w:p w14:paraId="1DF74BCF" w14:textId="33240D41" w:rsidR="00E216E3" w:rsidRDefault="00E216E3" w:rsidP="00E216E3">
          <w:pPr>
            <w:ind w:left="709" w:right="402"/>
            <w:jc w:val="left"/>
            <w:rPr>
              <w:rFonts w:cs="Arial"/>
              <w:b/>
              <w:sz w:val="28"/>
              <w:szCs w:val="28"/>
            </w:rPr>
          </w:pPr>
        </w:p>
        <w:p w14:paraId="091D5447" w14:textId="4536DD38" w:rsidR="00E216E3" w:rsidRDefault="00E216E3" w:rsidP="00E216E3">
          <w:pPr>
            <w:ind w:left="709" w:right="402"/>
            <w:jc w:val="left"/>
            <w:rPr>
              <w:rFonts w:cs="Arial"/>
              <w:b/>
              <w:sz w:val="28"/>
              <w:szCs w:val="28"/>
            </w:rPr>
          </w:pPr>
        </w:p>
        <w:p w14:paraId="64D17460" w14:textId="526A6835" w:rsidR="00E216E3" w:rsidRDefault="00E216E3" w:rsidP="00E216E3">
          <w:pPr>
            <w:ind w:left="709" w:right="402"/>
            <w:jc w:val="left"/>
            <w:rPr>
              <w:rFonts w:cs="Arial"/>
              <w:b/>
              <w:sz w:val="28"/>
              <w:szCs w:val="28"/>
            </w:rPr>
          </w:pPr>
        </w:p>
        <w:p w14:paraId="572C9138" w14:textId="63CBF49F" w:rsidR="00E216E3" w:rsidRDefault="00E216E3" w:rsidP="00E216E3">
          <w:pPr>
            <w:ind w:left="709" w:right="402"/>
            <w:jc w:val="left"/>
            <w:rPr>
              <w:rFonts w:cs="Arial"/>
              <w:b/>
              <w:sz w:val="28"/>
              <w:szCs w:val="28"/>
            </w:rPr>
          </w:pPr>
        </w:p>
        <w:p w14:paraId="22746B74" w14:textId="674B05FF" w:rsidR="00E216E3" w:rsidRDefault="00E216E3" w:rsidP="00E216E3">
          <w:pPr>
            <w:ind w:left="709" w:right="402"/>
            <w:jc w:val="left"/>
            <w:rPr>
              <w:rFonts w:cs="Arial"/>
              <w:b/>
              <w:sz w:val="28"/>
              <w:szCs w:val="28"/>
            </w:rPr>
          </w:pPr>
        </w:p>
        <w:p w14:paraId="44320511" w14:textId="4DF93990" w:rsidR="00E216E3" w:rsidRDefault="00E216E3" w:rsidP="00E216E3">
          <w:pPr>
            <w:ind w:left="709" w:right="402"/>
            <w:jc w:val="left"/>
            <w:rPr>
              <w:rFonts w:cs="Arial"/>
              <w:b/>
              <w:sz w:val="28"/>
              <w:szCs w:val="28"/>
            </w:rPr>
          </w:pPr>
        </w:p>
        <w:p w14:paraId="6D2221BA" w14:textId="5174C34C" w:rsidR="00E216E3" w:rsidRDefault="00E216E3" w:rsidP="00E216E3">
          <w:pPr>
            <w:ind w:left="709" w:right="402"/>
            <w:jc w:val="left"/>
            <w:rPr>
              <w:rFonts w:cs="Arial"/>
              <w:b/>
              <w:sz w:val="28"/>
              <w:szCs w:val="28"/>
            </w:rPr>
          </w:pP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lastRenderedPageBreak/>
            <w:t xml:space="preserve">TABLE OF CONTENTS </w:t>
          </w:r>
        </w:p>
        <w:p w14:paraId="23CAAFFC" w14:textId="77777777" w:rsidR="00FC2EFA" w:rsidRDefault="00FC2EFA" w:rsidP="00AF0362">
          <w:pPr>
            <w:ind w:left="709" w:right="402"/>
            <w:jc w:val="left"/>
            <w:rPr>
              <w:rFonts w:cs="Arial"/>
            </w:rPr>
          </w:pPr>
        </w:p>
        <w:p w14:paraId="19E169C4" w14:textId="146CCCA0"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INFORMATION TO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p>
        <w:p w14:paraId="77A337D3" w14:textId="79BCA426" w:rsidR="007E3BC7" w:rsidRDefault="00000000">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A75274">
              <w:rPr>
                <w:noProof/>
                <w:webHidden/>
              </w:rPr>
              <w:t>2</w:t>
            </w:r>
            <w:r w:rsidR="007E3BC7">
              <w:rPr>
                <w:noProof/>
                <w:webHidden/>
              </w:rPr>
              <w:fldChar w:fldCharType="end"/>
            </w:r>
          </w:hyperlink>
        </w:p>
        <w:p w14:paraId="4BA19FA0" w14:textId="6B4125D2" w:rsidR="007E3BC7" w:rsidRDefault="00000000">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THE </w:t>
            </w:r>
            <w:r w:rsidR="00DB76EB">
              <w:rPr>
                <w:rStyle w:val="Hyperlink"/>
                <w:noProof/>
              </w:rPr>
              <w:t xml:space="preserve">SUBMISSION </w:t>
            </w:r>
            <w:r w:rsidR="007E3BC7" w:rsidRPr="00EE2FC3">
              <w:rPr>
                <w:rStyle w:val="Hyperlink"/>
                <w:noProof/>
              </w:rPr>
              <w:t>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A75274">
              <w:rPr>
                <w:noProof/>
                <w:webHidden/>
              </w:rPr>
              <w:t>5</w:t>
            </w:r>
            <w:r w:rsidR="007E3BC7">
              <w:rPr>
                <w:noProof/>
                <w:webHidden/>
              </w:rPr>
              <w:fldChar w:fldCharType="end"/>
            </w:r>
          </w:hyperlink>
        </w:p>
        <w:p w14:paraId="12758E47" w14:textId="79192BEF" w:rsidR="007E3BC7" w:rsidRDefault="00000000">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A75274">
              <w:rPr>
                <w:noProof/>
                <w:webHidden/>
              </w:rPr>
              <w:t>6</w:t>
            </w:r>
            <w:r w:rsidR="007E3BC7">
              <w:rPr>
                <w:noProof/>
                <w:webHidden/>
              </w:rPr>
              <w:fldChar w:fldCharType="end"/>
            </w:r>
          </w:hyperlink>
        </w:p>
        <w:p w14:paraId="42DFE267" w14:textId="794EAE7E" w:rsidR="007E3BC7" w:rsidRDefault="00000000">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A75274">
              <w:rPr>
                <w:noProof/>
                <w:webHidden/>
              </w:rPr>
              <w:t>7</w:t>
            </w:r>
            <w:r w:rsidR="007E3BC7">
              <w:rPr>
                <w:noProof/>
                <w:webHidden/>
              </w:rPr>
              <w:fldChar w:fldCharType="end"/>
            </w:r>
          </w:hyperlink>
        </w:p>
        <w:p w14:paraId="21FD747E" w14:textId="554D6777" w:rsidR="007E3BC7" w:rsidRDefault="00DB76EB">
          <w:pPr>
            <w:pStyle w:val="TOC1"/>
            <w:rPr>
              <w:rFonts w:asciiTheme="minorHAnsi" w:eastAsiaTheme="minorEastAsia" w:hAnsiTheme="minorHAnsi" w:cstheme="minorBidi"/>
              <w:caps w:val="0"/>
              <w:noProof/>
              <w:szCs w:val="22"/>
              <w:lang w:eastAsia="en-GB"/>
            </w:rPr>
          </w:pPr>
          <w:r>
            <w:t xml:space="preserve">            </w:t>
          </w: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A75274">
              <w:rPr>
                <w:noProof/>
                <w:webHidden/>
              </w:rPr>
              <w:t>8</w:t>
            </w:r>
            <w:r w:rsidR="007E3BC7">
              <w:rPr>
                <w:noProof/>
                <w:webHidden/>
              </w:rPr>
              <w:fldChar w:fldCharType="end"/>
            </w:r>
          </w:hyperlink>
        </w:p>
        <w:p w14:paraId="136ACEE8" w14:textId="7B9E0F18" w:rsidR="007E3BC7" w:rsidRDefault="00000000">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A75274">
              <w:rPr>
                <w:noProof/>
                <w:webHidden/>
              </w:rPr>
              <w:t>9</w:t>
            </w:r>
            <w:r w:rsidR="007E3BC7">
              <w:rPr>
                <w:noProof/>
                <w:webHidden/>
              </w:rPr>
              <w:fldChar w:fldCharType="end"/>
            </w:r>
          </w:hyperlink>
        </w:p>
        <w:p w14:paraId="0390588D" w14:textId="586A091A" w:rsidR="007E3BC7" w:rsidRDefault="00000000">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A75274">
              <w:rPr>
                <w:noProof/>
                <w:webHidden/>
              </w:rPr>
              <w:t>10</w:t>
            </w:r>
            <w:r w:rsidR="007E3BC7">
              <w:rPr>
                <w:noProof/>
                <w:webHidden/>
              </w:rPr>
              <w:fldChar w:fldCharType="end"/>
            </w:r>
          </w:hyperlink>
        </w:p>
        <w:p w14:paraId="00E36474" w14:textId="5C6B5024" w:rsidR="007E3BC7" w:rsidRDefault="00000000">
          <w:pPr>
            <w:pStyle w:val="TOC1"/>
            <w:rPr>
              <w:rFonts w:asciiTheme="minorHAnsi" w:eastAsiaTheme="minorEastAsia" w:hAnsiTheme="minorHAnsi" w:cstheme="minorBidi"/>
              <w:caps w:val="0"/>
              <w:noProof/>
              <w:szCs w:val="22"/>
              <w:lang w:eastAsia="en-GB"/>
            </w:rPr>
          </w:pPr>
          <w:hyperlink w:anchor="_Toc509841642" w:history="1">
            <w:r w:rsidR="007E3BC7" w:rsidRPr="00EE2FC3">
              <w:rPr>
                <w:rStyle w:val="Hyperlink"/>
                <w:noProof/>
              </w:rPr>
              <w:t xml:space="preserve">Appendix </w:t>
            </w:r>
            <w:r w:rsidR="006B6611">
              <w:rPr>
                <w:rStyle w:val="Hyperlink"/>
                <w:noProof/>
              </w:rPr>
              <w:t>1</w:t>
            </w:r>
            <w:r w:rsidR="007E3BC7" w:rsidRPr="00EE2FC3">
              <w:rPr>
                <w:rStyle w:val="Hyperlink"/>
                <w:noProof/>
              </w:rPr>
              <w:t>: FORM OF TENDER</w:t>
            </w:r>
            <w:r w:rsidR="00E2467D">
              <w:rPr>
                <w:rStyle w:val="Hyperlink"/>
                <w:noProof/>
              </w:rPr>
              <w:t xml:space="preserve"> (tender Sum)</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A75274">
              <w:rPr>
                <w:noProof/>
                <w:webHidden/>
              </w:rPr>
              <w:t>11</w:t>
            </w:r>
            <w:r w:rsidR="007E3BC7">
              <w:rPr>
                <w:noProof/>
                <w:webHidden/>
              </w:rPr>
              <w:fldChar w:fldCharType="end"/>
            </w:r>
          </w:hyperlink>
        </w:p>
        <w:p w14:paraId="2E916D97" w14:textId="5DC11598" w:rsidR="007E3BC7" w:rsidRDefault="00000000">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 xml:space="preserve">Appendix </w:t>
            </w:r>
            <w:r w:rsidR="006B6611">
              <w:rPr>
                <w:rStyle w:val="Hyperlink"/>
                <w:noProof/>
              </w:rPr>
              <w:t>2</w:t>
            </w:r>
            <w:r w:rsidR="007E3BC7" w:rsidRPr="00EE2FC3">
              <w:rPr>
                <w:rStyle w:val="Hyperlink"/>
                <w:noProof/>
              </w:rPr>
              <w:t>: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A75274">
              <w:rPr>
                <w:noProof/>
                <w:webHidden/>
              </w:rPr>
              <w:t>13</w:t>
            </w:r>
            <w:r w:rsidR="007E3BC7">
              <w:rPr>
                <w:noProof/>
                <w:webHidden/>
              </w:rPr>
              <w:fldChar w:fldCharType="end"/>
            </w:r>
          </w:hyperlink>
        </w:p>
        <w:p w14:paraId="1C25FD38" w14:textId="1A0E90ED" w:rsidR="007E3BC7" w:rsidRDefault="00000000">
          <w:pPr>
            <w:pStyle w:val="TOC1"/>
            <w:rPr>
              <w:rFonts w:asciiTheme="minorHAnsi" w:eastAsiaTheme="minorEastAsia" w:hAnsiTheme="minorHAnsi" w:cstheme="minorBidi"/>
              <w:caps w:val="0"/>
              <w:noProof/>
              <w:szCs w:val="22"/>
              <w:lang w:eastAsia="en-GB"/>
            </w:rPr>
          </w:pPr>
          <w:hyperlink w:anchor="_Toc509841644" w:history="1">
            <w:r w:rsidR="007E3BC7" w:rsidRPr="00EE2FC3">
              <w:rPr>
                <w:rStyle w:val="Hyperlink"/>
                <w:noProof/>
              </w:rPr>
              <w:t xml:space="preserve">Appendix </w:t>
            </w:r>
            <w:r w:rsidR="006B6611">
              <w:rPr>
                <w:rStyle w:val="Hyperlink"/>
                <w:noProof/>
              </w:rPr>
              <w:t>3</w:t>
            </w:r>
            <w:r w:rsidR="007E3BC7" w:rsidRPr="00EE2FC3">
              <w:rPr>
                <w:rStyle w:val="Hyperlink"/>
                <w:noProof/>
              </w:rPr>
              <w:t>: CERTIFICATE THAT THE TENDER IS BONA FIDE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A75274">
              <w:rPr>
                <w:noProof/>
                <w:webHidden/>
              </w:rPr>
              <w:t>15</w:t>
            </w:r>
            <w:r w:rsidR="007E3BC7">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000000"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28B38366"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 xml:space="preserve">to </w:t>
      </w:r>
      <w:r w:rsidR="006F2892">
        <w:t>51 Herbert</w:t>
      </w:r>
      <w:r w:rsidR="00DF7B9B">
        <w:t xml:space="preserve"> Street</w:t>
      </w:r>
      <w:r w:rsidR="00CA6EA4" w:rsidRPr="00DF7B9B">
        <w:t>,</w:t>
      </w:r>
      <w:r w:rsidR="00CA6EA4">
        <w:t xml:space="preserve"> Burnley.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37B7BCAF" w:rsidR="00CA6EA4" w:rsidRDefault="00CA6EA4" w:rsidP="00507857">
      <w:pPr>
        <w:pStyle w:val="Normalnumbered"/>
      </w:pPr>
      <w:r>
        <w:t xml:space="preserve">It is anticipated this will be an </w:t>
      </w:r>
      <w:r w:rsidR="00DF1403">
        <w:t>10</w:t>
      </w:r>
      <w:r>
        <w:t xml:space="preserve"> week contract running through </w:t>
      </w:r>
      <w:r w:rsidR="00DF7B9B">
        <w:t>mid October to mid January</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7B079029" w:rsidR="2544A511" w:rsidRDefault="2544A511" w:rsidP="3C82CBB1">
            <w:pPr>
              <w:spacing w:before="120" w:after="120" w:line="312" w:lineRule="auto"/>
              <w:ind w:left="601"/>
              <w:rPr>
                <w:b/>
                <w:bCs/>
              </w:rPr>
            </w:pPr>
            <w:r w:rsidRPr="3C82CBB1">
              <w:rPr>
                <w:b/>
                <w:bCs/>
                <w:sz w:val="22"/>
                <w:szCs w:val="22"/>
              </w:rPr>
              <w:t>40%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07F2EBB6" w:rsidR="00167246" w:rsidRDefault="2C3D4479" w:rsidP="3C82CBB1">
            <w:pPr>
              <w:spacing w:before="120" w:after="120" w:line="312" w:lineRule="auto"/>
              <w:ind w:left="601"/>
              <w:rPr>
                <w:b/>
                <w:bCs/>
                <w:sz w:val="22"/>
                <w:szCs w:val="22"/>
              </w:rPr>
            </w:pPr>
            <w:r w:rsidRPr="3C82CBB1">
              <w:rPr>
                <w:b/>
                <w:bCs/>
                <w:sz w:val="22"/>
                <w:szCs w:val="22"/>
              </w:rPr>
              <w:t>60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7E10CCE5" w14:textId="21FF7DCB" w:rsidR="001C657E" w:rsidRDefault="001C657E" w:rsidP="00FF3344">
      <w:pPr>
        <w:pStyle w:val="Normalnumbered"/>
        <w:numPr>
          <w:ilvl w:val="2"/>
          <w:numId w:val="31"/>
        </w:numPr>
        <w:jc w:val="both"/>
        <w:rPr>
          <w:b/>
          <w:bCs w:val="0"/>
        </w:rPr>
      </w:pPr>
      <w:r>
        <w:rPr>
          <w:b/>
          <w:bCs w:val="0"/>
        </w:rPr>
        <w:t>Pre Construction Information (Appendix 1)</w:t>
      </w:r>
    </w:p>
    <w:p w14:paraId="15ADFB52" w14:textId="04177E18" w:rsidR="00FF3344" w:rsidRPr="002E0C08" w:rsidRDefault="00B52CFE" w:rsidP="00FF3344">
      <w:pPr>
        <w:pStyle w:val="Normalnumbered"/>
        <w:numPr>
          <w:ilvl w:val="2"/>
          <w:numId w:val="31"/>
        </w:numPr>
        <w:jc w:val="both"/>
        <w:rPr>
          <w:b/>
          <w:bCs w:val="0"/>
        </w:rPr>
      </w:pPr>
      <w:r w:rsidRPr="002E0C08">
        <w:rPr>
          <w:b/>
          <w:bCs w:val="0"/>
        </w:rPr>
        <w:t>Form of</w:t>
      </w:r>
      <w:r w:rsidR="007E6A4E" w:rsidRPr="002E0C08">
        <w:rPr>
          <w:b/>
          <w:bCs w:val="0"/>
        </w:rPr>
        <w:t xml:space="preserve"> </w:t>
      </w:r>
      <w:r w:rsidR="004074EA" w:rsidRPr="002E0C08">
        <w:rPr>
          <w:b/>
          <w:bCs w:val="0"/>
        </w:rPr>
        <w:t>Tender</w:t>
      </w:r>
      <w:r w:rsidR="00DD53CA" w:rsidRPr="002E0C08">
        <w:rPr>
          <w:b/>
          <w:bCs w:val="0"/>
        </w:rPr>
        <w:t xml:space="preserve"> (</w:t>
      </w:r>
      <w:r w:rsidR="006D2719">
        <w:rPr>
          <w:b/>
          <w:bCs w:val="0"/>
        </w:rPr>
        <w:t xml:space="preserve">Appendix </w:t>
      </w:r>
      <w:r w:rsidR="00535D95">
        <w:rPr>
          <w:b/>
          <w:bCs w:val="0"/>
        </w:rPr>
        <w:t xml:space="preserve">2) </w:t>
      </w:r>
      <w:r w:rsidR="00535D95" w:rsidRPr="00535D95">
        <w:rPr>
          <w:i/>
          <w:iCs/>
        </w:rPr>
        <w:t>to be completed, signed &amp; returned</w:t>
      </w:r>
      <w:r w:rsidR="003458AD">
        <w:rPr>
          <w:i/>
          <w:iCs/>
        </w:rPr>
        <w:t xml:space="preserve"> prior to deadline</w:t>
      </w:r>
    </w:p>
    <w:p w14:paraId="6670F510" w14:textId="53808ADC" w:rsidR="00FF3344" w:rsidRPr="007E31E6" w:rsidRDefault="00FF3344" w:rsidP="00FF3344">
      <w:pPr>
        <w:pStyle w:val="Normalnumbered"/>
        <w:numPr>
          <w:ilvl w:val="2"/>
          <w:numId w:val="31"/>
        </w:numPr>
        <w:jc w:val="both"/>
        <w:rPr>
          <w:b/>
          <w:bCs w:val="0"/>
        </w:rPr>
      </w:pPr>
      <w:r w:rsidRPr="002E0C08">
        <w:rPr>
          <w:b/>
          <w:bCs w:val="0"/>
        </w:rPr>
        <w:t>Preliminaries (</w:t>
      </w:r>
      <w:r w:rsidR="00535D95">
        <w:rPr>
          <w:b/>
          <w:bCs w:val="0"/>
        </w:rPr>
        <w:t xml:space="preserve">Appenix 3) </w:t>
      </w:r>
      <w:r w:rsidR="007E31E6" w:rsidRPr="00535D95">
        <w:rPr>
          <w:i/>
          <w:iCs/>
        </w:rPr>
        <w:t>to be completed, signed &amp; returned</w:t>
      </w:r>
      <w:r w:rsidR="003458AD">
        <w:rPr>
          <w:i/>
          <w:iCs/>
        </w:rPr>
        <w:t xml:space="preserve"> prior to deadline</w:t>
      </w:r>
    </w:p>
    <w:p w14:paraId="710F72B2" w14:textId="152FD859" w:rsidR="007E31E6" w:rsidRDefault="007E31E6" w:rsidP="00FF3344">
      <w:pPr>
        <w:pStyle w:val="Normalnumbered"/>
        <w:numPr>
          <w:ilvl w:val="2"/>
          <w:numId w:val="31"/>
        </w:numPr>
        <w:jc w:val="both"/>
        <w:rPr>
          <w:b/>
          <w:bCs w:val="0"/>
        </w:rPr>
      </w:pPr>
      <w:r>
        <w:rPr>
          <w:b/>
          <w:bCs w:val="0"/>
        </w:rPr>
        <w:t>Schedule (Appendix 4)</w:t>
      </w:r>
      <w:r w:rsidR="00A9635E">
        <w:rPr>
          <w:b/>
          <w:bCs w:val="0"/>
        </w:rPr>
        <w:t xml:space="preserve"> </w:t>
      </w:r>
      <w:r w:rsidR="00A9635E" w:rsidRPr="00A9635E">
        <w:rPr>
          <w:i/>
          <w:iCs/>
        </w:rPr>
        <w:t>for information</w:t>
      </w:r>
    </w:p>
    <w:p w14:paraId="519046A6" w14:textId="67C23F62" w:rsidR="0039409C" w:rsidRPr="002E0C08" w:rsidRDefault="00733726" w:rsidP="00FF3344">
      <w:pPr>
        <w:pStyle w:val="Normalnumbered"/>
        <w:numPr>
          <w:ilvl w:val="2"/>
          <w:numId w:val="31"/>
        </w:numPr>
        <w:jc w:val="both"/>
        <w:rPr>
          <w:b/>
          <w:bCs w:val="0"/>
        </w:rPr>
      </w:pPr>
      <w:r w:rsidRPr="002E0C08">
        <w:rPr>
          <w:b/>
          <w:bCs w:val="0"/>
        </w:rPr>
        <w:lastRenderedPageBreak/>
        <w:t xml:space="preserve">Non-Collusion </w:t>
      </w:r>
      <w:r w:rsidR="00813B4F">
        <w:rPr>
          <w:b/>
          <w:bCs w:val="0"/>
        </w:rPr>
        <w:t xml:space="preserve">Certificate </w:t>
      </w:r>
      <w:r w:rsidR="007E31E6">
        <w:rPr>
          <w:b/>
          <w:bCs w:val="0"/>
        </w:rPr>
        <w:t xml:space="preserve">(Appendix </w:t>
      </w:r>
      <w:r w:rsidR="00002262">
        <w:rPr>
          <w:b/>
          <w:bCs w:val="0"/>
        </w:rPr>
        <w:t>5</w:t>
      </w:r>
      <w:r w:rsidR="007E31E6">
        <w:rPr>
          <w:b/>
          <w:bCs w:val="0"/>
        </w:rPr>
        <w:t>)</w:t>
      </w:r>
      <w:r w:rsidR="00BB676A">
        <w:rPr>
          <w:b/>
          <w:bCs w:val="0"/>
        </w:rPr>
        <w:t xml:space="preserve"> </w:t>
      </w:r>
      <w:r w:rsidR="00BB676A" w:rsidRPr="00535D95">
        <w:rPr>
          <w:i/>
          <w:iCs/>
        </w:rPr>
        <w:t>to be completed, signed &amp; returned</w:t>
      </w:r>
      <w:r w:rsidR="00BB676A">
        <w:rPr>
          <w:i/>
          <w:iCs/>
        </w:rPr>
        <w:t xml:space="preserve"> prior to deadline</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 xml:space="preserve">to the </w:t>
      </w:r>
      <w:r w:rsidR="00472BE6" w:rsidRPr="000D439B">
        <w:lastRenderedPageBreak/>
        <w:t>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6"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w:t>
      </w:r>
      <w:r w:rsidR="00F56EF1" w:rsidRPr="00CB7B25">
        <w:lastRenderedPageBreak/>
        <w:t xml:space="preserve">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7CAE83C8"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C53399">
        <w:t xml:space="preserve">to the Town Hall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6F2AF328"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126866F8" w:rsidRPr="00BF273A">
        <w:rPr>
          <w:rFonts w:cs="Arial"/>
          <w:b/>
          <w:bCs/>
        </w:rPr>
        <w:t>2</w:t>
      </w:r>
      <w:r w:rsidR="000224FE">
        <w:rPr>
          <w:rFonts w:cs="Arial"/>
          <w:b/>
          <w:bCs/>
        </w:rPr>
        <w:t>4</w:t>
      </w:r>
      <w:r w:rsidR="00BF273A">
        <w:rPr>
          <w:rFonts w:cs="Arial"/>
          <w:b/>
          <w:bCs/>
        </w:rPr>
        <w:t xml:space="preserve"> October</w:t>
      </w:r>
      <w:r w:rsidR="00654000" w:rsidRPr="00BF273A">
        <w:rPr>
          <w:rFonts w:cs="Arial"/>
          <w:b/>
          <w:bCs/>
        </w:rPr>
        <w:t xml:space="preserve"> </w:t>
      </w:r>
      <w:r w:rsidR="00A2410A" w:rsidRPr="00BF273A">
        <w:rPr>
          <w:rFonts w:cs="Arial"/>
          <w:b/>
          <w:bCs/>
        </w:rPr>
        <w:t>202</w:t>
      </w:r>
      <w:r w:rsidR="00857933" w:rsidRPr="00BF273A">
        <w:rPr>
          <w:rFonts w:cs="Arial"/>
          <w:b/>
          <w:bCs/>
        </w:rPr>
        <w:t>2</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331B7F6D"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67C78608" w:rsidRPr="3C82CBB1">
        <w:rPr>
          <w:b/>
        </w:rPr>
        <w:t>40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80B3E93" w:rsidRPr="3C82CBB1">
        <w:rPr>
          <w:b/>
        </w:rPr>
        <w:t>60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3785B0E9" w:rsidR="00AE00D0" w:rsidRDefault="00A76422" w:rsidP="00F449B8">
      <w:pPr>
        <w:pStyle w:val="Normalnumbered"/>
        <w:jc w:val="both"/>
      </w:pPr>
      <w:r>
        <w:t xml:space="preserve">Quality is worth </w:t>
      </w:r>
      <w:r w:rsidR="0C8602B6" w:rsidRPr="3C82CBB1">
        <w:rPr>
          <w:b/>
        </w:rPr>
        <w:t>40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7E89883E"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323D748F" w:rsidRPr="3C82CBB1">
        <w:rPr>
          <w:b/>
        </w:rPr>
        <w:t>60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40A72B0D" w:rsidR="00DF08BA" w:rsidRPr="00F87854" w:rsidRDefault="726AEACE" w:rsidP="3C82CBB1">
            <w:pPr>
              <w:spacing w:line="259" w:lineRule="auto"/>
              <w:jc w:val="center"/>
              <w:rPr>
                <w:rFonts w:cs="Arial"/>
                <w:b/>
                <w:bCs/>
                <w:noProof w:val="0"/>
              </w:rPr>
            </w:pPr>
            <w:r w:rsidRPr="3C82CBB1">
              <w:rPr>
                <w:rFonts w:cs="Arial"/>
                <w:b/>
                <w:bCs/>
                <w:noProof w:val="0"/>
                <w:sz w:val="22"/>
                <w:szCs w:val="22"/>
              </w:rPr>
              <w:t>60%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70214142" w:rsidR="002449F9" w:rsidRPr="00F87854" w:rsidRDefault="59F96478" w:rsidP="3C82CBB1">
            <w:pPr>
              <w:jc w:val="center"/>
              <w:rPr>
                <w:rFonts w:cs="Arial"/>
                <w:b/>
                <w:bCs/>
                <w:noProof w:val="0"/>
                <w:spacing w:val="0"/>
                <w:sz w:val="22"/>
                <w:szCs w:val="22"/>
              </w:rPr>
            </w:pPr>
            <w:r w:rsidRPr="3C82CBB1">
              <w:rPr>
                <w:rFonts w:cs="Arial"/>
                <w:b/>
                <w:bCs/>
                <w:noProof w:val="0"/>
                <w:spacing w:val="0"/>
                <w:sz w:val="22"/>
                <w:szCs w:val="22"/>
              </w:rPr>
              <w:t>40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7"/>
      <w:footerReference w:type="default" r:id="rId68"/>
      <w:footerReference w:type="first" r:id="rId69"/>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7723" w14:textId="77777777" w:rsidR="00F255B2" w:rsidRDefault="00F255B2">
      <w:r>
        <w:separator/>
      </w:r>
    </w:p>
  </w:endnote>
  <w:endnote w:type="continuationSeparator" w:id="0">
    <w:p w14:paraId="566F6054" w14:textId="77777777" w:rsidR="00F255B2" w:rsidRDefault="00F255B2">
      <w:r>
        <w:continuationSeparator/>
      </w:r>
    </w:p>
  </w:endnote>
  <w:endnote w:type="continuationNotice" w:id="1">
    <w:p w14:paraId="74E81B16" w14:textId="77777777" w:rsidR="00F255B2" w:rsidRDefault="00F25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8A299" w14:textId="77777777" w:rsidR="00F255B2" w:rsidRDefault="00F255B2">
      <w:r>
        <w:separator/>
      </w:r>
    </w:p>
  </w:footnote>
  <w:footnote w:type="continuationSeparator" w:id="0">
    <w:p w14:paraId="0F6244F3" w14:textId="77777777" w:rsidR="00F255B2" w:rsidRDefault="00F255B2">
      <w:r>
        <w:continuationSeparator/>
      </w:r>
    </w:p>
  </w:footnote>
  <w:footnote w:type="continuationNotice" w:id="1">
    <w:p w14:paraId="242619B7" w14:textId="77777777" w:rsidR="00F255B2" w:rsidRDefault="00F25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4FE"/>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38E"/>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892"/>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399"/>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442"/>
    <w:rsid w:val="00CE7940"/>
    <w:rsid w:val="00CE7B91"/>
    <w:rsid w:val="00CF04E0"/>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36E"/>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6E3"/>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55B2"/>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burnley.gov.uk/business/doing-business-burnley-council/current-opportuniti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D0E73"/>
    <w:rsid w:val="003F6673"/>
    <w:rsid w:val="00C3671E"/>
    <w:rsid w:val="00FE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LongProperties xmlns="http://schemas.microsoft.com/office/2006/metadata/longProperties"/>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11.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13.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14.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15.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16.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17.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18.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19.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2.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20.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21.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22.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23.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24.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25.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26.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27.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28.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29.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3.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30.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31.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32.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33.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34.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35.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36.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37.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38.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39.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4.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40.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41.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42.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43.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44.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45.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46.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47.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48.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49.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5.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50.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51.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52.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53.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6.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7.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8.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9.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3135</Words>
  <Characters>17876</Characters>
  <Application>Microsoft Office Word</Application>
  <DocSecurity>0</DocSecurity>
  <Lines>148</Lines>
  <Paragraphs>41</Paragraphs>
  <ScaleCrop>false</ScaleCrop>
  <Manager>JSwift@burnley.gov.uk</Manager>
  <Company>Burnley Borough Council</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51 Herbert St, Burnley</dc:title>
  <dc:subject>Invitation to Tender (ITT)</dc:subject>
  <dc:creator>cgraham@burnley.gov.uk</dc:creator>
  <cp:lastModifiedBy>Chris Gay</cp:lastModifiedBy>
  <cp:revision>8</cp:revision>
  <cp:lastPrinted>2022-08-25T14:47:00Z</cp:lastPrinted>
  <dcterms:created xsi:type="dcterms:W3CDTF">2022-09-28T15:05:00Z</dcterms:created>
  <dcterms:modified xsi:type="dcterms:W3CDTF">2022-10-07T10:30:00Z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