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EDC7C" w14:textId="769C7AC5"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579271B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proofErr w:type="spellStart"/>
      <w:r w:rsidR="00B62468">
        <w:rPr>
          <w:rFonts w:cs="Arial"/>
          <w:b/>
          <w:sz w:val="24"/>
        </w:rPr>
        <w:t>Atamis</w:t>
      </w:r>
      <w:proofErr w:type="spellEnd"/>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4C9FB750" w:rsidR="00A85EE8" w:rsidRPr="009A3A7F" w:rsidRDefault="00E65242" w:rsidP="00A85EE8">
      <w:pPr>
        <w:pStyle w:val="NoSpacing"/>
        <w:jc w:val="right"/>
        <w:rPr>
          <w:rFonts w:cs="Arial"/>
          <w:sz w:val="24"/>
        </w:rPr>
      </w:pPr>
      <w:r>
        <w:rPr>
          <w:rFonts w:cs="Arial"/>
          <w:sz w:val="24"/>
        </w:rPr>
        <w:t>5</w:t>
      </w:r>
      <w:r w:rsidR="006A5411">
        <w:rPr>
          <w:rFonts w:cs="Arial"/>
          <w:sz w:val="24"/>
        </w:rPr>
        <w:t xml:space="preserve"> October 2022</w:t>
      </w:r>
    </w:p>
    <w:tbl>
      <w:tblPr>
        <w:tblW w:w="12157" w:type="dxa"/>
        <w:tblLook w:val="04A0" w:firstRow="1" w:lastRow="0" w:firstColumn="1" w:lastColumn="0" w:noHBand="0" w:noVBand="1"/>
      </w:tblPr>
      <w:tblGrid>
        <w:gridCol w:w="4863"/>
        <w:gridCol w:w="2758"/>
        <w:gridCol w:w="2268"/>
        <w:gridCol w:w="2268"/>
      </w:tblGrid>
      <w:tr w:rsidR="006A5411" w:rsidRPr="009A3A7F" w14:paraId="700B0FB5" w14:textId="25806B67" w:rsidTr="006A5411">
        <w:tc>
          <w:tcPr>
            <w:tcW w:w="4863" w:type="dxa"/>
            <w:vAlign w:val="center"/>
          </w:tcPr>
          <w:p w14:paraId="3F2BFEB1" w14:textId="77777777" w:rsidR="006A5411" w:rsidRPr="009A3A7F" w:rsidRDefault="006A5411" w:rsidP="00B06340">
            <w:pPr>
              <w:spacing w:before="0" w:after="0" w:line="240" w:lineRule="auto"/>
              <w:rPr>
                <w:rFonts w:cs="Arial"/>
                <w:sz w:val="24"/>
              </w:rPr>
            </w:pPr>
          </w:p>
        </w:tc>
        <w:tc>
          <w:tcPr>
            <w:tcW w:w="2758" w:type="dxa"/>
          </w:tcPr>
          <w:p w14:paraId="15D693EF" w14:textId="77777777" w:rsidR="006A5411" w:rsidRPr="009A3A7F" w:rsidRDefault="006A5411" w:rsidP="00B06340">
            <w:pPr>
              <w:spacing w:before="0" w:after="0" w:line="240" w:lineRule="auto"/>
              <w:rPr>
                <w:rFonts w:cs="Arial"/>
                <w:sz w:val="24"/>
              </w:rPr>
            </w:pPr>
          </w:p>
        </w:tc>
        <w:tc>
          <w:tcPr>
            <w:tcW w:w="2268" w:type="dxa"/>
            <w:vAlign w:val="center"/>
          </w:tcPr>
          <w:p w14:paraId="63F6042D" w14:textId="77777777" w:rsidR="006A5411" w:rsidRPr="009A3A7F" w:rsidRDefault="006A5411" w:rsidP="00B06340">
            <w:pPr>
              <w:spacing w:before="0" w:after="0" w:line="240" w:lineRule="auto"/>
              <w:rPr>
                <w:rFonts w:cs="Arial"/>
                <w:sz w:val="24"/>
              </w:rPr>
            </w:pPr>
          </w:p>
        </w:tc>
        <w:tc>
          <w:tcPr>
            <w:tcW w:w="2268" w:type="dxa"/>
          </w:tcPr>
          <w:p w14:paraId="4AA513F3" w14:textId="77777777" w:rsidR="006A5411" w:rsidRPr="009A3A7F" w:rsidRDefault="006A5411" w:rsidP="00B06340">
            <w:pPr>
              <w:spacing w:before="0" w:after="0" w:line="240" w:lineRule="auto"/>
              <w:rPr>
                <w:rFonts w:cs="Arial"/>
                <w:sz w:val="24"/>
              </w:rPr>
            </w:pPr>
          </w:p>
        </w:tc>
      </w:tr>
      <w:tr w:rsidR="006A5411" w:rsidRPr="009A3A7F" w14:paraId="4F1165FD" w14:textId="39FB40B2" w:rsidTr="006A5411">
        <w:tc>
          <w:tcPr>
            <w:tcW w:w="4863" w:type="dxa"/>
            <w:vAlign w:val="center"/>
          </w:tcPr>
          <w:p w14:paraId="73667907" w14:textId="77777777" w:rsidR="006A5411" w:rsidRPr="009A3A7F" w:rsidRDefault="006A5411" w:rsidP="00B06340">
            <w:pPr>
              <w:spacing w:before="0" w:after="0" w:line="240" w:lineRule="auto"/>
              <w:rPr>
                <w:rFonts w:cs="Arial"/>
                <w:sz w:val="24"/>
              </w:rPr>
            </w:pPr>
          </w:p>
        </w:tc>
        <w:tc>
          <w:tcPr>
            <w:tcW w:w="2758" w:type="dxa"/>
          </w:tcPr>
          <w:p w14:paraId="3D3DFF7F" w14:textId="77777777" w:rsidR="006A5411" w:rsidRPr="009A3A7F" w:rsidRDefault="006A5411" w:rsidP="00B06340">
            <w:pPr>
              <w:spacing w:before="0" w:after="0" w:line="240" w:lineRule="auto"/>
              <w:rPr>
                <w:rFonts w:cs="Arial"/>
                <w:sz w:val="24"/>
              </w:rPr>
            </w:pPr>
          </w:p>
        </w:tc>
        <w:tc>
          <w:tcPr>
            <w:tcW w:w="2268" w:type="dxa"/>
            <w:vAlign w:val="center"/>
          </w:tcPr>
          <w:p w14:paraId="0E7F9204" w14:textId="77777777" w:rsidR="006A5411" w:rsidRPr="009A3A7F" w:rsidRDefault="006A5411" w:rsidP="00A85EE8">
            <w:pPr>
              <w:spacing w:before="0" w:after="0" w:line="240" w:lineRule="auto"/>
              <w:ind w:left="34"/>
              <w:rPr>
                <w:rFonts w:cs="Arial"/>
                <w:sz w:val="24"/>
              </w:rPr>
            </w:pPr>
          </w:p>
        </w:tc>
        <w:tc>
          <w:tcPr>
            <w:tcW w:w="2268" w:type="dxa"/>
          </w:tcPr>
          <w:p w14:paraId="76EDCA52" w14:textId="77777777" w:rsidR="006A5411" w:rsidRPr="009A3A7F" w:rsidRDefault="006A5411" w:rsidP="00A85EE8">
            <w:pPr>
              <w:spacing w:before="0" w:after="0" w:line="240" w:lineRule="auto"/>
              <w:ind w:left="34"/>
              <w:rPr>
                <w:rFonts w:cs="Arial"/>
                <w:sz w:val="24"/>
              </w:rPr>
            </w:pPr>
          </w:p>
        </w:tc>
      </w:tr>
    </w:tbl>
    <w:p w14:paraId="5282D701" w14:textId="7229486A" w:rsidR="002B6C8E" w:rsidRPr="00E745CC" w:rsidRDefault="00481098" w:rsidP="00160BD1">
      <w:pPr>
        <w:pStyle w:val="NoSpacing"/>
        <w:rPr>
          <w:rFonts w:eastAsia="Calibri" w:cs="Arial"/>
          <w:b/>
          <w:sz w:val="24"/>
          <w:lang w:val="en-US" w:bidi="en-US"/>
        </w:rPr>
      </w:pPr>
      <w:r w:rsidRPr="00E745CC">
        <w:rPr>
          <w:rFonts w:cs="Arial"/>
          <w:b/>
          <w:sz w:val="24"/>
        </w:rPr>
        <w:t xml:space="preserve">Invitation to offer for </w:t>
      </w:r>
      <w:r w:rsidR="00777EBE" w:rsidRPr="00E745CC">
        <w:rPr>
          <w:rFonts w:cs="Arial"/>
          <w:b/>
          <w:sz w:val="24"/>
        </w:rPr>
        <w:t xml:space="preserve">NHS </w:t>
      </w:r>
      <w:r w:rsidR="00E745CC" w:rsidRPr="00E745CC">
        <w:rPr>
          <w:rFonts w:cs="Arial"/>
          <w:b/>
          <w:sz w:val="24"/>
        </w:rPr>
        <w:t xml:space="preserve">National Framework Agreement Home Delivery Service </w:t>
      </w:r>
      <w:r w:rsidR="00E745CC" w:rsidRPr="00E745CC">
        <w:rPr>
          <w:rFonts w:eastAsia="Calibri" w:cs="Arial"/>
          <w:b/>
          <w:sz w:val="24"/>
          <w:lang w:val="en-US" w:bidi="en-US"/>
        </w:rPr>
        <w:t>Lysosomal Storage Disorders in England and Scotland.</w:t>
      </w:r>
    </w:p>
    <w:p w14:paraId="634F3ECE" w14:textId="77777777" w:rsidR="00E745CC" w:rsidRPr="00E745CC" w:rsidRDefault="00E745CC" w:rsidP="00160BD1">
      <w:pPr>
        <w:pStyle w:val="NoSpacing"/>
        <w:rPr>
          <w:rFonts w:cs="Arial"/>
          <w:b/>
          <w:sz w:val="24"/>
        </w:rPr>
      </w:pPr>
    </w:p>
    <w:p w14:paraId="007F222D" w14:textId="70B6D2A5" w:rsidR="002B6C8E" w:rsidRPr="00E745CC" w:rsidRDefault="00481098" w:rsidP="00160BD1">
      <w:pPr>
        <w:pStyle w:val="NoSpacing"/>
        <w:rPr>
          <w:rFonts w:cs="Arial"/>
          <w:b/>
          <w:sz w:val="24"/>
        </w:rPr>
      </w:pPr>
      <w:r w:rsidRPr="00E745CC">
        <w:rPr>
          <w:rFonts w:cs="Arial"/>
          <w:b/>
          <w:sz w:val="24"/>
        </w:rPr>
        <w:t xml:space="preserve">Offer reference number: </w:t>
      </w:r>
      <w:r w:rsidR="00E745CC" w:rsidRPr="00E745CC">
        <w:rPr>
          <w:rFonts w:cs="Arial"/>
          <w:b/>
          <w:sz w:val="24"/>
        </w:rPr>
        <w:t>CM/MSR/17/5555</w:t>
      </w:r>
    </w:p>
    <w:p w14:paraId="284EBF89" w14:textId="224A898D" w:rsidR="002B6C8E" w:rsidRPr="00E745CC" w:rsidRDefault="00481098" w:rsidP="0042200B">
      <w:pPr>
        <w:rPr>
          <w:rFonts w:cs="Arial"/>
          <w:b/>
          <w:sz w:val="24"/>
          <w:highlight w:val="yellow"/>
        </w:rPr>
      </w:pPr>
      <w:r w:rsidRPr="00E745CC">
        <w:rPr>
          <w:rFonts w:cs="Arial"/>
          <w:b/>
          <w:sz w:val="24"/>
        </w:rPr>
        <w:t xml:space="preserve">Period of framework agreement: </w:t>
      </w:r>
      <w:r w:rsidR="00E745CC" w:rsidRPr="00E745CC">
        <w:rPr>
          <w:rFonts w:cs="Arial"/>
          <w:b/>
          <w:sz w:val="24"/>
        </w:rPr>
        <w:t>1</w:t>
      </w:r>
      <w:r w:rsidR="00E745CC" w:rsidRPr="00E745CC">
        <w:rPr>
          <w:rFonts w:cs="Arial"/>
          <w:b/>
          <w:sz w:val="24"/>
          <w:vertAlign w:val="superscript"/>
        </w:rPr>
        <w:t>st</w:t>
      </w:r>
      <w:r w:rsidR="00E745CC" w:rsidRPr="00E745CC">
        <w:rPr>
          <w:rFonts w:cs="Arial"/>
          <w:b/>
          <w:sz w:val="24"/>
        </w:rPr>
        <w:t xml:space="preserve"> July 2023 – 30</w:t>
      </w:r>
      <w:r w:rsidR="00E745CC" w:rsidRPr="00E745CC">
        <w:rPr>
          <w:rFonts w:cs="Arial"/>
          <w:b/>
          <w:sz w:val="24"/>
          <w:vertAlign w:val="superscript"/>
        </w:rPr>
        <w:t>th</w:t>
      </w:r>
      <w:r w:rsidR="00E745CC" w:rsidRPr="00E745CC">
        <w:rPr>
          <w:rFonts w:cs="Arial"/>
          <w:b/>
          <w:sz w:val="24"/>
        </w:rPr>
        <w:t xml:space="preserve"> June 2025 </w:t>
      </w:r>
      <w:r w:rsidR="0042200B" w:rsidRPr="00E745CC">
        <w:rPr>
          <w:rFonts w:cs="Arial"/>
          <w:b/>
          <w:color w:val="000000"/>
          <w:sz w:val="24"/>
        </w:rPr>
        <w:t xml:space="preserve">with an option or options to extend (at the </w:t>
      </w:r>
      <w:r w:rsidR="00DF3CA6" w:rsidRPr="00E745CC">
        <w:rPr>
          <w:rFonts w:cs="Arial"/>
          <w:b/>
          <w:color w:val="000000"/>
          <w:sz w:val="24"/>
        </w:rPr>
        <w:t>A</w:t>
      </w:r>
      <w:r w:rsidR="0042200B" w:rsidRPr="00E745CC">
        <w:rPr>
          <w:rFonts w:cs="Arial"/>
          <w:b/>
          <w:color w:val="000000"/>
          <w:sz w:val="24"/>
        </w:rPr>
        <w:t>uthority’s discretion) for a period or periods up to a total of</w:t>
      </w:r>
      <w:r w:rsidR="00E745CC" w:rsidRPr="00E745CC">
        <w:rPr>
          <w:rFonts w:cs="Arial"/>
          <w:b/>
          <w:color w:val="000000"/>
          <w:sz w:val="24"/>
        </w:rPr>
        <w:t xml:space="preserve"> 24</w:t>
      </w:r>
      <w:r w:rsidR="0042200B" w:rsidRPr="00E745CC">
        <w:rPr>
          <w:rFonts w:cs="Arial"/>
          <w:b/>
          <w:color w:val="000000"/>
          <w:sz w:val="24"/>
        </w:rPr>
        <w:t xml:space="preserve"> months.</w:t>
      </w:r>
    </w:p>
    <w:p w14:paraId="0ED7E1F8" w14:textId="77777777" w:rsidR="002B6C8E" w:rsidRPr="009A3A7F" w:rsidRDefault="00481098" w:rsidP="00160BD1">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5CE371E" w:rsidR="002B6C8E" w:rsidRDefault="00A50B39" w:rsidP="00827A41">
      <w:pPr>
        <w:pStyle w:val="NoSpacing"/>
        <w:jc w:val="both"/>
        <w:rPr>
          <w:rFonts w:cs="Arial"/>
          <w:sz w:val="24"/>
        </w:rPr>
      </w:pPr>
      <w:r w:rsidRPr="00E745CC">
        <w:rPr>
          <w:rFonts w:cs="Arial"/>
          <w:color w:val="000000"/>
          <w:sz w:val="24"/>
        </w:rPr>
        <w:t>NHS England</w:t>
      </w:r>
      <w:r w:rsidR="002B6C8E" w:rsidRPr="00E745CC">
        <w:rPr>
          <w:rFonts w:cs="Arial"/>
          <w:sz w:val="24"/>
        </w:rPr>
        <w:t xml:space="preserve"> (</w:t>
      </w:r>
      <w:r w:rsidR="00827A41" w:rsidRPr="00E745CC">
        <w:rPr>
          <w:rFonts w:cs="Arial"/>
          <w:sz w:val="24"/>
        </w:rPr>
        <w:t>‘</w:t>
      </w:r>
      <w:r w:rsidR="002B6C8E" w:rsidRPr="00E745CC">
        <w:rPr>
          <w:rFonts w:cs="Arial"/>
          <w:sz w:val="24"/>
        </w:rPr>
        <w:t>Authority</w:t>
      </w:r>
      <w:r w:rsidR="00827A41" w:rsidRPr="00E745CC">
        <w:rPr>
          <w:rFonts w:cs="Arial"/>
          <w:sz w:val="24"/>
        </w:rPr>
        <w:t>’</w:t>
      </w:r>
      <w:r w:rsidR="002B6C8E" w:rsidRPr="00E745CC">
        <w:rPr>
          <w:rFonts w:cs="Arial"/>
          <w:sz w:val="24"/>
        </w:rPr>
        <w:t>) invites offers for the above mentioned goods and/or servi</w:t>
      </w:r>
      <w:r w:rsidR="007342C8" w:rsidRPr="00E745CC">
        <w:rPr>
          <w:rFonts w:cs="Arial"/>
          <w:sz w:val="24"/>
        </w:rPr>
        <w:t>ces as defined in Document No.03</w:t>
      </w:r>
      <w:r w:rsidR="002B6C8E" w:rsidRPr="00E745CC">
        <w:rPr>
          <w:rFonts w:cs="Arial"/>
          <w:sz w:val="24"/>
        </w:rPr>
        <w:t xml:space="preserve"> </w:t>
      </w:r>
      <w:r w:rsidR="007342C8" w:rsidRPr="00E745CC">
        <w:rPr>
          <w:rFonts w:cs="Arial"/>
          <w:sz w:val="24"/>
        </w:rPr>
        <w:t>Framework A</w:t>
      </w:r>
      <w:r w:rsidR="002B6C8E" w:rsidRPr="00E745CC">
        <w:rPr>
          <w:rFonts w:cs="Arial"/>
          <w:sz w:val="24"/>
        </w:rPr>
        <w:t>greement</w:t>
      </w:r>
      <w:r w:rsidR="007342C8" w:rsidRPr="00E745CC">
        <w:rPr>
          <w:rFonts w:cs="Arial"/>
          <w:sz w:val="24"/>
        </w:rPr>
        <w:t xml:space="preserve"> and Terms and Conditions</w:t>
      </w:r>
      <w:r w:rsidR="002B6C8E" w:rsidRPr="00E745CC">
        <w:rPr>
          <w:rFonts w:cs="Arial"/>
          <w:sz w:val="24"/>
        </w:rPr>
        <w:t>.</w:t>
      </w:r>
      <w:r w:rsidR="002B6C8E" w:rsidRPr="009A3A7F">
        <w:rPr>
          <w:rFonts w:cs="Arial"/>
          <w:sz w:val="24"/>
        </w:rPr>
        <w:t xml:space="preserve">  Offers shall be made subject to the terms of:</w:t>
      </w:r>
    </w:p>
    <w:p w14:paraId="4325571C" w14:textId="77777777" w:rsidR="00E745CC" w:rsidRPr="009A3A7F" w:rsidRDefault="00E745CC" w:rsidP="00827A41">
      <w:pPr>
        <w:pStyle w:val="NoSpacing"/>
        <w:jc w:val="both"/>
        <w:rPr>
          <w:rFonts w:cs="Arial"/>
          <w:sz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804"/>
      </w:tblGrid>
      <w:tr w:rsidR="00E745CC" w:rsidRPr="0025708F" w14:paraId="4DBC2767" w14:textId="77777777" w:rsidTr="009A4014">
        <w:trPr>
          <w:trHeight w:val="313"/>
        </w:trPr>
        <w:tc>
          <w:tcPr>
            <w:tcW w:w="2943" w:type="dxa"/>
          </w:tcPr>
          <w:p w14:paraId="33DB1E74" w14:textId="5DC08402" w:rsidR="00E745CC" w:rsidRPr="0025708F" w:rsidRDefault="00E745CC" w:rsidP="003046C9">
            <w:pPr>
              <w:pStyle w:val="NoSpacing"/>
              <w:rPr>
                <w:szCs w:val="22"/>
              </w:rPr>
            </w:pPr>
          </w:p>
        </w:tc>
        <w:tc>
          <w:tcPr>
            <w:tcW w:w="6804" w:type="dxa"/>
          </w:tcPr>
          <w:p w14:paraId="782C1204" w14:textId="38242587" w:rsidR="00E745CC" w:rsidRPr="0025708F" w:rsidRDefault="00E745CC" w:rsidP="003046C9">
            <w:pPr>
              <w:pStyle w:val="NoSpacing"/>
              <w:rPr>
                <w:szCs w:val="22"/>
              </w:rPr>
            </w:pPr>
          </w:p>
        </w:tc>
      </w:tr>
      <w:tr w:rsidR="009A4014" w:rsidRPr="009A4014" w14:paraId="6697A7E3" w14:textId="77777777" w:rsidTr="001800FA">
        <w:trPr>
          <w:trHeight w:val="300"/>
        </w:trPr>
        <w:tc>
          <w:tcPr>
            <w:tcW w:w="2943" w:type="dxa"/>
            <w:hideMark/>
          </w:tcPr>
          <w:p w14:paraId="39968C91"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No.01        </w:t>
            </w:r>
          </w:p>
        </w:tc>
        <w:tc>
          <w:tcPr>
            <w:tcW w:w="6804" w:type="dxa"/>
            <w:hideMark/>
          </w:tcPr>
          <w:p w14:paraId="5F9B5EFB"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Covering letter</w:t>
            </w:r>
          </w:p>
        </w:tc>
      </w:tr>
      <w:tr w:rsidR="009A4014" w:rsidRPr="009A4014" w14:paraId="5BFB6A1E" w14:textId="77777777" w:rsidTr="001800FA">
        <w:trPr>
          <w:trHeight w:val="300"/>
        </w:trPr>
        <w:tc>
          <w:tcPr>
            <w:tcW w:w="2943" w:type="dxa"/>
            <w:hideMark/>
          </w:tcPr>
          <w:p w14:paraId="63108E19"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No.02        </w:t>
            </w:r>
          </w:p>
        </w:tc>
        <w:tc>
          <w:tcPr>
            <w:tcW w:w="6804" w:type="dxa"/>
            <w:hideMark/>
          </w:tcPr>
          <w:p w14:paraId="0D283EBC"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Terms of offer</w:t>
            </w:r>
          </w:p>
        </w:tc>
      </w:tr>
      <w:tr w:rsidR="009A4014" w:rsidRPr="009A4014" w14:paraId="7315143A" w14:textId="77777777" w:rsidTr="001800FA">
        <w:trPr>
          <w:trHeight w:val="600"/>
        </w:trPr>
        <w:tc>
          <w:tcPr>
            <w:tcW w:w="2943" w:type="dxa"/>
            <w:hideMark/>
          </w:tcPr>
          <w:p w14:paraId="5722E719"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No.02a      </w:t>
            </w:r>
          </w:p>
        </w:tc>
        <w:tc>
          <w:tcPr>
            <w:tcW w:w="6804" w:type="dxa"/>
            <w:hideMark/>
          </w:tcPr>
          <w:p w14:paraId="7108A0FE"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Award Criteria, Local Award Tool and Patient Suitability Methodology</w:t>
            </w:r>
          </w:p>
        </w:tc>
      </w:tr>
      <w:tr w:rsidR="009A4014" w:rsidRPr="009A4014" w14:paraId="51321531" w14:textId="77777777" w:rsidTr="001800FA">
        <w:trPr>
          <w:trHeight w:val="300"/>
        </w:trPr>
        <w:tc>
          <w:tcPr>
            <w:tcW w:w="2943" w:type="dxa"/>
            <w:hideMark/>
          </w:tcPr>
          <w:p w14:paraId="0AB5DAE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No.02b      </w:t>
            </w:r>
          </w:p>
        </w:tc>
        <w:tc>
          <w:tcPr>
            <w:tcW w:w="6804" w:type="dxa"/>
            <w:hideMark/>
          </w:tcPr>
          <w:p w14:paraId="7D9B7DB2"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Management Information Example Template</w:t>
            </w:r>
          </w:p>
        </w:tc>
      </w:tr>
      <w:tr w:rsidR="009A4014" w:rsidRPr="009A4014" w14:paraId="3A151AE5" w14:textId="77777777" w:rsidTr="001800FA">
        <w:trPr>
          <w:trHeight w:val="600"/>
        </w:trPr>
        <w:tc>
          <w:tcPr>
            <w:tcW w:w="2943" w:type="dxa"/>
            <w:hideMark/>
          </w:tcPr>
          <w:p w14:paraId="0963D8A3"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No.02c      </w:t>
            </w:r>
          </w:p>
        </w:tc>
        <w:tc>
          <w:tcPr>
            <w:tcW w:w="6804" w:type="dxa"/>
            <w:hideMark/>
          </w:tcPr>
          <w:p w14:paraId="567AA4E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V6.2 Homecare Medicines and Services KPI’s (Key Performance Indicator’s) collection Template</w:t>
            </w:r>
          </w:p>
        </w:tc>
      </w:tr>
      <w:tr w:rsidR="009A4014" w:rsidRPr="009A4014" w14:paraId="4CE34F59" w14:textId="77777777" w:rsidTr="001800FA">
        <w:trPr>
          <w:trHeight w:val="600"/>
        </w:trPr>
        <w:tc>
          <w:tcPr>
            <w:tcW w:w="2943" w:type="dxa"/>
            <w:hideMark/>
          </w:tcPr>
          <w:p w14:paraId="56B58906"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No.03        </w:t>
            </w:r>
          </w:p>
        </w:tc>
        <w:tc>
          <w:tcPr>
            <w:tcW w:w="6804" w:type="dxa"/>
            <w:hideMark/>
          </w:tcPr>
          <w:p w14:paraId="0D56901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NHS Framework Agreement for the supply of goods and the provision of services (Homecare Medicines)  </w:t>
            </w:r>
          </w:p>
        </w:tc>
      </w:tr>
      <w:tr w:rsidR="009A4014" w:rsidRPr="009A4014" w14:paraId="43986D64" w14:textId="77777777" w:rsidTr="001800FA">
        <w:trPr>
          <w:trHeight w:val="900"/>
        </w:trPr>
        <w:tc>
          <w:tcPr>
            <w:tcW w:w="2943" w:type="dxa"/>
            <w:hideMark/>
          </w:tcPr>
          <w:p w14:paraId="4767E69E"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Document No.03a</w:t>
            </w:r>
          </w:p>
        </w:tc>
        <w:tc>
          <w:tcPr>
            <w:tcW w:w="6804" w:type="dxa"/>
            <w:hideMark/>
          </w:tcPr>
          <w:p w14:paraId="78071AB4"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A - Call-off Terms and Conditions for the Supply of Goods and the Provision of Services (Homecare Medicines)</w:t>
            </w:r>
          </w:p>
        </w:tc>
      </w:tr>
      <w:tr w:rsidR="009A4014" w:rsidRPr="009A4014" w14:paraId="47EC0453" w14:textId="77777777" w:rsidTr="001800FA">
        <w:trPr>
          <w:trHeight w:val="300"/>
        </w:trPr>
        <w:tc>
          <w:tcPr>
            <w:tcW w:w="2943" w:type="dxa"/>
            <w:hideMark/>
          </w:tcPr>
          <w:p w14:paraId="49A974D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No.04      </w:t>
            </w:r>
          </w:p>
        </w:tc>
        <w:tc>
          <w:tcPr>
            <w:tcW w:w="6804" w:type="dxa"/>
            <w:hideMark/>
          </w:tcPr>
          <w:p w14:paraId="04F50C78"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Confidential information schedule</w:t>
            </w:r>
          </w:p>
        </w:tc>
      </w:tr>
      <w:tr w:rsidR="009A4014" w:rsidRPr="009A4014" w14:paraId="757150B3" w14:textId="77777777" w:rsidTr="001800FA">
        <w:trPr>
          <w:trHeight w:val="600"/>
        </w:trPr>
        <w:tc>
          <w:tcPr>
            <w:tcW w:w="2943" w:type="dxa"/>
            <w:hideMark/>
          </w:tcPr>
          <w:p w14:paraId="446ECEDA"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lastRenderedPageBreak/>
              <w:t xml:space="preserve">Document No.05       </w:t>
            </w:r>
          </w:p>
        </w:tc>
        <w:tc>
          <w:tcPr>
            <w:tcW w:w="6804" w:type="dxa"/>
            <w:hideMark/>
          </w:tcPr>
          <w:p w14:paraId="6A024DD8"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Technical specification - LSD Home Delivery Specification </w:t>
            </w:r>
          </w:p>
        </w:tc>
      </w:tr>
      <w:tr w:rsidR="009A4014" w:rsidRPr="009A4014" w14:paraId="4DF00EF9" w14:textId="77777777" w:rsidTr="001800FA">
        <w:trPr>
          <w:trHeight w:val="600"/>
        </w:trPr>
        <w:tc>
          <w:tcPr>
            <w:tcW w:w="2943" w:type="dxa"/>
            <w:hideMark/>
          </w:tcPr>
          <w:p w14:paraId="1731DF30"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No.05 Appendices </w:t>
            </w:r>
          </w:p>
        </w:tc>
        <w:tc>
          <w:tcPr>
            <w:tcW w:w="6804" w:type="dxa"/>
            <w:hideMark/>
          </w:tcPr>
          <w:p w14:paraId="6F4BE729"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A – Missed Infusions</w:t>
            </w:r>
          </w:p>
        </w:tc>
      </w:tr>
      <w:tr w:rsidR="009A4014" w:rsidRPr="009A4014" w14:paraId="2793610C" w14:textId="77777777" w:rsidTr="001800FA">
        <w:trPr>
          <w:trHeight w:val="312"/>
        </w:trPr>
        <w:tc>
          <w:tcPr>
            <w:tcW w:w="2943" w:type="dxa"/>
            <w:hideMark/>
          </w:tcPr>
          <w:p w14:paraId="0D7B42B2" w14:textId="77777777" w:rsidR="009A4014" w:rsidRPr="009A4014" w:rsidRDefault="009A4014" w:rsidP="009A4014">
            <w:pPr>
              <w:spacing w:before="0" w:after="0" w:line="240" w:lineRule="auto"/>
              <w:rPr>
                <w:rFonts w:cs="Arial"/>
                <w:color w:val="000000"/>
                <w:sz w:val="24"/>
              </w:rPr>
            </w:pPr>
          </w:p>
        </w:tc>
        <w:tc>
          <w:tcPr>
            <w:tcW w:w="6804" w:type="dxa"/>
            <w:hideMark/>
          </w:tcPr>
          <w:p w14:paraId="4CBA7124"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B – Monthly Homecare report</w:t>
            </w:r>
          </w:p>
        </w:tc>
      </w:tr>
      <w:tr w:rsidR="009A4014" w:rsidRPr="009A4014" w14:paraId="681EA85E" w14:textId="77777777" w:rsidTr="001800FA">
        <w:trPr>
          <w:trHeight w:val="600"/>
        </w:trPr>
        <w:tc>
          <w:tcPr>
            <w:tcW w:w="2943" w:type="dxa"/>
            <w:hideMark/>
          </w:tcPr>
          <w:p w14:paraId="5BFEE392" w14:textId="77777777" w:rsidR="009A4014" w:rsidRPr="009A4014" w:rsidRDefault="009A4014" w:rsidP="009A4014">
            <w:pPr>
              <w:spacing w:before="0" w:after="0" w:line="240" w:lineRule="auto"/>
              <w:rPr>
                <w:rFonts w:cs="Arial"/>
                <w:color w:val="000000"/>
                <w:sz w:val="24"/>
              </w:rPr>
            </w:pPr>
          </w:p>
        </w:tc>
        <w:tc>
          <w:tcPr>
            <w:tcW w:w="6804" w:type="dxa"/>
            <w:hideMark/>
          </w:tcPr>
          <w:p w14:paraId="5C6D4C8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C – Independent Patient/Carer Training Competency Checklist</w:t>
            </w:r>
          </w:p>
        </w:tc>
      </w:tr>
      <w:tr w:rsidR="009A4014" w:rsidRPr="009A4014" w14:paraId="00D70DC2" w14:textId="77777777" w:rsidTr="001800FA">
        <w:trPr>
          <w:trHeight w:val="312"/>
        </w:trPr>
        <w:tc>
          <w:tcPr>
            <w:tcW w:w="2943" w:type="dxa"/>
            <w:hideMark/>
          </w:tcPr>
          <w:p w14:paraId="7B2E149B" w14:textId="77777777" w:rsidR="009A4014" w:rsidRPr="009A4014" w:rsidRDefault="009A4014" w:rsidP="009A4014">
            <w:pPr>
              <w:spacing w:before="0" w:after="0" w:line="240" w:lineRule="auto"/>
              <w:rPr>
                <w:rFonts w:cs="Arial"/>
                <w:color w:val="000000"/>
                <w:sz w:val="24"/>
              </w:rPr>
            </w:pPr>
          </w:p>
        </w:tc>
        <w:tc>
          <w:tcPr>
            <w:tcW w:w="6804" w:type="dxa"/>
            <w:hideMark/>
          </w:tcPr>
          <w:p w14:paraId="31D9852E"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D – Example of invoice layout</w:t>
            </w:r>
          </w:p>
        </w:tc>
      </w:tr>
      <w:tr w:rsidR="009A4014" w:rsidRPr="009A4014" w14:paraId="7C9637F3" w14:textId="77777777" w:rsidTr="001800FA">
        <w:trPr>
          <w:trHeight w:val="312"/>
        </w:trPr>
        <w:tc>
          <w:tcPr>
            <w:tcW w:w="2943" w:type="dxa"/>
            <w:hideMark/>
          </w:tcPr>
          <w:p w14:paraId="553768FF" w14:textId="77777777" w:rsidR="009A4014" w:rsidRPr="009A4014" w:rsidRDefault="009A4014" w:rsidP="009A4014">
            <w:pPr>
              <w:spacing w:before="0" w:after="0" w:line="240" w:lineRule="auto"/>
              <w:rPr>
                <w:rFonts w:cs="Arial"/>
                <w:color w:val="000000"/>
                <w:sz w:val="24"/>
              </w:rPr>
            </w:pPr>
          </w:p>
        </w:tc>
        <w:tc>
          <w:tcPr>
            <w:tcW w:w="6804" w:type="dxa"/>
            <w:hideMark/>
          </w:tcPr>
          <w:p w14:paraId="49C3EE35"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E – On hold form</w:t>
            </w:r>
          </w:p>
        </w:tc>
      </w:tr>
      <w:tr w:rsidR="009A4014" w:rsidRPr="009A4014" w14:paraId="5C610854" w14:textId="77777777" w:rsidTr="001800FA">
        <w:trPr>
          <w:trHeight w:val="312"/>
        </w:trPr>
        <w:tc>
          <w:tcPr>
            <w:tcW w:w="2943" w:type="dxa"/>
            <w:hideMark/>
          </w:tcPr>
          <w:p w14:paraId="29ED572C" w14:textId="77777777" w:rsidR="009A4014" w:rsidRPr="009A4014" w:rsidRDefault="009A4014" w:rsidP="009A4014">
            <w:pPr>
              <w:spacing w:before="0" w:after="0" w:line="240" w:lineRule="auto"/>
              <w:rPr>
                <w:rFonts w:cs="Arial"/>
                <w:color w:val="000000"/>
                <w:sz w:val="24"/>
              </w:rPr>
            </w:pPr>
          </w:p>
        </w:tc>
        <w:tc>
          <w:tcPr>
            <w:tcW w:w="6804" w:type="dxa"/>
            <w:hideMark/>
          </w:tcPr>
          <w:p w14:paraId="1135EA0F"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F – Restarting treatment</w:t>
            </w:r>
          </w:p>
        </w:tc>
      </w:tr>
      <w:tr w:rsidR="009A4014" w:rsidRPr="009A4014" w14:paraId="34F750BF" w14:textId="77777777" w:rsidTr="001800FA">
        <w:trPr>
          <w:trHeight w:val="312"/>
        </w:trPr>
        <w:tc>
          <w:tcPr>
            <w:tcW w:w="2943" w:type="dxa"/>
            <w:hideMark/>
          </w:tcPr>
          <w:p w14:paraId="11897847" w14:textId="77777777" w:rsidR="009A4014" w:rsidRPr="009A4014" w:rsidRDefault="009A4014" w:rsidP="009A4014">
            <w:pPr>
              <w:spacing w:before="0" w:after="0" w:line="240" w:lineRule="auto"/>
              <w:rPr>
                <w:rFonts w:cs="Arial"/>
                <w:color w:val="000000"/>
                <w:sz w:val="24"/>
              </w:rPr>
            </w:pPr>
          </w:p>
        </w:tc>
        <w:tc>
          <w:tcPr>
            <w:tcW w:w="6804" w:type="dxa"/>
            <w:hideMark/>
          </w:tcPr>
          <w:p w14:paraId="61D7F5A3"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G – Homecare Compliant form</w:t>
            </w:r>
          </w:p>
        </w:tc>
      </w:tr>
      <w:tr w:rsidR="009A4014" w:rsidRPr="009A4014" w14:paraId="196AEB66" w14:textId="77777777" w:rsidTr="001800FA">
        <w:trPr>
          <w:trHeight w:val="312"/>
        </w:trPr>
        <w:tc>
          <w:tcPr>
            <w:tcW w:w="2943" w:type="dxa"/>
            <w:hideMark/>
          </w:tcPr>
          <w:p w14:paraId="0EE183C2" w14:textId="77777777" w:rsidR="009A4014" w:rsidRPr="009A4014" w:rsidRDefault="009A4014" w:rsidP="009A4014">
            <w:pPr>
              <w:spacing w:before="0" w:after="0" w:line="240" w:lineRule="auto"/>
              <w:rPr>
                <w:rFonts w:cs="Arial"/>
                <w:color w:val="000000"/>
                <w:sz w:val="24"/>
              </w:rPr>
            </w:pPr>
          </w:p>
        </w:tc>
        <w:tc>
          <w:tcPr>
            <w:tcW w:w="6804" w:type="dxa"/>
            <w:hideMark/>
          </w:tcPr>
          <w:p w14:paraId="7C88712E"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Appendix H – Patient transfer of centre form</w:t>
            </w:r>
          </w:p>
        </w:tc>
      </w:tr>
      <w:tr w:rsidR="009A4014" w:rsidRPr="009A4014" w14:paraId="1F318388" w14:textId="77777777" w:rsidTr="001800FA">
        <w:trPr>
          <w:trHeight w:val="600"/>
        </w:trPr>
        <w:tc>
          <w:tcPr>
            <w:tcW w:w="2943" w:type="dxa"/>
            <w:hideMark/>
          </w:tcPr>
          <w:p w14:paraId="35D55AEF"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No.05a   </w:t>
            </w:r>
          </w:p>
        </w:tc>
        <w:tc>
          <w:tcPr>
            <w:tcW w:w="6804" w:type="dxa"/>
            <w:hideMark/>
          </w:tcPr>
          <w:p w14:paraId="550E431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Patient Homecare Support Pathway – Existing Patients</w:t>
            </w:r>
          </w:p>
        </w:tc>
      </w:tr>
      <w:tr w:rsidR="009A4014" w:rsidRPr="009A4014" w14:paraId="5E577AA8" w14:textId="77777777" w:rsidTr="001800FA">
        <w:trPr>
          <w:trHeight w:val="300"/>
        </w:trPr>
        <w:tc>
          <w:tcPr>
            <w:tcW w:w="2943" w:type="dxa"/>
            <w:hideMark/>
          </w:tcPr>
          <w:p w14:paraId="498FC3A2"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No.05b   </w:t>
            </w:r>
          </w:p>
        </w:tc>
        <w:tc>
          <w:tcPr>
            <w:tcW w:w="6804" w:type="dxa"/>
            <w:hideMark/>
          </w:tcPr>
          <w:p w14:paraId="2B5105C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Patient Homecare Support Pathway – New Patients</w:t>
            </w:r>
          </w:p>
        </w:tc>
      </w:tr>
      <w:tr w:rsidR="009A4014" w:rsidRPr="009A4014" w14:paraId="55D4E692" w14:textId="77777777" w:rsidTr="001800FA">
        <w:trPr>
          <w:trHeight w:val="300"/>
        </w:trPr>
        <w:tc>
          <w:tcPr>
            <w:tcW w:w="2943" w:type="dxa"/>
            <w:hideMark/>
          </w:tcPr>
          <w:p w14:paraId="5D09774A"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No.06        </w:t>
            </w:r>
          </w:p>
        </w:tc>
        <w:tc>
          <w:tcPr>
            <w:tcW w:w="6804" w:type="dxa"/>
            <w:hideMark/>
          </w:tcPr>
          <w:p w14:paraId="4F32402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Commercial Schedule</w:t>
            </w:r>
          </w:p>
        </w:tc>
      </w:tr>
      <w:tr w:rsidR="009A4014" w:rsidRPr="009A4014" w14:paraId="35071B78" w14:textId="77777777" w:rsidTr="001800FA">
        <w:trPr>
          <w:trHeight w:val="300"/>
        </w:trPr>
        <w:tc>
          <w:tcPr>
            <w:tcW w:w="2943" w:type="dxa"/>
            <w:hideMark/>
          </w:tcPr>
          <w:p w14:paraId="639E624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No.07        </w:t>
            </w:r>
          </w:p>
        </w:tc>
        <w:tc>
          <w:tcPr>
            <w:tcW w:w="6804" w:type="dxa"/>
            <w:hideMark/>
          </w:tcPr>
          <w:p w14:paraId="4E2D2591"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Form of offer</w:t>
            </w:r>
          </w:p>
        </w:tc>
      </w:tr>
      <w:tr w:rsidR="009A4014" w:rsidRPr="009A4014" w14:paraId="5DC342BD" w14:textId="77777777" w:rsidTr="001800FA">
        <w:trPr>
          <w:trHeight w:val="300"/>
        </w:trPr>
        <w:tc>
          <w:tcPr>
            <w:tcW w:w="2943" w:type="dxa"/>
            <w:hideMark/>
          </w:tcPr>
          <w:p w14:paraId="6CB5A4BB"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No.08   </w:t>
            </w:r>
          </w:p>
        </w:tc>
        <w:tc>
          <w:tcPr>
            <w:tcW w:w="6804" w:type="dxa"/>
            <w:hideMark/>
          </w:tcPr>
          <w:p w14:paraId="0F7D877B"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Market Engagement – Transparency Disclosure </w:t>
            </w:r>
          </w:p>
        </w:tc>
      </w:tr>
      <w:tr w:rsidR="009A4014" w:rsidRPr="009A4014" w14:paraId="00EA5FCD" w14:textId="77777777" w:rsidTr="001800FA">
        <w:trPr>
          <w:trHeight w:val="600"/>
        </w:trPr>
        <w:tc>
          <w:tcPr>
            <w:tcW w:w="2943" w:type="dxa"/>
            <w:hideMark/>
          </w:tcPr>
          <w:p w14:paraId="26E42A53"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No.08a </w:t>
            </w:r>
          </w:p>
        </w:tc>
        <w:tc>
          <w:tcPr>
            <w:tcW w:w="6804" w:type="dxa"/>
            <w:hideMark/>
          </w:tcPr>
          <w:p w14:paraId="1A386794" w14:textId="77777777" w:rsidR="009A4014" w:rsidRPr="009A4014" w:rsidRDefault="009A4014" w:rsidP="009A4014">
            <w:pPr>
              <w:spacing w:before="0" w:after="0" w:line="240" w:lineRule="auto"/>
              <w:rPr>
                <w:rFonts w:cs="Arial"/>
                <w:color w:val="000000"/>
                <w:sz w:val="24"/>
              </w:rPr>
            </w:pPr>
            <w:r w:rsidRPr="009A4014">
              <w:rPr>
                <w:rFonts w:cs="Arial"/>
                <w:color w:val="000000"/>
                <w:sz w:val="24"/>
              </w:rPr>
              <w:t>Market Engagement – Final LSD Market Engagement presentation</w:t>
            </w:r>
          </w:p>
        </w:tc>
      </w:tr>
      <w:tr w:rsidR="009A4014" w:rsidRPr="009A4014" w14:paraId="0238F934" w14:textId="77777777" w:rsidTr="001800FA">
        <w:trPr>
          <w:trHeight w:val="300"/>
        </w:trPr>
        <w:tc>
          <w:tcPr>
            <w:tcW w:w="2943" w:type="dxa"/>
            <w:hideMark/>
          </w:tcPr>
          <w:p w14:paraId="3A69F671" w14:textId="77777777" w:rsidR="009A4014" w:rsidRPr="009A4014" w:rsidRDefault="009A4014" w:rsidP="009A4014">
            <w:pPr>
              <w:spacing w:before="0" w:after="0" w:line="240" w:lineRule="auto"/>
              <w:rPr>
                <w:rFonts w:cs="Arial"/>
                <w:color w:val="000000"/>
                <w:sz w:val="24"/>
              </w:rPr>
            </w:pPr>
            <w:r w:rsidRPr="009A4014">
              <w:rPr>
                <w:rFonts w:cs="Arial"/>
                <w:color w:val="000000"/>
                <w:sz w:val="24"/>
              </w:rPr>
              <w:t xml:space="preserve">Document No.08b   </w:t>
            </w:r>
          </w:p>
        </w:tc>
        <w:tc>
          <w:tcPr>
            <w:tcW w:w="6804" w:type="dxa"/>
            <w:hideMark/>
          </w:tcPr>
          <w:p w14:paraId="0E202505" w14:textId="77777777" w:rsidR="009A4014" w:rsidRPr="009A4014" w:rsidRDefault="009A4014" w:rsidP="009A4014">
            <w:pPr>
              <w:spacing w:before="0" w:after="0" w:line="240" w:lineRule="auto"/>
              <w:rPr>
                <w:rFonts w:cs="Arial"/>
                <w:color w:val="000000"/>
                <w:sz w:val="24"/>
              </w:rPr>
            </w:pPr>
            <w:r w:rsidRPr="009A4014">
              <w:rPr>
                <w:rFonts w:cs="Arial"/>
                <w:color w:val="000000"/>
                <w:sz w:val="24"/>
              </w:rPr>
              <w:t>Market Engagement – LSD Pre-tender meeting</w:t>
            </w:r>
          </w:p>
        </w:tc>
      </w:tr>
      <w:tr w:rsidR="009A4014" w:rsidRPr="009A4014" w14:paraId="13F6DCEA" w14:textId="77777777" w:rsidTr="001800FA">
        <w:trPr>
          <w:trHeight w:val="300"/>
        </w:trPr>
        <w:tc>
          <w:tcPr>
            <w:tcW w:w="2943" w:type="dxa"/>
            <w:hideMark/>
          </w:tcPr>
          <w:p w14:paraId="483E0D2D"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Document No.09</w:t>
            </w:r>
          </w:p>
        </w:tc>
        <w:tc>
          <w:tcPr>
            <w:tcW w:w="6804" w:type="dxa"/>
            <w:hideMark/>
          </w:tcPr>
          <w:p w14:paraId="0F8C49C6"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Data Protection Protocol</w:t>
            </w:r>
          </w:p>
        </w:tc>
      </w:tr>
      <w:tr w:rsidR="009A4014" w:rsidRPr="009A4014" w14:paraId="74599D5A" w14:textId="77777777" w:rsidTr="001800FA">
        <w:trPr>
          <w:trHeight w:val="300"/>
        </w:trPr>
        <w:tc>
          <w:tcPr>
            <w:tcW w:w="2943" w:type="dxa"/>
            <w:hideMark/>
          </w:tcPr>
          <w:p w14:paraId="0085C864"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Document No.10</w:t>
            </w:r>
          </w:p>
        </w:tc>
        <w:tc>
          <w:tcPr>
            <w:tcW w:w="6804" w:type="dxa"/>
            <w:hideMark/>
          </w:tcPr>
          <w:p w14:paraId="27654D7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Participating Authorities  </w:t>
            </w:r>
          </w:p>
        </w:tc>
      </w:tr>
      <w:tr w:rsidR="009A4014" w:rsidRPr="009A4014" w14:paraId="4DAD94FA" w14:textId="77777777" w:rsidTr="001800FA">
        <w:trPr>
          <w:trHeight w:val="300"/>
        </w:trPr>
        <w:tc>
          <w:tcPr>
            <w:tcW w:w="2943" w:type="dxa"/>
            <w:hideMark/>
          </w:tcPr>
          <w:p w14:paraId="2CF68A35"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Document No.11</w:t>
            </w:r>
          </w:p>
        </w:tc>
        <w:tc>
          <w:tcPr>
            <w:tcW w:w="6804" w:type="dxa"/>
            <w:hideMark/>
          </w:tcPr>
          <w:p w14:paraId="0920E2E8"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LSD Patient Distribution Map</w:t>
            </w:r>
          </w:p>
        </w:tc>
      </w:tr>
      <w:tr w:rsidR="009A4014" w:rsidRPr="009A4014" w14:paraId="3D281D1C" w14:textId="77777777" w:rsidTr="001800FA">
        <w:trPr>
          <w:trHeight w:val="300"/>
        </w:trPr>
        <w:tc>
          <w:tcPr>
            <w:tcW w:w="2943" w:type="dxa"/>
            <w:hideMark/>
          </w:tcPr>
          <w:p w14:paraId="17392B97"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 xml:space="preserve">Document No.12 </w:t>
            </w:r>
          </w:p>
        </w:tc>
        <w:tc>
          <w:tcPr>
            <w:tcW w:w="6804" w:type="dxa"/>
            <w:hideMark/>
          </w:tcPr>
          <w:p w14:paraId="074A017F" w14:textId="77777777" w:rsidR="009A4014" w:rsidRPr="009A4014" w:rsidRDefault="009A4014" w:rsidP="009A4014">
            <w:pPr>
              <w:spacing w:before="0" w:after="0" w:line="240" w:lineRule="auto"/>
              <w:rPr>
                <w:rFonts w:cs="Arial"/>
                <w:color w:val="000000"/>
                <w:sz w:val="24"/>
              </w:rPr>
            </w:pPr>
            <w:r w:rsidRPr="009A4014">
              <w:rPr>
                <w:rFonts w:cs="Arial"/>
                <w:color w:val="000000"/>
                <w:sz w:val="24"/>
                <w:szCs w:val="22"/>
              </w:rPr>
              <w:t>LSD Medicines (for information only)</w:t>
            </w:r>
          </w:p>
        </w:tc>
      </w:tr>
      <w:tr w:rsidR="00E745CC" w:rsidRPr="0025708F" w14:paraId="2D5B41E9" w14:textId="77777777" w:rsidTr="009A4014">
        <w:tc>
          <w:tcPr>
            <w:tcW w:w="2943" w:type="dxa"/>
          </w:tcPr>
          <w:p w14:paraId="46406F50" w14:textId="1D932E0E" w:rsidR="00E745CC" w:rsidRPr="0025708F" w:rsidRDefault="00E745CC" w:rsidP="003046C9">
            <w:pPr>
              <w:pStyle w:val="NoSpacing"/>
              <w:rPr>
                <w:szCs w:val="22"/>
              </w:rPr>
            </w:pPr>
          </w:p>
        </w:tc>
        <w:tc>
          <w:tcPr>
            <w:tcW w:w="6804" w:type="dxa"/>
          </w:tcPr>
          <w:p w14:paraId="30FB222F" w14:textId="3D952402" w:rsidR="00E745CC" w:rsidRPr="0025708F" w:rsidRDefault="00E745CC" w:rsidP="003046C9">
            <w:pPr>
              <w:pStyle w:val="NoSpacing"/>
              <w:rPr>
                <w:szCs w:val="22"/>
              </w:rPr>
            </w:pPr>
          </w:p>
        </w:tc>
      </w:tr>
      <w:tr w:rsidR="00E745CC" w:rsidRPr="0025708F" w14:paraId="58E6CE48" w14:textId="77777777" w:rsidTr="009A4014">
        <w:tc>
          <w:tcPr>
            <w:tcW w:w="2943" w:type="dxa"/>
          </w:tcPr>
          <w:p w14:paraId="20FC6382" w14:textId="57EA81FB" w:rsidR="00E745CC" w:rsidRPr="0025708F" w:rsidRDefault="00E745CC" w:rsidP="003046C9">
            <w:pPr>
              <w:pStyle w:val="NoSpacing"/>
              <w:rPr>
                <w:szCs w:val="22"/>
              </w:rPr>
            </w:pPr>
          </w:p>
        </w:tc>
        <w:tc>
          <w:tcPr>
            <w:tcW w:w="6804" w:type="dxa"/>
          </w:tcPr>
          <w:p w14:paraId="0D82403B" w14:textId="325A93F2" w:rsidR="00E745CC" w:rsidRPr="0025708F" w:rsidRDefault="00E745CC" w:rsidP="003046C9">
            <w:pPr>
              <w:pStyle w:val="NoSpacing"/>
              <w:rPr>
                <w:szCs w:val="22"/>
              </w:rPr>
            </w:pPr>
          </w:p>
        </w:tc>
      </w:tr>
      <w:tr w:rsidR="00E745CC" w:rsidRPr="0025708F" w14:paraId="2656D94D" w14:textId="77777777" w:rsidTr="009A4014">
        <w:tc>
          <w:tcPr>
            <w:tcW w:w="2943" w:type="dxa"/>
          </w:tcPr>
          <w:p w14:paraId="663626DC" w14:textId="3B6BD26D" w:rsidR="00E745CC" w:rsidRPr="0025708F" w:rsidRDefault="00E745CC" w:rsidP="003046C9">
            <w:pPr>
              <w:pStyle w:val="NoSpacing"/>
              <w:rPr>
                <w:szCs w:val="22"/>
              </w:rPr>
            </w:pPr>
          </w:p>
        </w:tc>
        <w:tc>
          <w:tcPr>
            <w:tcW w:w="6804" w:type="dxa"/>
          </w:tcPr>
          <w:p w14:paraId="50A6B411" w14:textId="2F0E50EB" w:rsidR="009507CC" w:rsidRPr="0025708F" w:rsidRDefault="009507CC" w:rsidP="003046C9">
            <w:pPr>
              <w:pStyle w:val="NoSpacing"/>
              <w:rPr>
                <w:szCs w:val="22"/>
              </w:rPr>
            </w:pPr>
          </w:p>
        </w:tc>
      </w:tr>
    </w:tbl>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proofErr w:type="spellStart"/>
      <w:r w:rsidR="00B62468">
        <w:rPr>
          <w:rFonts w:cs="Arial"/>
          <w:sz w:val="24"/>
        </w:rPr>
        <w:t>Atamis</w:t>
      </w:r>
      <w:proofErr w:type="spellEnd"/>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4B41E065" w14:textId="77777777" w:rsidR="001800FA" w:rsidRDefault="001800FA" w:rsidP="0047591B">
      <w:pPr>
        <w:pStyle w:val="NoSpacing"/>
        <w:jc w:val="both"/>
        <w:rPr>
          <w:rFonts w:cs="Arial"/>
          <w:sz w:val="24"/>
        </w:rPr>
      </w:pPr>
    </w:p>
    <w:p w14:paraId="7702E599" w14:textId="77777777" w:rsidR="001800FA" w:rsidRDefault="001800FA" w:rsidP="0047591B">
      <w:pPr>
        <w:pStyle w:val="NoSpacing"/>
        <w:jc w:val="both"/>
        <w:rPr>
          <w:rFonts w:cs="Arial"/>
          <w:sz w:val="24"/>
        </w:rPr>
      </w:pPr>
    </w:p>
    <w:p w14:paraId="3ABD025A" w14:textId="77777777" w:rsidR="001800FA" w:rsidRDefault="001800FA" w:rsidP="0047591B">
      <w:pPr>
        <w:pStyle w:val="NoSpacing"/>
        <w:jc w:val="both"/>
        <w:rPr>
          <w:rFonts w:cs="Arial"/>
          <w:sz w:val="24"/>
        </w:rPr>
      </w:pPr>
    </w:p>
    <w:p w14:paraId="02D5CF44" w14:textId="77777777" w:rsidR="001800FA" w:rsidRDefault="001800FA" w:rsidP="0047591B">
      <w:pPr>
        <w:pStyle w:val="NoSpacing"/>
        <w:jc w:val="both"/>
        <w:rPr>
          <w:rFonts w:cs="Arial"/>
          <w:sz w:val="24"/>
        </w:rPr>
      </w:pPr>
    </w:p>
    <w:p w14:paraId="5BE98ACE" w14:textId="77777777" w:rsidR="001800FA" w:rsidRDefault="001800FA" w:rsidP="0047591B">
      <w:pPr>
        <w:pStyle w:val="NoSpacing"/>
        <w:jc w:val="both"/>
        <w:rPr>
          <w:rFonts w:cs="Arial"/>
          <w:sz w:val="24"/>
        </w:rPr>
      </w:pPr>
    </w:p>
    <w:p w14:paraId="13C40259" w14:textId="5F7D105C"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70E72D13"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w:t>
      </w:r>
      <w:r w:rsidR="009507CC">
        <w:rPr>
          <w:rFonts w:cs="Arial"/>
          <w:sz w:val="24"/>
        </w:rPr>
        <w:t>120</w:t>
      </w:r>
      <w:r w:rsidRPr="009A3A7F">
        <w:rPr>
          <w:rFonts w:cs="Arial"/>
          <w:sz w:val="24"/>
        </w:rPr>
        <w:t xml:space="preserve"> days. </w:t>
      </w:r>
    </w:p>
    <w:p w14:paraId="36DD0512" w14:textId="77777777" w:rsidR="002B6C8E" w:rsidRPr="009A3A7F" w:rsidRDefault="002B6C8E" w:rsidP="0047591B">
      <w:pPr>
        <w:pStyle w:val="NoSpacing"/>
        <w:jc w:val="both"/>
        <w:rPr>
          <w:rFonts w:cs="Arial"/>
          <w:sz w:val="24"/>
        </w:rPr>
      </w:pPr>
    </w:p>
    <w:p w14:paraId="5818476C" w14:textId="42635B18"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E65242">
        <w:rPr>
          <w:rFonts w:cs="Arial"/>
          <w:b/>
          <w:bCs/>
          <w:sz w:val="24"/>
        </w:rPr>
        <w:t>9</w:t>
      </w:r>
      <w:r w:rsidR="009507CC" w:rsidRPr="009507CC">
        <w:rPr>
          <w:rFonts w:cs="Arial"/>
          <w:b/>
          <w:bCs/>
          <w:sz w:val="24"/>
          <w:vertAlign w:val="superscript"/>
        </w:rPr>
        <w:t>th</w:t>
      </w:r>
      <w:r w:rsidR="00E745CC" w:rsidRPr="00E745CC">
        <w:rPr>
          <w:rFonts w:cs="Arial"/>
          <w:b/>
          <w:bCs/>
          <w:sz w:val="24"/>
        </w:rPr>
        <w:t xml:space="preserve"> November 2022</w:t>
      </w:r>
      <w:r w:rsidRPr="009A3A7F">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proofErr w:type="spellStart"/>
      <w:r w:rsidR="00B62468">
        <w:rPr>
          <w:rFonts w:cs="Arial"/>
          <w:sz w:val="24"/>
        </w:rPr>
        <w:t>Atamis</w:t>
      </w:r>
      <w:proofErr w:type="spellEnd"/>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02B80977" w14:textId="77777777" w:rsidR="007B4BD5" w:rsidRPr="009A3A7F" w:rsidRDefault="007B4BD5" w:rsidP="00160BD1">
      <w:pPr>
        <w:pStyle w:val="NoSpacing"/>
        <w:rPr>
          <w:rFonts w:cs="Arial"/>
          <w:sz w:val="24"/>
        </w:rPr>
      </w:pPr>
      <w:r w:rsidRPr="009A3A7F">
        <w:rPr>
          <w:rFonts w:cs="Arial"/>
          <w:sz w:val="24"/>
        </w:rPr>
        <w:t xml:space="preserve">Yours faithfully </w:t>
      </w:r>
    </w:p>
    <w:p w14:paraId="694FDAE4" w14:textId="77777777" w:rsidR="007B4BD5" w:rsidRPr="009A3A7F" w:rsidRDefault="007B4BD5" w:rsidP="00160BD1">
      <w:pPr>
        <w:pStyle w:val="NoSpacing"/>
        <w:rPr>
          <w:rFonts w:cs="Arial"/>
          <w:sz w:val="24"/>
        </w:rPr>
      </w:pPr>
    </w:p>
    <w:p w14:paraId="0F5F0A3D" w14:textId="77777777" w:rsidR="00E745CC" w:rsidRPr="0025708F" w:rsidRDefault="00E745CC" w:rsidP="00E745CC">
      <w:pPr>
        <w:pStyle w:val="NoSpacing"/>
        <w:rPr>
          <w:rFonts w:cs="Arial"/>
          <w:szCs w:val="22"/>
        </w:rPr>
      </w:pPr>
      <w:r w:rsidRPr="0025708F">
        <w:rPr>
          <w:noProof/>
          <w:szCs w:val="22"/>
        </w:rPr>
        <w:drawing>
          <wp:inline distT="0" distB="0" distL="0" distR="0" wp14:anchorId="7BEF9DEB" wp14:editId="328A4239">
            <wp:extent cx="135538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14:paraId="4C187D62" w14:textId="77777777" w:rsidR="00E745CC" w:rsidRPr="0025708F" w:rsidRDefault="00E745CC" w:rsidP="00E745CC">
      <w:pPr>
        <w:pStyle w:val="NoSpacing"/>
        <w:rPr>
          <w:rFonts w:cs="Arial"/>
          <w:szCs w:val="22"/>
        </w:rPr>
      </w:pPr>
    </w:p>
    <w:p w14:paraId="628EED6B" w14:textId="77777777" w:rsidR="00E745CC" w:rsidRPr="0025708F" w:rsidRDefault="00E745CC" w:rsidP="00E745CC">
      <w:pPr>
        <w:rPr>
          <w:rFonts w:eastAsiaTheme="minorEastAsia" w:cstheme="minorHAnsi"/>
          <w:noProof/>
          <w:szCs w:val="22"/>
        </w:rPr>
      </w:pPr>
      <w:r w:rsidRPr="0025708F">
        <w:rPr>
          <w:rFonts w:eastAsiaTheme="minorEastAsia" w:cstheme="minorHAnsi"/>
          <w:noProof/>
          <w:szCs w:val="22"/>
        </w:rPr>
        <w:t>Michelle Clarke</w:t>
      </w:r>
    </w:p>
    <w:p w14:paraId="6288F211" w14:textId="04D1C10C" w:rsidR="00A51A0A" w:rsidRPr="00A51A0A" w:rsidRDefault="00A51A0A" w:rsidP="00A51A0A">
      <w:pPr>
        <w:autoSpaceDE w:val="0"/>
        <w:autoSpaceDN w:val="0"/>
        <w:rPr>
          <w:rFonts w:eastAsia="Calibri" w:cs="Arial"/>
          <w:noProof/>
          <w:szCs w:val="22"/>
        </w:rPr>
      </w:pPr>
      <w:r w:rsidRPr="00A51A0A">
        <w:rPr>
          <w:rFonts w:eastAsiaTheme="minorEastAsia" w:cstheme="minorHAnsi"/>
          <w:noProof/>
          <w:szCs w:val="22"/>
        </w:rPr>
        <w:t>Sourcing Specialist –</w:t>
      </w:r>
      <w:r>
        <w:rPr>
          <w:rFonts w:eastAsiaTheme="minorEastAsia" w:cstheme="minorHAnsi"/>
          <w:noProof/>
          <w:szCs w:val="22"/>
        </w:rPr>
        <w:t xml:space="preserve"> </w:t>
      </w:r>
      <w:r w:rsidRPr="00A51A0A">
        <w:rPr>
          <w:rFonts w:eastAsiaTheme="minorEastAsia" w:cs="Arial"/>
          <w:noProof/>
          <w:szCs w:val="22"/>
        </w:rPr>
        <w:t>Homecare Medicines and Service Team</w:t>
      </w:r>
    </w:p>
    <w:p w14:paraId="0D8A441F" w14:textId="3ABB70C2" w:rsidR="00160BD1" w:rsidRPr="009A3A7F" w:rsidRDefault="00160BD1" w:rsidP="00E745CC">
      <w:pPr>
        <w:rPr>
          <w:rFonts w:cs="Arial"/>
          <w:sz w:val="24"/>
          <w:highlight w:val="yellow"/>
        </w:rPr>
      </w:pPr>
    </w:p>
    <w:sectPr w:rsidR="00160BD1" w:rsidRPr="009A3A7F" w:rsidSect="000074EB">
      <w:headerReference w:type="default" r:id="rId14"/>
      <w:footerReference w:type="even" r:id="rId15"/>
      <w:footerReference w:type="default" r:id="rId16"/>
      <w:headerReference w:type="first" r:id="rId17"/>
      <w:footerReference w:type="first" r:id="rId18"/>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4E1B7" w14:textId="77777777" w:rsidR="00B635CD" w:rsidRDefault="00B635CD">
      <w:r>
        <w:separator/>
      </w:r>
    </w:p>
  </w:endnote>
  <w:endnote w:type="continuationSeparator" w:id="0">
    <w:p w14:paraId="10CEACC6" w14:textId="77777777" w:rsidR="00B635CD" w:rsidRDefault="00B6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DC60FA"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06395" w14:textId="77777777" w:rsidR="00B635CD" w:rsidRDefault="00B635CD">
      <w:r>
        <w:separator/>
      </w:r>
    </w:p>
  </w:footnote>
  <w:footnote w:type="continuationSeparator" w:id="0">
    <w:p w14:paraId="1F874488" w14:textId="77777777" w:rsidR="00B635CD" w:rsidRDefault="00B6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D3BE6"/>
    <w:rsid w:val="000E3E81"/>
    <w:rsid w:val="000E5244"/>
    <w:rsid w:val="000F1021"/>
    <w:rsid w:val="000F4A21"/>
    <w:rsid w:val="00107260"/>
    <w:rsid w:val="00130477"/>
    <w:rsid w:val="00150BCA"/>
    <w:rsid w:val="0015722D"/>
    <w:rsid w:val="0015769D"/>
    <w:rsid w:val="00160BD1"/>
    <w:rsid w:val="001712FB"/>
    <w:rsid w:val="001800FA"/>
    <w:rsid w:val="001C1ED2"/>
    <w:rsid w:val="001D2FAF"/>
    <w:rsid w:val="001D3053"/>
    <w:rsid w:val="001D4E11"/>
    <w:rsid w:val="001E0923"/>
    <w:rsid w:val="001E5314"/>
    <w:rsid w:val="002216EC"/>
    <w:rsid w:val="002408CC"/>
    <w:rsid w:val="002465FE"/>
    <w:rsid w:val="002A60A4"/>
    <w:rsid w:val="002A641D"/>
    <w:rsid w:val="002B6C8E"/>
    <w:rsid w:val="002D0287"/>
    <w:rsid w:val="002E4D64"/>
    <w:rsid w:val="002E516F"/>
    <w:rsid w:val="002F5C3F"/>
    <w:rsid w:val="00302D3D"/>
    <w:rsid w:val="00337DBE"/>
    <w:rsid w:val="003535F8"/>
    <w:rsid w:val="00371038"/>
    <w:rsid w:val="00393338"/>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53FB0"/>
    <w:rsid w:val="0067464F"/>
    <w:rsid w:val="00674E71"/>
    <w:rsid w:val="00680772"/>
    <w:rsid w:val="0069464A"/>
    <w:rsid w:val="006A5411"/>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F7ABA"/>
    <w:rsid w:val="00804608"/>
    <w:rsid w:val="00815A8F"/>
    <w:rsid w:val="00815CE8"/>
    <w:rsid w:val="00821CBE"/>
    <w:rsid w:val="00827A41"/>
    <w:rsid w:val="00832A79"/>
    <w:rsid w:val="00836053"/>
    <w:rsid w:val="00843D5B"/>
    <w:rsid w:val="008507C1"/>
    <w:rsid w:val="0085413E"/>
    <w:rsid w:val="008550F0"/>
    <w:rsid w:val="00860ACB"/>
    <w:rsid w:val="00861FF6"/>
    <w:rsid w:val="008874C7"/>
    <w:rsid w:val="00887E14"/>
    <w:rsid w:val="008C46EC"/>
    <w:rsid w:val="008F0311"/>
    <w:rsid w:val="00907869"/>
    <w:rsid w:val="00915E31"/>
    <w:rsid w:val="009241F8"/>
    <w:rsid w:val="00937157"/>
    <w:rsid w:val="009507CC"/>
    <w:rsid w:val="00957424"/>
    <w:rsid w:val="009642C3"/>
    <w:rsid w:val="0097366E"/>
    <w:rsid w:val="00980565"/>
    <w:rsid w:val="0098479D"/>
    <w:rsid w:val="009A1530"/>
    <w:rsid w:val="009A3A7F"/>
    <w:rsid w:val="009A4014"/>
    <w:rsid w:val="009A6EB8"/>
    <w:rsid w:val="009B53B7"/>
    <w:rsid w:val="009E2F39"/>
    <w:rsid w:val="009F402C"/>
    <w:rsid w:val="009F5FE8"/>
    <w:rsid w:val="009F6B1F"/>
    <w:rsid w:val="00A12652"/>
    <w:rsid w:val="00A24D7A"/>
    <w:rsid w:val="00A30389"/>
    <w:rsid w:val="00A36091"/>
    <w:rsid w:val="00A3759D"/>
    <w:rsid w:val="00A50B39"/>
    <w:rsid w:val="00A51A0A"/>
    <w:rsid w:val="00A52E56"/>
    <w:rsid w:val="00A54E33"/>
    <w:rsid w:val="00A54FD8"/>
    <w:rsid w:val="00A619C3"/>
    <w:rsid w:val="00A622CD"/>
    <w:rsid w:val="00A645F6"/>
    <w:rsid w:val="00A65A9E"/>
    <w:rsid w:val="00A76C25"/>
    <w:rsid w:val="00A80A7D"/>
    <w:rsid w:val="00A85EE8"/>
    <w:rsid w:val="00A979A1"/>
    <w:rsid w:val="00AA5272"/>
    <w:rsid w:val="00AC6834"/>
    <w:rsid w:val="00AD631E"/>
    <w:rsid w:val="00AE514D"/>
    <w:rsid w:val="00B02EA5"/>
    <w:rsid w:val="00B06340"/>
    <w:rsid w:val="00B0751D"/>
    <w:rsid w:val="00B34252"/>
    <w:rsid w:val="00B62468"/>
    <w:rsid w:val="00B635CD"/>
    <w:rsid w:val="00B64DE8"/>
    <w:rsid w:val="00BD510C"/>
    <w:rsid w:val="00BE7B2C"/>
    <w:rsid w:val="00BF177C"/>
    <w:rsid w:val="00C23BB0"/>
    <w:rsid w:val="00C2782E"/>
    <w:rsid w:val="00C30D7E"/>
    <w:rsid w:val="00C56E4A"/>
    <w:rsid w:val="00C60D54"/>
    <w:rsid w:val="00C95706"/>
    <w:rsid w:val="00CE6ECB"/>
    <w:rsid w:val="00CF00A7"/>
    <w:rsid w:val="00D15096"/>
    <w:rsid w:val="00D17812"/>
    <w:rsid w:val="00D20BCD"/>
    <w:rsid w:val="00D2274A"/>
    <w:rsid w:val="00D433A9"/>
    <w:rsid w:val="00D44AEA"/>
    <w:rsid w:val="00D64002"/>
    <w:rsid w:val="00D70F0E"/>
    <w:rsid w:val="00D827AA"/>
    <w:rsid w:val="00D9436C"/>
    <w:rsid w:val="00DA0700"/>
    <w:rsid w:val="00DA336E"/>
    <w:rsid w:val="00DA6C36"/>
    <w:rsid w:val="00DB02A6"/>
    <w:rsid w:val="00DB45CC"/>
    <w:rsid w:val="00DB6D17"/>
    <w:rsid w:val="00DC40C1"/>
    <w:rsid w:val="00DC60FA"/>
    <w:rsid w:val="00DD0435"/>
    <w:rsid w:val="00DE4EC9"/>
    <w:rsid w:val="00DF3CA6"/>
    <w:rsid w:val="00E0466E"/>
    <w:rsid w:val="00E05BB2"/>
    <w:rsid w:val="00E11113"/>
    <w:rsid w:val="00E651E3"/>
    <w:rsid w:val="00E65242"/>
    <w:rsid w:val="00E6570A"/>
    <w:rsid w:val="00E745CC"/>
    <w:rsid w:val="00E85D31"/>
    <w:rsid w:val="00E92BD2"/>
    <w:rsid w:val="00EB36EA"/>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64980">
      <w:bodyDiv w:val="1"/>
      <w:marLeft w:val="0"/>
      <w:marRight w:val="0"/>
      <w:marTop w:val="0"/>
      <w:marBottom w:val="0"/>
      <w:divBdr>
        <w:top w:val="none" w:sz="0" w:space="0" w:color="auto"/>
        <w:left w:val="none" w:sz="0" w:space="0" w:color="auto"/>
        <w:bottom w:val="none" w:sz="0" w:space="0" w:color="auto"/>
        <w:right w:val="none" w:sz="0" w:space="0" w:color="auto"/>
      </w:divBdr>
    </w:div>
    <w:div w:id="79570684">
      <w:bodyDiv w:val="1"/>
      <w:marLeft w:val="0"/>
      <w:marRight w:val="0"/>
      <w:marTop w:val="0"/>
      <w:marBottom w:val="0"/>
      <w:divBdr>
        <w:top w:val="none" w:sz="0" w:space="0" w:color="auto"/>
        <w:left w:val="none" w:sz="0" w:space="0" w:color="auto"/>
        <w:bottom w:val="none" w:sz="0" w:space="0" w:color="auto"/>
        <w:right w:val="none" w:sz="0" w:space="0" w:color="auto"/>
      </w:divBdr>
    </w:div>
    <w:div w:id="167910007">
      <w:bodyDiv w:val="1"/>
      <w:marLeft w:val="0"/>
      <w:marRight w:val="0"/>
      <w:marTop w:val="0"/>
      <w:marBottom w:val="0"/>
      <w:divBdr>
        <w:top w:val="none" w:sz="0" w:space="0" w:color="auto"/>
        <w:left w:val="none" w:sz="0" w:space="0" w:color="auto"/>
        <w:bottom w:val="none" w:sz="0" w:space="0" w:color="auto"/>
        <w:right w:val="none" w:sz="0" w:space="0" w:color="auto"/>
      </w:divBdr>
    </w:div>
    <w:div w:id="632175594">
      <w:bodyDiv w:val="1"/>
      <w:marLeft w:val="0"/>
      <w:marRight w:val="0"/>
      <w:marTop w:val="0"/>
      <w:marBottom w:val="0"/>
      <w:divBdr>
        <w:top w:val="none" w:sz="0" w:space="0" w:color="auto"/>
        <w:left w:val="none" w:sz="0" w:space="0" w:color="auto"/>
        <w:bottom w:val="none" w:sz="0" w:space="0" w:color="auto"/>
        <w:right w:val="none" w:sz="0" w:space="0" w:color="auto"/>
      </w:divBdr>
    </w:div>
    <w:div w:id="666440382">
      <w:bodyDiv w:val="1"/>
      <w:marLeft w:val="0"/>
      <w:marRight w:val="0"/>
      <w:marTop w:val="0"/>
      <w:marBottom w:val="0"/>
      <w:divBdr>
        <w:top w:val="none" w:sz="0" w:space="0" w:color="auto"/>
        <w:left w:val="none" w:sz="0" w:space="0" w:color="auto"/>
        <w:bottom w:val="none" w:sz="0" w:space="0" w:color="auto"/>
        <w:right w:val="none" w:sz="0" w:space="0" w:color="auto"/>
      </w:divBdr>
    </w:div>
    <w:div w:id="699746045">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243948869">
      <w:bodyDiv w:val="1"/>
      <w:marLeft w:val="0"/>
      <w:marRight w:val="0"/>
      <w:marTop w:val="0"/>
      <w:marBottom w:val="0"/>
      <w:divBdr>
        <w:top w:val="none" w:sz="0" w:space="0" w:color="auto"/>
        <w:left w:val="none" w:sz="0" w:space="0" w:color="auto"/>
        <w:bottom w:val="none" w:sz="0" w:space="0" w:color="auto"/>
        <w:right w:val="none" w:sz="0" w:space="0" w:color="auto"/>
      </w:divBdr>
    </w:div>
    <w:div w:id="1330524982">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082C855B2CC4CE58E7448F960A4E632" version="1.0.0">
  <systemFields>
    <field name="Objective-Id">
      <value order="0">A2653467</value>
    </field>
    <field name="Objective-Title">
      <value order="0">Document No. 01 - Invitation to offer covering letter.DOC</value>
    </field>
    <field name="Objective-Description">
      <value order="0"/>
    </field>
    <field name="Objective-CreationStamp">
      <value order="0">2022-08-17T13:41:40Z</value>
    </field>
    <field name="Objective-IsApproved">
      <value order="0">false</value>
    </field>
    <field name="Objective-IsPublished">
      <value order="0">true</value>
    </field>
    <field name="Objective-DatePublished">
      <value order="0">2022-10-03T12:39:52Z</value>
    </field>
    <field name="Objective-ModificationStamp">
      <value order="0">2022-10-03T12:39:52Z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CM/MSR/17/5555:03. Tender Documents:02. LL approved tender documents</value>
    </field>
    <field name="Objective-Parent">
      <value order="0">02. LL approved tender documents</value>
    </field>
    <field name="Objective-State">
      <value order="0">Published</value>
    </field>
    <field name="Objective-VersionId">
      <value order="0">vA4086037</value>
    </field>
    <field name="Objective-Version">
      <value order="0">7.0</value>
    </field>
    <field name="Objective-VersionNumber">
      <value order="0">7</value>
    </field>
    <field name="Objective-VersionComment">
      <value order="0"/>
    </field>
    <field name="Objective-FileNumber">
      <value order="0">qA18566</value>
    </field>
    <field name="Objective-Classification">
      <value order="0"/>
    </field>
    <field name="Objective-Caveats">
      <value order="0"/>
    </field>
  </systemFields>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D4752237D181AA4DB2506CD7995214DD" ma:contentTypeVersion="4" ma:contentTypeDescription="Create a new document." ma:contentTypeScope="" ma:versionID="8a89a23d13c57a01c00bd2cbc38eea16">
  <xsd:schema xmlns:xsd="http://www.w3.org/2001/XMLSchema" xmlns:xs="http://www.w3.org/2001/XMLSchema" xmlns:p="http://schemas.microsoft.com/office/2006/metadata/properties" xmlns:ns3="5e917ebd-6f01-4c36-a630-56d6a5e57bef" targetNamespace="http://schemas.microsoft.com/office/2006/metadata/properties" ma:root="true" ma:fieldsID="05ab89a504052115023e681751802ff2" ns3:_="">
    <xsd:import namespace="5e917ebd-6f01-4c36-a630-56d6a5e57b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17ebd-6f01-4c36-a630-56d6a5e57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69640-1064-46AF-B937-886620B1BC3A}">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871743CA-C307-480D-8D0D-E87CAA1B8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17ebd-6f01-4c36-a630-56d6a5e57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5.xml><?xml version="1.0" encoding="utf-8"?>
<ds:datastoreItem xmlns:ds="http://schemas.openxmlformats.org/officeDocument/2006/customXml" ds:itemID="{66CAA930-B8C7-46D7-9957-673025025B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Michelle Clarke</cp:lastModifiedBy>
  <cp:revision>14</cp:revision>
  <cp:lastPrinted>2017-04-19T14:10:00Z</cp:lastPrinted>
  <dcterms:created xsi:type="dcterms:W3CDTF">2022-08-17T13:40:00Z</dcterms:created>
  <dcterms:modified xsi:type="dcterms:W3CDTF">2022-10-05T14:50:00Z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A2653467</vt:lpwstr>
  </property>
  <property fmtid="{D5CDD505-2E9C-101B-9397-08002B2CF9AE}" pid="4" name="Objective-Title">
    <vt:lpwstr>Document No. 01 - Invitation to offer covering letter.DOC</vt:lpwstr>
  </property>
  <property fmtid="{D5CDD505-2E9C-101B-9397-08002B2CF9AE}" pid="5" name="Objective-Comment">
    <vt:lpwstr/>
  </property>
  <property fmtid="{D5CDD505-2E9C-101B-9397-08002B2CF9AE}" pid="6" name="Objective-CreationStamp">
    <vt:filetime>2022-08-17T13:41:40Z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2022-10-03T12:39:52Z</vt:filetime>
  </property>
  <property fmtid="{D5CDD505-2E9C-101B-9397-08002B2CF9AE}" pid="10" name="Objective-ModificationStamp">
    <vt:filetime>2022-10-03T12:39:52Z</vt:filetime>
  </property>
  <property fmtid="{D5CDD505-2E9C-101B-9397-08002B2CF9AE}" pid="11" name="Objective-Owner">
    <vt:lpwstr>Clarke, Michelle</vt:lpwstr>
  </property>
  <property fmtid="{D5CDD505-2E9C-101B-9397-08002B2CF9AE}" pid="12" name="Objective-Path">
    <vt:lpwstr>Global Folder:04 Homecare and Services Projects and Contracts:Live Projects:Homecare - Contracts 2022:CM/MSR/17/5555 - Home Delivery Service - Lysosomal Storage Disorders - July 2023:03 Tender for CM/MSR/17/5555:03. Tender Documents:02. LL approved tender</vt:lpwstr>
  </property>
  <property fmtid="{D5CDD505-2E9C-101B-9397-08002B2CF9AE}" pid="13" name="Objective-Parent">
    <vt:lpwstr>02. LL approved tender documents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qA18566</vt:lpwstr>
  </property>
  <property fmtid="{D5CDD505-2E9C-101B-9397-08002B2CF9AE}" pid="19" name="Objective-Classification">
    <vt:lpwstr/>
  </property>
  <property fmtid="{D5CDD505-2E9C-101B-9397-08002B2CF9AE}" pid="20" name="Objective-Caveats">
    <vt:lpwstr/>
  </property>
  <property fmtid="{D5CDD505-2E9C-101B-9397-08002B2CF9AE}" pid="21" name="ContentTypeId">
    <vt:lpwstr>0x010100D4752237D181AA4DB2506CD7995214DD</vt:lpwstr>
  </property>
  <property fmtid="{D5CDD505-2E9C-101B-9397-08002B2CF9AE}" pid="22" name="Objective-Description">
    <vt:lpwstr/>
  </property>
  <property fmtid="{D5CDD505-2E9C-101B-9397-08002B2CF9AE}" pid="23" name="Objective-VersionId">
    <vt:lpwstr>vA4086037</vt:lpwstr>
  </property>
</Properties>
</file>