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DC2B6" w14:textId="77777777" w:rsidR="00DE5B0F" w:rsidRDefault="00DE5B0F" w:rsidP="00DE5B0F">
      <w:pPr>
        <w:rPr>
          <w:rFonts w:ascii="Arial" w:hAnsi="Arial" w:cs="Arial"/>
          <w:b/>
          <w:sz w:val="24"/>
          <w:szCs w:val="24"/>
        </w:rPr>
      </w:pPr>
      <w:r w:rsidRPr="003422E9">
        <w:rPr>
          <w:rFonts w:ascii="Arial" w:hAnsi="Arial" w:cs="Arial"/>
          <w:b/>
          <w:sz w:val="24"/>
          <w:szCs w:val="24"/>
        </w:rPr>
        <w:t>W</w:t>
      </w:r>
      <w:r>
        <w:rPr>
          <w:rFonts w:ascii="Arial" w:hAnsi="Arial" w:cs="Arial"/>
          <w:b/>
          <w:sz w:val="24"/>
          <w:szCs w:val="24"/>
        </w:rPr>
        <w:t xml:space="preserve">EST </w:t>
      </w:r>
      <w:r w:rsidRPr="003422E9">
        <w:rPr>
          <w:rFonts w:ascii="Arial" w:hAnsi="Arial" w:cs="Arial"/>
          <w:b/>
          <w:sz w:val="24"/>
          <w:szCs w:val="24"/>
        </w:rPr>
        <w:t>L</w:t>
      </w:r>
      <w:r>
        <w:rPr>
          <w:rFonts w:ascii="Arial" w:hAnsi="Arial" w:cs="Arial"/>
          <w:b/>
          <w:sz w:val="24"/>
          <w:szCs w:val="24"/>
        </w:rPr>
        <w:t xml:space="preserve">ONDON </w:t>
      </w:r>
      <w:r w:rsidRPr="003422E9">
        <w:rPr>
          <w:rFonts w:ascii="Arial" w:hAnsi="Arial" w:cs="Arial"/>
          <w:b/>
          <w:sz w:val="24"/>
          <w:szCs w:val="24"/>
        </w:rPr>
        <w:t>A</w:t>
      </w:r>
      <w:r>
        <w:rPr>
          <w:rFonts w:ascii="Arial" w:hAnsi="Arial" w:cs="Arial"/>
          <w:b/>
          <w:sz w:val="24"/>
          <w:szCs w:val="24"/>
        </w:rPr>
        <w:t>LLIANCE</w:t>
      </w:r>
      <w:r w:rsidRPr="003422E9">
        <w:rPr>
          <w:rFonts w:ascii="Arial" w:hAnsi="Arial" w:cs="Arial"/>
          <w:b/>
          <w:sz w:val="24"/>
          <w:szCs w:val="24"/>
        </w:rPr>
        <w:t xml:space="preserve"> </w:t>
      </w:r>
    </w:p>
    <w:p w14:paraId="13E37505" w14:textId="5C765AA8" w:rsidR="00DE5B0F" w:rsidRPr="00B231E7" w:rsidRDefault="00DE5B0F" w:rsidP="00DE5B0F">
      <w:pPr>
        <w:rPr>
          <w:rFonts w:ascii="Arial" w:hAnsi="Arial" w:cs="Arial"/>
          <w:b/>
          <w:caps/>
          <w:sz w:val="24"/>
          <w:szCs w:val="24"/>
        </w:rPr>
      </w:pPr>
      <w:r w:rsidRPr="00B231E7">
        <w:rPr>
          <w:rFonts w:ascii="Arial" w:hAnsi="Arial" w:cs="Arial"/>
          <w:b/>
          <w:caps/>
          <w:sz w:val="24"/>
          <w:szCs w:val="24"/>
        </w:rPr>
        <w:t xml:space="preserve">Specification for preparation of a </w:t>
      </w:r>
      <w:r w:rsidR="00FD479E" w:rsidRPr="00B231E7">
        <w:rPr>
          <w:rFonts w:ascii="Arial" w:hAnsi="Arial" w:cs="Arial"/>
          <w:b/>
          <w:caps/>
          <w:sz w:val="24"/>
          <w:szCs w:val="24"/>
        </w:rPr>
        <w:t xml:space="preserve">Town Centre Commercial, </w:t>
      </w:r>
      <w:r w:rsidR="005B69A0" w:rsidRPr="00B231E7">
        <w:rPr>
          <w:rFonts w:ascii="Arial" w:hAnsi="Arial" w:cs="Arial"/>
          <w:b/>
          <w:caps/>
          <w:sz w:val="24"/>
          <w:szCs w:val="24"/>
        </w:rPr>
        <w:t>Business and Service Study</w:t>
      </w:r>
    </w:p>
    <w:p w14:paraId="7F4824F6" w14:textId="77777777" w:rsidR="00B231E7" w:rsidRDefault="00B231E7" w:rsidP="00DE5B0F">
      <w:pPr>
        <w:rPr>
          <w:rFonts w:ascii="Arial" w:hAnsi="Arial" w:cs="Arial"/>
          <w:b/>
          <w:sz w:val="24"/>
          <w:szCs w:val="24"/>
        </w:rPr>
      </w:pPr>
    </w:p>
    <w:p w14:paraId="180CFD70" w14:textId="3BE4C164" w:rsidR="00DE5B0F" w:rsidRDefault="004F7ACB" w:rsidP="00DE5B0F">
      <w:pPr>
        <w:rPr>
          <w:rFonts w:ascii="Arial" w:hAnsi="Arial" w:cs="Arial"/>
          <w:b/>
          <w:sz w:val="24"/>
          <w:szCs w:val="24"/>
        </w:rPr>
      </w:pPr>
      <w:r>
        <w:rPr>
          <w:rFonts w:ascii="Arial" w:hAnsi="Arial" w:cs="Arial"/>
          <w:b/>
          <w:sz w:val="24"/>
          <w:szCs w:val="24"/>
        </w:rPr>
        <w:t xml:space="preserve">PART 1 </w:t>
      </w:r>
      <w:r w:rsidR="00B231E7">
        <w:rPr>
          <w:rFonts w:ascii="Arial" w:hAnsi="Arial" w:cs="Arial"/>
          <w:b/>
          <w:sz w:val="24"/>
          <w:szCs w:val="24"/>
        </w:rPr>
        <w:t>- REQUIREMENTS</w:t>
      </w:r>
    </w:p>
    <w:p w14:paraId="45636324" w14:textId="77777777" w:rsidR="00DE5B0F" w:rsidRDefault="00DE5B0F" w:rsidP="00DE5B0F">
      <w:pPr>
        <w:rPr>
          <w:rFonts w:ascii="Arial" w:hAnsi="Arial" w:cs="Arial"/>
          <w:b/>
          <w:sz w:val="24"/>
          <w:szCs w:val="24"/>
        </w:rPr>
      </w:pPr>
      <w:r>
        <w:rPr>
          <w:rFonts w:ascii="Arial" w:hAnsi="Arial" w:cs="Arial"/>
          <w:b/>
          <w:sz w:val="24"/>
          <w:szCs w:val="24"/>
        </w:rPr>
        <w:t>BACKGROUND</w:t>
      </w:r>
    </w:p>
    <w:p w14:paraId="10DF316D" w14:textId="751DDAEF" w:rsidR="00DE5B0F" w:rsidRDefault="00DE5B0F" w:rsidP="00DE5B0F">
      <w:pPr>
        <w:pStyle w:val="Default"/>
        <w:rPr>
          <w:rFonts w:ascii="Arial" w:hAnsi="Arial" w:cs="Arial"/>
        </w:rPr>
      </w:pPr>
      <w:r w:rsidRPr="5AAC1938">
        <w:rPr>
          <w:rFonts w:ascii="Arial" w:hAnsi="Arial" w:cs="Arial"/>
        </w:rPr>
        <w:t>The West London Alliance (WLA) is a partnership of seven London councils – Barnet, Brent, Ealing, Hammersmith and Fulham, Harrow, Hillingdon and Hounslow</w:t>
      </w:r>
      <w:r w:rsidR="008B6103">
        <w:rPr>
          <w:rFonts w:ascii="Arial" w:hAnsi="Arial" w:cs="Arial"/>
        </w:rPr>
        <w:t>. It also works closely with t</w:t>
      </w:r>
      <w:r w:rsidRPr="5AAC1938">
        <w:rPr>
          <w:rFonts w:ascii="Arial" w:hAnsi="Arial" w:cs="Arial"/>
        </w:rPr>
        <w:t>he Old Oak and Park Royal</w:t>
      </w:r>
      <w:r w:rsidR="008B6103">
        <w:rPr>
          <w:rFonts w:ascii="Arial" w:hAnsi="Arial" w:cs="Arial"/>
        </w:rPr>
        <w:t xml:space="preserve"> Mayoral</w:t>
      </w:r>
      <w:r w:rsidRPr="5AAC1938">
        <w:rPr>
          <w:rFonts w:ascii="Arial" w:hAnsi="Arial" w:cs="Arial"/>
        </w:rPr>
        <w:t xml:space="preserve"> Development Corporation (OPDC). </w:t>
      </w:r>
      <w:r w:rsidR="008B6103">
        <w:rPr>
          <w:rFonts w:ascii="Arial" w:hAnsi="Arial" w:cs="Arial"/>
        </w:rPr>
        <w:t xml:space="preserve">It </w:t>
      </w:r>
      <w:r w:rsidRPr="5AAC1938">
        <w:rPr>
          <w:rFonts w:ascii="Arial" w:hAnsi="Arial" w:cs="Arial"/>
        </w:rPr>
        <w:t>is amongst the largest formally-constituted joint working areas in the United Kingdom. It covers an area with a growing population of over two million and the second largest economy and the most productive workforce in the country. However, it faces several potential constraints to growth, including increasingly unaffordable housing, growing congestion, stubbornly high levels of economic inactivity, wide variation in different groups’ economic outcomes and weak productivity growth.</w:t>
      </w:r>
    </w:p>
    <w:p w14:paraId="5D77D1CD" w14:textId="77777777" w:rsidR="00DE5B0F" w:rsidRDefault="00DE5B0F" w:rsidP="00DE5B0F">
      <w:pPr>
        <w:pStyle w:val="Default"/>
        <w:rPr>
          <w:rFonts w:ascii="Arial" w:hAnsi="Arial" w:cs="Arial"/>
        </w:rPr>
      </w:pPr>
    </w:p>
    <w:p w14:paraId="58B88FF2" w14:textId="11C0327B" w:rsidR="00DE5B0F" w:rsidRDefault="00DE5B0F" w:rsidP="00DE5B0F">
      <w:pPr>
        <w:pStyle w:val="Default"/>
        <w:rPr>
          <w:rFonts w:ascii="Arial" w:hAnsi="Arial" w:cs="Arial"/>
        </w:rPr>
      </w:pPr>
      <w:r>
        <w:rPr>
          <w:rFonts w:ascii="Arial" w:hAnsi="Arial" w:cs="Arial"/>
        </w:rPr>
        <w:t xml:space="preserve">West London has an ambitious programme to use the planning system to support the sub-region’s sustainable growth. As part of this it is preparing a range of joint </w:t>
      </w:r>
      <w:r w:rsidRPr="002731A7">
        <w:rPr>
          <w:rFonts w:ascii="Arial" w:hAnsi="Arial" w:cs="Arial"/>
        </w:rPr>
        <w:t>evidence base studies</w:t>
      </w:r>
      <w:r>
        <w:rPr>
          <w:rFonts w:ascii="Arial" w:hAnsi="Arial" w:cs="Arial"/>
        </w:rPr>
        <w:t>,</w:t>
      </w:r>
      <w:r w:rsidRPr="002731A7">
        <w:rPr>
          <w:rFonts w:ascii="Arial" w:hAnsi="Arial" w:cs="Arial"/>
        </w:rPr>
        <w:t xml:space="preserve"> commissioned through the WLA</w:t>
      </w:r>
      <w:r>
        <w:rPr>
          <w:rFonts w:ascii="Arial" w:hAnsi="Arial" w:cs="Arial"/>
        </w:rPr>
        <w:t>,</w:t>
      </w:r>
      <w:r w:rsidRPr="002731A7">
        <w:rPr>
          <w:rFonts w:ascii="Arial" w:hAnsi="Arial" w:cs="Arial"/>
        </w:rPr>
        <w:t xml:space="preserve"> to inform emerging </w:t>
      </w:r>
      <w:r>
        <w:rPr>
          <w:rFonts w:ascii="Arial" w:hAnsi="Arial" w:cs="Arial"/>
        </w:rPr>
        <w:t>planning policy including local p</w:t>
      </w:r>
      <w:r w:rsidRPr="002731A7">
        <w:rPr>
          <w:rFonts w:ascii="Arial" w:hAnsi="Arial" w:cs="Arial"/>
        </w:rPr>
        <w:t>lan reviews</w:t>
      </w:r>
      <w:r>
        <w:rPr>
          <w:rFonts w:ascii="Arial" w:hAnsi="Arial" w:cs="Arial"/>
        </w:rPr>
        <w:t xml:space="preserve"> and development of Community Infrastructure Levy (CIL) charging schedules,</w:t>
      </w:r>
      <w:r w:rsidRPr="002731A7">
        <w:rPr>
          <w:rFonts w:ascii="Arial" w:hAnsi="Arial" w:cs="Arial"/>
        </w:rPr>
        <w:t xml:space="preserve"> </w:t>
      </w:r>
      <w:r>
        <w:rPr>
          <w:rFonts w:ascii="Arial" w:hAnsi="Arial" w:cs="Arial"/>
        </w:rPr>
        <w:t xml:space="preserve">while </w:t>
      </w:r>
      <w:r w:rsidRPr="002731A7">
        <w:rPr>
          <w:rFonts w:ascii="Arial" w:hAnsi="Arial" w:cs="Arial"/>
        </w:rPr>
        <w:t>promot</w:t>
      </w:r>
      <w:r>
        <w:rPr>
          <w:rFonts w:ascii="Arial" w:hAnsi="Arial" w:cs="Arial"/>
        </w:rPr>
        <w:t xml:space="preserve">ing joint </w:t>
      </w:r>
      <w:r w:rsidRPr="002731A7">
        <w:rPr>
          <w:rFonts w:ascii="Arial" w:hAnsi="Arial" w:cs="Arial"/>
        </w:rPr>
        <w:t>working and policy development across West London</w:t>
      </w:r>
      <w:r>
        <w:rPr>
          <w:rFonts w:ascii="Arial" w:hAnsi="Arial" w:cs="Arial"/>
        </w:rPr>
        <w:t>. This commission is a central element of this programme, dealing with issues integral to its delivery.</w:t>
      </w:r>
    </w:p>
    <w:p w14:paraId="155D5980" w14:textId="393F3B8C" w:rsidR="002D1970" w:rsidRDefault="002D1970" w:rsidP="00DE5B0F">
      <w:pPr>
        <w:pStyle w:val="Default"/>
        <w:rPr>
          <w:rFonts w:ascii="Arial" w:hAnsi="Arial" w:cs="Arial"/>
        </w:rPr>
      </w:pPr>
    </w:p>
    <w:p w14:paraId="3B771506" w14:textId="1956728E" w:rsidR="00DE5B0F" w:rsidRDefault="002D1970" w:rsidP="007C3D2F">
      <w:pPr>
        <w:pStyle w:val="Default"/>
        <w:rPr>
          <w:rFonts w:ascii="Arial" w:hAnsi="Arial" w:cs="Arial"/>
        </w:rPr>
      </w:pPr>
      <w:r>
        <w:rPr>
          <w:rFonts w:ascii="Arial" w:hAnsi="Arial" w:cs="Arial"/>
        </w:rPr>
        <w:t xml:space="preserve">The London Plan identifies </w:t>
      </w:r>
      <w:r w:rsidR="00473D28">
        <w:rPr>
          <w:rFonts w:ascii="Arial" w:hAnsi="Arial" w:cs="Arial"/>
        </w:rPr>
        <w:t xml:space="preserve">49 </w:t>
      </w:r>
      <w:r w:rsidR="00F66E92">
        <w:rPr>
          <w:rFonts w:ascii="Arial" w:hAnsi="Arial" w:cs="Arial"/>
        </w:rPr>
        <w:t>metropolitan, major and district town centres (</w:t>
      </w:r>
      <w:r w:rsidR="00485E17">
        <w:rPr>
          <w:rFonts w:ascii="Arial" w:hAnsi="Arial" w:cs="Arial"/>
        </w:rPr>
        <w:t>Brent Cross is identified as a pot</w:t>
      </w:r>
      <w:r w:rsidR="00C51A7E">
        <w:rPr>
          <w:rFonts w:ascii="Arial" w:hAnsi="Arial" w:cs="Arial"/>
        </w:rPr>
        <w:t xml:space="preserve">ential metropolitan centre; </w:t>
      </w:r>
      <w:r w:rsidR="00964536">
        <w:rPr>
          <w:rFonts w:ascii="Arial" w:hAnsi="Arial" w:cs="Arial"/>
        </w:rPr>
        <w:t>Old Oak High Street is identified as a potential future major centre</w:t>
      </w:r>
      <w:r w:rsidR="007C3D2F">
        <w:rPr>
          <w:rFonts w:ascii="Arial" w:hAnsi="Arial" w:cs="Arial"/>
        </w:rPr>
        <w:t>)</w:t>
      </w:r>
      <w:r w:rsidR="00080EBC">
        <w:rPr>
          <w:rFonts w:ascii="Arial" w:hAnsi="Arial" w:cs="Arial"/>
        </w:rPr>
        <w:t xml:space="preserve"> - a</w:t>
      </w:r>
      <w:r w:rsidR="007C3D2F">
        <w:rPr>
          <w:rFonts w:ascii="Arial" w:hAnsi="Arial" w:cs="Arial"/>
        </w:rPr>
        <w:t xml:space="preserve"> full list</w:t>
      </w:r>
      <w:r w:rsidR="00080EBC">
        <w:rPr>
          <w:rFonts w:ascii="Arial" w:hAnsi="Arial" w:cs="Arial"/>
        </w:rPr>
        <w:t xml:space="preserve"> of these</w:t>
      </w:r>
      <w:r w:rsidR="007C3D2F">
        <w:rPr>
          <w:rFonts w:ascii="Arial" w:hAnsi="Arial" w:cs="Arial"/>
        </w:rPr>
        <w:t xml:space="preserve"> is set out in Appendix A.</w:t>
      </w:r>
      <w:r w:rsidR="00080EBC">
        <w:rPr>
          <w:rFonts w:ascii="Arial" w:hAnsi="Arial" w:cs="Arial"/>
        </w:rPr>
        <w:t xml:space="preserve"> There are in addition large numbers of smaller neighbourhood centres and </w:t>
      </w:r>
      <w:r w:rsidR="006838A9">
        <w:rPr>
          <w:rFonts w:ascii="Arial" w:hAnsi="Arial" w:cs="Arial"/>
        </w:rPr>
        <w:t>shopping parades across the sub-region.</w:t>
      </w:r>
      <w:r w:rsidR="007C3D2F">
        <w:rPr>
          <w:rFonts w:ascii="Arial" w:hAnsi="Arial" w:cs="Arial"/>
        </w:rPr>
        <w:t xml:space="preserve"> </w:t>
      </w:r>
      <w:r w:rsidR="008F63AD">
        <w:rPr>
          <w:rFonts w:ascii="Arial" w:hAnsi="Arial" w:cs="Arial"/>
        </w:rPr>
        <w:t xml:space="preserve">Economic sectors typically based in town centres </w:t>
      </w:r>
      <w:r w:rsidR="00C87621">
        <w:rPr>
          <w:rFonts w:ascii="Arial" w:hAnsi="Arial" w:cs="Arial"/>
        </w:rPr>
        <w:t xml:space="preserve"> (retail/wholesale, </w:t>
      </w:r>
      <w:r w:rsidR="008F63AD">
        <w:rPr>
          <w:rFonts w:ascii="Arial" w:hAnsi="Arial" w:cs="Arial"/>
        </w:rPr>
        <w:t>fi</w:t>
      </w:r>
      <w:r w:rsidR="003B79F1">
        <w:rPr>
          <w:rFonts w:ascii="Arial" w:hAnsi="Arial" w:cs="Arial"/>
        </w:rPr>
        <w:t>n</w:t>
      </w:r>
      <w:r w:rsidR="008F63AD">
        <w:rPr>
          <w:rFonts w:ascii="Arial" w:hAnsi="Arial" w:cs="Arial"/>
        </w:rPr>
        <w:t>anc</w:t>
      </w:r>
      <w:r w:rsidR="003B79F1">
        <w:rPr>
          <w:rFonts w:ascii="Arial" w:hAnsi="Arial" w:cs="Arial"/>
        </w:rPr>
        <w:t>e</w:t>
      </w:r>
      <w:r w:rsidR="008F63AD">
        <w:rPr>
          <w:rFonts w:ascii="Arial" w:hAnsi="Arial" w:cs="Arial"/>
        </w:rPr>
        <w:t xml:space="preserve"> and insurance, real estate and arts) comprise 21% of </w:t>
      </w:r>
      <w:r w:rsidR="006838A9">
        <w:rPr>
          <w:rFonts w:ascii="Arial" w:hAnsi="Arial" w:cs="Arial"/>
        </w:rPr>
        <w:t>West London’s</w:t>
      </w:r>
      <w:r w:rsidR="00CE26F0">
        <w:rPr>
          <w:rFonts w:ascii="Arial" w:hAnsi="Arial" w:cs="Arial"/>
        </w:rPr>
        <w:t xml:space="preserve"> jobs</w:t>
      </w:r>
      <w:r w:rsidR="003B6C1F">
        <w:rPr>
          <w:rFonts w:ascii="Arial" w:hAnsi="Arial" w:cs="Arial"/>
        </w:rPr>
        <w:t xml:space="preserve"> and before the pandemic </w:t>
      </w:r>
      <w:r w:rsidR="00764610">
        <w:rPr>
          <w:rFonts w:ascii="Arial" w:hAnsi="Arial" w:cs="Arial"/>
        </w:rPr>
        <w:t xml:space="preserve">was responsible for 32% of West London’s GVA. </w:t>
      </w:r>
      <w:r w:rsidR="00BB525C">
        <w:rPr>
          <w:rFonts w:ascii="Arial" w:hAnsi="Arial" w:cs="Arial"/>
        </w:rPr>
        <w:t>Town centres are an essential part of the local economy. They provide a focus for local civic</w:t>
      </w:r>
      <w:r w:rsidR="00ED4E1F">
        <w:rPr>
          <w:rFonts w:ascii="Arial" w:hAnsi="Arial" w:cs="Arial"/>
        </w:rPr>
        <w:t xml:space="preserve"> and cultural life</w:t>
      </w:r>
      <w:r w:rsidR="000270CD">
        <w:rPr>
          <w:rFonts w:ascii="Arial" w:hAnsi="Arial" w:cs="Arial"/>
        </w:rPr>
        <w:t xml:space="preserve"> and</w:t>
      </w:r>
      <w:r w:rsidR="00ED4E1F">
        <w:rPr>
          <w:rFonts w:ascii="Arial" w:hAnsi="Arial" w:cs="Arial"/>
        </w:rPr>
        <w:t xml:space="preserve"> essential services to local people</w:t>
      </w:r>
      <w:r w:rsidR="000270CD">
        <w:rPr>
          <w:rFonts w:ascii="Arial" w:hAnsi="Arial" w:cs="Arial"/>
        </w:rPr>
        <w:t>; they also</w:t>
      </w:r>
      <w:r w:rsidR="00ED4E1F">
        <w:rPr>
          <w:rFonts w:ascii="Arial" w:hAnsi="Arial" w:cs="Arial"/>
        </w:rPr>
        <w:t xml:space="preserve"> play vital role</w:t>
      </w:r>
      <w:r w:rsidR="00D100D6">
        <w:rPr>
          <w:rFonts w:ascii="Arial" w:hAnsi="Arial" w:cs="Arial"/>
        </w:rPr>
        <w:t>s</w:t>
      </w:r>
      <w:r w:rsidR="00ED4E1F">
        <w:rPr>
          <w:rFonts w:ascii="Arial" w:hAnsi="Arial" w:cs="Arial"/>
        </w:rPr>
        <w:t xml:space="preserve"> as part of the s</w:t>
      </w:r>
      <w:r w:rsidR="000270CD">
        <w:rPr>
          <w:rFonts w:ascii="Arial" w:hAnsi="Arial" w:cs="Arial"/>
        </w:rPr>
        <w:t>patial fabric</w:t>
      </w:r>
      <w:r w:rsidR="001C3795">
        <w:rPr>
          <w:rFonts w:ascii="Arial" w:hAnsi="Arial" w:cs="Arial"/>
        </w:rPr>
        <w:t xml:space="preserve"> and a focus for local identity</w:t>
      </w:r>
      <w:r w:rsidR="00A72D47">
        <w:rPr>
          <w:rFonts w:ascii="Arial" w:hAnsi="Arial" w:cs="Arial"/>
        </w:rPr>
        <w:t xml:space="preserve"> – and as hubs for transport and other infrastructure</w:t>
      </w:r>
      <w:r w:rsidR="009B1998">
        <w:rPr>
          <w:rFonts w:ascii="Arial" w:hAnsi="Arial" w:cs="Arial"/>
        </w:rPr>
        <w:t>.</w:t>
      </w:r>
    </w:p>
    <w:p w14:paraId="7DD6D7DF" w14:textId="36249294" w:rsidR="009B1998" w:rsidRDefault="009B1998" w:rsidP="007C3D2F">
      <w:pPr>
        <w:pStyle w:val="Default"/>
        <w:rPr>
          <w:rFonts w:ascii="Arial" w:hAnsi="Arial" w:cs="Arial"/>
        </w:rPr>
      </w:pPr>
    </w:p>
    <w:p w14:paraId="34180851" w14:textId="576E9441" w:rsidR="009B1998" w:rsidRDefault="009B1998" w:rsidP="007C3D2F">
      <w:pPr>
        <w:pStyle w:val="Default"/>
        <w:rPr>
          <w:rFonts w:ascii="Arial" w:hAnsi="Arial" w:cs="Arial"/>
        </w:rPr>
      </w:pPr>
      <w:r>
        <w:rPr>
          <w:rFonts w:ascii="Arial" w:hAnsi="Arial" w:cs="Arial"/>
        </w:rPr>
        <w:t xml:space="preserve">In common with town centres across the country, those in West London are experiencing major changes. Long-standing trends of consolidation in the retail </w:t>
      </w:r>
      <w:r w:rsidR="008841CA">
        <w:rPr>
          <w:rFonts w:ascii="Arial" w:hAnsi="Arial" w:cs="Arial"/>
        </w:rPr>
        <w:t xml:space="preserve">and service </w:t>
      </w:r>
      <w:r>
        <w:rPr>
          <w:rFonts w:ascii="Arial" w:hAnsi="Arial" w:cs="Arial"/>
        </w:rPr>
        <w:t>sector</w:t>
      </w:r>
      <w:r w:rsidR="008841CA">
        <w:rPr>
          <w:rFonts w:ascii="Arial" w:hAnsi="Arial" w:cs="Arial"/>
        </w:rPr>
        <w:t>s</w:t>
      </w:r>
      <w:r>
        <w:rPr>
          <w:rFonts w:ascii="Arial" w:hAnsi="Arial" w:cs="Arial"/>
        </w:rPr>
        <w:t xml:space="preserve"> have been accelerated by the growth in internet-based shopping. Public sector retrenchment has seen </w:t>
      </w:r>
      <w:r w:rsidR="004448E3">
        <w:rPr>
          <w:rFonts w:ascii="Arial" w:hAnsi="Arial" w:cs="Arial"/>
        </w:rPr>
        <w:t xml:space="preserve">more centres lose </w:t>
      </w:r>
      <w:r w:rsidR="00781CD6">
        <w:rPr>
          <w:rFonts w:ascii="Arial" w:hAnsi="Arial" w:cs="Arial"/>
        </w:rPr>
        <w:t>local service outlets</w:t>
      </w:r>
      <w:r w:rsidR="008841CA">
        <w:rPr>
          <w:rFonts w:ascii="Arial" w:hAnsi="Arial" w:cs="Arial"/>
        </w:rPr>
        <w:t xml:space="preserve">. </w:t>
      </w:r>
      <w:r w:rsidR="00737607">
        <w:rPr>
          <w:rFonts w:ascii="Arial" w:hAnsi="Arial" w:cs="Arial"/>
        </w:rPr>
        <w:t xml:space="preserve">At the same time </w:t>
      </w:r>
      <w:r w:rsidR="00D81CC8">
        <w:rPr>
          <w:rFonts w:ascii="Arial" w:hAnsi="Arial" w:cs="Arial"/>
        </w:rPr>
        <w:t>expectations of the roles centres should play have changed – greater emphasis on the night-time economy</w:t>
      </w:r>
      <w:r w:rsidR="00715203">
        <w:rPr>
          <w:rFonts w:ascii="Arial" w:hAnsi="Arial" w:cs="Arial"/>
        </w:rPr>
        <w:t xml:space="preserve">, </w:t>
      </w:r>
      <w:r w:rsidR="00D67E49">
        <w:rPr>
          <w:rFonts w:ascii="Arial" w:hAnsi="Arial" w:cs="Arial"/>
        </w:rPr>
        <w:t xml:space="preserve">availability of flexible and digitally-enabled workspaces and as places where people may live as well as </w:t>
      </w:r>
      <w:r w:rsidR="003B79F1">
        <w:rPr>
          <w:rFonts w:ascii="Arial" w:hAnsi="Arial" w:cs="Arial"/>
        </w:rPr>
        <w:t xml:space="preserve">shop. All of these trends have </w:t>
      </w:r>
      <w:r w:rsidR="00137A46">
        <w:rPr>
          <w:rFonts w:ascii="Arial" w:hAnsi="Arial" w:cs="Arial"/>
        </w:rPr>
        <w:t xml:space="preserve">been </w:t>
      </w:r>
      <w:r w:rsidR="00776870">
        <w:rPr>
          <w:rFonts w:ascii="Arial" w:hAnsi="Arial" w:cs="Arial"/>
        </w:rPr>
        <w:t>inflected by the impacts of the pandemic</w:t>
      </w:r>
      <w:r w:rsidR="0032244E">
        <w:rPr>
          <w:rFonts w:ascii="Arial" w:hAnsi="Arial" w:cs="Arial"/>
        </w:rPr>
        <w:t xml:space="preserve"> (which saw a 10% drop in GVA from “town centre” sectors in 2020). </w:t>
      </w:r>
    </w:p>
    <w:p w14:paraId="483A6A23" w14:textId="0406A978" w:rsidR="002C7B42" w:rsidRDefault="002C7B42" w:rsidP="007C3D2F">
      <w:pPr>
        <w:pStyle w:val="Default"/>
        <w:rPr>
          <w:rFonts w:ascii="Arial" w:hAnsi="Arial" w:cs="Arial"/>
        </w:rPr>
      </w:pPr>
    </w:p>
    <w:p w14:paraId="0EA01186" w14:textId="388D9918" w:rsidR="002C7B42" w:rsidRDefault="002C7B42" w:rsidP="007C3D2F">
      <w:pPr>
        <w:pStyle w:val="Default"/>
        <w:rPr>
          <w:rFonts w:ascii="Arial" w:hAnsi="Arial" w:cs="Arial"/>
        </w:rPr>
      </w:pPr>
      <w:r>
        <w:rPr>
          <w:rFonts w:ascii="Arial" w:hAnsi="Arial" w:cs="Arial"/>
        </w:rPr>
        <w:lastRenderedPageBreak/>
        <w:t xml:space="preserve">As part of its response to the pandemic, the WLA published a “Build and Recover” strategy which identified </w:t>
      </w:r>
      <w:r w:rsidR="00DA49F1">
        <w:rPr>
          <w:rFonts w:ascii="Arial" w:hAnsi="Arial" w:cs="Arial"/>
        </w:rPr>
        <w:t xml:space="preserve">town centres as a key theme for work. This set an aim for West London’s town centres </w:t>
      </w:r>
      <w:r w:rsidR="0032461F">
        <w:rPr>
          <w:rFonts w:ascii="Arial" w:hAnsi="Arial" w:cs="Arial"/>
        </w:rPr>
        <w:t>as:</w:t>
      </w:r>
    </w:p>
    <w:p w14:paraId="2B370A2F" w14:textId="798E6617" w:rsidR="0032461F" w:rsidRDefault="0032461F" w:rsidP="007C3D2F">
      <w:pPr>
        <w:pStyle w:val="Default"/>
        <w:rPr>
          <w:rFonts w:ascii="Arial" w:hAnsi="Arial" w:cs="Arial"/>
        </w:rPr>
      </w:pPr>
    </w:p>
    <w:p w14:paraId="2003AF5A" w14:textId="77777777" w:rsidR="0032461F" w:rsidRDefault="0032461F" w:rsidP="0032461F">
      <w:pPr>
        <w:pStyle w:val="Default"/>
        <w:numPr>
          <w:ilvl w:val="0"/>
          <w:numId w:val="35"/>
        </w:numPr>
        <w:rPr>
          <w:rFonts w:ascii="Arial" w:hAnsi="Arial" w:cs="Arial"/>
        </w:rPr>
      </w:pPr>
      <w:r w:rsidRPr="0032461F">
        <w:rPr>
          <w:rFonts w:ascii="Arial" w:hAnsi="Arial" w:cs="Arial"/>
        </w:rPr>
        <w:t>successful, sustainable, and resilient places that are at the heart of their communities</w:t>
      </w:r>
    </w:p>
    <w:p w14:paraId="1ADDCB0E" w14:textId="2297549D" w:rsidR="00851CB8" w:rsidRDefault="0032461F" w:rsidP="0032461F">
      <w:pPr>
        <w:pStyle w:val="Default"/>
        <w:numPr>
          <w:ilvl w:val="0"/>
          <w:numId w:val="35"/>
        </w:numPr>
        <w:rPr>
          <w:rFonts w:ascii="Arial" w:hAnsi="Arial" w:cs="Arial"/>
        </w:rPr>
      </w:pPr>
      <w:r w:rsidRPr="0032461F">
        <w:rPr>
          <w:rFonts w:ascii="Arial" w:hAnsi="Arial" w:cs="Arial"/>
        </w:rPr>
        <w:t>differentiated by a rediscovered local identity, heritage and character, whilst simultaneously reinventing themselves for the modern pos</w:t>
      </w:r>
      <w:r w:rsidR="00851CB8">
        <w:rPr>
          <w:rFonts w:ascii="Arial" w:hAnsi="Arial" w:cs="Arial"/>
        </w:rPr>
        <w:t>t</w:t>
      </w:r>
      <w:r w:rsidR="006974AB">
        <w:rPr>
          <w:rFonts w:ascii="Arial" w:hAnsi="Arial" w:cs="Arial"/>
        </w:rPr>
        <w:t>-</w:t>
      </w:r>
      <w:r w:rsidRPr="0032461F">
        <w:rPr>
          <w:rFonts w:ascii="Arial" w:hAnsi="Arial" w:cs="Arial"/>
        </w:rPr>
        <w:t xml:space="preserve">Covid age </w:t>
      </w:r>
    </w:p>
    <w:p w14:paraId="79B3B211" w14:textId="20B78EE1" w:rsidR="00851CB8" w:rsidRDefault="007624CE" w:rsidP="0032461F">
      <w:pPr>
        <w:pStyle w:val="Default"/>
        <w:numPr>
          <w:ilvl w:val="0"/>
          <w:numId w:val="35"/>
        </w:numPr>
        <w:rPr>
          <w:rFonts w:ascii="Arial" w:hAnsi="Arial" w:cs="Arial"/>
        </w:rPr>
      </w:pPr>
      <w:r>
        <w:rPr>
          <w:rFonts w:ascii="Arial" w:hAnsi="Arial" w:cs="Arial"/>
        </w:rPr>
        <w:t>i</w:t>
      </w:r>
      <w:r w:rsidR="0032461F" w:rsidRPr="0032461F">
        <w:rPr>
          <w:rFonts w:ascii="Arial" w:hAnsi="Arial" w:cs="Arial"/>
        </w:rPr>
        <w:t>ncorporat</w:t>
      </w:r>
      <w:r w:rsidR="00851CB8">
        <w:rPr>
          <w:rFonts w:ascii="Arial" w:hAnsi="Arial" w:cs="Arial"/>
        </w:rPr>
        <w:t>ing</w:t>
      </w:r>
      <w:r w:rsidR="0032461F" w:rsidRPr="0032461F">
        <w:rPr>
          <w:rFonts w:ascii="Arial" w:hAnsi="Arial" w:cs="Arial"/>
        </w:rPr>
        <w:t xml:space="preserve"> more workspace for businesses to start up and grow</w:t>
      </w:r>
    </w:p>
    <w:p w14:paraId="1E293204" w14:textId="09C1D35D" w:rsidR="00851CB8" w:rsidRDefault="007624CE" w:rsidP="0032461F">
      <w:pPr>
        <w:pStyle w:val="Default"/>
        <w:numPr>
          <w:ilvl w:val="0"/>
          <w:numId w:val="35"/>
        </w:numPr>
        <w:rPr>
          <w:rFonts w:ascii="Arial" w:hAnsi="Arial" w:cs="Arial"/>
        </w:rPr>
      </w:pPr>
      <w:r>
        <w:rPr>
          <w:rFonts w:ascii="Arial" w:hAnsi="Arial" w:cs="Arial"/>
        </w:rPr>
        <w:t>i</w:t>
      </w:r>
      <w:r w:rsidR="0032461F" w:rsidRPr="0032461F">
        <w:rPr>
          <w:rFonts w:ascii="Arial" w:hAnsi="Arial" w:cs="Arial"/>
        </w:rPr>
        <w:t>ncorporat</w:t>
      </w:r>
      <w:r w:rsidR="00851CB8">
        <w:rPr>
          <w:rFonts w:ascii="Arial" w:hAnsi="Arial" w:cs="Arial"/>
        </w:rPr>
        <w:t>ing</w:t>
      </w:r>
      <w:r w:rsidR="0032461F" w:rsidRPr="0032461F">
        <w:rPr>
          <w:rFonts w:ascii="Arial" w:hAnsi="Arial" w:cs="Arial"/>
        </w:rPr>
        <w:t xml:space="preserve"> new housing covering all tenures </w:t>
      </w:r>
    </w:p>
    <w:p w14:paraId="71058BE6" w14:textId="77777777" w:rsidR="007624CE" w:rsidRDefault="00851CB8" w:rsidP="0032461F">
      <w:pPr>
        <w:pStyle w:val="Default"/>
        <w:numPr>
          <w:ilvl w:val="0"/>
          <w:numId w:val="35"/>
        </w:numPr>
        <w:rPr>
          <w:rFonts w:ascii="Arial" w:hAnsi="Arial" w:cs="Arial"/>
        </w:rPr>
      </w:pPr>
      <w:r>
        <w:rPr>
          <w:rFonts w:ascii="Arial" w:hAnsi="Arial" w:cs="Arial"/>
        </w:rPr>
        <w:t>h</w:t>
      </w:r>
      <w:r w:rsidR="0032461F" w:rsidRPr="0032461F">
        <w:rPr>
          <w:rFonts w:ascii="Arial" w:hAnsi="Arial" w:cs="Arial"/>
        </w:rPr>
        <w:t>av</w:t>
      </w:r>
      <w:r>
        <w:rPr>
          <w:rFonts w:ascii="Arial" w:hAnsi="Arial" w:cs="Arial"/>
        </w:rPr>
        <w:t>ing</w:t>
      </w:r>
      <w:r w:rsidR="0032461F" w:rsidRPr="0032461F">
        <w:rPr>
          <w:rFonts w:ascii="Arial" w:hAnsi="Arial" w:cs="Arial"/>
        </w:rPr>
        <w:t xml:space="preserve"> new recreation, leisure, culture, arts, entertainment, health and community provision to drive footfall throughout the day and evening</w:t>
      </w:r>
    </w:p>
    <w:p w14:paraId="66EF8953" w14:textId="57B06431" w:rsidR="0032461F" w:rsidRDefault="0032461F" w:rsidP="0032461F">
      <w:pPr>
        <w:pStyle w:val="Default"/>
        <w:numPr>
          <w:ilvl w:val="0"/>
          <w:numId w:val="35"/>
        </w:numPr>
        <w:rPr>
          <w:rFonts w:ascii="Arial" w:hAnsi="Arial" w:cs="Arial"/>
        </w:rPr>
      </w:pPr>
      <w:r w:rsidRPr="0032461F">
        <w:rPr>
          <w:rFonts w:ascii="Arial" w:hAnsi="Arial" w:cs="Arial"/>
        </w:rPr>
        <w:t>less dominated by traffic, with attractive open and green spaces to encourage people to dwell and socialise</w:t>
      </w:r>
    </w:p>
    <w:p w14:paraId="62B8DEA6" w14:textId="77777777" w:rsidR="00DE5B0F" w:rsidRDefault="00DE5B0F" w:rsidP="00DE5B0F">
      <w:pPr>
        <w:rPr>
          <w:rFonts w:ascii="Arial" w:hAnsi="Arial" w:cs="Arial"/>
          <w:b/>
          <w:sz w:val="24"/>
          <w:szCs w:val="24"/>
        </w:rPr>
      </w:pPr>
    </w:p>
    <w:p w14:paraId="694271F9" w14:textId="17130687" w:rsidR="00DE5B0F" w:rsidRDefault="00DE5B0F" w:rsidP="00DE5B0F">
      <w:pPr>
        <w:rPr>
          <w:rFonts w:ascii="Arial" w:hAnsi="Arial" w:cs="Arial"/>
          <w:b/>
          <w:sz w:val="24"/>
          <w:szCs w:val="24"/>
        </w:rPr>
      </w:pPr>
      <w:r>
        <w:rPr>
          <w:rFonts w:ascii="Arial" w:hAnsi="Arial" w:cs="Arial"/>
          <w:b/>
          <w:sz w:val="24"/>
          <w:szCs w:val="24"/>
        </w:rPr>
        <w:t>PURPOSE OF THIS BRIEF</w:t>
      </w:r>
    </w:p>
    <w:p w14:paraId="19DAF669" w14:textId="0DE8AFA4" w:rsidR="00B14595" w:rsidRPr="00B14595" w:rsidRDefault="00B14595" w:rsidP="00DE5B0F">
      <w:pPr>
        <w:rPr>
          <w:rFonts w:ascii="Arial" w:hAnsi="Arial" w:cs="Arial"/>
          <w:b/>
          <w:i/>
          <w:iCs/>
          <w:sz w:val="24"/>
          <w:szCs w:val="24"/>
        </w:rPr>
      </w:pPr>
      <w:r>
        <w:rPr>
          <w:rFonts w:ascii="Arial" w:hAnsi="Arial" w:cs="Arial"/>
          <w:b/>
          <w:i/>
          <w:iCs/>
          <w:sz w:val="24"/>
          <w:szCs w:val="24"/>
        </w:rPr>
        <w:t>Objectives</w:t>
      </w:r>
    </w:p>
    <w:p w14:paraId="184C3F61" w14:textId="77777777" w:rsidR="00E33656" w:rsidRDefault="00AA0B3D" w:rsidP="00492043">
      <w:pPr>
        <w:autoSpaceDE w:val="0"/>
        <w:autoSpaceDN w:val="0"/>
        <w:adjustRightInd w:val="0"/>
        <w:spacing w:after="0" w:line="240" w:lineRule="auto"/>
        <w:rPr>
          <w:rFonts w:ascii="Arial" w:hAnsi="Arial" w:cs="Arial"/>
          <w:bCs/>
          <w:iCs/>
          <w:sz w:val="24"/>
          <w:szCs w:val="24"/>
        </w:rPr>
      </w:pPr>
      <w:r>
        <w:rPr>
          <w:rFonts w:ascii="Arial" w:hAnsi="Arial" w:cs="Arial"/>
          <w:bCs/>
          <w:iCs/>
          <w:sz w:val="24"/>
          <w:szCs w:val="24"/>
        </w:rPr>
        <w:t>Against this background, t</w:t>
      </w:r>
      <w:r w:rsidR="00492043" w:rsidRPr="00492043">
        <w:rPr>
          <w:rFonts w:ascii="Arial" w:hAnsi="Arial" w:cs="Arial"/>
          <w:bCs/>
          <w:iCs/>
          <w:sz w:val="24"/>
          <w:szCs w:val="24"/>
        </w:rPr>
        <w:t xml:space="preserve">he West London local planning authorities are committed to maintaining a range of centres meeting a range of community needs at all times of the day and to ensuring their continued vitality and viability. In particular they are keen to ensure centres’ sustainable success as places where retailers and others want to invest and to explore the scope for them to play an important part in addressing the causes and consequences of climate change. The context  for delivery of these objectives has been changed by recent Government amendments to the Use Classes and General Permitted Development orders and the proposals in the “Planning for the Future” white paper. </w:t>
      </w:r>
    </w:p>
    <w:p w14:paraId="5DEE05CE" w14:textId="77777777" w:rsidR="00E33656" w:rsidRDefault="00E33656" w:rsidP="00492043">
      <w:pPr>
        <w:autoSpaceDE w:val="0"/>
        <w:autoSpaceDN w:val="0"/>
        <w:adjustRightInd w:val="0"/>
        <w:spacing w:after="0" w:line="240" w:lineRule="auto"/>
        <w:rPr>
          <w:rFonts w:ascii="Arial" w:hAnsi="Arial" w:cs="Arial"/>
          <w:bCs/>
          <w:iCs/>
          <w:sz w:val="24"/>
          <w:szCs w:val="24"/>
        </w:rPr>
      </w:pPr>
    </w:p>
    <w:p w14:paraId="6716214E" w14:textId="14E36EAC" w:rsidR="00555603" w:rsidRDefault="00492043" w:rsidP="00492043">
      <w:pPr>
        <w:autoSpaceDE w:val="0"/>
        <w:autoSpaceDN w:val="0"/>
        <w:adjustRightInd w:val="0"/>
        <w:spacing w:after="0" w:line="240" w:lineRule="auto"/>
        <w:rPr>
          <w:rFonts w:ascii="Arial" w:hAnsi="Arial" w:cs="Arial"/>
          <w:bCs/>
          <w:iCs/>
          <w:sz w:val="24"/>
          <w:szCs w:val="24"/>
        </w:rPr>
      </w:pPr>
      <w:r w:rsidRPr="00492043">
        <w:rPr>
          <w:rFonts w:ascii="Arial" w:hAnsi="Arial" w:cs="Arial"/>
          <w:bCs/>
          <w:iCs/>
          <w:sz w:val="24"/>
          <w:szCs w:val="24"/>
        </w:rPr>
        <w:t xml:space="preserve">This study is intended to enable local planning authorities to develop planning and complementary policies to deliver their objectives for town centres in the new environment. </w:t>
      </w:r>
      <w:r w:rsidR="00E33656">
        <w:rPr>
          <w:rFonts w:ascii="Arial" w:hAnsi="Arial" w:cs="Arial"/>
          <w:bCs/>
          <w:iCs/>
          <w:sz w:val="24"/>
          <w:szCs w:val="24"/>
        </w:rPr>
        <w:t>It forms the first part of a potentially two-stage study</w:t>
      </w:r>
      <w:r w:rsidR="00146A22">
        <w:rPr>
          <w:rFonts w:ascii="Arial" w:hAnsi="Arial" w:cs="Arial"/>
          <w:bCs/>
          <w:iCs/>
          <w:sz w:val="24"/>
          <w:szCs w:val="24"/>
        </w:rPr>
        <w:t xml:space="preserve">, focussing on </w:t>
      </w:r>
      <w:r w:rsidR="001F147C" w:rsidRPr="001F147C">
        <w:rPr>
          <w:rFonts w:ascii="Arial" w:hAnsi="Arial" w:cs="Arial"/>
          <w:bCs/>
          <w:iCs/>
          <w:sz w:val="24"/>
          <w:szCs w:val="24"/>
        </w:rPr>
        <w:t>strategic and policy issues affecting town centres. This is likely to be largely qualitative in nature, but including a sense-check of existing borough evidence (recent retail need studies, health centre healthchecks etc</w:t>
      </w:r>
      <w:r w:rsidR="001F147C">
        <w:rPr>
          <w:rFonts w:ascii="Arial" w:hAnsi="Arial" w:cs="Arial"/>
          <w:bCs/>
          <w:iCs/>
          <w:sz w:val="24"/>
          <w:szCs w:val="24"/>
        </w:rPr>
        <w:t xml:space="preserve"> – a list is attached as Appendix B)</w:t>
      </w:r>
      <w:r w:rsidR="00555603">
        <w:rPr>
          <w:rFonts w:ascii="Arial" w:hAnsi="Arial" w:cs="Arial"/>
          <w:bCs/>
          <w:iCs/>
          <w:sz w:val="24"/>
          <w:szCs w:val="24"/>
        </w:rPr>
        <w:t xml:space="preserve"> </w:t>
      </w:r>
      <w:r w:rsidR="001F147C" w:rsidRPr="001F147C">
        <w:rPr>
          <w:rFonts w:ascii="Arial" w:hAnsi="Arial" w:cs="Arial"/>
          <w:bCs/>
          <w:iCs/>
          <w:sz w:val="24"/>
          <w:szCs w:val="24"/>
        </w:rPr>
        <w:t xml:space="preserve">in the light of changing economic/policy circumstances. </w:t>
      </w:r>
    </w:p>
    <w:p w14:paraId="74198B9B" w14:textId="77777777" w:rsidR="004638E8" w:rsidRDefault="004638E8" w:rsidP="00492043">
      <w:pPr>
        <w:autoSpaceDE w:val="0"/>
        <w:autoSpaceDN w:val="0"/>
        <w:adjustRightInd w:val="0"/>
        <w:spacing w:after="0" w:line="240" w:lineRule="auto"/>
        <w:rPr>
          <w:rFonts w:ascii="Arial" w:hAnsi="Arial" w:cs="Arial"/>
          <w:bCs/>
          <w:iCs/>
          <w:sz w:val="24"/>
          <w:szCs w:val="24"/>
        </w:rPr>
      </w:pPr>
    </w:p>
    <w:p w14:paraId="130DB252" w14:textId="77777777" w:rsidR="004638E8" w:rsidRPr="004638E8" w:rsidRDefault="004638E8" w:rsidP="004638E8">
      <w:pPr>
        <w:autoSpaceDE w:val="0"/>
        <w:autoSpaceDN w:val="0"/>
        <w:adjustRightInd w:val="0"/>
        <w:spacing w:after="0" w:line="240" w:lineRule="auto"/>
        <w:rPr>
          <w:rFonts w:ascii="Arial" w:hAnsi="Arial" w:cs="Arial"/>
          <w:bCs/>
          <w:iCs/>
          <w:sz w:val="24"/>
          <w:szCs w:val="24"/>
        </w:rPr>
      </w:pPr>
      <w:r w:rsidRPr="004638E8">
        <w:rPr>
          <w:rFonts w:ascii="Arial" w:hAnsi="Arial" w:cs="Arial"/>
          <w:bCs/>
          <w:iCs/>
          <w:sz w:val="24"/>
          <w:szCs w:val="24"/>
        </w:rPr>
        <w:t>It will consider:</w:t>
      </w:r>
    </w:p>
    <w:p w14:paraId="0F7EB4C1" w14:textId="77777777" w:rsidR="004638E8" w:rsidRPr="004638E8" w:rsidRDefault="004638E8" w:rsidP="004638E8">
      <w:pPr>
        <w:autoSpaceDE w:val="0"/>
        <w:autoSpaceDN w:val="0"/>
        <w:adjustRightInd w:val="0"/>
        <w:spacing w:after="0" w:line="240" w:lineRule="auto"/>
        <w:rPr>
          <w:rFonts w:ascii="Arial" w:hAnsi="Arial" w:cs="Arial"/>
          <w:bCs/>
          <w:iCs/>
          <w:sz w:val="24"/>
          <w:szCs w:val="24"/>
        </w:rPr>
      </w:pPr>
    </w:p>
    <w:p w14:paraId="0AE9161A" w14:textId="77777777" w:rsidR="004638E8" w:rsidRPr="004638E8" w:rsidRDefault="004638E8" w:rsidP="004638E8">
      <w:pPr>
        <w:numPr>
          <w:ilvl w:val="0"/>
          <w:numId w:val="38"/>
        </w:numPr>
        <w:autoSpaceDE w:val="0"/>
        <w:autoSpaceDN w:val="0"/>
        <w:adjustRightInd w:val="0"/>
        <w:spacing w:after="0" w:line="240" w:lineRule="auto"/>
        <w:rPr>
          <w:rFonts w:ascii="Arial" w:hAnsi="Arial" w:cs="Arial"/>
          <w:bCs/>
          <w:iCs/>
          <w:sz w:val="24"/>
          <w:szCs w:val="24"/>
        </w:rPr>
      </w:pPr>
      <w:r w:rsidRPr="004638E8">
        <w:rPr>
          <w:rFonts w:ascii="Arial" w:hAnsi="Arial" w:cs="Arial"/>
          <w:bCs/>
          <w:iCs/>
          <w:sz w:val="24"/>
          <w:szCs w:val="24"/>
        </w:rPr>
        <w:t xml:space="preserve">the changes in the retail, service and other business/commercial uses most relevant to West London centres and how these might affect floorspace requirements for Class E uses and </w:t>
      </w:r>
      <w:bookmarkStart w:id="0" w:name="_Hlk61862880"/>
      <w:r w:rsidRPr="004638E8">
        <w:rPr>
          <w:rFonts w:ascii="Arial" w:hAnsi="Arial" w:cs="Arial"/>
          <w:bCs/>
          <w:iCs/>
          <w:sz w:val="24"/>
          <w:szCs w:val="24"/>
        </w:rPr>
        <w:t>local planning authorities’ ability to realise their policy objectives</w:t>
      </w:r>
    </w:p>
    <w:bookmarkEnd w:id="0"/>
    <w:p w14:paraId="2B018996" w14:textId="77777777" w:rsidR="004638E8" w:rsidRPr="004638E8" w:rsidRDefault="004638E8" w:rsidP="004638E8">
      <w:pPr>
        <w:numPr>
          <w:ilvl w:val="0"/>
          <w:numId w:val="38"/>
        </w:numPr>
        <w:autoSpaceDE w:val="0"/>
        <w:autoSpaceDN w:val="0"/>
        <w:adjustRightInd w:val="0"/>
        <w:spacing w:after="0" w:line="240" w:lineRule="auto"/>
        <w:rPr>
          <w:rFonts w:ascii="Arial" w:hAnsi="Arial" w:cs="Arial"/>
          <w:bCs/>
          <w:iCs/>
          <w:sz w:val="24"/>
          <w:szCs w:val="24"/>
        </w:rPr>
      </w:pPr>
      <w:r w:rsidRPr="004638E8">
        <w:rPr>
          <w:rFonts w:ascii="Arial" w:hAnsi="Arial" w:cs="Arial"/>
          <w:bCs/>
          <w:iCs/>
          <w:sz w:val="24"/>
          <w:szCs w:val="24"/>
        </w:rPr>
        <w:t>the changes to planning legislation and policy and the proposals in the “Planning for the Future” white paper that are likely to affect the trends identified in the relevant sectors in West London centres and the ability of local planning authorities (and their partners) to realise their policy objectives.</w:t>
      </w:r>
    </w:p>
    <w:p w14:paraId="7508046C" w14:textId="4C3DC7D2" w:rsidR="004638E8" w:rsidRDefault="004638E8" w:rsidP="004638E8">
      <w:pPr>
        <w:numPr>
          <w:ilvl w:val="0"/>
          <w:numId w:val="38"/>
        </w:numPr>
        <w:autoSpaceDE w:val="0"/>
        <w:autoSpaceDN w:val="0"/>
        <w:adjustRightInd w:val="0"/>
        <w:spacing w:after="0" w:line="240" w:lineRule="auto"/>
        <w:rPr>
          <w:rFonts w:ascii="Arial" w:hAnsi="Arial" w:cs="Arial"/>
          <w:bCs/>
          <w:iCs/>
          <w:sz w:val="24"/>
          <w:szCs w:val="24"/>
        </w:rPr>
      </w:pPr>
      <w:r w:rsidRPr="004638E8">
        <w:rPr>
          <w:rFonts w:ascii="Arial" w:hAnsi="Arial" w:cs="Arial"/>
          <w:bCs/>
          <w:iCs/>
          <w:sz w:val="24"/>
          <w:szCs w:val="24"/>
        </w:rPr>
        <w:t xml:space="preserve">Steps local authorities and their partners can continue to take – whether in their role as local planning authorities more widely – to deliver effectively on </w:t>
      </w:r>
      <w:r w:rsidRPr="004638E8">
        <w:rPr>
          <w:rFonts w:ascii="Arial" w:hAnsi="Arial" w:cs="Arial"/>
          <w:bCs/>
          <w:iCs/>
          <w:sz w:val="24"/>
          <w:szCs w:val="24"/>
        </w:rPr>
        <w:lastRenderedPageBreak/>
        <w:t>their policy objectives and aspirations for town centres and the contributions they make to the wellbeing of their wider areas.</w:t>
      </w:r>
    </w:p>
    <w:p w14:paraId="79279269" w14:textId="77777777" w:rsidR="0052304E" w:rsidRPr="004638E8" w:rsidRDefault="0052304E" w:rsidP="0052304E">
      <w:pPr>
        <w:autoSpaceDE w:val="0"/>
        <w:autoSpaceDN w:val="0"/>
        <w:adjustRightInd w:val="0"/>
        <w:spacing w:after="0" w:line="240" w:lineRule="auto"/>
        <w:ind w:left="786"/>
        <w:rPr>
          <w:rFonts w:ascii="Arial" w:hAnsi="Arial" w:cs="Arial"/>
          <w:bCs/>
          <w:iCs/>
          <w:sz w:val="24"/>
          <w:szCs w:val="24"/>
        </w:rPr>
      </w:pPr>
    </w:p>
    <w:p w14:paraId="3FAD7E2A" w14:textId="67A0CD3C" w:rsidR="00492043" w:rsidRDefault="004638E8" w:rsidP="00492043">
      <w:pPr>
        <w:autoSpaceDE w:val="0"/>
        <w:autoSpaceDN w:val="0"/>
        <w:adjustRightInd w:val="0"/>
        <w:spacing w:after="0" w:line="240" w:lineRule="auto"/>
        <w:rPr>
          <w:rFonts w:ascii="Arial" w:hAnsi="Arial" w:cs="Arial"/>
          <w:bCs/>
          <w:iCs/>
          <w:sz w:val="24"/>
          <w:szCs w:val="24"/>
        </w:rPr>
      </w:pPr>
      <w:r w:rsidRPr="004638E8">
        <w:rPr>
          <w:rFonts w:ascii="Arial" w:hAnsi="Arial" w:cs="Arial"/>
          <w:bCs/>
          <w:iCs/>
          <w:sz w:val="24"/>
          <w:szCs w:val="24"/>
        </w:rPr>
        <w:t xml:space="preserve">The second stage will draw on the results of the Stage 1 study and bespoke survey work to establish how much of each of the uses covered by the new Use Class E much may be needed over the period to 2036 and the key trends and drivers affecting this. Its focus will be more quantitative than stage </w:t>
      </w:r>
      <w:r w:rsidR="004C2209">
        <w:rPr>
          <w:rFonts w:ascii="Arial" w:hAnsi="Arial" w:cs="Arial"/>
          <w:bCs/>
          <w:iCs/>
          <w:sz w:val="24"/>
          <w:szCs w:val="24"/>
        </w:rPr>
        <w:t>1 and is likely to involve</w:t>
      </w:r>
      <w:r w:rsidR="009F1DA3">
        <w:rPr>
          <w:rFonts w:ascii="Arial" w:hAnsi="Arial" w:cs="Arial"/>
          <w:bCs/>
          <w:iCs/>
          <w:sz w:val="24"/>
          <w:szCs w:val="24"/>
        </w:rPr>
        <w:t xml:space="preserve"> a town centre use need study</w:t>
      </w:r>
      <w:r w:rsidR="004C2209">
        <w:rPr>
          <w:rFonts w:ascii="Arial" w:hAnsi="Arial" w:cs="Arial"/>
          <w:bCs/>
          <w:iCs/>
          <w:sz w:val="24"/>
          <w:szCs w:val="24"/>
        </w:rPr>
        <w:t xml:space="preserve"> </w:t>
      </w:r>
      <w:r w:rsidR="009F1DA3">
        <w:rPr>
          <w:rFonts w:ascii="Arial" w:hAnsi="Arial" w:cs="Arial"/>
          <w:bCs/>
          <w:iCs/>
          <w:sz w:val="24"/>
          <w:szCs w:val="24"/>
        </w:rPr>
        <w:t>informed by a household survey</w:t>
      </w:r>
      <w:r w:rsidR="00555603">
        <w:rPr>
          <w:rFonts w:ascii="Arial" w:hAnsi="Arial" w:cs="Arial"/>
          <w:bCs/>
          <w:iCs/>
          <w:sz w:val="24"/>
          <w:szCs w:val="24"/>
        </w:rPr>
        <w:t xml:space="preserve">. This is not being pursued at present </w:t>
      </w:r>
      <w:r w:rsidR="004B59EF">
        <w:rPr>
          <w:rFonts w:ascii="Arial" w:hAnsi="Arial" w:cs="Arial"/>
          <w:bCs/>
          <w:iCs/>
          <w:sz w:val="24"/>
          <w:szCs w:val="24"/>
        </w:rPr>
        <w:t xml:space="preserve">given the disruption to patterns of town centre usage as a result of the pandemic). </w:t>
      </w:r>
      <w:r w:rsidR="00146A22">
        <w:rPr>
          <w:rFonts w:ascii="Arial" w:hAnsi="Arial" w:cs="Arial"/>
          <w:bCs/>
          <w:iCs/>
          <w:sz w:val="24"/>
          <w:szCs w:val="24"/>
        </w:rPr>
        <w:t xml:space="preserve"> </w:t>
      </w:r>
    </w:p>
    <w:p w14:paraId="5317666B" w14:textId="77777777" w:rsidR="00C13FA2" w:rsidRDefault="00C13FA2" w:rsidP="00DE5B0F">
      <w:pPr>
        <w:autoSpaceDE w:val="0"/>
        <w:autoSpaceDN w:val="0"/>
        <w:adjustRightInd w:val="0"/>
        <w:spacing w:after="0" w:line="240" w:lineRule="auto"/>
        <w:rPr>
          <w:rFonts w:ascii="Arial" w:hAnsi="Arial" w:cs="Arial"/>
          <w:bCs/>
          <w:iCs/>
          <w:sz w:val="24"/>
          <w:szCs w:val="24"/>
        </w:rPr>
      </w:pPr>
    </w:p>
    <w:p w14:paraId="613CE55E" w14:textId="77777777" w:rsidR="008503B8" w:rsidRPr="00C13FA2" w:rsidRDefault="00C13FA2" w:rsidP="008503B8">
      <w:pPr>
        <w:autoSpaceDE w:val="0"/>
        <w:autoSpaceDN w:val="0"/>
        <w:adjustRightInd w:val="0"/>
        <w:spacing w:after="0" w:line="240" w:lineRule="auto"/>
        <w:rPr>
          <w:rFonts w:ascii="Arial" w:hAnsi="Arial" w:cs="Arial"/>
          <w:bCs/>
          <w:iCs/>
          <w:sz w:val="24"/>
          <w:szCs w:val="24"/>
        </w:rPr>
      </w:pPr>
      <w:r w:rsidRPr="00C13FA2">
        <w:rPr>
          <w:rFonts w:ascii="Arial" w:hAnsi="Arial" w:cs="Arial"/>
          <w:bCs/>
          <w:iCs/>
          <w:sz w:val="24"/>
          <w:szCs w:val="24"/>
        </w:rPr>
        <w:t xml:space="preserve">The desired output is an evidence base and practical recommendations that boroughs can draw on in preparing local plan policies for town centres and in defending them at examination. </w:t>
      </w:r>
      <w:r w:rsidR="008503B8" w:rsidRPr="00C13FA2">
        <w:rPr>
          <w:rFonts w:ascii="Arial" w:hAnsi="Arial" w:cs="Arial"/>
          <w:bCs/>
          <w:iCs/>
          <w:sz w:val="24"/>
          <w:szCs w:val="24"/>
        </w:rPr>
        <w:t>It would also be designed to help those preparing “Planning for the Future”-style plans and design codes to the extent this is possible given the current stage Government has reached in thinking these through.</w:t>
      </w:r>
    </w:p>
    <w:p w14:paraId="3C6377A8" w14:textId="77777777" w:rsidR="00C13FA2" w:rsidRPr="00C13FA2" w:rsidRDefault="00C13FA2" w:rsidP="00C13FA2">
      <w:pPr>
        <w:autoSpaceDE w:val="0"/>
        <w:autoSpaceDN w:val="0"/>
        <w:adjustRightInd w:val="0"/>
        <w:spacing w:after="0" w:line="240" w:lineRule="auto"/>
        <w:rPr>
          <w:rFonts w:ascii="Arial" w:hAnsi="Arial" w:cs="Arial"/>
          <w:bCs/>
          <w:iCs/>
          <w:sz w:val="24"/>
          <w:szCs w:val="24"/>
        </w:rPr>
      </w:pPr>
    </w:p>
    <w:p w14:paraId="4F604985" w14:textId="77777777" w:rsidR="00C13FA2" w:rsidRPr="00C13FA2" w:rsidRDefault="00C13FA2" w:rsidP="00C13FA2">
      <w:pPr>
        <w:autoSpaceDE w:val="0"/>
        <w:autoSpaceDN w:val="0"/>
        <w:adjustRightInd w:val="0"/>
        <w:spacing w:after="0" w:line="240" w:lineRule="auto"/>
        <w:rPr>
          <w:rFonts w:ascii="Arial" w:hAnsi="Arial" w:cs="Arial"/>
          <w:bCs/>
          <w:iCs/>
          <w:sz w:val="24"/>
          <w:szCs w:val="24"/>
        </w:rPr>
      </w:pPr>
      <w:r w:rsidRPr="00C13FA2">
        <w:rPr>
          <w:rFonts w:ascii="Arial" w:hAnsi="Arial" w:cs="Arial"/>
          <w:bCs/>
          <w:iCs/>
          <w:sz w:val="24"/>
          <w:szCs w:val="24"/>
        </w:rPr>
        <w:t xml:space="preserve">The study should consider both current trends and the potential impacts of the pandemic and the measures taken to deal with it, Brexit and the changes made and proposed by Government to the planning system, wherever possible identifying those likely to have effects in the short (12-18 month), medium (18 months-5 years) and long (5-15 year) terms. </w:t>
      </w:r>
    </w:p>
    <w:p w14:paraId="3BF16163" w14:textId="77777777" w:rsidR="00C13FA2" w:rsidRPr="00C13FA2" w:rsidRDefault="00C13FA2" w:rsidP="00C13FA2">
      <w:pPr>
        <w:autoSpaceDE w:val="0"/>
        <w:autoSpaceDN w:val="0"/>
        <w:adjustRightInd w:val="0"/>
        <w:spacing w:after="0" w:line="240" w:lineRule="auto"/>
        <w:rPr>
          <w:rFonts w:ascii="Arial" w:hAnsi="Arial" w:cs="Arial"/>
          <w:bCs/>
          <w:iCs/>
          <w:sz w:val="24"/>
          <w:szCs w:val="24"/>
        </w:rPr>
      </w:pPr>
    </w:p>
    <w:p w14:paraId="13E2AE0C" w14:textId="77777777" w:rsidR="007624CE" w:rsidRDefault="007624CE" w:rsidP="00DE5B0F">
      <w:pPr>
        <w:autoSpaceDE w:val="0"/>
        <w:autoSpaceDN w:val="0"/>
        <w:adjustRightInd w:val="0"/>
        <w:spacing w:after="0" w:line="240" w:lineRule="auto"/>
        <w:rPr>
          <w:rFonts w:ascii="Arial" w:hAnsi="Arial" w:cs="Arial"/>
          <w:b/>
          <w:i/>
          <w:sz w:val="24"/>
          <w:szCs w:val="24"/>
        </w:rPr>
      </w:pPr>
    </w:p>
    <w:p w14:paraId="4B079495" w14:textId="168FC0FF" w:rsidR="00DE5B0F" w:rsidRDefault="00DE5B0F" w:rsidP="00DE5B0F">
      <w:pPr>
        <w:autoSpaceDE w:val="0"/>
        <w:autoSpaceDN w:val="0"/>
        <w:adjustRightInd w:val="0"/>
        <w:spacing w:after="0" w:line="240" w:lineRule="auto"/>
        <w:rPr>
          <w:rFonts w:ascii="Arial" w:hAnsi="Arial" w:cs="Arial"/>
          <w:b/>
          <w:i/>
          <w:sz w:val="24"/>
          <w:szCs w:val="24"/>
        </w:rPr>
      </w:pPr>
      <w:r>
        <w:rPr>
          <w:rFonts w:ascii="Arial" w:hAnsi="Arial" w:cs="Arial"/>
          <w:b/>
          <w:i/>
          <w:sz w:val="24"/>
          <w:szCs w:val="24"/>
        </w:rPr>
        <w:t xml:space="preserve">Scope </w:t>
      </w:r>
    </w:p>
    <w:p w14:paraId="21E95D7D" w14:textId="77777777" w:rsidR="00E96A8E" w:rsidRPr="00E96A8E" w:rsidRDefault="00E96A8E" w:rsidP="00E96A8E">
      <w:pPr>
        <w:pStyle w:val="Style1"/>
        <w:rPr>
          <w:rFonts w:ascii="Arial" w:hAnsi="Arial" w:cs="Arial"/>
          <w:szCs w:val="24"/>
        </w:rPr>
      </w:pPr>
      <w:r w:rsidRPr="00E96A8E">
        <w:rPr>
          <w:rFonts w:ascii="Arial" w:hAnsi="Arial" w:cs="Arial"/>
          <w:szCs w:val="24"/>
        </w:rPr>
        <w:t>Drawing on existing  borough and other available data, a broad overview of how much Use Class E (and related sui generis – particularly uses covered by article 3(q)-(v)) uses exist in West London town centres, broken down by each element  E(a)-(g). What vacancy levels are there? Which centres have seen particular changes over the past 10 years? There should be clear differentiation between immediate impacts of the Covid pandemic and longer-term trends.</w:t>
      </w:r>
    </w:p>
    <w:p w14:paraId="10B450D7" w14:textId="77777777" w:rsidR="00E96A8E" w:rsidRPr="00E96A8E" w:rsidRDefault="00E96A8E" w:rsidP="00E96A8E">
      <w:pPr>
        <w:pStyle w:val="Style1"/>
        <w:rPr>
          <w:rFonts w:ascii="Arial" w:hAnsi="Arial" w:cs="Arial"/>
          <w:szCs w:val="24"/>
        </w:rPr>
      </w:pPr>
      <w:r w:rsidRPr="00E96A8E">
        <w:rPr>
          <w:rFonts w:ascii="Arial" w:hAnsi="Arial" w:cs="Arial"/>
          <w:szCs w:val="24"/>
        </w:rPr>
        <w:t xml:space="preserve">Based on West London evidence and experience elsewhere, suggesting broad qualitative benchmarks for the quantity, mix and types of Use Class E and related sui generis uses (and a broad indication of Class F uses) required to ensure functioning vibrant and viable town centres providing a range of services and opportunities for local communities on a sustainable basis (supporting a virtuous cycle of encouraging footfall and encouraging future investment that will support further success into the future) at metropolitan, major, district, neighbourhood levels in West London. </w:t>
      </w:r>
    </w:p>
    <w:p w14:paraId="708E0612" w14:textId="77777777" w:rsidR="00E96A8E" w:rsidRPr="00E96A8E" w:rsidRDefault="00E96A8E" w:rsidP="00E96A8E">
      <w:pPr>
        <w:pStyle w:val="Style1"/>
        <w:rPr>
          <w:rFonts w:ascii="Arial" w:hAnsi="Arial" w:cs="Arial"/>
          <w:szCs w:val="24"/>
        </w:rPr>
      </w:pPr>
      <w:r w:rsidRPr="00E96A8E">
        <w:rPr>
          <w:rFonts w:ascii="Arial" w:hAnsi="Arial" w:cs="Arial"/>
          <w:szCs w:val="24"/>
        </w:rPr>
        <w:t xml:space="preserve">Drawing on existing borough and other available data, how much Class E (again broken down by each element Class E(a)-(g)) exists outside town centres? Are there any clusters of these uses on a scale or kind that should be recognised in policy and/or might affect currently recognised centres? </w:t>
      </w:r>
    </w:p>
    <w:p w14:paraId="138BC2B3" w14:textId="77777777" w:rsidR="00E96A8E" w:rsidRPr="00E96A8E" w:rsidRDefault="00E96A8E" w:rsidP="00E96A8E">
      <w:pPr>
        <w:pStyle w:val="Style1"/>
        <w:numPr>
          <w:ilvl w:val="0"/>
          <w:numId w:val="0"/>
        </w:numPr>
        <w:ind w:left="644"/>
        <w:rPr>
          <w:rFonts w:ascii="Arial" w:hAnsi="Arial" w:cs="Arial"/>
          <w:szCs w:val="24"/>
        </w:rPr>
      </w:pPr>
      <w:r w:rsidRPr="00E96A8E">
        <w:rPr>
          <w:rFonts w:ascii="Arial" w:hAnsi="Arial" w:cs="Arial"/>
          <w:szCs w:val="24"/>
        </w:rPr>
        <w:t>Work on (1) – (3) should identify data gaps that should be filled as part of the stage 2 work. It is not envisaged that this stage would involve significant new data collection.</w:t>
      </w:r>
    </w:p>
    <w:p w14:paraId="73B8FEB4" w14:textId="77777777" w:rsidR="00E96A8E" w:rsidRPr="00E96A8E" w:rsidRDefault="00E96A8E" w:rsidP="00E96A8E">
      <w:pPr>
        <w:pStyle w:val="ListParagraph"/>
        <w:numPr>
          <w:ilvl w:val="0"/>
          <w:numId w:val="36"/>
        </w:numPr>
        <w:spacing w:line="256" w:lineRule="auto"/>
        <w:rPr>
          <w:rFonts w:ascii="Arial" w:hAnsi="Arial" w:cs="Arial"/>
          <w:sz w:val="24"/>
          <w:szCs w:val="24"/>
        </w:rPr>
      </w:pPr>
      <w:r w:rsidRPr="00E96A8E">
        <w:rPr>
          <w:rFonts w:ascii="Arial" w:hAnsi="Arial" w:cs="Arial"/>
          <w:sz w:val="24"/>
          <w:szCs w:val="24"/>
        </w:rPr>
        <w:lastRenderedPageBreak/>
        <w:t>A review of potential changes in the relevant sectors (taking account of effects of Government/regional/sub-regional and local initiatives to address the pandemic and its consequences). This should include both:</w:t>
      </w:r>
    </w:p>
    <w:p w14:paraId="1B1029A4" w14:textId="77777777" w:rsidR="00E96A8E" w:rsidRPr="00E96A8E" w:rsidRDefault="00E96A8E" w:rsidP="00E96A8E">
      <w:pPr>
        <w:pStyle w:val="Style1"/>
        <w:numPr>
          <w:ilvl w:val="1"/>
          <w:numId w:val="36"/>
        </w:numPr>
        <w:rPr>
          <w:rFonts w:ascii="Arial" w:hAnsi="Arial" w:cs="Arial"/>
          <w:szCs w:val="24"/>
        </w:rPr>
      </w:pPr>
      <w:r w:rsidRPr="00E96A8E">
        <w:rPr>
          <w:rFonts w:ascii="Arial" w:hAnsi="Arial" w:cs="Arial"/>
          <w:szCs w:val="24"/>
        </w:rPr>
        <w:t>longer-term structural changes in the relevant sectors – decline of medium-sized centres, retail consolidation, changes in traditional non-food shopping (e.g. department stores, high street furniture stores), likely future trends for on-line shopping, scope for click and collect, changes in employment densities and use of workspaces; and</w:t>
      </w:r>
    </w:p>
    <w:p w14:paraId="561A41EF" w14:textId="77777777" w:rsidR="00E96A8E" w:rsidRPr="00E96A8E" w:rsidRDefault="00E96A8E" w:rsidP="00E96A8E">
      <w:pPr>
        <w:pStyle w:val="ListParagraph"/>
        <w:numPr>
          <w:ilvl w:val="1"/>
          <w:numId w:val="36"/>
        </w:numPr>
        <w:spacing w:line="256" w:lineRule="auto"/>
        <w:rPr>
          <w:rFonts w:ascii="Arial" w:hAnsi="Arial" w:cs="Arial"/>
          <w:sz w:val="24"/>
          <w:szCs w:val="24"/>
        </w:rPr>
      </w:pPr>
      <w:r w:rsidRPr="00E96A8E">
        <w:rPr>
          <w:rFonts w:ascii="Arial" w:hAnsi="Arial" w:cs="Arial"/>
          <w:sz w:val="24"/>
          <w:szCs w:val="24"/>
        </w:rPr>
        <w:t xml:space="preserve">wider socio-economic and other factors likely to affect the use of centres and the balance of uses within them over the long-term, including employment security, likely post-pandemic economic and fiscal policies, Brexit and wider anticipated longer-term trends (such as potential social changes and changes to peoples’ requirements of centres of different kinds and locations, work patterns, shopping needs and habits). </w:t>
      </w:r>
    </w:p>
    <w:p w14:paraId="486040FF" w14:textId="77777777" w:rsidR="00E96A8E" w:rsidRPr="00E96A8E" w:rsidRDefault="00E96A8E" w:rsidP="00E96A8E">
      <w:pPr>
        <w:pStyle w:val="Style1"/>
        <w:rPr>
          <w:rFonts w:ascii="Arial" w:hAnsi="Arial" w:cs="Arial"/>
          <w:szCs w:val="24"/>
        </w:rPr>
      </w:pPr>
      <w:r w:rsidRPr="00E96A8E">
        <w:rPr>
          <w:rFonts w:ascii="Arial" w:hAnsi="Arial" w:cs="Arial"/>
          <w:szCs w:val="24"/>
        </w:rPr>
        <w:t>Identifying likely future effects of changes to the UCO/General Permitted Development Order and means of managing these:</w:t>
      </w:r>
    </w:p>
    <w:p w14:paraId="2FAA41F1" w14:textId="77777777" w:rsidR="00E96A8E" w:rsidRPr="00E96A8E" w:rsidRDefault="00E96A8E" w:rsidP="00E96A8E">
      <w:pPr>
        <w:numPr>
          <w:ilvl w:val="1"/>
          <w:numId w:val="36"/>
        </w:numPr>
        <w:spacing w:before="100" w:beforeAutospacing="1" w:after="100" w:afterAutospacing="1" w:line="240" w:lineRule="auto"/>
        <w:rPr>
          <w:rFonts w:ascii="Arial" w:hAnsi="Arial" w:cs="Arial"/>
          <w:sz w:val="24"/>
          <w:szCs w:val="24"/>
        </w:rPr>
      </w:pPr>
      <w:r w:rsidRPr="00E96A8E">
        <w:rPr>
          <w:rFonts w:ascii="Arial" w:hAnsi="Arial" w:cs="Arial"/>
          <w:sz w:val="24"/>
          <w:szCs w:val="24"/>
        </w:rPr>
        <w:t>Potential loss of strategic office locations that are reliant on a critical mass (drawing on experience of office to resi permitted development rights)</w:t>
      </w:r>
    </w:p>
    <w:p w14:paraId="31B08315" w14:textId="77777777" w:rsidR="00E96A8E" w:rsidRPr="00E96A8E" w:rsidRDefault="00E96A8E" w:rsidP="00E96A8E">
      <w:pPr>
        <w:numPr>
          <w:ilvl w:val="1"/>
          <w:numId w:val="36"/>
        </w:numPr>
        <w:spacing w:before="100" w:beforeAutospacing="1" w:after="100" w:afterAutospacing="1" w:line="240" w:lineRule="auto"/>
        <w:rPr>
          <w:rFonts w:ascii="Arial" w:hAnsi="Arial" w:cs="Arial"/>
          <w:sz w:val="24"/>
          <w:szCs w:val="24"/>
        </w:rPr>
      </w:pPr>
      <w:r w:rsidRPr="00E96A8E">
        <w:rPr>
          <w:rFonts w:ascii="Arial" w:hAnsi="Arial" w:cs="Arial"/>
          <w:sz w:val="24"/>
          <w:szCs w:val="24"/>
        </w:rPr>
        <w:t>Potential rapid loss of  B1(c) floorspace that is defined as being essential to the functioning of London's economy</w:t>
      </w:r>
    </w:p>
    <w:p w14:paraId="5BA18FDF" w14:textId="77777777" w:rsidR="00E96A8E" w:rsidRPr="00E96A8E" w:rsidRDefault="00E96A8E" w:rsidP="00E96A8E">
      <w:pPr>
        <w:numPr>
          <w:ilvl w:val="1"/>
          <w:numId w:val="36"/>
        </w:numPr>
        <w:spacing w:before="100" w:beforeAutospacing="1" w:after="100" w:afterAutospacing="1" w:line="240" w:lineRule="auto"/>
        <w:rPr>
          <w:rFonts w:ascii="Arial" w:hAnsi="Arial" w:cs="Arial"/>
          <w:sz w:val="24"/>
          <w:szCs w:val="24"/>
        </w:rPr>
      </w:pPr>
      <w:r w:rsidRPr="00E96A8E">
        <w:rPr>
          <w:rFonts w:ascii="Arial" w:hAnsi="Arial" w:cs="Arial"/>
          <w:sz w:val="24"/>
          <w:szCs w:val="24"/>
        </w:rPr>
        <w:t>Protection/support/prevention policies for F1 and SG uses e.g. Pubs, Concert Halls, Takeaways etc. </w:t>
      </w:r>
    </w:p>
    <w:p w14:paraId="601956A5" w14:textId="77777777" w:rsidR="00E96A8E" w:rsidRPr="00E96A8E" w:rsidRDefault="00E96A8E" w:rsidP="00E96A8E">
      <w:pPr>
        <w:numPr>
          <w:ilvl w:val="1"/>
          <w:numId w:val="36"/>
        </w:numPr>
        <w:spacing w:before="100" w:beforeAutospacing="1" w:after="100" w:afterAutospacing="1" w:line="240" w:lineRule="auto"/>
        <w:rPr>
          <w:rFonts w:ascii="Arial" w:hAnsi="Arial" w:cs="Arial"/>
          <w:sz w:val="24"/>
          <w:szCs w:val="24"/>
        </w:rPr>
      </w:pPr>
      <w:r w:rsidRPr="00E96A8E">
        <w:rPr>
          <w:rFonts w:ascii="Arial" w:hAnsi="Arial" w:cs="Arial"/>
          <w:sz w:val="24"/>
          <w:szCs w:val="24"/>
        </w:rPr>
        <w:t>Protection/support policies for non-retail E uses (e.g. health centres)</w:t>
      </w:r>
    </w:p>
    <w:p w14:paraId="471DE2B7" w14:textId="77777777" w:rsidR="00E96A8E" w:rsidRPr="00E96A8E" w:rsidRDefault="00E96A8E" w:rsidP="00E96A8E">
      <w:pPr>
        <w:pStyle w:val="ListParagraph"/>
        <w:numPr>
          <w:ilvl w:val="1"/>
          <w:numId w:val="36"/>
        </w:numPr>
        <w:spacing w:line="256" w:lineRule="auto"/>
        <w:rPr>
          <w:rFonts w:ascii="Arial" w:hAnsi="Arial" w:cs="Arial"/>
          <w:sz w:val="24"/>
          <w:szCs w:val="24"/>
        </w:rPr>
      </w:pPr>
      <w:r w:rsidRPr="00E96A8E">
        <w:rPr>
          <w:rFonts w:ascii="Arial" w:hAnsi="Arial" w:cs="Arial"/>
          <w:sz w:val="24"/>
          <w:szCs w:val="24"/>
        </w:rPr>
        <w:t xml:space="preserve">The potential for small sites in and around town centres to come forward for housing rather than retail or town centre uses under the new UCO and government white paper). </w:t>
      </w:r>
    </w:p>
    <w:p w14:paraId="608F5A19" w14:textId="77777777" w:rsidR="00E96A8E" w:rsidRPr="00E96A8E" w:rsidRDefault="00E96A8E" w:rsidP="00E96A8E">
      <w:pPr>
        <w:pStyle w:val="Style1"/>
        <w:rPr>
          <w:rFonts w:ascii="Arial" w:hAnsi="Arial" w:cs="Arial"/>
          <w:szCs w:val="24"/>
        </w:rPr>
      </w:pPr>
      <w:r w:rsidRPr="00E96A8E">
        <w:rPr>
          <w:rFonts w:ascii="Arial" w:hAnsi="Arial" w:cs="Arial"/>
          <w:szCs w:val="24"/>
        </w:rPr>
        <w:t>A literature review on impacts of UCO/GPDO changes and zoning-based approaches to centres internationally. Drawing on this, making general recommendations for improving town centres (planning and non-planning) -  e.g. potential use of article 4 directions, public transport, public realm, opportunities such as markets, pop ups and other meantime uses, additional outdoor dining etc  which can be enabled within the public realm or more flexibly within multi/flexible use buildings, new residential development etc.</w:t>
      </w:r>
    </w:p>
    <w:p w14:paraId="76806631" w14:textId="77777777" w:rsidR="00E96A8E" w:rsidRPr="00E96A8E" w:rsidRDefault="00E96A8E" w:rsidP="00E96A8E">
      <w:pPr>
        <w:pStyle w:val="Style1"/>
        <w:rPr>
          <w:rFonts w:ascii="Arial" w:hAnsi="Arial" w:cs="Arial"/>
          <w:szCs w:val="24"/>
        </w:rPr>
      </w:pPr>
      <w:r w:rsidRPr="00E96A8E">
        <w:rPr>
          <w:rFonts w:ascii="Arial" w:hAnsi="Arial" w:cs="Arial"/>
          <w:szCs w:val="24"/>
        </w:rPr>
        <w:t>Identifying the opportunities at strategic and individual centre levels to provide more niche/specialist offer within a context of a wider network of (probably smaller), complementary rather than competing centres across the sub-region and including scope for meanwhile and flexible workspace uses.</w:t>
      </w:r>
    </w:p>
    <w:p w14:paraId="36DD6255" w14:textId="77777777" w:rsidR="00E96A8E" w:rsidRPr="00E96A8E" w:rsidRDefault="00E96A8E" w:rsidP="00E96A8E">
      <w:pPr>
        <w:pStyle w:val="Style1"/>
        <w:rPr>
          <w:rFonts w:ascii="Arial" w:hAnsi="Arial" w:cs="Arial"/>
          <w:szCs w:val="24"/>
        </w:rPr>
      </w:pPr>
      <w:r w:rsidRPr="00E96A8E">
        <w:rPr>
          <w:rFonts w:ascii="Arial" w:hAnsi="Arial" w:cs="Arial"/>
          <w:szCs w:val="24"/>
        </w:rPr>
        <w:t>Making recommendations on ways of delivering policy objectives for town centres into the future in the light of Government proposals for changes to the planning system – possible use of zoning tools (including potential for town centre zones) and whether there are any “development management” policies (in the sense the term is used in the white paper) where</w:t>
      </w:r>
      <w:r w:rsidRPr="00E96A8E">
        <w:rPr>
          <w:rFonts w:ascii="Arial" w:hAnsi="Arial" w:cs="Arial"/>
          <w:color w:val="000000"/>
          <w:szCs w:val="24"/>
        </w:rPr>
        <w:t xml:space="preserve"> “</w:t>
      </w:r>
      <w:r w:rsidRPr="00E96A8E">
        <w:rPr>
          <w:rFonts w:ascii="Arial" w:hAnsi="Arial" w:cs="Arial"/>
          <w:szCs w:val="24"/>
        </w:rPr>
        <w:t xml:space="preserve">exceptional circumstances necessitate a locally-defined approach”. </w:t>
      </w:r>
    </w:p>
    <w:p w14:paraId="66122C85" w14:textId="77777777" w:rsidR="00E96A8E" w:rsidRPr="00E96A8E" w:rsidRDefault="00E96A8E" w:rsidP="00E96A8E">
      <w:pPr>
        <w:pStyle w:val="Style1"/>
        <w:rPr>
          <w:rFonts w:ascii="Arial" w:hAnsi="Arial" w:cs="Arial"/>
          <w:szCs w:val="24"/>
        </w:rPr>
      </w:pPr>
      <w:r w:rsidRPr="00E96A8E">
        <w:rPr>
          <w:rFonts w:ascii="Arial" w:hAnsi="Arial" w:cs="Arial"/>
          <w:szCs w:val="24"/>
        </w:rPr>
        <w:t xml:space="preserve">In particular, making recommendations about the types of building form typologies which are likely to be required and can be delivered through design </w:t>
      </w:r>
      <w:r w:rsidRPr="00E96A8E">
        <w:rPr>
          <w:rFonts w:ascii="Arial" w:hAnsi="Arial" w:cs="Arial"/>
          <w:szCs w:val="24"/>
        </w:rPr>
        <w:lastRenderedPageBreak/>
        <w:t xml:space="preserve">codes (e.g. small ground floor units or entire purpose-built blocks, floorplates). Drawing on experience with zoning-type approaches in the UK (such as local development orders)  and internationally, are there any form-based policies that could be of benefit in ensuring the amount and type of Use Class E uses required in a zoning-based system?  Are there particular public realm improvements to be delivered by, or complementary to, development proposals (e.g. forecourts, provision for outside dining etc)? </w:t>
      </w:r>
    </w:p>
    <w:p w14:paraId="23EBC17E" w14:textId="0722D45D" w:rsidR="00E96A8E" w:rsidRDefault="00E96A8E" w:rsidP="00DE5B0F">
      <w:pPr>
        <w:autoSpaceDE w:val="0"/>
        <w:autoSpaceDN w:val="0"/>
        <w:adjustRightInd w:val="0"/>
        <w:spacing w:after="0" w:line="240" w:lineRule="auto"/>
        <w:rPr>
          <w:rFonts w:ascii="Arial" w:hAnsi="Arial" w:cs="Arial"/>
          <w:bCs/>
          <w:iCs/>
          <w:sz w:val="24"/>
          <w:szCs w:val="24"/>
        </w:rPr>
      </w:pPr>
    </w:p>
    <w:p w14:paraId="5E39A17D" w14:textId="41F300BE" w:rsidR="00E26EF8" w:rsidRDefault="006C7771" w:rsidP="00DE5B0F">
      <w:pPr>
        <w:autoSpaceDE w:val="0"/>
        <w:autoSpaceDN w:val="0"/>
        <w:adjustRightInd w:val="0"/>
        <w:spacing w:after="0" w:line="240" w:lineRule="auto"/>
        <w:rPr>
          <w:rFonts w:ascii="Arial" w:hAnsi="Arial" w:cs="Arial"/>
          <w:b/>
          <w:iCs/>
          <w:sz w:val="24"/>
          <w:szCs w:val="24"/>
        </w:rPr>
      </w:pPr>
      <w:r>
        <w:rPr>
          <w:rFonts w:ascii="Arial" w:hAnsi="Arial" w:cs="Arial"/>
          <w:b/>
          <w:iCs/>
          <w:sz w:val="24"/>
          <w:szCs w:val="24"/>
        </w:rPr>
        <w:t>METHOD</w:t>
      </w:r>
    </w:p>
    <w:p w14:paraId="2270563D" w14:textId="4AA91423" w:rsidR="006C7771" w:rsidRDefault="006C7771" w:rsidP="00DE5B0F">
      <w:pPr>
        <w:autoSpaceDE w:val="0"/>
        <w:autoSpaceDN w:val="0"/>
        <w:adjustRightInd w:val="0"/>
        <w:spacing w:after="0" w:line="240" w:lineRule="auto"/>
        <w:rPr>
          <w:rFonts w:ascii="Arial" w:hAnsi="Arial" w:cs="Arial"/>
          <w:b/>
          <w:iCs/>
          <w:sz w:val="24"/>
          <w:szCs w:val="24"/>
        </w:rPr>
      </w:pPr>
    </w:p>
    <w:p w14:paraId="53766279" w14:textId="3EA5062A" w:rsidR="006C7771" w:rsidRDefault="00303716" w:rsidP="00DE5B0F">
      <w:pPr>
        <w:autoSpaceDE w:val="0"/>
        <w:autoSpaceDN w:val="0"/>
        <w:adjustRightInd w:val="0"/>
        <w:spacing w:after="0" w:line="240" w:lineRule="auto"/>
        <w:rPr>
          <w:rFonts w:ascii="Arial" w:hAnsi="Arial" w:cs="Arial"/>
          <w:bCs/>
          <w:iCs/>
          <w:sz w:val="24"/>
          <w:szCs w:val="24"/>
        </w:rPr>
      </w:pPr>
      <w:r>
        <w:rPr>
          <w:rFonts w:ascii="Arial" w:hAnsi="Arial" w:cs="Arial"/>
          <w:bCs/>
          <w:iCs/>
          <w:sz w:val="24"/>
          <w:szCs w:val="24"/>
        </w:rPr>
        <w:t xml:space="preserve">The study will be overseen by a steering group </w:t>
      </w:r>
      <w:r w:rsidR="00042776">
        <w:rPr>
          <w:rFonts w:ascii="Arial" w:hAnsi="Arial" w:cs="Arial"/>
          <w:bCs/>
          <w:iCs/>
          <w:sz w:val="24"/>
          <w:szCs w:val="24"/>
        </w:rPr>
        <w:t xml:space="preserve">of West London borough planning officers. </w:t>
      </w:r>
    </w:p>
    <w:p w14:paraId="5BEA48E8" w14:textId="45FBC958" w:rsidR="0040176C" w:rsidRDefault="0040176C" w:rsidP="00DE5B0F">
      <w:pPr>
        <w:autoSpaceDE w:val="0"/>
        <w:autoSpaceDN w:val="0"/>
        <w:adjustRightInd w:val="0"/>
        <w:spacing w:after="0" w:line="240" w:lineRule="auto"/>
        <w:rPr>
          <w:rFonts w:ascii="Arial" w:hAnsi="Arial" w:cs="Arial"/>
          <w:bCs/>
          <w:iCs/>
          <w:sz w:val="24"/>
          <w:szCs w:val="24"/>
        </w:rPr>
      </w:pPr>
    </w:p>
    <w:p w14:paraId="6767FF5F" w14:textId="34E69A89" w:rsidR="0040176C" w:rsidRDefault="004944A5" w:rsidP="00DE5B0F">
      <w:pPr>
        <w:autoSpaceDE w:val="0"/>
        <w:autoSpaceDN w:val="0"/>
        <w:adjustRightInd w:val="0"/>
        <w:spacing w:after="0" w:line="240" w:lineRule="auto"/>
        <w:rPr>
          <w:rFonts w:ascii="Arial" w:hAnsi="Arial" w:cs="Arial"/>
          <w:bCs/>
          <w:iCs/>
          <w:sz w:val="24"/>
          <w:szCs w:val="24"/>
        </w:rPr>
      </w:pPr>
      <w:r>
        <w:rPr>
          <w:rFonts w:ascii="Arial" w:hAnsi="Arial" w:cs="Arial"/>
          <w:bCs/>
          <w:iCs/>
          <w:sz w:val="24"/>
          <w:szCs w:val="24"/>
        </w:rPr>
        <w:t xml:space="preserve">The consultants will </w:t>
      </w:r>
      <w:r w:rsidR="00EA2FDE">
        <w:rPr>
          <w:rFonts w:ascii="Arial" w:hAnsi="Arial" w:cs="Arial"/>
          <w:bCs/>
          <w:iCs/>
          <w:sz w:val="24"/>
          <w:szCs w:val="24"/>
        </w:rPr>
        <w:t>consult with relevant borough officers</w:t>
      </w:r>
      <w:r w:rsidR="00C97F88">
        <w:rPr>
          <w:rFonts w:ascii="Arial" w:hAnsi="Arial" w:cs="Arial"/>
          <w:bCs/>
          <w:iCs/>
          <w:sz w:val="24"/>
          <w:szCs w:val="24"/>
        </w:rPr>
        <w:t xml:space="preserve"> and other stakeholders including business improvement districts, West London Business and chambers of </w:t>
      </w:r>
      <w:r w:rsidR="00A17817">
        <w:rPr>
          <w:rFonts w:ascii="Arial" w:hAnsi="Arial" w:cs="Arial"/>
          <w:bCs/>
          <w:iCs/>
          <w:sz w:val="24"/>
          <w:szCs w:val="24"/>
        </w:rPr>
        <w:t xml:space="preserve">commerce and other local and regional business groups. They will draw both on locally-generated evidence </w:t>
      </w:r>
      <w:r w:rsidR="00740F7D">
        <w:rPr>
          <w:rFonts w:ascii="Arial" w:hAnsi="Arial" w:cs="Arial"/>
          <w:bCs/>
          <w:iCs/>
          <w:sz w:val="24"/>
          <w:szCs w:val="24"/>
        </w:rPr>
        <w:t xml:space="preserve">and wider literature and thinking on relevant issues. </w:t>
      </w:r>
      <w:r w:rsidR="00BA2723">
        <w:rPr>
          <w:rFonts w:ascii="Arial" w:hAnsi="Arial" w:cs="Arial"/>
          <w:bCs/>
          <w:iCs/>
          <w:sz w:val="24"/>
          <w:szCs w:val="24"/>
        </w:rPr>
        <w:t xml:space="preserve">They will also have regard to </w:t>
      </w:r>
      <w:r w:rsidR="00F55725">
        <w:rPr>
          <w:rFonts w:ascii="Arial" w:hAnsi="Arial" w:cs="Arial"/>
          <w:bCs/>
          <w:iCs/>
          <w:sz w:val="24"/>
          <w:szCs w:val="24"/>
        </w:rPr>
        <w:t xml:space="preserve">relevant </w:t>
      </w:r>
      <w:r w:rsidR="00BA2723">
        <w:rPr>
          <w:rFonts w:ascii="Arial" w:hAnsi="Arial" w:cs="Arial"/>
          <w:bCs/>
          <w:iCs/>
          <w:sz w:val="24"/>
          <w:szCs w:val="24"/>
        </w:rPr>
        <w:t xml:space="preserve">developments in national planning legislation and </w:t>
      </w:r>
      <w:r w:rsidR="00F55725">
        <w:rPr>
          <w:rFonts w:ascii="Arial" w:hAnsi="Arial" w:cs="Arial"/>
          <w:bCs/>
          <w:iCs/>
          <w:sz w:val="24"/>
          <w:szCs w:val="24"/>
        </w:rPr>
        <w:t xml:space="preserve">policy, including forthcoming changes to the National Planning Policy Framework and </w:t>
      </w:r>
      <w:r w:rsidR="00275BE6">
        <w:rPr>
          <w:rFonts w:ascii="Arial" w:hAnsi="Arial" w:cs="Arial"/>
          <w:bCs/>
          <w:iCs/>
          <w:sz w:val="24"/>
          <w:szCs w:val="24"/>
        </w:rPr>
        <w:t>publication of the National Model Design Code.</w:t>
      </w:r>
    </w:p>
    <w:p w14:paraId="0DC34A65" w14:textId="1809C941" w:rsidR="00275BE6" w:rsidRDefault="00275BE6" w:rsidP="00DE5B0F">
      <w:pPr>
        <w:autoSpaceDE w:val="0"/>
        <w:autoSpaceDN w:val="0"/>
        <w:adjustRightInd w:val="0"/>
        <w:spacing w:after="0" w:line="240" w:lineRule="auto"/>
        <w:rPr>
          <w:rFonts w:ascii="Arial" w:hAnsi="Arial" w:cs="Arial"/>
          <w:bCs/>
          <w:iCs/>
          <w:sz w:val="24"/>
          <w:szCs w:val="24"/>
        </w:rPr>
      </w:pPr>
    </w:p>
    <w:p w14:paraId="5B364676" w14:textId="77777777" w:rsidR="0023702B" w:rsidRPr="0023702B" w:rsidRDefault="00253228" w:rsidP="0023702B">
      <w:pPr>
        <w:autoSpaceDE w:val="0"/>
        <w:autoSpaceDN w:val="0"/>
        <w:adjustRightInd w:val="0"/>
        <w:spacing w:after="0" w:line="240" w:lineRule="auto"/>
        <w:rPr>
          <w:rFonts w:ascii="Arial" w:hAnsi="Arial" w:cs="Arial"/>
          <w:bCs/>
          <w:iCs/>
          <w:sz w:val="24"/>
          <w:szCs w:val="24"/>
        </w:rPr>
      </w:pPr>
      <w:r>
        <w:rPr>
          <w:rFonts w:ascii="Arial" w:hAnsi="Arial" w:cs="Arial"/>
          <w:bCs/>
          <w:iCs/>
          <w:sz w:val="24"/>
          <w:szCs w:val="24"/>
        </w:rPr>
        <w:t xml:space="preserve">It is anticipated that </w:t>
      </w:r>
      <w:r w:rsidR="0023578B">
        <w:rPr>
          <w:rFonts w:ascii="Arial" w:hAnsi="Arial" w:cs="Arial"/>
          <w:bCs/>
          <w:iCs/>
          <w:sz w:val="24"/>
          <w:szCs w:val="24"/>
        </w:rPr>
        <w:t xml:space="preserve">the </w:t>
      </w:r>
      <w:r w:rsidR="0023702B" w:rsidRPr="0023702B">
        <w:rPr>
          <w:rFonts w:ascii="Arial" w:hAnsi="Arial" w:cs="Arial"/>
          <w:bCs/>
          <w:iCs/>
          <w:sz w:val="24"/>
          <w:szCs w:val="24"/>
        </w:rPr>
        <w:t>study will be based around the following key stages:</w:t>
      </w:r>
    </w:p>
    <w:p w14:paraId="4C3A0158" w14:textId="77777777" w:rsidR="0023702B" w:rsidRPr="0023702B" w:rsidRDefault="0023702B" w:rsidP="0023702B">
      <w:pPr>
        <w:autoSpaceDE w:val="0"/>
        <w:autoSpaceDN w:val="0"/>
        <w:adjustRightInd w:val="0"/>
        <w:spacing w:after="0" w:line="240" w:lineRule="auto"/>
        <w:rPr>
          <w:rFonts w:ascii="Arial" w:hAnsi="Arial" w:cs="Arial"/>
          <w:bCs/>
          <w:iCs/>
          <w:sz w:val="24"/>
          <w:szCs w:val="24"/>
        </w:rPr>
      </w:pPr>
    </w:p>
    <w:p w14:paraId="68527D0F" w14:textId="1ED04E43" w:rsidR="0023702B" w:rsidRPr="0023702B" w:rsidRDefault="0023702B" w:rsidP="0023702B">
      <w:pPr>
        <w:pStyle w:val="ListParagraph"/>
        <w:numPr>
          <w:ilvl w:val="0"/>
          <w:numId w:val="39"/>
        </w:numPr>
        <w:autoSpaceDE w:val="0"/>
        <w:autoSpaceDN w:val="0"/>
        <w:adjustRightInd w:val="0"/>
        <w:spacing w:after="0" w:line="240" w:lineRule="auto"/>
        <w:rPr>
          <w:rFonts w:ascii="Arial" w:hAnsi="Arial" w:cs="Arial"/>
          <w:b/>
          <w:bCs/>
          <w:iCs/>
          <w:sz w:val="24"/>
          <w:szCs w:val="24"/>
        </w:rPr>
      </w:pPr>
      <w:r w:rsidRPr="0023702B">
        <w:rPr>
          <w:rFonts w:ascii="Arial" w:hAnsi="Arial" w:cs="Arial"/>
          <w:b/>
          <w:bCs/>
          <w:iCs/>
          <w:sz w:val="24"/>
          <w:szCs w:val="24"/>
        </w:rPr>
        <w:t>Inception</w:t>
      </w:r>
    </w:p>
    <w:p w14:paraId="3F949E76" w14:textId="77777777" w:rsidR="0023702B" w:rsidRPr="0023702B" w:rsidRDefault="0023702B" w:rsidP="0023702B">
      <w:pPr>
        <w:autoSpaceDE w:val="0"/>
        <w:autoSpaceDN w:val="0"/>
        <w:adjustRightInd w:val="0"/>
        <w:spacing w:after="0" w:line="240" w:lineRule="auto"/>
        <w:rPr>
          <w:rFonts w:ascii="Arial" w:hAnsi="Arial" w:cs="Arial"/>
          <w:b/>
          <w:bCs/>
          <w:iCs/>
          <w:sz w:val="24"/>
          <w:szCs w:val="24"/>
        </w:rPr>
      </w:pPr>
    </w:p>
    <w:p w14:paraId="438FF1EE" w14:textId="213FFA3F" w:rsidR="0023702B" w:rsidRDefault="0023702B" w:rsidP="0023702B">
      <w:pPr>
        <w:autoSpaceDE w:val="0"/>
        <w:autoSpaceDN w:val="0"/>
        <w:adjustRightInd w:val="0"/>
        <w:spacing w:after="0" w:line="240" w:lineRule="auto"/>
        <w:ind w:left="360"/>
        <w:rPr>
          <w:rFonts w:ascii="Arial" w:hAnsi="Arial" w:cs="Arial"/>
          <w:bCs/>
          <w:iCs/>
          <w:sz w:val="24"/>
          <w:szCs w:val="24"/>
        </w:rPr>
      </w:pPr>
      <w:r w:rsidRPr="0023702B">
        <w:rPr>
          <w:rFonts w:ascii="Arial" w:hAnsi="Arial" w:cs="Arial"/>
          <w:bCs/>
          <w:iCs/>
          <w:sz w:val="24"/>
          <w:szCs w:val="24"/>
        </w:rPr>
        <w:t>Confirmation of project scope and timelines and agreement of arrangements for stakeholder engagemen</w:t>
      </w:r>
      <w:r>
        <w:rPr>
          <w:rFonts w:ascii="Arial" w:hAnsi="Arial" w:cs="Arial"/>
          <w:bCs/>
          <w:iCs/>
          <w:sz w:val="24"/>
          <w:szCs w:val="24"/>
        </w:rPr>
        <w:t>t and exchange of data.</w:t>
      </w:r>
    </w:p>
    <w:p w14:paraId="2E701742" w14:textId="1D3906AF" w:rsidR="0023702B" w:rsidRDefault="0023702B" w:rsidP="0023702B">
      <w:pPr>
        <w:autoSpaceDE w:val="0"/>
        <w:autoSpaceDN w:val="0"/>
        <w:adjustRightInd w:val="0"/>
        <w:spacing w:after="0" w:line="240" w:lineRule="auto"/>
        <w:ind w:left="360"/>
        <w:rPr>
          <w:rFonts w:ascii="Arial" w:hAnsi="Arial" w:cs="Arial"/>
          <w:bCs/>
          <w:iCs/>
          <w:sz w:val="24"/>
          <w:szCs w:val="24"/>
        </w:rPr>
      </w:pPr>
    </w:p>
    <w:p w14:paraId="2FC23AE5" w14:textId="26826304" w:rsidR="0023702B" w:rsidRDefault="0052287B" w:rsidP="0023702B">
      <w:pPr>
        <w:pStyle w:val="ListParagraph"/>
        <w:numPr>
          <w:ilvl w:val="0"/>
          <w:numId w:val="39"/>
        </w:numPr>
        <w:autoSpaceDE w:val="0"/>
        <w:autoSpaceDN w:val="0"/>
        <w:adjustRightInd w:val="0"/>
        <w:spacing w:after="0" w:line="240" w:lineRule="auto"/>
        <w:rPr>
          <w:rFonts w:ascii="Arial" w:hAnsi="Arial" w:cs="Arial"/>
          <w:b/>
          <w:iCs/>
          <w:sz w:val="24"/>
          <w:szCs w:val="24"/>
        </w:rPr>
      </w:pPr>
      <w:r w:rsidRPr="0052287B">
        <w:rPr>
          <w:rFonts w:ascii="Arial" w:hAnsi="Arial" w:cs="Arial"/>
          <w:b/>
          <w:iCs/>
          <w:sz w:val="24"/>
          <w:szCs w:val="24"/>
        </w:rPr>
        <w:t>Quantitative assessment</w:t>
      </w:r>
    </w:p>
    <w:p w14:paraId="731D5ED3" w14:textId="4440594F" w:rsidR="0052287B" w:rsidRDefault="0052287B" w:rsidP="0052287B">
      <w:pPr>
        <w:autoSpaceDE w:val="0"/>
        <w:autoSpaceDN w:val="0"/>
        <w:adjustRightInd w:val="0"/>
        <w:spacing w:after="0" w:line="240" w:lineRule="auto"/>
        <w:rPr>
          <w:rFonts w:ascii="Arial" w:hAnsi="Arial" w:cs="Arial"/>
          <w:b/>
          <w:iCs/>
          <w:sz w:val="24"/>
          <w:szCs w:val="24"/>
        </w:rPr>
      </w:pPr>
    </w:p>
    <w:p w14:paraId="73AEF43A" w14:textId="39D3A72F" w:rsidR="0052287B" w:rsidRDefault="00371519" w:rsidP="0052287B">
      <w:pPr>
        <w:autoSpaceDE w:val="0"/>
        <w:autoSpaceDN w:val="0"/>
        <w:adjustRightInd w:val="0"/>
        <w:spacing w:after="0" w:line="240" w:lineRule="auto"/>
        <w:ind w:left="360"/>
        <w:rPr>
          <w:rFonts w:ascii="Arial" w:hAnsi="Arial" w:cs="Arial"/>
          <w:bCs/>
          <w:iCs/>
          <w:sz w:val="24"/>
          <w:szCs w:val="24"/>
        </w:rPr>
      </w:pPr>
      <w:r>
        <w:rPr>
          <w:rFonts w:ascii="Arial" w:hAnsi="Arial" w:cs="Arial"/>
          <w:bCs/>
          <w:iCs/>
          <w:sz w:val="24"/>
          <w:szCs w:val="24"/>
        </w:rPr>
        <w:t xml:space="preserve">Completion of </w:t>
      </w:r>
      <w:r w:rsidR="00E9332E">
        <w:rPr>
          <w:rFonts w:ascii="Arial" w:hAnsi="Arial" w:cs="Arial"/>
          <w:bCs/>
          <w:iCs/>
          <w:sz w:val="24"/>
          <w:szCs w:val="24"/>
        </w:rPr>
        <w:t xml:space="preserve">elements 1-3 above (quantification of </w:t>
      </w:r>
      <w:r w:rsidR="00BC7EF4">
        <w:rPr>
          <w:rFonts w:ascii="Arial" w:hAnsi="Arial" w:cs="Arial"/>
          <w:bCs/>
          <w:iCs/>
          <w:sz w:val="24"/>
          <w:szCs w:val="24"/>
        </w:rPr>
        <w:t xml:space="preserve">relevant uses in and outside town centres and </w:t>
      </w:r>
      <w:r w:rsidR="00E66ADE">
        <w:rPr>
          <w:rFonts w:ascii="Arial" w:hAnsi="Arial" w:cs="Arial"/>
          <w:bCs/>
          <w:iCs/>
          <w:sz w:val="24"/>
          <w:szCs w:val="24"/>
        </w:rPr>
        <w:t>agreement of benchmarks</w:t>
      </w:r>
      <w:r w:rsidR="004904E6">
        <w:rPr>
          <w:rFonts w:ascii="Arial" w:hAnsi="Arial" w:cs="Arial"/>
          <w:bCs/>
          <w:iCs/>
          <w:sz w:val="24"/>
          <w:szCs w:val="24"/>
        </w:rPr>
        <w:t>)</w:t>
      </w:r>
      <w:r w:rsidR="00336D36">
        <w:rPr>
          <w:rFonts w:ascii="Arial" w:hAnsi="Arial" w:cs="Arial"/>
          <w:bCs/>
          <w:iCs/>
          <w:sz w:val="24"/>
          <w:szCs w:val="24"/>
        </w:rPr>
        <w:t xml:space="preserve">, with a workshop session to review </w:t>
      </w:r>
      <w:r w:rsidR="0052425D">
        <w:rPr>
          <w:rFonts w:ascii="Arial" w:hAnsi="Arial" w:cs="Arial"/>
          <w:bCs/>
          <w:iCs/>
          <w:sz w:val="24"/>
          <w:szCs w:val="24"/>
        </w:rPr>
        <w:t>findings.</w:t>
      </w:r>
    </w:p>
    <w:p w14:paraId="07C1783D" w14:textId="242E7E8C" w:rsidR="0052425D" w:rsidRDefault="0052425D" w:rsidP="0052287B">
      <w:pPr>
        <w:autoSpaceDE w:val="0"/>
        <w:autoSpaceDN w:val="0"/>
        <w:adjustRightInd w:val="0"/>
        <w:spacing w:after="0" w:line="240" w:lineRule="auto"/>
        <w:ind w:left="360"/>
        <w:rPr>
          <w:rFonts w:ascii="Arial" w:hAnsi="Arial" w:cs="Arial"/>
          <w:bCs/>
          <w:iCs/>
          <w:sz w:val="24"/>
          <w:szCs w:val="24"/>
        </w:rPr>
      </w:pPr>
    </w:p>
    <w:p w14:paraId="26B99827" w14:textId="1DCBA9AC" w:rsidR="0052425D" w:rsidRPr="00834F86" w:rsidRDefault="00A37824" w:rsidP="0052425D">
      <w:pPr>
        <w:pStyle w:val="ListParagraph"/>
        <w:numPr>
          <w:ilvl w:val="0"/>
          <w:numId w:val="39"/>
        </w:numPr>
        <w:autoSpaceDE w:val="0"/>
        <w:autoSpaceDN w:val="0"/>
        <w:adjustRightInd w:val="0"/>
        <w:spacing w:after="0" w:line="240" w:lineRule="auto"/>
        <w:rPr>
          <w:rFonts w:ascii="Arial" w:hAnsi="Arial" w:cs="Arial"/>
          <w:b/>
          <w:iCs/>
          <w:sz w:val="24"/>
          <w:szCs w:val="24"/>
        </w:rPr>
      </w:pPr>
      <w:r w:rsidRPr="00834F86">
        <w:rPr>
          <w:rFonts w:ascii="Arial" w:hAnsi="Arial" w:cs="Arial"/>
          <w:b/>
          <w:iCs/>
          <w:sz w:val="24"/>
          <w:szCs w:val="24"/>
        </w:rPr>
        <w:t>Review of trends</w:t>
      </w:r>
    </w:p>
    <w:p w14:paraId="2938DDB0" w14:textId="2AE3885E" w:rsidR="00A37824" w:rsidRDefault="00A37824" w:rsidP="00A37824">
      <w:pPr>
        <w:autoSpaceDE w:val="0"/>
        <w:autoSpaceDN w:val="0"/>
        <w:adjustRightInd w:val="0"/>
        <w:spacing w:after="0" w:line="240" w:lineRule="auto"/>
        <w:rPr>
          <w:rFonts w:ascii="Arial" w:hAnsi="Arial" w:cs="Arial"/>
          <w:bCs/>
          <w:iCs/>
          <w:sz w:val="24"/>
          <w:szCs w:val="24"/>
        </w:rPr>
      </w:pPr>
    </w:p>
    <w:p w14:paraId="75F340AF" w14:textId="5325CE68" w:rsidR="000E67AD" w:rsidRDefault="000E67AD" w:rsidP="000E67AD">
      <w:pPr>
        <w:autoSpaceDE w:val="0"/>
        <w:autoSpaceDN w:val="0"/>
        <w:adjustRightInd w:val="0"/>
        <w:spacing w:after="0" w:line="240" w:lineRule="auto"/>
        <w:ind w:left="360"/>
        <w:rPr>
          <w:rFonts w:ascii="Arial" w:hAnsi="Arial" w:cs="Arial"/>
          <w:bCs/>
          <w:iCs/>
          <w:sz w:val="24"/>
          <w:szCs w:val="24"/>
        </w:rPr>
      </w:pPr>
      <w:r>
        <w:rPr>
          <w:rFonts w:ascii="Arial" w:hAnsi="Arial" w:cs="Arial"/>
          <w:bCs/>
          <w:iCs/>
          <w:sz w:val="24"/>
          <w:szCs w:val="24"/>
        </w:rPr>
        <w:t xml:space="preserve">Completion of elements </w:t>
      </w:r>
      <w:r w:rsidR="009C0E32">
        <w:rPr>
          <w:rFonts w:ascii="Arial" w:hAnsi="Arial" w:cs="Arial"/>
          <w:bCs/>
          <w:iCs/>
          <w:sz w:val="24"/>
          <w:szCs w:val="24"/>
        </w:rPr>
        <w:t>4-6 (review of developments in town centre-based sectors and impacts of legislation/policy changes</w:t>
      </w:r>
      <w:r w:rsidR="00834F86">
        <w:rPr>
          <w:rFonts w:ascii="Arial" w:hAnsi="Arial" w:cs="Arial"/>
          <w:bCs/>
          <w:iCs/>
          <w:sz w:val="24"/>
          <w:szCs w:val="24"/>
        </w:rPr>
        <w:t xml:space="preserve"> and proposed planning reforms), with a workshop session to review findings and agree scope of </w:t>
      </w:r>
      <w:r w:rsidR="00386F59">
        <w:rPr>
          <w:rFonts w:ascii="Arial" w:hAnsi="Arial" w:cs="Arial"/>
          <w:bCs/>
          <w:iCs/>
          <w:sz w:val="24"/>
          <w:szCs w:val="24"/>
        </w:rPr>
        <w:t>next stage.</w:t>
      </w:r>
    </w:p>
    <w:p w14:paraId="6C6C5CB2" w14:textId="1AB9F17B" w:rsidR="00386F59" w:rsidRDefault="00386F59" w:rsidP="000E67AD">
      <w:pPr>
        <w:autoSpaceDE w:val="0"/>
        <w:autoSpaceDN w:val="0"/>
        <w:adjustRightInd w:val="0"/>
        <w:spacing w:after="0" w:line="240" w:lineRule="auto"/>
        <w:ind w:left="360"/>
        <w:rPr>
          <w:rFonts w:ascii="Arial" w:hAnsi="Arial" w:cs="Arial"/>
          <w:bCs/>
          <w:iCs/>
          <w:sz w:val="24"/>
          <w:szCs w:val="24"/>
        </w:rPr>
      </w:pPr>
    </w:p>
    <w:p w14:paraId="0928A410" w14:textId="77777777" w:rsidR="00EE221C" w:rsidRDefault="00EE221C" w:rsidP="000E67AD">
      <w:pPr>
        <w:autoSpaceDE w:val="0"/>
        <w:autoSpaceDN w:val="0"/>
        <w:adjustRightInd w:val="0"/>
        <w:spacing w:after="0" w:line="240" w:lineRule="auto"/>
        <w:ind w:left="360"/>
        <w:rPr>
          <w:rFonts w:ascii="Arial" w:hAnsi="Arial" w:cs="Arial"/>
          <w:bCs/>
          <w:iCs/>
          <w:sz w:val="24"/>
          <w:szCs w:val="24"/>
        </w:rPr>
      </w:pPr>
    </w:p>
    <w:p w14:paraId="1F960031" w14:textId="31520A47" w:rsidR="00386F59" w:rsidRDefault="00386F59" w:rsidP="00386F59">
      <w:pPr>
        <w:pStyle w:val="ListParagraph"/>
        <w:numPr>
          <w:ilvl w:val="0"/>
          <w:numId w:val="39"/>
        </w:numPr>
        <w:autoSpaceDE w:val="0"/>
        <w:autoSpaceDN w:val="0"/>
        <w:adjustRightInd w:val="0"/>
        <w:spacing w:after="0" w:line="240" w:lineRule="auto"/>
        <w:rPr>
          <w:rFonts w:ascii="Arial" w:hAnsi="Arial" w:cs="Arial"/>
          <w:b/>
          <w:iCs/>
          <w:sz w:val="24"/>
          <w:szCs w:val="24"/>
        </w:rPr>
      </w:pPr>
      <w:r w:rsidRPr="00386F59">
        <w:rPr>
          <w:rFonts w:ascii="Arial" w:hAnsi="Arial" w:cs="Arial"/>
          <w:b/>
          <w:iCs/>
          <w:sz w:val="24"/>
          <w:szCs w:val="24"/>
        </w:rPr>
        <w:t>Policy recommendations</w:t>
      </w:r>
    </w:p>
    <w:p w14:paraId="33610914" w14:textId="580D45EE" w:rsidR="00386F59" w:rsidRDefault="00386F59" w:rsidP="00386F59">
      <w:pPr>
        <w:autoSpaceDE w:val="0"/>
        <w:autoSpaceDN w:val="0"/>
        <w:adjustRightInd w:val="0"/>
        <w:spacing w:after="0" w:line="240" w:lineRule="auto"/>
        <w:rPr>
          <w:rFonts w:ascii="Arial" w:hAnsi="Arial" w:cs="Arial"/>
          <w:b/>
          <w:iCs/>
          <w:sz w:val="24"/>
          <w:szCs w:val="24"/>
        </w:rPr>
      </w:pPr>
    </w:p>
    <w:p w14:paraId="10408E43" w14:textId="0064AFE0" w:rsidR="00386F59" w:rsidRDefault="00386F59" w:rsidP="00386F59">
      <w:pPr>
        <w:autoSpaceDE w:val="0"/>
        <w:autoSpaceDN w:val="0"/>
        <w:adjustRightInd w:val="0"/>
        <w:spacing w:after="0" w:line="240" w:lineRule="auto"/>
        <w:ind w:left="360"/>
        <w:rPr>
          <w:rFonts w:ascii="Arial" w:hAnsi="Arial" w:cs="Arial"/>
          <w:bCs/>
          <w:iCs/>
          <w:sz w:val="24"/>
          <w:szCs w:val="24"/>
        </w:rPr>
      </w:pPr>
      <w:r w:rsidRPr="004F6305">
        <w:rPr>
          <w:rFonts w:ascii="Arial" w:hAnsi="Arial" w:cs="Arial"/>
          <w:bCs/>
          <w:iCs/>
          <w:sz w:val="24"/>
          <w:szCs w:val="24"/>
        </w:rPr>
        <w:t xml:space="preserve">Completion of elements </w:t>
      </w:r>
      <w:r w:rsidR="004F6305" w:rsidRPr="004F6305">
        <w:rPr>
          <w:rFonts w:ascii="Arial" w:hAnsi="Arial" w:cs="Arial"/>
          <w:bCs/>
          <w:iCs/>
          <w:sz w:val="24"/>
          <w:szCs w:val="24"/>
        </w:rPr>
        <w:t>7-9 (</w:t>
      </w:r>
      <w:r w:rsidR="004F6305">
        <w:rPr>
          <w:rFonts w:ascii="Arial" w:hAnsi="Arial" w:cs="Arial"/>
          <w:bCs/>
          <w:iCs/>
          <w:sz w:val="24"/>
          <w:szCs w:val="24"/>
        </w:rPr>
        <w:t xml:space="preserve">identifying opportunities and making recommendations), with a workshop session to review and discuss </w:t>
      </w:r>
      <w:r w:rsidR="00EE221C">
        <w:rPr>
          <w:rFonts w:ascii="Arial" w:hAnsi="Arial" w:cs="Arial"/>
          <w:bCs/>
          <w:iCs/>
          <w:sz w:val="24"/>
          <w:szCs w:val="24"/>
        </w:rPr>
        <w:t>outcome and agree finalisation of report.</w:t>
      </w:r>
    </w:p>
    <w:p w14:paraId="31BBD228" w14:textId="0D7A21B3" w:rsidR="00EE221C" w:rsidRDefault="00EE221C" w:rsidP="00386F59">
      <w:pPr>
        <w:autoSpaceDE w:val="0"/>
        <w:autoSpaceDN w:val="0"/>
        <w:adjustRightInd w:val="0"/>
        <w:spacing w:after="0" w:line="240" w:lineRule="auto"/>
        <w:ind w:left="360"/>
        <w:rPr>
          <w:rFonts w:ascii="Arial" w:hAnsi="Arial" w:cs="Arial"/>
          <w:bCs/>
          <w:iCs/>
          <w:sz w:val="24"/>
          <w:szCs w:val="24"/>
        </w:rPr>
      </w:pPr>
    </w:p>
    <w:p w14:paraId="216B97BC" w14:textId="28B184A1" w:rsidR="00EE221C" w:rsidRPr="002A7460" w:rsidRDefault="002A7460" w:rsidP="00EE221C">
      <w:pPr>
        <w:pStyle w:val="ListParagraph"/>
        <w:numPr>
          <w:ilvl w:val="0"/>
          <w:numId w:val="39"/>
        </w:numPr>
        <w:autoSpaceDE w:val="0"/>
        <w:autoSpaceDN w:val="0"/>
        <w:adjustRightInd w:val="0"/>
        <w:spacing w:after="0" w:line="240" w:lineRule="auto"/>
        <w:rPr>
          <w:rFonts w:ascii="Arial" w:hAnsi="Arial" w:cs="Arial"/>
          <w:b/>
          <w:iCs/>
          <w:sz w:val="24"/>
          <w:szCs w:val="24"/>
        </w:rPr>
      </w:pPr>
      <w:r w:rsidRPr="002A7460">
        <w:rPr>
          <w:rFonts w:ascii="Arial" w:hAnsi="Arial" w:cs="Arial"/>
          <w:b/>
          <w:iCs/>
          <w:sz w:val="24"/>
          <w:szCs w:val="24"/>
        </w:rPr>
        <w:t>Final reporting</w:t>
      </w:r>
    </w:p>
    <w:p w14:paraId="3DD6C3D5" w14:textId="732395C5" w:rsidR="0023702B" w:rsidRDefault="0023702B" w:rsidP="0023702B">
      <w:pPr>
        <w:autoSpaceDE w:val="0"/>
        <w:autoSpaceDN w:val="0"/>
        <w:adjustRightInd w:val="0"/>
        <w:spacing w:after="0" w:line="240" w:lineRule="auto"/>
        <w:rPr>
          <w:rFonts w:ascii="Arial" w:hAnsi="Arial" w:cs="Arial"/>
          <w:bCs/>
          <w:iCs/>
          <w:sz w:val="24"/>
          <w:szCs w:val="24"/>
        </w:rPr>
      </w:pPr>
    </w:p>
    <w:p w14:paraId="3735AD23" w14:textId="77777777" w:rsidR="0023702B" w:rsidRPr="0023702B" w:rsidRDefault="0023702B" w:rsidP="0023702B">
      <w:pPr>
        <w:autoSpaceDE w:val="0"/>
        <w:autoSpaceDN w:val="0"/>
        <w:adjustRightInd w:val="0"/>
        <w:spacing w:after="0" w:line="240" w:lineRule="auto"/>
        <w:rPr>
          <w:rFonts w:ascii="Arial" w:hAnsi="Arial" w:cs="Arial"/>
          <w:bCs/>
          <w:iCs/>
          <w:sz w:val="24"/>
          <w:szCs w:val="24"/>
        </w:rPr>
      </w:pPr>
    </w:p>
    <w:p w14:paraId="4A7A7DCE" w14:textId="1A3114E7" w:rsidR="00275BE6" w:rsidRDefault="007454B2" w:rsidP="00DE5B0F">
      <w:pPr>
        <w:autoSpaceDE w:val="0"/>
        <w:autoSpaceDN w:val="0"/>
        <w:adjustRightInd w:val="0"/>
        <w:spacing w:after="0" w:line="240" w:lineRule="auto"/>
        <w:rPr>
          <w:rFonts w:ascii="Arial" w:hAnsi="Arial" w:cs="Arial"/>
          <w:b/>
          <w:iCs/>
          <w:sz w:val="24"/>
          <w:szCs w:val="24"/>
        </w:rPr>
      </w:pPr>
      <w:r>
        <w:rPr>
          <w:rFonts w:ascii="Arial" w:hAnsi="Arial" w:cs="Arial"/>
          <w:b/>
          <w:iCs/>
          <w:sz w:val="24"/>
          <w:szCs w:val="24"/>
        </w:rPr>
        <w:t>DELIVERABLES</w:t>
      </w:r>
    </w:p>
    <w:p w14:paraId="67FBB277" w14:textId="48B69D3F" w:rsidR="007454B2" w:rsidRDefault="007454B2" w:rsidP="00DE5B0F">
      <w:pPr>
        <w:autoSpaceDE w:val="0"/>
        <w:autoSpaceDN w:val="0"/>
        <w:adjustRightInd w:val="0"/>
        <w:spacing w:after="0" w:line="240" w:lineRule="auto"/>
        <w:rPr>
          <w:rFonts w:ascii="Arial" w:hAnsi="Arial" w:cs="Arial"/>
          <w:b/>
          <w:iCs/>
          <w:sz w:val="24"/>
          <w:szCs w:val="24"/>
        </w:rPr>
      </w:pPr>
    </w:p>
    <w:p w14:paraId="20BB5454" w14:textId="174DFFEA" w:rsidR="007454B2" w:rsidRDefault="007454B2" w:rsidP="00DE5B0F">
      <w:pPr>
        <w:autoSpaceDE w:val="0"/>
        <w:autoSpaceDN w:val="0"/>
        <w:adjustRightInd w:val="0"/>
        <w:spacing w:after="0" w:line="240" w:lineRule="auto"/>
        <w:rPr>
          <w:rFonts w:ascii="Arial" w:hAnsi="Arial" w:cs="Arial"/>
          <w:bCs/>
          <w:iCs/>
          <w:sz w:val="24"/>
          <w:szCs w:val="24"/>
        </w:rPr>
      </w:pPr>
      <w:r>
        <w:rPr>
          <w:rFonts w:ascii="Arial" w:hAnsi="Arial" w:cs="Arial"/>
          <w:bCs/>
          <w:iCs/>
          <w:sz w:val="24"/>
          <w:szCs w:val="24"/>
        </w:rPr>
        <w:t xml:space="preserve">The study should take the form of a written report (including </w:t>
      </w:r>
      <w:r w:rsidR="00277617">
        <w:rPr>
          <w:rFonts w:ascii="Arial" w:hAnsi="Arial" w:cs="Arial"/>
          <w:bCs/>
          <w:iCs/>
          <w:sz w:val="24"/>
          <w:szCs w:val="24"/>
        </w:rPr>
        <w:t xml:space="preserve">non-technical executive summary) and </w:t>
      </w:r>
      <w:r w:rsidR="00B421A4">
        <w:rPr>
          <w:rFonts w:ascii="Arial" w:hAnsi="Arial" w:cs="Arial"/>
          <w:bCs/>
          <w:iCs/>
          <w:sz w:val="24"/>
          <w:szCs w:val="24"/>
        </w:rPr>
        <w:t xml:space="preserve">a </w:t>
      </w:r>
      <w:r w:rsidR="00803294">
        <w:rPr>
          <w:rFonts w:ascii="Arial" w:hAnsi="Arial" w:cs="Arial"/>
          <w:bCs/>
          <w:iCs/>
          <w:sz w:val="24"/>
          <w:szCs w:val="24"/>
        </w:rPr>
        <w:t>PowerPoint</w:t>
      </w:r>
      <w:r w:rsidR="00B421A4">
        <w:rPr>
          <w:rFonts w:ascii="Arial" w:hAnsi="Arial" w:cs="Arial"/>
          <w:bCs/>
          <w:iCs/>
          <w:sz w:val="24"/>
          <w:szCs w:val="24"/>
        </w:rPr>
        <w:t xml:space="preserve"> (or equivalent) </w:t>
      </w:r>
      <w:r w:rsidR="00A1248A">
        <w:rPr>
          <w:rFonts w:ascii="Arial" w:hAnsi="Arial" w:cs="Arial"/>
          <w:bCs/>
          <w:iCs/>
          <w:sz w:val="24"/>
          <w:szCs w:val="24"/>
        </w:rPr>
        <w:t>summary.</w:t>
      </w:r>
    </w:p>
    <w:p w14:paraId="4599D3C9" w14:textId="395E96A5" w:rsidR="00A1248A" w:rsidRDefault="00A1248A" w:rsidP="00DE5B0F">
      <w:pPr>
        <w:autoSpaceDE w:val="0"/>
        <w:autoSpaceDN w:val="0"/>
        <w:adjustRightInd w:val="0"/>
        <w:spacing w:after="0" w:line="240" w:lineRule="auto"/>
        <w:rPr>
          <w:rFonts w:ascii="Arial" w:hAnsi="Arial" w:cs="Arial"/>
          <w:bCs/>
          <w:iCs/>
          <w:sz w:val="24"/>
          <w:szCs w:val="24"/>
        </w:rPr>
      </w:pPr>
    </w:p>
    <w:p w14:paraId="7D23B4C4" w14:textId="77777777" w:rsidR="00B231E7" w:rsidRDefault="00B231E7" w:rsidP="004F7ACB">
      <w:pPr>
        <w:autoSpaceDE w:val="0"/>
        <w:autoSpaceDN w:val="0"/>
        <w:adjustRightInd w:val="0"/>
        <w:spacing w:after="0" w:line="240" w:lineRule="auto"/>
        <w:rPr>
          <w:rFonts w:ascii="Arial" w:hAnsi="Arial" w:cs="Arial"/>
          <w:b/>
          <w:bCs/>
          <w:iCs/>
          <w:sz w:val="24"/>
          <w:szCs w:val="24"/>
        </w:rPr>
      </w:pPr>
    </w:p>
    <w:p w14:paraId="7BEAAF2C" w14:textId="0D59C5C0" w:rsidR="004F7ACB" w:rsidRPr="004F7ACB" w:rsidRDefault="004F7ACB" w:rsidP="004F7ACB">
      <w:pPr>
        <w:autoSpaceDE w:val="0"/>
        <w:autoSpaceDN w:val="0"/>
        <w:adjustRightInd w:val="0"/>
        <w:spacing w:after="0" w:line="240" w:lineRule="auto"/>
        <w:rPr>
          <w:rFonts w:ascii="Arial" w:hAnsi="Arial" w:cs="Arial"/>
          <w:b/>
          <w:bCs/>
          <w:iCs/>
          <w:sz w:val="24"/>
          <w:szCs w:val="24"/>
        </w:rPr>
      </w:pPr>
      <w:r w:rsidRPr="004F7ACB">
        <w:rPr>
          <w:rFonts w:ascii="Arial" w:hAnsi="Arial" w:cs="Arial"/>
          <w:b/>
          <w:bCs/>
          <w:iCs/>
          <w:sz w:val="24"/>
          <w:szCs w:val="24"/>
        </w:rPr>
        <w:t xml:space="preserve">PART </w:t>
      </w:r>
      <w:r w:rsidR="00827412">
        <w:rPr>
          <w:rFonts w:ascii="Arial" w:hAnsi="Arial" w:cs="Arial"/>
          <w:b/>
          <w:bCs/>
          <w:iCs/>
          <w:sz w:val="24"/>
          <w:szCs w:val="24"/>
        </w:rPr>
        <w:t>2</w:t>
      </w:r>
    </w:p>
    <w:p w14:paraId="754F1980" w14:textId="77777777" w:rsidR="004F7ACB" w:rsidRPr="004F7ACB" w:rsidRDefault="004F7ACB" w:rsidP="004F7ACB">
      <w:pPr>
        <w:autoSpaceDE w:val="0"/>
        <w:autoSpaceDN w:val="0"/>
        <w:adjustRightInd w:val="0"/>
        <w:spacing w:after="0" w:line="240" w:lineRule="auto"/>
        <w:rPr>
          <w:rFonts w:ascii="Arial" w:hAnsi="Arial" w:cs="Arial"/>
          <w:b/>
          <w:bCs/>
          <w:iCs/>
          <w:sz w:val="24"/>
          <w:szCs w:val="24"/>
        </w:rPr>
      </w:pPr>
    </w:p>
    <w:p w14:paraId="769240B4" w14:textId="77777777" w:rsidR="004F7ACB" w:rsidRPr="004F7ACB" w:rsidRDefault="004F7ACB" w:rsidP="004F7ACB">
      <w:pPr>
        <w:autoSpaceDE w:val="0"/>
        <w:autoSpaceDN w:val="0"/>
        <w:adjustRightInd w:val="0"/>
        <w:spacing w:after="0" w:line="240" w:lineRule="auto"/>
        <w:rPr>
          <w:rFonts w:ascii="Arial" w:hAnsi="Arial" w:cs="Arial"/>
          <w:b/>
          <w:bCs/>
          <w:iCs/>
          <w:sz w:val="24"/>
          <w:szCs w:val="24"/>
        </w:rPr>
      </w:pPr>
      <w:r w:rsidRPr="004F7ACB">
        <w:rPr>
          <w:rFonts w:ascii="Arial" w:hAnsi="Arial" w:cs="Arial"/>
          <w:b/>
          <w:bCs/>
          <w:iCs/>
          <w:sz w:val="24"/>
          <w:szCs w:val="24"/>
        </w:rPr>
        <w:t xml:space="preserve">1. Budget </w:t>
      </w:r>
    </w:p>
    <w:p w14:paraId="63C9274F"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p>
    <w:p w14:paraId="36F5ED86" w14:textId="766E7C63" w:rsidR="004F7ACB" w:rsidRPr="004F7ACB" w:rsidRDefault="004F7ACB" w:rsidP="004F7ACB">
      <w:p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Proposals should not exceed £</w:t>
      </w:r>
      <w:r w:rsidR="00B231E7">
        <w:rPr>
          <w:rFonts w:ascii="Arial" w:hAnsi="Arial" w:cs="Arial"/>
          <w:bCs/>
          <w:iCs/>
          <w:sz w:val="24"/>
          <w:szCs w:val="24"/>
        </w:rPr>
        <w:t>65</w:t>
      </w:r>
      <w:r w:rsidRPr="004F7ACB">
        <w:rPr>
          <w:rFonts w:ascii="Arial" w:hAnsi="Arial" w:cs="Arial"/>
          <w:bCs/>
          <w:iCs/>
          <w:sz w:val="24"/>
          <w:szCs w:val="24"/>
        </w:rPr>
        <w:t xml:space="preserve">,000, excluding VAT. </w:t>
      </w:r>
    </w:p>
    <w:p w14:paraId="13A5EFC5"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p>
    <w:p w14:paraId="5FEC13FC"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p>
    <w:p w14:paraId="7EC785F5" w14:textId="77777777" w:rsidR="004F7ACB" w:rsidRPr="004F7ACB" w:rsidRDefault="004F7ACB" w:rsidP="004F7ACB">
      <w:pPr>
        <w:autoSpaceDE w:val="0"/>
        <w:autoSpaceDN w:val="0"/>
        <w:adjustRightInd w:val="0"/>
        <w:spacing w:after="0" w:line="240" w:lineRule="auto"/>
        <w:rPr>
          <w:rFonts w:ascii="Arial" w:hAnsi="Arial" w:cs="Arial"/>
          <w:b/>
          <w:bCs/>
          <w:iCs/>
          <w:sz w:val="24"/>
          <w:szCs w:val="24"/>
        </w:rPr>
      </w:pPr>
      <w:r w:rsidRPr="004F7ACB">
        <w:rPr>
          <w:rFonts w:ascii="Arial" w:hAnsi="Arial" w:cs="Arial"/>
          <w:b/>
          <w:bCs/>
          <w:iCs/>
          <w:sz w:val="24"/>
          <w:szCs w:val="24"/>
        </w:rPr>
        <w:t xml:space="preserve">2. Programme and timetable </w:t>
      </w:r>
    </w:p>
    <w:p w14:paraId="476AF8EC"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p>
    <w:p w14:paraId="6DDC4561"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p>
    <w:p w14:paraId="365E9DAA" w14:textId="77777777" w:rsidR="004F7ACB" w:rsidRPr="004F7ACB" w:rsidRDefault="004F7ACB" w:rsidP="004F7ACB">
      <w:pPr>
        <w:autoSpaceDE w:val="0"/>
        <w:autoSpaceDN w:val="0"/>
        <w:adjustRightInd w:val="0"/>
        <w:spacing w:after="0" w:line="240" w:lineRule="auto"/>
        <w:rPr>
          <w:rFonts w:ascii="Arial" w:hAnsi="Arial" w:cs="Arial"/>
          <w:b/>
          <w:bCs/>
          <w:iCs/>
          <w:sz w:val="24"/>
          <w:szCs w:val="24"/>
        </w:rPr>
      </w:pPr>
      <w:r w:rsidRPr="004F7ACB">
        <w:rPr>
          <w:rFonts w:ascii="Arial" w:hAnsi="Arial" w:cs="Arial"/>
          <w:b/>
          <w:bCs/>
          <w:iCs/>
          <w:sz w:val="24"/>
          <w:szCs w:val="24"/>
        </w:rPr>
        <w:t xml:space="preserve">Timescales </w:t>
      </w:r>
    </w:p>
    <w:p w14:paraId="66D34D4F"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401"/>
        <w:gridCol w:w="4401"/>
      </w:tblGrid>
      <w:tr w:rsidR="004F7ACB" w:rsidRPr="004F7ACB" w14:paraId="64A743AD" w14:textId="77777777" w:rsidTr="007315A9">
        <w:trPr>
          <w:trHeight w:val="112"/>
        </w:trPr>
        <w:tc>
          <w:tcPr>
            <w:tcW w:w="4401" w:type="dxa"/>
          </w:tcPr>
          <w:p w14:paraId="5349C5A3"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 xml:space="preserve">Set out below is the proposed procurement timetable, as well as that proposed for the study itself. This is intended as a guide and, whilst the Council does not intend to depart from the timetable, it reserves the right to do so at any time. </w:t>
            </w:r>
          </w:p>
          <w:p w14:paraId="502FD44F"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p>
          <w:p w14:paraId="55F0A939" w14:textId="77777777" w:rsidR="004F7ACB" w:rsidRPr="004F7ACB" w:rsidRDefault="004F7ACB" w:rsidP="004F7ACB">
            <w:pPr>
              <w:autoSpaceDE w:val="0"/>
              <w:autoSpaceDN w:val="0"/>
              <w:adjustRightInd w:val="0"/>
              <w:spacing w:after="0" w:line="240" w:lineRule="auto"/>
              <w:rPr>
                <w:rFonts w:ascii="Arial" w:hAnsi="Arial" w:cs="Arial"/>
                <w:b/>
                <w:bCs/>
                <w:iCs/>
                <w:sz w:val="24"/>
                <w:szCs w:val="24"/>
              </w:rPr>
            </w:pPr>
            <w:r w:rsidRPr="004F7ACB">
              <w:rPr>
                <w:rFonts w:ascii="Arial" w:hAnsi="Arial" w:cs="Arial"/>
                <w:b/>
                <w:bCs/>
                <w:iCs/>
                <w:sz w:val="24"/>
                <w:szCs w:val="24"/>
              </w:rPr>
              <w:t xml:space="preserve">Event </w:t>
            </w:r>
          </w:p>
          <w:p w14:paraId="0C98D756"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p>
        </w:tc>
        <w:tc>
          <w:tcPr>
            <w:tcW w:w="4401" w:type="dxa"/>
          </w:tcPr>
          <w:p w14:paraId="5E89B9BC"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r w:rsidRPr="004F7ACB">
              <w:rPr>
                <w:rFonts w:ascii="Arial" w:hAnsi="Arial" w:cs="Arial"/>
                <w:b/>
                <w:bCs/>
                <w:iCs/>
                <w:sz w:val="24"/>
                <w:szCs w:val="24"/>
              </w:rPr>
              <w:t xml:space="preserve">Completed by </w:t>
            </w:r>
          </w:p>
        </w:tc>
      </w:tr>
      <w:tr w:rsidR="004F7ACB" w:rsidRPr="004F7ACB" w14:paraId="4D797279" w14:textId="77777777" w:rsidTr="007315A9">
        <w:trPr>
          <w:trHeight w:val="112"/>
        </w:trPr>
        <w:tc>
          <w:tcPr>
            <w:tcW w:w="4401" w:type="dxa"/>
          </w:tcPr>
          <w:p w14:paraId="7FDC30A4"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 xml:space="preserve">Issue of brief for tenders </w:t>
            </w:r>
          </w:p>
        </w:tc>
        <w:tc>
          <w:tcPr>
            <w:tcW w:w="4401" w:type="dxa"/>
          </w:tcPr>
          <w:p w14:paraId="3D42F9E4" w14:textId="07D8DAEE" w:rsidR="004F7ACB" w:rsidRPr="004F7ACB" w:rsidRDefault="00270E48" w:rsidP="004F7ACB">
            <w:pPr>
              <w:autoSpaceDE w:val="0"/>
              <w:autoSpaceDN w:val="0"/>
              <w:adjustRightInd w:val="0"/>
              <w:spacing w:after="0" w:line="240" w:lineRule="auto"/>
              <w:rPr>
                <w:rFonts w:ascii="Arial" w:hAnsi="Arial" w:cs="Arial"/>
                <w:bCs/>
                <w:iCs/>
                <w:sz w:val="24"/>
                <w:szCs w:val="24"/>
              </w:rPr>
            </w:pPr>
            <w:r>
              <w:rPr>
                <w:rFonts w:ascii="Arial" w:hAnsi="Arial" w:cs="Arial"/>
                <w:bCs/>
                <w:iCs/>
                <w:sz w:val="24"/>
                <w:szCs w:val="24"/>
              </w:rPr>
              <w:t>24</w:t>
            </w:r>
            <w:r w:rsidRPr="00270E48">
              <w:rPr>
                <w:rFonts w:ascii="Arial" w:hAnsi="Arial" w:cs="Arial"/>
                <w:bCs/>
                <w:iCs/>
                <w:sz w:val="24"/>
                <w:szCs w:val="24"/>
                <w:vertAlign w:val="superscript"/>
              </w:rPr>
              <w:t>th</w:t>
            </w:r>
            <w:r>
              <w:rPr>
                <w:rFonts w:ascii="Arial" w:hAnsi="Arial" w:cs="Arial"/>
                <w:bCs/>
                <w:iCs/>
                <w:sz w:val="24"/>
                <w:szCs w:val="24"/>
              </w:rPr>
              <w:t xml:space="preserve"> September</w:t>
            </w:r>
            <w:r w:rsidR="004F7ACB" w:rsidRPr="004F7ACB">
              <w:rPr>
                <w:rFonts w:ascii="Arial" w:hAnsi="Arial" w:cs="Arial"/>
                <w:bCs/>
                <w:iCs/>
                <w:sz w:val="24"/>
                <w:szCs w:val="24"/>
              </w:rPr>
              <w:t xml:space="preserve"> 20</w:t>
            </w:r>
            <w:r w:rsidR="00B231E7">
              <w:rPr>
                <w:rFonts w:ascii="Arial" w:hAnsi="Arial" w:cs="Arial"/>
                <w:bCs/>
                <w:iCs/>
                <w:sz w:val="24"/>
                <w:szCs w:val="24"/>
              </w:rPr>
              <w:t>21</w:t>
            </w:r>
            <w:r w:rsidR="004F7ACB" w:rsidRPr="004F7ACB">
              <w:rPr>
                <w:rFonts w:ascii="Arial" w:hAnsi="Arial" w:cs="Arial"/>
                <w:bCs/>
                <w:iCs/>
                <w:sz w:val="24"/>
                <w:szCs w:val="24"/>
              </w:rPr>
              <w:t xml:space="preserve"> </w:t>
            </w:r>
          </w:p>
        </w:tc>
      </w:tr>
      <w:tr w:rsidR="004F7ACB" w:rsidRPr="004F7ACB" w14:paraId="4199CB1E" w14:textId="77777777" w:rsidTr="007315A9">
        <w:trPr>
          <w:trHeight w:val="112"/>
        </w:trPr>
        <w:tc>
          <w:tcPr>
            <w:tcW w:w="4401" w:type="dxa"/>
          </w:tcPr>
          <w:p w14:paraId="5703ACE1"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 xml:space="preserve">Closing date for tenders </w:t>
            </w:r>
          </w:p>
        </w:tc>
        <w:tc>
          <w:tcPr>
            <w:tcW w:w="4401" w:type="dxa"/>
          </w:tcPr>
          <w:p w14:paraId="430C154C" w14:textId="7741D7C5" w:rsidR="004F7ACB" w:rsidRPr="004F7ACB" w:rsidRDefault="00E827A3" w:rsidP="004F7ACB">
            <w:pPr>
              <w:autoSpaceDE w:val="0"/>
              <w:autoSpaceDN w:val="0"/>
              <w:adjustRightInd w:val="0"/>
              <w:spacing w:after="0" w:line="240" w:lineRule="auto"/>
              <w:rPr>
                <w:rFonts w:ascii="Arial" w:hAnsi="Arial" w:cs="Arial"/>
                <w:bCs/>
                <w:iCs/>
                <w:sz w:val="24"/>
                <w:szCs w:val="24"/>
              </w:rPr>
            </w:pPr>
            <w:r>
              <w:rPr>
                <w:rFonts w:ascii="Arial" w:hAnsi="Arial" w:cs="Arial"/>
                <w:bCs/>
                <w:iCs/>
                <w:sz w:val="24"/>
                <w:szCs w:val="24"/>
              </w:rPr>
              <w:t>22</w:t>
            </w:r>
            <w:r w:rsidRPr="00E827A3">
              <w:rPr>
                <w:rFonts w:ascii="Arial" w:hAnsi="Arial" w:cs="Arial"/>
                <w:bCs/>
                <w:iCs/>
                <w:sz w:val="24"/>
                <w:szCs w:val="24"/>
                <w:vertAlign w:val="superscript"/>
              </w:rPr>
              <w:t>nd</w:t>
            </w:r>
            <w:r>
              <w:rPr>
                <w:rFonts w:ascii="Arial" w:hAnsi="Arial" w:cs="Arial"/>
                <w:bCs/>
                <w:iCs/>
                <w:sz w:val="24"/>
                <w:szCs w:val="24"/>
              </w:rPr>
              <w:t xml:space="preserve"> October </w:t>
            </w:r>
            <w:r w:rsidR="004F7ACB" w:rsidRPr="004F7ACB">
              <w:rPr>
                <w:rFonts w:ascii="Arial" w:hAnsi="Arial" w:cs="Arial"/>
                <w:bCs/>
                <w:iCs/>
                <w:sz w:val="24"/>
                <w:szCs w:val="24"/>
              </w:rPr>
              <w:t>20</w:t>
            </w:r>
            <w:r w:rsidR="00B231E7">
              <w:rPr>
                <w:rFonts w:ascii="Arial" w:hAnsi="Arial" w:cs="Arial"/>
                <w:bCs/>
                <w:iCs/>
                <w:sz w:val="24"/>
                <w:szCs w:val="24"/>
              </w:rPr>
              <w:t>21</w:t>
            </w:r>
            <w:r w:rsidR="004F7ACB" w:rsidRPr="004F7ACB">
              <w:rPr>
                <w:rFonts w:ascii="Arial" w:hAnsi="Arial" w:cs="Arial"/>
                <w:bCs/>
                <w:iCs/>
                <w:sz w:val="24"/>
                <w:szCs w:val="24"/>
              </w:rPr>
              <w:t xml:space="preserve"> </w:t>
            </w:r>
            <w:r w:rsidR="007C15CB">
              <w:rPr>
                <w:rFonts w:ascii="Arial" w:hAnsi="Arial" w:cs="Arial"/>
                <w:bCs/>
                <w:iCs/>
                <w:sz w:val="24"/>
                <w:szCs w:val="24"/>
              </w:rPr>
              <w:t>4</w:t>
            </w:r>
            <w:r w:rsidR="004F7ACB" w:rsidRPr="004F7ACB">
              <w:rPr>
                <w:rFonts w:ascii="Arial" w:hAnsi="Arial" w:cs="Arial"/>
                <w:bCs/>
                <w:iCs/>
                <w:sz w:val="24"/>
                <w:szCs w:val="24"/>
              </w:rPr>
              <w:t xml:space="preserve">pm </w:t>
            </w:r>
          </w:p>
        </w:tc>
      </w:tr>
      <w:tr w:rsidR="004F7ACB" w:rsidRPr="004F7ACB" w14:paraId="3DD89788" w14:textId="77777777" w:rsidTr="007315A9">
        <w:trPr>
          <w:trHeight w:val="250"/>
        </w:trPr>
        <w:tc>
          <w:tcPr>
            <w:tcW w:w="4401" w:type="dxa"/>
          </w:tcPr>
          <w:p w14:paraId="441214D1" w14:textId="06F59131" w:rsidR="004F7ACB" w:rsidRPr="004F7ACB" w:rsidRDefault="004F7ACB" w:rsidP="004F7ACB">
            <w:p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 xml:space="preserve">Clarification interviews – presentations and questions to be assessed as part of overall evaluation </w:t>
            </w:r>
            <w:r w:rsidR="00C14E2B">
              <w:rPr>
                <w:rFonts w:ascii="Arial" w:hAnsi="Arial" w:cs="Arial"/>
                <w:bCs/>
                <w:iCs/>
                <w:sz w:val="24"/>
                <w:szCs w:val="24"/>
              </w:rPr>
              <w:t>(if necessary)</w:t>
            </w:r>
          </w:p>
        </w:tc>
        <w:tc>
          <w:tcPr>
            <w:tcW w:w="4401" w:type="dxa"/>
          </w:tcPr>
          <w:p w14:paraId="04B56461" w14:textId="777A27BA" w:rsidR="004F7ACB" w:rsidRPr="004F7ACB" w:rsidRDefault="006B05BE" w:rsidP="004F7ACB">
            <w:pPr>
              <w:autoSpaceDE w:val="0"/>
              <w:autoSpaceDN w:val="0"/>
              <w:adjustRightInd w:val="0"/>
              <w:spacing w:after="0" w:line="240" w:lineRule="auto"/>
              <w:rPr>
                <w:rFonts w:ascii="Arial" w:hAnsi="Arial" w:cs="Arial"/>
                <w:bCs/>
                <w:iCs/>
                <w:sz w:val="24"/>
                <w:szCs w:val="24"/>
              </w:rPr>
            </w:pPr>
            <w:r>
              <w:rPr>
                <w:rFonts w:ascii="Arial" w:hAnsi="Arial" w:cs="Arial"/>
                <w:bCs/>
                <w:iCs/>
                <w:sz w:val="24"/>
                <w:szCs w:val="24"/>
              </w:rPr>
              <w:t xml:space="preserve">w/b </w:t>
            </w:r>
            <w:r w:rsidR="00984AF3">
              <w:rPr>
                <w:rFonts w:ascii="Arial" w:hAnsi="Arial" w:cs="Arial"/>
                <w:bCs/>
                <w:iCs/>
                <w:sz w:val="24"/>
                <w:szCs w:val="24"/>
              </w:rPr>
              <w:t>1</w:t>
            </w:r>
            <w:r w:rsidR="00984AF3" w:rsidRPr="00984AF3">
              <w:rPr>
                <w:rFonts w:ascii="Arial" w:hAnsi="Arial" w:cs="Arial"/>
                <w:bCs/>
                <w:iCs/>
                <w:sz w:val="24"/>
                <w:szCs w:val="24"/>
                <w:vertAlign w:val="superscript"/>
              </w:rPr>
              <w:t>st</w:t>
            </w:r>
            <w:r w:rsidR="00984AF3">
              <w:rPr>
                <w:rFonts w:ascii="Arial" w:hAnsi="Arial" w:cs="Arial"/>
                <w:bCs/>
                <w:iCs/>
                <w:sz w:val="24"/>
                <w:szCs w:val="24"/>
              </w:rPr>
              <w:t xml:space="preserve"> November</w:t>
            </w:r>
            <w:r w:rsidR="004F7ACB" w:rsidRPr="004F7ACB">
              <w:rPr>
                <w:rFonts w:ascii="Arial" w:hAnsi="Arial" w:cs="Arial"/>
                <w:bCs/>
                <w:iCs/>
                <w:sz w:val="24"/>
                <w:szCs w:val="24"/>
              </w:rPr>
              <w:t>20</w:t>
            </w:r>
            <w:r w:rsidR="00B231E7">
              <w:rPr>
                <w:rFonts w:ascii="Arial" w:hAnsi="Arial" w:cs="Arial"/>
                <w:bCs/>
                <w:iCs/>
                <w:sz w:val="24"/>
                <w:szCs w:val="24"/>
              </w:rPr>
              <w:t>21</w:t>
            </w:r>
            <w:r w:rsidR="004F7ACB" w:rsidRPr="004F7ACB">
              <w:rPr>
                <w:rFonts w:ascii="Arial" w:hAnsi="Arial" w:cs="Arial"/>
                <w:bCs/>
                <w:iCs/>
                <w:sz w:val="24"/>
                <w:szCs w:val="24"/>
              </w:rPr>
              <w:t xml:space="preserve"> </w:t>
            </w:r>
          </w:p>
        </w:tc>
      </w:tr>
      <w:tr w:rsidR="004F7ACB" w:rsidRPr="004F7ACB" w14:paraId="436C89A0" w14:textId="77777777" w:rsidTr="007315A9">
        <w:trPr>
          <w:trHeight w:val="112"/>
        </w:trPr>
        <w:tc>
          <w:tcPr>
            <w:tcW w:w="4401" w:type="dxa"/>
          </w:tcPr>
          <w:p w14:paraId="393A2262"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 xml:space="preserve">Evaluation and decision on preferred tender </w:t>
            </w:r>
          </w:p>
        </w:tc>
        <w:tc>
          <w:tcPr>
            <w:tcW w:w="4401" w:type="dxa"/>
          </w:tcPr>
          <w:p w14:paraId="0645EB9D" w14:textId="15FC58C5" w:rsidR="004F7ACB" w:rsidRPr="004F7ACB" w:rsidRDefault="00984AF3" w:rsidP="004F7ACB">
            <w:pPr>
              <w:autoSpaceDE w:val="0"/>
              <w:autoSpaceDN w:val="0"/>
              <w:adjustRightInd w:val="0"/>
              <w:spacing w:after="0" w:line="240" w:lineRule="auto"/>
              <w:rPr>
                <w:rFonts w:ascii="Arial" w:hAnsi="Arial" w:cs="Arial"/>
                <w:bCs/>
                <w:iCs/>
                <w:sz w:val="24"/>
                <w:szCs w:val="24"/>
              </w:rPr>
            </w:pPr>
            <w:r>
              <w:rPr>
                <w:rFonts w:ascii="Arial" w:hAnsi="Arial" w:cs="Arial"/>
                <w:bCs/>
                <w:iCs/>
                <w:sz w:val="24"/>
                <w:szCs w:val="24"/>
              </w:rPr>
              <w:t>w/b 8</w:t>
            </w:r>
            <w:r w:rsidRPr="00984AF3">
              <w:rPr>
                <w:rFonts w:ascii="Arial" w:hAnsi="Arial" w:cs="Arial"/>
                <w:bCs/>
                <w:iCs/>
                <w:sz w:val="24"/>
                <w:szCs w:val="24"/>
                <w:vertAlign w:val="superscript"/>
              </w:rPr>
              <w:t>th</w:t>
            </w:r>
            <w:r>
              <w:rPr>
                <w:rFonts w:ascii="Arial" w:hAnsi="Arial" w:cs="Arial"/>
                <w:bCs/>
                <w:iCs/>
                <w:sz w:val="24"/>
                <w:szCs w:val="24"/>
              </w:rPr>
              <w:t xml:space="preserve"> November</w:t>
            </w:r>
            <w:r w:rsidR="004F7ACB" w:rsidRPr="004F7ACB">
              <w:rPr>
                <w:rFonts w:ascii="Arial" w:hAnsi="Arial" w:cs="Arial"/>
                <w:bCs/>
                <w:iCs/>
                <w:sz w:val="24"/>
                <w:szCs w:val="24"/>
              </w:rPr>
              <w:t>20</w:t>
            </w:r>
            <w:r w:rsidR="00B231E7">
              <w:rPr>
                <w:rFonts w:ascii="Arial" w:hAnsi="Arial" w:cs="Arial"/>
                <w:bCs/>
                <w:iCs/>
                <w:sz w:val="24"/>
                <w:szCs w:val="24"/>
              </w:rPr>
              <w:t>21</w:t>
            </w:r>
          </w:p>
        </w:tc>
      </w:tr>
      <w:tr w:rsidR="004F7ACB" w:rsidRPr="004F7ACB" w14:paraId="6F01282B" w14:textId="77777777" w:rsidTr="007315A9">
        <w:trPr>
          <w:trHeight w:val="112"/>
        </w:trPr>
        <w:tc>
          <w:tcPr>
            <w:tcW w:w="4401" w:type="dxa"/>
          </w:tcPr>
          <w:p w14:paraId="35E8A3AE"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 xml:space="preserve">Award of contract </w:t>
            </w:r>
          </w:p>
        </w:tc>
        <w:tc>
          <w:tcPr>
            <w:tcW w:w="4401" w:type="dxa"/>
          </w:tcPr>
          <w:p w14:paraId="38DC1AE9" w14:textId="19A46ACD" w:rsidR="004F7ACB" w:rsidRPr="004F7ACB" w:rsidRDefault="00DB28A9" w:rsidP="004F7ACB">
            <w:pPr>
              <w:autoSpaceDE w:val="0"/>
              <w:autoSpaceDN w:val="0"/>
              <w:adjustRightInd w:val="0"/>
              <w:spacing w:after="0" w:line="240" w:lineRule="auto"/>
              <w:rPr>
                <w:rFonts w:ascii="Arial" w:hAnsi="Arial" w:cs="Arial"/>
                <w:bCs/>
                <w:iCs/>
                <w:sz w:val="24"/>
                <w:szCs w:val="24"/>
              </w:rPr>
            </w:pPr>
            <w:r>
              <w:rPr>
                <w:rFonts w:ascii="Arial" w:hAnsi="Arial" w:cs="Arial"/>
                <w:bCs/>
                <w:iCs/>
                <w:sz w:val="24"/>
                <w:szCs w:val="24"/>
              </w:rPr>
              <w:t>w/b 22</w:t>
            </w:r>
            <w:r w:rsidRPr="00DB28A9">
              <w:rPr>
                <w:rFonts w:ascii="Arial" w:hAnsi="Arial" w:cs="Arial"/>
                <w:bCs/>
                <w:iCs/>
                <w:sz w:val="24"/>
                <w:szCs w:val="24"/>
                <w:vertAlign w:val="superscript"/>
              </w:rPr>
              <w:t>nd</w:t>
            </w:r>
            <w:r>
              <w:rPr>
                <w:rFonts w:ascii="Arial" w:hAnsi="Arial" w:cs="Arial"/>
                <w:bCs/>
                <w:iCs/>
                <w:sz w:val="24"/>
                <w:szCs w:val="24"/>
              </w:rPr>
              <w:t xml:space="preserve"> November</w:t>
            </w:r>
            <w:r w:rsidR="004F7ACB" w:rsidRPr="004F7ACB">
              <w:rPr>
                <w:rFonts w:ascii="Arial" w:hAnsi="Arial" w:cs="Arial"/>
                <w:bCs/>
                <w:iCs/>
                <w:sz w:val="24"/>
                <w:szCs w:val="24"/>
              </w:rPr>
              <w:t xml:space="preserve"> 20</w:t>
            </w:r>
            <w:r w:rsidR="00B231E7">
              <w:rPr>
                <w:rFonts w:ascii="Arial" w:hAnsi="Arial" w:cs="Arial"/>
                <w:bCs/>
                <w:iCs/>
                <w:sz w:val="24"/>
                <w:szCs w:val="24"/>
              </w:rPr>
              <w:t>21</w:t>
            </w:r>
          </w:p>
        </w:tc>
      </w:tr>
      <w:tr w:rsidR="004F7ACB" w:rsidRPr="004F7ACB" w14:paraId="360B352A" w14:textId="77777777" w:rsidTr="007315A9">
        <w:trPr>
          <w:trHeight w:val="250"/>
        </w:trPr>
        <w:tc>
          <w:tcPr>
            <w:tcW w:w="4401" w:type="dxa"/>
          </w:tcPr>
          <w:p w14:paraId="1A6EFD6C"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 xml:space="preserve">Project working group inception meeting </w:t>
            </w:r>
          </w:p>
        </w:tc>
        <w:tc>
          <w:tcPr>
            <w:tcW w:w="4401" w:type="dxa"/>
          </w:tcPr>
          <w:p w14:paraId="2EFCDF31" w14:textId="231C99B9" w:rsidR="004F7ACB" w:rsidRPr="004F7ACB" w:rsidRDefault="00DB28A9" w:rsidP="004F7ACB">
            <w:pPr>
              <w:autoSpaceDE w:val="0"/>
              <w:autoSpaceDN w:val="0"/>
              <w:adjustRightInd w:val="0"/>
              <w:spacing w:after="0" w:line="240" w:lineRule="auto"/>
              <w:rPr>
                <w:rFonts w:ascii="Arial" w:hAnsi="Arial" w:cs="Arial"/>
                <w:bCs/>
                <w:iCs/>
                <w:sz w:val="24"/>
                <w:szCs w:val="24"/>
              </w:rPr>
            </w:pPr>
            <w:r>
              <w:rPr>
                <w:rFonts w:ascii="Arial" w:hAnsi="Arial" w:cs="Arial"/>
                <w:bCs/>
                <w:iCs/>
                <w:sz w:val="24"/>
                <w:szCs w:val="24"/>
              </w:rPr>
              <w:t xml:space="preserve">w/b </w:t>
            </w:r>
            <w:r w:rsidR="008617B4">
              <w:rPr>
                <w:rFonts w:ascii="Arial" w:hAnsi="Arial" w:cs="Arial"/>
                <w:bCs/>
                <w:iCs/>
                <w:sz w:val="24"/>
                <w:szCs w:val="24"/>
              </w:rPr>
              <w:t>29</w:t>
            </w:r>
            <w:r w:rsidR="008617B4" w:rsidRPr="008617B4">
              <w:rPr>
                <w:rFonts w:ascii="Arial" w:hAnsi="Arial" w:cs="Arial"/>
                <w:bCs/>
                <w:iCs/>
                <w:sz w:val="24"/>
                <w:szCs w:val="24"/>
                <w:vertAlign w:val="superscript"/>
              </w:rPr>
              <w:t>th</w:t>
            </w:r>
            <w:r w:rsidR="008617B4">
              <w:rPr>
                <w:rFonts w:ascii="Arial" w:hAnsi="Arial" w:cs="Arial"/>
                <w:bCs/>
                <w:iCs/>
                <w:sz w:val="24"/>
                <w:szCs w:val="24"/>
              </w:rPr>
              <w:t xml:space="preserve"> November</w:t>
            </w:r>
            <w:r w:rsidR="004F7ACB" w:rsidRPr="004F7ACB">
              <w:rPr>
                <w:rFonts w:ascii="Arial" w:hAnsi="Arial" w:cs="Arial"/>
                <w:bCs/>
                <w:iCs/>
                <w:sz w:val="24"/>
                <w:szCs w:val="24"/>
              </w:rPr>
              <w:t xml:space="preserve"> 20</w:t>
            </w:r>
            <w:r w:rsidR="00B231E7">
              <w:rPr>
                <w:rFonts w:ascii="Arial" w:hAnsi="Arial" w:cs="Arial"/>
                <w:bCs/>
                <w:iCs/>
                <w:sz w:val="24"/>
                <w:szCs w:val="24"/>
              </w:rPr>
              <w:t>21</w:t>
            </w:r>
            <w:r w:rsidR="004F7ACB" w:rsidRPr="004F7ACB">
              <w:rPr>
                <w:rFonts w:ascii="Arial" w:hAnsi="Arial" w:cs="Arial"/>
                <w:bCs/>
                <w:iCs/>
                <w:sz w:val="24"/>
                <w:szCs w:val="24"/>
              </w:rPr>
              <w:t xml:space="preserve"> </w:t>
            </w:r>
          </w:p>
        </w:tc>
      </w:tr>
      <w:tr w:rsidR="004F7ACB" w:rsidRPr="004F7ACB" w14:paraId="06A7F52F" w14:textId="77777777" w:rsidTr="007315A9">
        <w:trPr>
          <w:trHeight w:val="250"/>
        </w:trPr>
        <w:tc>
          <w:tcPr>
            <w:tcW w:w="4401" w:type="dxa"/>
          </w:tcPr>
          <w:p w14:paraId="41B0862A" w14:textId="643C25EC" w:rsidR="004F7ACB" w:rsidRDefault="00B231E7" w:rsidP="004F7ACB">
            <w:pPr>
              <w:autoSpaceDE w:val="0"/>
              <w:autoSpaceDN w:val="0"/>
              <w:adjustRightInd w:val="0"/>
              <w:spacing w:after="0" w:line="240" w:lineRule="auto"/>
              <w:rPr>
                <w:rFonts w:ascii="Arial" w:hAnsi="Arial" w:cs="Arial"/>
                <w:bCs/>
                <w:iCs/>
                <w:sz w:val="24"/>
                <w:szCs w:val="24"/>
              </w:rPr>
            </w:pPr>
            <w:r>
              <w:rPr>
                <w:rFonts w:ascii="Arial" w:hAnsi="Arial" w:cs="Arial"/>
                <w:bCs/>
                <w:iCs/>
                <w:sz w:val="24"/>
                <w:szCs w:val="24"/>
              </w:rPr>
              <w:t>Quantitative assessment stage</w:t>
            </w:r>
          </w:p>
          <w:p w14:paraId="67036858" w14:textId="2EE8E40D" w:rsidR="00B231E7" w:rsidRPr="004F7ACB" w:rsidRDefault="00B231E7" w:rsidP="004F7ACB">
            <w:pPr>
              <w:autoSpaceDE w:val="0"/>
              <w:autoSpaceDN w:val="0"/>
              <w:adjustRightInd w:val="0"/>
              <w:spacing w:after="0" w:line="240" w:lineRule="auto"/>
              <w:rPr>
                <w:rFonts w:ascii="Arial" w:hAnsi="Arial" w:cs="Arial"/>
                <w:bCs/>
                <w:iCs/>
                <w:sz w:val="24"/>
                <w:szCs w:val="24"/>
              </w:rPr>
            </w:pPr>
            <w:r>
              <w:rPr>
                <w:rFonts w:ascii="Arial" w:hAnsi="Arial" w:cs="Arial"/>
                <w:bCs/>
                <w:iCs/>
                <w:sz w:val="24"/>
                <w:szCs w:val="24"/>
              </w:rPr>
              <w:t>Review of trends stage</w:t>
            </w:r>
          </w:p>
        </w:tc>
        <w:tc>
          <w:tcPr>
            <w:tcW w:w="4401" w:type="dxa"/>
          </w:tcPr>
          <w:p w14:paraId="08C6DAE1" w14:textId="53CD9767" w:rsidR="004F7ACB" w:rsidRPr="004F7ACB" w:rsidRDefault="008445D4" w:rsidP="004F7ACB">
            <w:pPr>
              <w:autoSpaceDE w:val="0"/>
              <w:autoSpaceDN w:val="0"/>
              <w:adjustRightInd w:val="0"/>
              <w:spacing w:after="0" w:line="240" w:lineRule="auto"/>
              <w:rPr>
                <w:rFonts w:ascii="Arial" w:hAnsi="Arial" w:cs="Arial"/>
                <w:bCs/>
                <w:iCs/>
                <w:sz w:val="24"/>
                <w:szCs w:val="24"/>
              </w:rPr>
            </w:pPr>
            <w:r>
              <w:rPr>
                <w:rFonts w:ascii="Arial" w:hAnsi="Arial" w:cs="Arial"/>
                <w:bCs/>
                <w:iCs/>
                <w:sz w:val="24"/>
                <w:szCs w:val="24"/>
              </w:rPr>
              <w:t>6</w:t>
            </w:r>
            <w:r w:rsidRPr="008445D4">
              <w:rPr>
                <w:rFonts w:ascii="Arial" w:hAnsi="Arial" w:cs="Arial"/>
                <w:bCs/>
                <w:iCs/>
                <w:sz w:val="24"/>
                <w:szCs w:val="24"/>
                <w:vertAlign w:val="superscript"/>
              </w:rPr>
              <w:t>th</w:t>
            </w:r>
            <w:r>
              <w:rPr>
                <w:rFonts w:ascii="Arial" w:hAnsi="Arial" w:cs="Arial"/>
                <w:bCs/>
                <w:iCs/>
                <w:sz w:val="24"/>
                <w:szCs w:val="24"/>
              </w:rPr>
              <w:t xml:space="preserve"> December </w:t>
            </w:r>
            <w:r w:rsidR="004F7ACB" w:rsidRPr="004F7ACB">
              <w:rPr>
                <w:rFonts w:ascii="Arial" w:hAnsi="Arial" w:cs="Arial"/>
                <w:bCs/>
                <w:iCs/>
                <w:sz w:val="24"/>
                <w:szCs w:val="24"/>
              </w:rPr>
              <w:t>20</w:t>
            </w:r>
            <w:r w:rsidR="00B231E7">
              <w:rPr>
                <w:rFonts w:ascii="Arial" w:hAnsi="Arial" w:cs="Arial"/>
                <w:bCs/>
                <w:iCs/>
                <w:sz w:val="24"/>
                <w:szCs w:val="24"/>
              </w:rPr>
              <w:t>21</w:t>
            </w:r>
            <w:r>
              <w:rPr>
                <w:rFonts w:ascii="Arial" w:hAnsi="Arial" w:cs="Arial"/>
                <w:bCs/>
                <w:iCs/>
                <w:sz w:val="24"/>
                <w:szCs w:val="24"/>
              </w:rPr>
              <w:t>-</w:t>
            </w:r>
            <w:r w:rsidR="00317DF7">
              <w:rPr>
                <w:rFonts w:ascii="Arial" w:hAnsi="Arial" w:cs="Arial"/>
                <w:bCs/>
                <w:iCs/>
                <w:sz w:val="24"/>
                <w:szCs w:val="24"/>
              </w:rPr>
              <w:t>28</w:t>
            </w:r>
            <w:r w:rsidR="00317DF7" w:rsidRPr="00317DF7">
              <w:rPr>
                <w:rFonts w:ascii="Arial" w:hAnsi="Arial" w:cs="Arial"/>
                <w:bCs/>
                <w:iCs/>
                <w:sz w:val="24"/>
                <w:szCs w:val="24"/>
                <w:vertAlign w:val="superscript"/>
              </w:rPr>
              <w:t>th</w:t>
            </w:r>
            <w:r w:rsidR="00317DF7">
              <w:rPr>
                <w:rFonts w:ascii="Arial" w:hAnsi="Arial" w:cs="Arial"/>
                <w:bCs/>
                <w:iCs/>
                <w:sz w:val="24"/>
                <w:szCs w:val="24"/>
              </w:rPr>
              <w:t xml:space="preserve"> January 2022</w:t>
            </w:r>
          </w:p>
          <w:p w14:paraId="4FC79439" w14:textId="4032C2B4" w:rsidR="004F7ACB" w:rsidRPr="004F7ACB" w:rsidRDefault="00293881" w:rsidP="004F7ACB">
            <w:pPr>
              <w:autoSpaceDE w:val="0"/>
              <w:autoSpaceDN w:val="0"/>
              <w:adjustRightInd w:val="0"/>
              <w:spacing w:after="0" w:line="240" w:lineRule="auto"/>
              <w:rPr>
                <w:rFonts w:ascii="Arial" w:hAnsi="Arial" w:cs="Arial"/>
                <w:bCs/>
                <w:iCs/>
                <w:sz w:val="24"/>
                <w:szCs w:val="24"/>
              </w:rPr>
            </w:pPr>
            <w:r>
              <w:rPr>
                <w:rFonts w:ascii="Arial" w:hAnsi="Arial" w:cs="Arial"/>
                <w:bCs/>
                <w:iCs/>
                <w:sz w:val="24"/>
                <w:szCs w:val="24"/>
              </w:rPr>
              <w:t>1</w:t>
            </w:r>
            <w:r w:rsidRPr="00293881">
              <w:rPr>
                <w:rFonts w:ascii="Arial" w:hAnsi="Arial" w:cs="Arial"/>
                <w:bCs/>
                <w:iCs/>
                <w:sz w:val="24"/>
                <w:szCs w:val="24"/>
                <w:vertAlign w:val="superscript"/>
              </w:rPr>
              <w:t>st</w:t>
            </w:r>
            <w:r>
              <w:rPr>
                <w:rFonts w:ascii="Arial" w:hAnsi="Arial" w:cs="Arial"/>
                <w:bCs/>
                <w:iCs/>
                <w:sz w:val="24"/>
                <w:szCs w:val="24"/>
              </w:rPr>
              <w:t xml:space="preserve"> February 2022 – 1</w:t>
            </w:r>
            <w:r w:rsidRPr="00293881">
              <w:rPr>
                <w:rFonts w:ascii="Arial" w:hAnsi="Arial" w:cs="Arial"/>
                <w:bCs/>
                <w:iCs/>
                <w:sz w:val="24"/>
                <w:szCs w:val="24"/>
                <w:vertAlign w:val="superscript"/>
              </w:rPr>
              <w:t>st</w:t>
            </w:r>
            <w:r>
              <w:rPr>
                <w:rFonts w:ascii="Arial" w:hAnsi="Arial" w:cs="Arial"/>
                <w:bCs/>
                <w:iCs/>
                <w:sz w:val="24"/>
                <w:szCs w:val="24"/>
              </w:rPr>
              <w:t xml:space="preserve"> </w:t>
            </w:r>
            <w:r w:rsidR="00010B04">
              <w:rPr>
                <w:rFonts w:ascii="Arial" w:hAnsi="Arial" w:cs="Arial"/>
                <w:bCs/>
                <w:iCs/>
                <w:sz w:val="24"/>
                <w:szCs w:val="24"/>
              </w:rPr>
              <w:t>April 2022</w:t>
            </w:r>
          </w:p>
          <w:p w14:paraId="368E282C"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p>
        </w:tc>
      </w:tr>
    </w:tbl>
    <w:p w14:paraId="330F883A" w14:textId="2D203C4C" w:rsidR="004F7ACB" w:rsidRDefault="00CB2C67" w:rsidP="004F7ACB">
      <w:pPr>
        <w:autoSpaceDE w:val="0"/>
        <w:autoSpaceDN w:val="0"/>
        <w:adjustRightInd w:val="0"/>
        <w:spacing w:after="0" w:line="240" w:lineRule="auto"/>
        <w:rPr>
          <w:rFonts w:ascii="Arial" w:hAnsi="Arial" w:cs="Arial"/>
          <w:bCs/>
          <w:iCs/>
          <w:sz w:val="24"/>
          <w:szCs w:val="24"/>
        </w:rPr>
      </w:pPr>
      <w:r>
        <w:rPr>
          <w:rFonts w:ascii="Arial" w:hAnsi="Arial" w:cs="Arial"/>
          <w:bCs/>
          <w:iCs/>
          <w:sz w:val="24"/>
          <w:szCs w:val="24"/>
        </w:rPr>
        <w:t>Policy recommendations stage</w:t>
      </w:r>
      <w:r>
        <w:rPr>
          <w:rFonts w:ascii="Arial" w:hAnsi="Arial" w:cs="Arial"/>
          <w:bCs/>
          <w:iCs/>
          <w:sz w:val="24"/>
          <w:szCs w:val="24"/>
        </w:rPr>
        <w:tab/>
      </w:r>
      <w:r>
        <w:rPr>
          <w:rFonts w:ascii="Arial" w:hAnsi="Arial" w:cs="Arial"/>
          <w:bCs/>
          <w:iCs/>
          <w:sz w:val="24"/>
          <w:szCs w:val="24"/>
        </w:rPr>
        <w:tab/>
      </w:r>
      <w:r w:rsidR="00010B04">
        <w:rPr>
          <w:rFonts w:ascii="Arial" w:hAnsi="Arial" w:cs="Arial"/>
          <w:bCs/>
          <w:iCs/>
          <w:sz w:val="24"/>
          <w:szCs w:val="24"/>
        </w:rPr>
        <w:t>8</w:t>
      </w:r>
      <w:r w:rsidR="00010B04" w:rsidRPr="00010B04">
        <w:rPr>
          <w:rFonts w:ascii="Arial" w:hAnsi="Arial" w:cs="Arial"/>
          <w:bCs/>
          <w:iCs/>
          <w:sz w:val="24"/>
          <w:szCs w:val="24"/>
          <w:vertAlign w:val="superscript"/>
        </w:rPr>
        <w:t>th</w:t>
      </w:r>
      <w:r w:rsidR="00010B04">
        <w:rPr>
          <w:rFonts w:ascii="Arial" w:hAnsi="Arial" w:cs="Arial"/>
          <w:bCs/>
          <w:iCs/>
          <w:sz w:val="24"/>
          <w:szCs w:val="24"/>
        </w:rPr>
        <w:t xml:space="preserve"> April 2022 </w:t>
      </w:r>
      <w:r w:rsidR="0055747A">
        <w:rPr>
          <w:rFonts w:ascii="Arial" w:hAnsi="Arial" w:cs="Arial"/>
          <w:bCs/>
          <w:iCs/>
          <w:sz w:val="24"/>
          <w:szCs w:val="24"/>
        </w:rPr>
        <w:t>–</w:t>
      </w:r>
      <w:r w:rsidR="00010B04">
        <w:rPr>
          <w:rFonts w:ascii="Arial" w:hAnsi="Arial" w:cs="Arial"/>
          <w:bCs/>
          <w:iCs/>
          <w:sz w:val="24"/>
          <w:szCs w:val="24"/>
        </w:rPr>
        <w:t xml:space="preserve"> </w:t>
      </w:r>
      <w:r w:rsidR="0055747A">
        <w:rPr>
          <w:rFonts w:ascii="Arial" w:hAnsi="Arial" w:cs="Arial"/>
          <w:bCs/>
          <w:iCs/>
          <w:sz w:val="24"/>
          <w:szCs w:val="24"/>
        </w:rPr>
        <w:t>3</w:t>
      </w:r>
      <w:r w:rsidR="0055747A" w:rsidRPr="0055747A">
        <w:rPr>
          <w:rFonts w:ascii="Arial" w:hAnsi="Arial" w:cs="Arial"/>
          <w:bCs/>
          <w:iCs/>
          <w:sz w:val="24"/>
          <w:szCs w:val="24"/>
          <w:vertAlign w:val="superscript"/>
        </w:rPr>
        <w:t>rd</w:t>
      </w:r>
      <w:r w:rsidR="0055747A">
        <w:rPr>
          <w:rFonts w:ascii="Arial" w:hAnsi="Arial" w:cs="Arial"/>
          <w:bCs/>
          <w:iCs/>
          <w:sz w:val="24"/>
          <w:szCs w:val="24"/>
        </w:rPr>
        <w:t xml:space="preserve"> June </w:t>
      </w:r>
      <w:r>
        <w:rPr>
          <w:rFonts w:ascii="Arial" w:hAnsi="Arial" w:cs="Arial"/>
          <w:bCs/>
          <w:iCs/>
          <w:sz w:val="24"/>
          <w:szCs w:val="24"/>
        </w:rPr>
        <w:t>202</w:t>
      </w:r>
      <w:r w:rsidR="006570B4">
        <w:rPr>
          <w:rFonts w:ascii="Arial" w:hAnsi="Arial" w:cs="Arial"/>
          <w:bCs/>
          <w:iCs/>
          <w:sz w:val="24"/>
          <w:szCs w:val="24"/>
        </w:rPr>
        <w:t>2</w:t>
      </w:r>
    </w:p>
    <w:p w14:paraId="48B605B4" w14:textId="0A0598EB" w:rsidR="00491B0B" w:rsidRDefault="00491B0B" w:rsidP="004F7ACB">
      <w:pPr>
        <w:autoSpaceDE w:val="0"/>
        <w:autoSpaceDN w:val="0"/>
        <w:adjustRightInd w:val="0"/>
        <w:spacing w:after="0" w:line="240" w:lineRule="auto"/>
        <w:rPr>
          <w:rFonts w:ascii="Arial" w:hAnsi="Arial" w:cs="Arial"/>
          <w:bCs/>
          <w:iCs/>
          <w:sz w:val="24"/>
          <w:szCs w:val="24"/>
        </w:rPr>
      </w:pPr>
    </w:p>
    <w:p w14:paraId="13C830A3" w14:textId="725CE92D" w:rsidR="00491B0B" w:rsidRDefault="00491B0B" w:rsidP="004F7ACB">
      <w:pPr>
        <w:autoSpaceDE w:val="0"/>
        <w:autoSpaceDN w:val="0"/>
        <w:adjustRightInd w:val="0"/>
        <w:spacing w:after="0" w:line="240" w:lineRule="auto"/>
        <w:rPr>
          <w:rFonts w:ascii="Arial" w:hAnsi="Arial" w:cs="Arial"/>
          <w:bCs/>
          <w:iCs/>
          <w:sz w:val="24"/>
          <w:szCs w:val="24"/>
        </w:rPr>
      </w:pPr>
      <w:r>
        <w:rPr>
          <w:rFonts w:ascii="Arial" w:hAnsi="Arial" w:cs="Arial"/>
          <w:bCs/>
          <w:iCs/>
          <w:sz w:val="24"/>
          <w:szCs w:val="24"/>
        </w:rPr>
        <w:t>Submission of final report by:</w:t>
      </w:r>
      <w:r>
        <w:rPr>
          <w:rFonts w:ascii="Arial" w:hAnsi="Arial" w:cs="Arial"/>
          <w:bCs/>
          <w:iCs/>
          <w:sz w:val="24"/>
          <w:szCs w:val="24"/>
        </w:rPr>
        <w:tab/>
      </w:r>
      <w:r>
        <w:rPr>
          <w:rFonts w:ascii="Arial" w:hAnsi="Arial" w:cs="Arial"/>
          <w:bCs/>
          <w:iCs/>
          <w:sz w:val="24"/>
          <w:szCs w:val="24"/>
        </w:rPr>
        <w:tab/>
      </w:r>
      <w:r w:rsidR="00E51C22">
        <w:rPr>
          <w:rFonts w:ascii="Arial" w:hAnsi="Arial" w:cs="Arial"/>
          <w:bCs/>
          <w:iCs/>
          <w:sz w:val="24"/>
          <w:szCs w:val="24"/>
        </w:rPr>
        <w:t>1 June 2022</w:t>
      </w:r>
    </w:p>
    <w:p w14:paraId="716A5802" w14:textId="17BF3DE3" w:rsidR="00E51C22" w:rsidRDefault="00E51C22" w:rsidP="004F7ACB">
      <w:pPr>
        <w:autoSpaceDE w:val="0"/>
        <w:autoSpaceDN w:val="0"/>
        <w:adjustRightInd w:val="0"/>
        <w:spacing w:after="0" w:line="240" w:lineRule="auto"/>
        <w:rPr>
          <w:rFonts w:ascii="Arial" w:hAnsi="Arial" w:cs="Arial"/>
          <w:bCs/>
          <w:iCs/>
          <w:sz w:val="24"/>
          <w:szCs w:val="24"/>
        </w:rPr>
      </w:pPr>
    </w:p>
    <w:p w14:paraId="1EB5FC5E" w14:textId="77777777" w:rsidR="00E51C22" w:rsidRPr="004F7ACB" w:rsidRDefault="00E51C22" w:rsidP="004F7ACB">
      <w:pPr>
        <w:autoSpaceDE w:val="0"/>
        <w:autoSpaceDN w:val="0"/>
        <w:adjustRightInd w:val="0"/>
        <w:spacing w:after="0" w:line="240" w:lineRule="auto"/>
        <w:rPr>
          <w:rFonts w:ascii="Arial" w:hAnsi="Arial" w:cs="Arial"/>
          <w:bCs/>
          <w:iCs/>
          <w:sz w:val="24"/>
          <w:szCs w:val="24"/>
        </w:rPr>
      </w:pPr>
    </w:p>
    <w:p w14:paraId="75E9DFF3" w14:textId="064106AE" w:rsidR="004F7ACB" w:rsidRPr="004F7ACB" w:rsidRDefault="004F7ACB" w:rsidP="004F7ACB">
      <w:pPr>
        <w:autoSpaceDE w:val="0"/>
        <w:autoSpaceDN w:val="0"/>
        <w:adjustRightInd w:val="0"/>
        <w:spacing w:after="0" w:line="240" w:lineRule="auto"/>
        <w:rPr>
          <w:rFonts w:ascii="Arial" w:hAnsi="Arial" w:cs="Arial"/>
          <w:bCs/>
          <w:iCs/>
          <w:sz w:val="24"/>
          <w:szCs w:val="24"/>
        </w:rPr>
      </w:pPr>
    </w:p>
    <w:p w14:paraId="2841670A"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p>
    <w:p w14:paraId="701AA48D" w14:textId="77777777" w:rsidR="004F7ACB" w:rsidRPr="004F7ACB" w:rsidRDefault="004F7ACB" w:rsidP="004F7ACB">
      <w:pPr>
        <w:autoSpaceDE w:val="0"/>
        <w:autoSpaceDN w:val="0"/>
        <w:adjustRightInd w:val="0"/>
        <w:spacing w:after="0" w:line="240" w:lineRule="auto"/>
        <w:rPr>
          <w:rFonts w:ascii="Arial" w:hAnsi="Arial" w:cs="Arial"/>
          <w:b/>
          <w:bCs/>
          <w:iCs/>
          <w:sz w:val="24"/>
          <w:szCs w:val="24"/>
        </w:rPr>
      </w:pPr>
      <w:r w:rsidRPr="004F7ACB">
        <w:rPr>
          <w:rFonts w:ascii="Arial" w:hAnsi="Arial" w:cs="Arial"/>
          <w:b/>
          <w:bCs/>
          <w:iCs/>
          <w:sz w:val="24"/>
          <w:szCs w:val="24"/>
        </w:rPr>
        <w:lastRenderedPageBreak/>
        <w:t xml:space="preserve">3. Management arrangements </w:t>
      </w:r>
    </w:p>
    <w:p w14:paraId="49279EB9" w14:textId="77777777" w:rsidR="004F7ACB" w:rsidRPr="004F7ACB" w:rsidRDefault="004F7ACB" w:rsidP="004F7ACB">
      <w:pPr>
        <w:autoSpaceDE w:val="0"/>
        <w:autoSpaceDN w:val="0"/>
        <w:adjustRightInd w:val="0"/>
        <w:spacing w:after="0" w:line="240" w:lineRule="auto"/>
        <w:rPr>
          <w:rFonts w:ascii="Arial" w:hAnsi="Arial" w:cs="Arial"/>
          <w:b/>
          <w:bCs/>
          <w:iCs/>
          <w:sz w:val="24"/>
          <w:szCs w:val="24"/>
        </w:rPr>
      </w:pPr>
    </w:p>
    <w:p w14:paraId="1000EF75"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 xml:space="preserve">Although this commission will be formally procured and contracted through the London Borough of Ealing, the clients for this project will be the West London Boroughs of Barnet, Brent, Ealing, Hammersmith and Fulham, Harrow, Hillingdon and Hounslow, working through the West London Alliance (WLA). Day-to-day management of the contractor will reside with the WLA through a designated project manager who will: </w:t>
      </w:r>
    </w:p>
    <w:p w14:paraId="0EEF2397"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p>
    <w:p w14:paraId="0735014B" w14:textId="77777777" w:rsidR="004F7ACB" w:rsidRPr="004F7ACB" w:rsidRDefault="004F7ACB" w:rsidP="004F7ACB">
      <w:pPr>
        <w:numPr>
          <w:ilvl w:val="0"/>
          <w:numId w:val="23"/>
        </w:num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 xml:space="preserve">Manage day to day administration of the project; </w:t>
      </w:r>
    </w:p>
    <w:p w14:paraId="177F5EE2" w14:textId="77777777" w:rsidR="004F7ACB" w:rsidRPr="004F7ACB" w:rsidRDefault="004F7ACB" w:rsidP="004F7ACB">
      <w:pPr>
        <w:numPr>
          <w:ilvl w:val="0"/>
          <w:numId w:val="23"/>
        </w:num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 xml:space="preserve">Act as the principal contact for the Consultant; </w:t>
      </w:r>
    </w:p>
    <w:p w14:paraId="0C67C644" w14:textId="77777777" w:rsidR="004F7ACB" w:rsidRPr="004F7ACB" w:rsidRDefault="004F7ACB" w:rsidP="004F7ACB">
      <w:pPr>
        <w:numPr>
          <w:ilvl w:val="0"/>
          <w:numId w:val="23"/>
        </w:num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 xml:space="preserve">Issue all instructions to the Consultant; </w:t>
      </w:r>
    </w:p>
    <w:p w14:paraId="042DE118" w14:textId="77777777" w:rsidR="004F7ACB" w:rsidRPr="004F7ACB" w:rsidRDefault="004F7ACB" w:rsidP="004F7ACB">
      <w:pPr>
        <w:numPr>
          <w:ilvl w:val="0"/>
          <w:numId w:val="23"/>
        </w:num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 xml:space="preserve">Coordinate required meetings; </w:t>
      </w:r>
    </w:p>
    <w:p w14:paraId="6F2106A5" w14:textId="77777777" w:rsidR="004F7ACB" w:rsidRPr="004F7ACB" w:rsidRDefault="004F7ACB" w:rsidP="004F7ACB">
      <w:pPr>
        <w:numPr>
          <w:ilvl w:val="0"/>
          <w:numId w:val="23"/>
        </w:num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 xml:space="preserve">Oversee quality control </w:t>
      </w:r>
    </w:p>
    <w:p w14:paraId="6108D93B" w14:textId="1194218C" w:rsidR="004F7ACB" w:rsidRPr="004F7ACB" w:rsidRDefault="004F7ACB" w:rsidP="004F7ACB">
      <w:pPr>
        <w:numPr>
          <w:ilvl w:val="0"/>
          <w:numId w:val="23"/>
        </w:num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 xml:space="preserve">Upon satisfactory completion of prior agreed stages, approve payment of invoices related to this </w:t>
      </w:r>
      <w:r w:rsidR="00680877">
        <w:rPr>
          <w:rFonts w:ascii="Arial" w:hAnsi="Arial" w:cs="Arial"/>
          <w:bCs/>
          <w:iCs/>
          <w:sz w:val="24"/>
          <w:szCs w:val="24"/>
        </w:rPr>
        <w:t>s</w:t>
      </w:r>
      <w:r w:rsidRPr="004F7ACB">
        <w:rPr>
          <w:rFonts w:ascii="Arial" w:hAnsi="Arial" w:cs="Arial"/>
          <w:bCs/>
          <w:iCs/>
          <w:sz w:val="24"/>
          <w:szCs w:val="24"/>
        </w:rPr>
        <w:t xml:space="preserve">tudy. </w:t>
      </w:r>
    </w:p>
    <w:p w14:paraId="2B829EDA" w14:textId="77777777" w:rsidR="004F7ACB" w:rsidRPr="004F7ACB" w:rsidRDefault="004F7ACB" w:rsidP="004F7ACB">
      <w:pPr>
        <w:autoSpaceDE w:val="0"/>
        <w:autoSpaceDN w:val="0"/>
        <w:adjustRightInd w:val="0"/>
        <w:spacing w:after="0" w:line="240" w:lineRule="auto"/>
        <w:rPr>
          <w:rFonts w:ascii="Arial" w:hAnsi="Arial" w:cs="Arial"/>
          <w:bCs/>
          <w:i/>
          <w:iCs/>
          <w:sz w:val="24"/>
          <w:szCs w:val="24"/>
        </w:rPr>
      </w:pPr>
    </w:p>
    <w:p w14:paraId="4D14D2AF" w14:textId="4D1822FC" w:rsidR="004F7ACB" w:rsidRPr="004F7ACB" w:rsidRDefault="004F7ACB" w:rsidP="004F7ACB">
      <w:p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A joint Project Working Group will be established for the project comprising representatives of the boroughs. There will be a series of face to face meetings (one inception meeting, t</w:t>
      </w:r>
      <w:r w:rsidR="00680877">
        <w:rPr>
          <w:rFonts w:ascii="Arial" w:hAnsi="Arial" w:cs="Arial"/>
          <w:bCs/>
          <w:iCs/>
          <w:sz w:val="24"/>
          <w:szCs w:val="24"/>
        </w:rPr>
        <w:t>hree</w:t>
      </w:r>
      <w:r w:rsidRPr="004F7ACB">
        <w:rPr>
          <w:rFonts w:ascii="Arial" w:hAnsi="Arial" w:cs="Arial"/>
          <w:bCs/>
          <w:iCs/>
          <w:sz w:val="24"/>
          <w:szCs w:val="24"/>
        </w:rPr>
        <w:t xml:space="preserve"> progress meetings / workshops, likely at the end of the second</w:t>
      </w:r>
      <w:r w:rsidR="00680877">
        <w:rPr>
          <w:rFonts w:ascii="Arial" w:hAnsi="Arial" w:cs="Arial"/>
          <w:bCs/>
          <w:iCs/>
          <w:sz w:val="24"/>
          <w:szCs w:val="24"/>
        </w:rPr>
        <w:t>, third</w:t>
      </w:r>
      <w:r w:rsidRPr="004F7ACB">
        <w:rPr>
          <w:rFonts w:ascii="Arial" w:hAnsi="Arial" w:cs="Arial"/>
          <w:bCs/>
          <w:iCs/>
          <w:sz w:val="24"/>
          <w:szCs w:val="24"/>
        </w:rPr>
        <w:t xml:space="preserve"> and fourth key stages identified above and one final meeting between the Working Group and the Consultant at intervals agreed at the inception meeting. Meetings will take place at Ealing</w:t>
      </w:r>
      <w:r w:rsidR="005321C5">
        <w:rPr>
          <w:rFonts w:ascii="Arial" w:hAnsi="Arial" w:cs="Arial"/>
          <w:bCs/>
          <w:iCs/>
          <w:sz w:val="24"/>
          <w:szCs w:val="24"/>
        </w:rPr>
        <w:t xml:space="preserve"> Council’s offices (</w:t>
      </w:r>
      <w:r w:rsidRPr="004F7ACB">
        <w:rPr>
          <w:rFonts w:ascii="Arial" w:hAnsi="Arial" w:cs="Arial"/>
          <w:bCs/>
          <w:iCs/>
          <w:sz w:val="24"/>
          <w:szCs w:val="24"/>
        </w:rPr>
        <w:t>Perceval House, Ealing unless otherwise</w:t>
      </w:r>
      <w:r w:rsidR="005321C5">
        <w:rPr>
          <w:rFonts w:ascii="Arial" w:hAnsi="Arial" w:cs="Arial"/>
          <w:bCs/>
          <w:iCs/>
          <w:sz w:val="24"/>
          <w:szCs w:val="24"/>
        </w:rPr>
        <w:t xml:space="preserve"> agreed)</w:t>
      </w:r>
      <w:r w:rsidR="005D590D">
        <w:rPr>
          <w:rFonts w:ascii="Arial" w:hAnsi="Arial" w:cs="Arial"/>
          <w:bCs/>
          <w:iCs/>
          <w:sz w:val="24"/>
          <w:szCs w:val="24"/>
        </w:rPr>
        <w:t xml:space="preserve"> and may take a “hybrid” format making use of remote access technology</w:t>
      </w:r>
      <w:r w:rsidRPr="004F7ACB">
        <w:rPr>
          <w:rFonts w:ascii="Arial" w:hAnsi="Arial" w:cs="Arial"/>
          <w:bCs/>
          <w:iCs/>
          <w:sz w:val="24"/>
          <w:szCs w:val="24"/>
        </w:rPr>
        <w:t>.  It is anticipated that at least one over the phone progress meeting will occur every two weeks. The Consultant must be available at least by phone for the duration of the project. Consultants are invited to submit a timetable based on their ability to meet our requirements as set out in this brief. Consultancy support is required at all stages of the process.</w:t>
      </w:r>
    </w:p>
    <w:p w14:paraId="32E353F9"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p>
    <w:p w14:paraId="56194D79" w14:textId="40256F43" w:rsidR="004F7ACB" w:rsidRPr="004F7ACB" w:rsidRDefault="004F7ACB" w:rsidP="004F7ACB">
      <w:p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 xml:space="preserve">The </w:t>
      </w:r>
      <w:r w:rsidR="00306757">
        <w:rPr>
          <w:rFonts w:ascii="Arial" w:hAnsi="Arial" w:cs="Arial"/>
          <w:bCs/>
          <w:iCs/>
          <w:sz w:val="24"/>
          <w:szCs w:val="24"/>
        </w:rPr>
        <w:t xml:space="preserve">study and </w:t>
      </w:r>
      <w:r w:rsidRPr="004F7ACB">
        <w:rPr>
          <w:rFonts w:ascii="Arial" w:hAnsi="Arial" w:cs="Arial"/>
          <w:bCs/>
          <w:iCs/>
          <w:sz w:val="24"/>
          <w:szCs w:val="24"/>
        </w:rPr>
        <w:t xml:space="preserve">its constituent elements will be the copyright of the West London Alliance. It will be published on the WLA </w:t>
      </w:r>
      <w:r w:rsidR="00306757">
        <w:rPr>
          <w:rFonts w:ascii="Arial" w:hAnsi="Arial" w:cs="Arial"/>
          <w:bCs/>
          <w:iCs/>
          <w:sz w:val="24"/>
          <w:szCs w:val="24"/>
        </w:rPr>
        <w:t xml:space="preserve">and/or West London borough </w:t>
      </w:r>
      <w:r w:rsidR="00803294" w:rsidRPr="004F7ACB">
        <w:rPr>
          <w:rFonts w:ascii="Arial" w:hAnsi="Arial" w:cs="Arial"/>
          <w:bCs/>
          <w:iCs/>
          <w:sz w:val="24"/>
          <w:szCs w:val="24"/>
        </w:rPr>
        <w:t>website</w:t>
      </w:r>
      <w:r w:rsidR="00803294">
        <w:rPr>
          <w:rFonts w:ascii="Arial" w:hAnsi="Arial" w:cs="Arial"/>
          <w:bCs/>
          <w:iCs/>
          <w:sz w:val="24"/>
          <w:szCs w:val="24"/>
        </w:rPr>
        <w:t>s</w:t>
      </w:r>
      <w:r w:rsidRPr="004F7ACB">
        <w:rPr>
          <w:rFonts w:ascii="Arial" w:hAnsi="Arial" w:cs="Arial"/>
          <w:bCs/>
          <w:iCs/>
          <w:sz w:val="24"/>
          <w:szCs w:val="24"/>
        </w:rPr>
        <w:t xml:space="preserve"> and should be prepared with this in mind.</w:t>
      </w:r>
    </w:p>
    <w:p w14:paraId="23BE08E1"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p>
    <w:p w14:paraId="4C67651F"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p>
    <w:p w14:paraId="359F37BF" w14:textId="77777777" w:rsidR="004F7ACB" w:rsidRPr="004F7ACB" w:rsidRDefault="004F7ACB" w:rsidP="004F7ACB">
      <w:pPr>
        <w:autoSpaceDE w:val="0"/>
        <w:autoSpaceDN w:val="0"/>
        <w:adjustRightInd w:val="0"/>
        <w:spacing w:after="0" w:line="240" w:lineRule="auto"/>
        <w:rPr>
          <w:rFonts w:ascii="Arial" w:hAnsi="Arial" w:cs="Arial"/>
          <w:b/>
          <w:bCs/>
          <w:iCs/>
          <w:sz w:val="24"/>
          <w:szCs w:val="24"/>
        </w:rPr>
      </w:pPr>
      <w:r w:rsidRPr="004F7ACB">
        <w:rPr>
          <w:rFonts w:ascii="Arial" w:hAnsi="Arial" w:cs="Arial"/>
          <w:b/>
          <w:bCs/>
          <w:iCs/>
          <w:sz w:val="24"/>
          <w:szCs w:val="24"/>
        </w:rPr>
        <w:t xml:space="preserve">4. Submission Requirement: </w:t>
      </w:r>
    </w:p>
    <w:p w14:paraId="382A59ED"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p>
    <w:p w14:paraId="4BC8B423"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Written submissions are invited from interested consultants setting out understanding of, and proposed approach to, the brief and setting out:</w:t>
      </w:r>
    </w:p>
    <w:p w14:paraId="6DB370CA" w14:textId="77777777" w:rsidR="004F7ACB" w:rsidRPr="004F7ACB" w:rsidRDefault="004F7ACB" w:rsidP="004F7ACB">
      <w:pPr>
        <w:numPr>
          <w:ilvl w:val="0"/>
          <w:numId w:val="28"/>
        </w:num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Experience</w:t>
      </w:r>
    </w:p>
    <w:p w14:paraId="17FAD991" w14:textId="77777777" w:rsidR="004F7ACB" w:rsidRPr="004F7ACB" w:rsidRDefault="004F7ACB" w:rsidP="004F7ACB">
      <w:pPr>
        <w:numPr>
          <w:ilvl w:val="0"/>
          <w:numId w:val="28"/>
        </w:num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Potential to add value.</w:t>
      </w:r>
    </w:p>
    <w:p w14:paraId="0D793D9C" w14:textId="77777777" w:rsidR="004F7ACB" w:rsidRPr="004F7ACB" w:rsidRDefault="004F7ACB" w:rsidP="004F7ACB">
      <w:pPr>
        <w:numPr>
          <w:ilvl w:val="0"/>
          <w:numId w:val="28"/>
        </w:num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Proposed approach to identification of strategic infrastructure in line with the principles set out in this Specification.</w:t>
      </w:r>
    </w:p>
    <w:p w14:paraId="7F3D4A68" w14:textId="77777777" w:rsidR="004F7ACB" w:rsidRPr="004F7ACB" w:rsidRDefault="004F7ACB" w:rsidP="004F7ACB">
      <w:pPr>
        <w:numPr>
          <w:ilvl w:val="0"/>
          <w:numId w:val="28"/>
        </w:num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CVs and costs/time breakdown (including hourly billing rates) of all staff that will work on the project, stating the individual contribution each will make. The proposed project manager should be identified. Day rates should be given for any subsequent additional work.</w:t>
      </w:r>
    </w:p>
    <w:p w14:paraId="6D5C7595" w14:textId="77777777" w:rsidR="004F7ACB" w:rsidRPr="004F7ACB" w:rsidRDefault="004F7ACB" w:rsidP="004F7ACB">
      <w:pPr>
        <w:numPr>
          <w:ilvl w:val="0"/>
          <w:numId w:val="28"/>
        </w:num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lastRenderedPageBreak/>
        <w:t>Details of the number of days to be spent on the key areas of the brief for each member of the project team and the proposed breakdown of costs/time for each.</w:t>
      </w:r>
    </w:p>
    <w:p w14:paraId="0F17D46F" w14:textId="77777777" w:rsidR="004F7ACB" w:rsidRPr="004F7ACB" w:rsidRDefault="004F7ACB" w:rsidP="004F7ACB">
      <w:pPr>
        <w:numPr>
          <w:ilvl w:val="0"/>
          <w:numId w:val="28"/>
        </w:num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 xml:space="preserve">Any additional considerations consultants they consider necessary in meeting the aims of the project. </w:t>
      </w:r>
    </w:p>
    <w:p w14:paraId="203D712E" w14:textId="77777777" w:rsidR="004F7ACB" w:rsidRPr="004F7ACB" w:rsidRDefault="004F7ACB" w:rsidP="004F7ACB">
      <w:pPr>
        <w:numPr>
          <w:ilvl w:val="0"/>
          <w:numId w:val="28"/>
        </w:num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Three examples of similar projects involving strategic cross-boundary and inter-agency work undertaken elsewhere in the last five years, with project budget, client name, email address and contact number for references.</w:t>
      </w:r>
    </w:p>
    <w:p w14:paraId="702BB6CB" w14:textId="77777777" w:rsidR="004F7ACB" w:rsidRPr="004F7ACB" w:rsidRDefault="004F7ACB" w:rsidP="004F7ACB">
      <w:pPr>
        <w:numPr>
          <w:ilvl w:val="0"/>
          <w:numId w:val="28"/>
        </w:num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The fee proposal broken down into days and rates.</w:t>
      </w:r>
    </w:p>
    <w:p w14:paraId="0A80E3F2" w14:textId="77777777" w:rsidR="004F7ACB" w:rsidRPr="004F7ACB" w:rsidRDefault="004F7ACB" w:rsidP="004F7ACB">
      <w:pPr>
        <w:numPr>
          <w:ilvl w:val="0"/>
          <w:numId w:val="28"/>
        </w:num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Details of internal quality assurance systems that will be used for the project.</w:t>
      </w:r>
    </w:p>
    <w:p w14:paraId="0DB57510" w14:textId="77777777" w:rsidR="004F7ACB" w:rsidRPr="004F7ACB" w:rsidRDefault="004F7ACB" w:rsidP="004F7ACB">
      <w:pPr>
        <w:numPr>
          <w:ilvl w:val="0"/>
          <w:numId w:val="28"/>
        </w:num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Details of levels of professional indemnity insurance and public liability insurance held.</w:t>
      </w:r>
    </w:p>
    <w:p w14:paraId="0558987E" w14:textId="77777777" w:rsidR="004F7ACB" w:rsidRPr="004F7ACB" w:rsidRDefault="004F7ACB" w:rsidP="004F7ACB">
      <w:pPr>
        <w:numPr>
          <w:ilvl w:val="0"/>
          <w:numId w:val="28"/>
        </w:num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Details of relevant equal opportunities policies.</w:t>
      </w:r>
    </w:p>
    <w:p w14:paraId="32DEDDA9" w14:textId="77777777" w:rsidR="004F7ACB" w:rsidRPr="004F7ACB" w:rsidRDefault="004F7ACB" w:rsidP="004F7ACB">
      <w:pPr>
        <w:numPr>
          <w:ilvl w:val="0"/>
          <w:numId w:val="28"/>
        </w:num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 xml:space="preserve">If the Consultant is unable to provide all the works themselves, they must specify and give details of any sub-contractors. </w:t>
      </w:r>
    </w:p>
    <w:p w14:paraId="2AEA659A"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p>
    <w:p w14:paraId="7D488A2D"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Consultants bidding for this project must confirm that they have no conflict of interest or declare any actual or potential conflicts. Failure to do so could result in your submission or contract (if awarded) being invalid.</w:t>
      </w:r>
    </w:p>
    <w:p w14:paraId="455915A3"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p>
    <w:p w14:paraId="059FDF37" w14:textId="284FD6BF" w:rsidR="004F7ACB" w:rsidRPr="004F7ACB" w:rsidRDefault="004F7ACB" w:rsidP="004F7ACB">
      <w:pPr>
        <w:autoSpaceDE w:val="0"/>
        <w:autoSpaceDN w:val="0"/>
        <w:adjustRightInd w:val="0"/>
        <w:spacing w:after="0" w:line="240" w:lineRule="auto"/>
        <w:rPr>
          <w:rFonts w:ascii="Arial" w:hAnsi="Arial" w:cs="Arial"/>
          <w:bCs/>
          <w:iCs/>
          <w:sz w:val="24"/>
          <w:szCs w:val="24"/>
        </w:rPr>
      </w:pPr>
      <w:r w:rsidRPr="004F7ACB">
        <w:rPr>
          <w:rFonts w:ascii="Arial" w:hAnsi="Arial" w:cs="Arial"/>
          <w:b/>
          <w:bCs/>
          <w:iCs/>
          <w:sz w:val="24"/>
          <w:szCs w:val="24"/>
        </w:rPr>
        <w:t xml:space="preserve">Submissions should be received no later than </w:t>
      </w:r>
      <w:r w:rsidR="00E51C22">
        <w:rPr>
          <w:rFonts w:ascii="Arial" w:hAnsi="Arial" w:cs="Arial"/>
          <w:b/>
          <w:bCs/>
          <w:iCs/>
          <w:sz w:val="24"/>
          <w:szCs w:val="24"/>
        </w:rPr>
        <w:t>4</w:t>
      </w:r>
      <w:r w:rsidRPr="004F7ACB">
        <w:rPr>
          <w:rFonts w:ascii="Arial" w:hAnsi="Arial" w:cs="Arial"/>
          <w:b/>
          <w:bCs/>
          <w:iCs/>
          <w:sz w:val="24"/>
          <w:szCs w:val="24"/>
        </w:rPr>
        <w:t xml:space="preserve"> pm on  </w:t>
      </w:r>
      <w:r w:rsidR="00E51C22">
        <w:rPr>
          <w:rFonts w:ascii="Arial" w:hAnsi="Arial" w:cs="Arial"/>
          <w:b/>
          <w:bCs/>
          <w:iCs/>
          <w:sz w:val="24"/>
          <w:szCs w:val="24"/>
        </w:rPr>
        <w:t xml:space="preserve">22 October </w:t>
      </w:r>
      <w:r w:rsidRPr="004F7ACB">
        <w:rPr>
          <w:rFonts w:ascii="Arial" w:hAnsi="Arial" w:cs="Arial"/>
          <w:b/>
          <w:bCs/>
          <w:iCs/>
          <w:sz w:val="24"/>
          <w:szCs w:val="24"/>
        </w:rPr>
        <w:t>20</w:t>
      </w:r>
      <w:r w:rsidR="00011D0A">
        <w:rPr>
          <w:rFonts w:ascii="Arial" w:hAnsi="Arial" w:cs="Arial"/>
          <w:b/>
          <w:bCs/>
          <w:iCs/>
          <w:sz w:val="24"/>
          <w:szCs w:val="24"/>
        </w:rPr>
        <w:t>21</w:t>
      </w:r>
      <w:r w:rsidRPr="004F7ACB">
        <w:rPr>
          <w:rFonts w:ascii="Arial" w:hAnsi="Arial" w:cs="Arial"/>
          <w:b/>
          <w:bCs/>
          <w:iCs/>
          <w:sz w:val="24"/>
          <w:szCs w:val="24"/>
        </w:rPr>
        <w:t xml:space="preserve"> and be made in writing (copies should also be submitted electronically to </w:t>
      </w:r>
      <w:r w:rsidR="00395B2D">
        <w:rPr>
          <w:rFonts w:ascii="Arial" w:hAnsi="Arial" w:cs="Arial"/>
          <w:b/>
          <w:bCs/>
          <w:iCs/>
          <w:sz w:val="24"/>
          <w:szCs w:val="24"/>
        </w:rPr>
        <w:t>barrypurssella</w:t>
      </w:r>
      <w:r w:rsidRPr="004F7ACB">
        <w:rPr>
          <w:rFonts w:ascii="Arial" w:hAnsi="Arial" w:cs="Arial"/>
          <w:b/>
          <w:bCs/>
          <w:iCs/>
          <w:sz w:val="24"/>
          <w:szCs w:val="24"/>
        </w:rPr>
        <w:t>@ealing.gov.uk). They are to be valid for 90 days from the date of tender submission and be not more than 10 sides of A4 in length (with additional information as appendices). Total individual email sizes should not exceed 5MB.</w:t>
      </w:r>
      <w:r w:rsidRPr="004F7ACB">
        <w:rPr>
          <w:rFonts w:ascii="Arial" w:hAnsi="Arial" w:cs="Arial"/>
          <w:bCs/>
          <w:iCs/>
          <w:sz w:val="24"/>
          <w:szCs w:val="24"/>
        </w:rPr>
        <w:t xml:space="preserve"> </w:t>
      </w:r>
    </w:p>
    <w:p w14:paraId="61430204"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 xml:space="preserve"> </w:t>
      </w:r>
    </w:p>
    <w:p w14:paraId="62B146C4" w14:textId="7F862D01" w:rsidR="004F7ACB" w:rsidRPr="004F7ACB" w:rsidRDefault="004F7ACB" w:rsidP="004F7ACB">
      <w:p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All tender submissions will be assessed and a shortlist of a maximum of four will be compiled.</w:t>
      </w:r>
      <w:r w:rsidR="00C14E2B">
        <w:rPr>
          <w:rFonts w:ascii="Arial" w:hAnsi="Arial" w:cs="Arial"/>
          <w:bCs/>
          <w:iCs/>
          <w:sz w:val="24"/>
          <w:szCs w:val="24"/>
        </w:rPr>
        <w:t xml:space="preserve"> If necessary, p</w:t>
      </w:r>
      <w:r w:rsidRPr="004F7ACB">
        <w:rPr>
          <w:rFonts w:ascii="Arial" w:hAnsi="Arial" w:cs="Arial"/>
          <w:bCs/>
          <w:iCs/>
          <w:sz w:val="24"/>
          <w:szCs w:val="24"/>
        </w:rPr>
        <w:t xml:space="preserve">resentations and questions will take place </w:t>
      </w:r>
      <w:r w:rsidR="00C14E2B">
        <w:rPr>
          <w:rFonts w:ascii="Arial" w:hAnsi="Arial" w:cs="Arial"/>
          <w:bCs/>
          <w:iCs/>
          <w:sz w:val="24"/>
          <w:szCs w:val="24"/>
        </w:rPr>
        <w:t>in the week beginning 1</w:t>
      </w:r>
      <w:r w:rsidR="00C14E2B" w:rsidRPr="00C14E2B">
        <w:rPr>
          <w:rFonts w:ascii="Arial" w:hAnsi="Arial" w:cs="Arial"/>
          <w:bCs/>
          <w:iCs/>
          <w:sz w:val="24"/>
          <w:szCs w:val="24"/>
          <w:vertAlign w:val="superscript"/>
        </w:rPr>
        <w:t>st</w:t>
      </w:r>
      <w:r w:rsidR="00C14E2B">
        <w:rPr>
          <w:rFonts w:ascii="Arial" w:hAnsi="Arial" w:cs="Arial"/>
          <w:bCs/>
          <w:iCs/>
          <w:sz w:val="24"/>
          <w:szCs w:val="24"/>
        </w:rPr>
        <w:t xml:space="preserve"> Novermber</w:t>
      </w:r>
      <w:r w:rsidRPr="004F7ACB">
        <w:rPr>
          <w:rFonts w:ascii="Arial" w:hAnsi="Arial" w:cs="Arial"/>
          <w:bCs/>
          <w:iCs/>
          <w:sz w:val="24"/>
          <w:szCs w:val="24"/>
        </w:rPr>
        <w:t xml:space="preserve"> 20</w:t>
      </w:r>
      <w:r w:rsidR="00011D0A">
        <w:rPr>
          <w:rFonts w:ascii="Arial" w:hAnsi="Arial" w:cs="Arial"/>
          <w:bCs/>
          <w:iCs/>
          <w:sz w:val="24"/>
          <w:szCs w:val="24"/>
        </w:rPr>
        <w:t>21</w:t>
      </w:r>
      <w:r w:rsidRPr="004F7ACB">
        <w:rPr>
          <w:rFonts w:ascii="Arial" w:hAnsi="Arial" w:cs="Arial"/>
          <w:bCs/>
          <w:iCs/>
          <w:sz w:val="24"/>
          <w:szCs w:val="24"/>
        </w:rPr>
        <w:t xml:space="preserve">. </w:t>
      </w:r>
    </w:p>
    <w:p w14:paraId="45F4BBF2" w14:textId="77777777" w:rsidR="004F7ACB" w:rsidRPr="004F7ACB" w:rsidRDefault="004F7ACB" w:rsidP="004F7ACB">
      <w:pPr>
        <w:autoSpaceDE w:val="0"/>
        <w:autoSpaceDN w:val="0"/>
        <w:adjustRightInd w:val="0"/>
        <w:spacing w:after="0" w:line="240" w:lineRule="auto"/>
        <w:rPr>
          <w:rFonts w:ascii="Arial" w:hAnsi="Arial" w:cs="Arial"/>
          <w:b/>
          <w:bCs/>
          <w:i/>
          <w:iCs/>
          <w:sz w:val="24"/>
          <w:szCs w:val="24"/>
        </w:rPr>
      </w:pPr>
    </w:p>
    <w:p w14:paraId="58DB1E96" w14:textId="77777777" w:rsidR="004F7ACB" w:rsidRPr="004F7ACB" w:rsidRDefault="004F7ACB" w:rsidP="004F7ACB">
      <w:pPr>
        <w:autoSpaceDE w:val="0"/>
        <w:autoSpaceDN w:val="0"/>
        <w:adjustRightInd w:val="0"/>
        <w:spacing w:after="0" w:line="240" w:lineRule="auto"/>
        <w:rPr>
          <w:rFonts w:ascii="Arial" w:hAnsi="Arial" w:cs="Arial"/>
          <w:b/>
          <w:bCs/>
          <w:i/>
          <w:iCs/>
          <w:sz w:val="24"/>
          <w:szCs w:val="24"/>
        </w:rPr>
      </w:pPr>
    </w:p>
    <w:p w14:paraId="69313B01"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r w:rsidRPr="004F7ACB">
        <w:rPr>
          <w:rFonts w:ascii="Arial" w:hAnsi="Arial" w:cs="Arial"/>
          <w:b/>
          <w:bCs/>
          <w:iCs/>
          <w:sz w:val="24"/>
          <w:szCs w:val="24"/>
        </w:rPr>
        <w:t xml:space="preserve">5. Assessment of submissions </w:t>
      </w:r>
    </w:p>
    <w:p w14:paraId="20B17F64"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p>
    <w:p w14:paraId="5470D3A1"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Submissions will be assessed on the basis of a 70% quality/30% price weighting. This will be evaluated as set out below:</w:t>
      </w:r>
    </w:p>
    <w:p w14:paraId="07739917"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p>
    <w:p w14:paraId="78C4B369" w14:textId="77777777" w:rsidR="004F7ACB" w:rsidRPr="004F7ACB" w:rsidRDefault="004F7ACB" w:rsidP="004F7ACB">
      <w:pPr>
        <w:numPr>
          <w:ilvl w:val="0"/>
          <w:numId w:val="30"/>
        </w:numPr>
        <w:autoSpaceDE w:val="0"/>
        <w:autoSpaceDN w:val="0"/>
        <w:adjustRightInd w:val="0"/>
        <w:spacing w:after="0" w:line="240" w:lineRule="auto"/>
        <w:rPr>
          <w:rFonts w:ascii="Arial" w:hAnsi="Arial" w:cs="Arial"/>
          <w:bCs/>
          <w:iCs/>
          <w:sz w:val="24"/>
          <w:szCs w:val="24"/>
        </w:rPr>
      </w:pPr>
      <w:r w:rsidRPr="004F7ACB">
        <w:rPr>
          <w:rFonts w:ascii="Arial" w:hAnsi="Arial" w:cs="Arial"/>
          <w:b/>
          <w:bCs/>
          <w:iCs/>
          <w:sz w:val="24"/>
          <w:szCs w:val="24"/>
        </w:rPr>
        <w:t xml:space="preserve">Understanding of project requirements and proposed methodology (30%). </w:t>
      </w:r>
      <w:r w:rsidRPr="004F7ACB">
        <w:rPr>
          <w:rFonts w:ascii="Arial" w:hAnsi="Arial" w:cs="Arial"/>
          <w:bCs/>
          <w:iCs/>
          <w:sz w:val="24"/>
          <w:szCs w:val="24"/>
        </w:rPr>
        <w:t>Proposals should set out how the consultants will address the requirements set out in this study brief and how they will add value.</w:t>
      </w:r>
    </w:p>
    <w:p w14:paraId="2D23BBDB" w14:textId="77777777" w:rsidR="004F7ACB" w:rsidRPr="004F7ACB" w:rsidRDefault="004F7ACB" w:rsidP="004F7ACB">
      <w:pPr>
        <w:numPr>
          <w:ilvl w:val="0"/>
          <w:numId w:val="30"/>
        </w:numPr>
        <w:autoSpaceDE w:val="0"/>
        <w:autoSpaceDN w:val="0"/>
        <w:adjustRightInd w:val="0"/>
        <w:spacing w:after="0" w:line="240" w:lineRule="auto"/>
        <w:rPr>
          <w:rFonts w:ascii="Arial" w:hAnsi="Arial" w:cs="Arial"/>
          <w:bCs/>
          <w:iCs/>
          <w:sz w:val="24"/>
          <w:szCs w:val="24"/>
        </w:rPr>
      </w:pPr>
      <w:r w:rsidRPr="004F7ACB">
        <w:rPr>
          <w:rFonts w:ascii="Arial" w:hAnsi="Arial" w:cs="Arial"/>
          <w:b/>
          <w:bCs/>
          <w:iCs/>
          <w:sz w:val="24"/>
          <w:szCs w:val="24"/>
        </w:rPr>
        <w:t xml:space="preserve">Knowledge and experience of team (30%). </w:t>
      </w:r>
      <w:r w:rsidRPr="004F7ACB">
        <w:rPr>
          <w:rFonts w:ascii="Arial" w:hAnsi="Arial" w:cs="Arial"/>
          <w:bCs/>
          <w:iCs/>
          <w:sz w:val="24"/>
          <w:szCs w:val="24"/>
        </w:rPr>
        <w:t>Submissions must include:</w:t>
      </w:r>
    </w:p>
    <w:p w14:paraId="4EEA8C03" w14:textId="77777777" w:rsidR="004F7ACB" w:rsidRPr="004F7ACB" w:rsidRDefault="004F7ACB" w:rsidP="004F7ACB">
      <w:pPr>
        <w:numPr>
          <w:ilvl w:val="1"/>
          <w:numId w:val="30"/>
        </w:num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Details of the experience of each member of the team that will be working on the project, including CVs as an Appendix</w:t>
      </w:r>
    </w:p>
    <w:p w14:paraId="170A258F" w14:textId="77777777" w:rsidR="004F7ACB" w:rsidRPr="004F7ACB" w:rsidRDefault="004F7ACB" w:rsidP="004F7ACB">
      <w:pPr>
        <w:numPr>
          <w:ilvl w:val="1"/>
          <w:numId w:val="30"/>
        </w:num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Details of comparable projects completed by the consultants in the last five years.</w:t>
      </w:r>
    </w:p>
    <w:p w14:paraId="7B4FA9F3" w14:textId="77777777" w:rsidR="004F7ACB" w:rsidRPr="004F7ACB" w:rsidRDefault="004F7ACB" w:rsidP="004F7ACB">
      <w:pPr>
        <w:numPr>
          <w:ilvl w:val="0"/>
          <w:numId w:val="30"/>
        </w:numPr>
        <w:autoSpaceDE w:val="0"/>
        <w:autoSpaceDN w:val="0"/>
        <w:adjustRightInd w:val="0"/>
        <w:spacing w:after="0" w:line="240" w:lineRule="auto"/>
        <w:rPr>
          <w:rFonts w:ascii="Arial" w:hAnsi="Arial" w:cs="Arial"/>
          <w:bCs/>
          <w:iCs/>
          <w:sz w:val="24"/>
          <w:szCs w:val="24"/>
        </w:rPr>
      </w:pPr>
      <w:r w:rsidRPr="004F7ACB">
        <w:rPr>
          <w:rFonts w:ascii="Arial" w:hAnsi="Arial" w:cs="Arial"/>
          <w:b/>
          <w:bCs/>
          <w:iCs/>
          <w:sz w:val="24"/>
          <w:szCs w:val="24"/>
        </w:rPr>
        <w:t xml:space="preserve">Project management (10%). </w:t>
      </w:r>
      <w:r w:rsidRPr="004F7ACB">
        <w:rPr>
          <w:rFonts w:ascii="Arial" w:hAnsi="Arial" w:cs="Arial"/>
          <w:bCs/>
          <w:iCs/>
          <w:sz w:val="24"/>
          <w:szCs w:val="24"/>
        </w:rPr>
        <w:t>Submissions should set out the approach consultants will make to managing the project in accordance with the requirements of this brief and ensure the outputs meet the quality expectations set out.</w:t>
      </w:r>
    </w:p>
    <w:p w14:paraId="3A37C8A9" w14:textId="77777777" w:rsidR="004F7ACB" w:rsidRPr="004F7ACB" w:rsidRDefault="004F7ACB" w:rsidP="004F7ACB">
      <w:pPr>
        <w:numPr>
          <w:ilvl w:val="0"/>
          <w:numId w:val="30"/>
        </w:numPr>
        <w:autoSpaceDE w:val="0"/>
        <w:autoSpaceDN w:val="0"/>
        <w:adjustRightInd w:val="0"/>
        <w:spacing w:after="0" w:line="240" w:lineRule="auto"/>
        <w:rPr>
          <w:rFonts w:ascii="Arial" w:hAnsi="Arial" w:cs="Arial"/>
          <w:bCs/>
          <w:iCs/>
          <w:sz w:val="24"/>
          <w:szCs w:val="24"/>
        </w:rPr>
      </w:pPr>
      <w:r w:rsidRPr="004F7ACB">
        <w:rPr>
          <w:rFonts w:ascii="Arial" w:hAnsi="Arial" w:cs="Arial"/>
          <w:b/>
          <w:bCs/>
          <w:iCs/>
          <w:sz w:val="24"/>
          <w:szCs w:val="24"/>
        </w:rPr>
        <w:lastRenderedPageBreak/>
        <w:t>Price (30%).</w:t>
      </w:r>
      <w:r w:rsidRPr="004F7ACB">
        <w:rPr>
          <w:rFonts w:ascii="Arial" w:hAnsi="Arial" w:cs="Arial"/>
          <w:bCs/>
          <w:iCs/>
          <w:sz w:val="24"/>
          <w:szCs w:val="24"/>
        </w:rPr>
        <w:t xml:space="preserve"> There is no obligation to accept the lowest – or any – quotation in this process. The quotation must include all fees, costs and expenses within the overall price, excluding VAT. A breakdown should be provided showing how the fee is made up including, but not limited to, consultancy fees and all other project-related costs.</w:t>
      </w:r>
    </w:p>
    <w:p w14:paraId="0919DF21"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p>
    <w:p w14:paraId="40919F66" w14:textId="77777777" w:rsidR="004F7ACB" w:rsidRPr="004F7ACB" w:rsidRDefault="004F7ACB" w:rsidP="004F7ACB">
      <w:pPr>
        <w:autoSpaceDE w:val="0"/>
        <w:autoSpaceDN w:val="0"/>
        <w:adjustRightInd w:val="0"/>
        <w:spacing w:after="0" w:line="240" w:lineRule="auto"/>
        <w:rPr>
          <w:rFonts w:ascii="Arial" w:hAnsi="Arial" w:cs="Arial"/>
          <w:b/>
          <w:bCs/>
          <w:iCs/>
          <w:sz w:val="24"/>
          <w:szCs w:val="24"/>
        </w:rPr>
      </w:pPr>
      <w:r w:rsidRPr="004F7ACB">
        <w:rPr>
          <w:rFonts w:ascii="Arial" w:hAnsi="Arial" w:cs="Arial"/>
          <w:b/>
          <w:bCs/>
          <w:iCs/>
          <w:sz w:val="24"/>
          <w:szCs w:val="24"/>
        </w:rPr>
        <w:t>6.  Conditions of engagement</w:t>
      </w:r>
    </w:p>
    <w:p w14:paraId="2D9CDE8D" w14:textId="77777777" w:rsidR="004F7ACB" w:rsidRPr="004F7ACB" w:rsidRDefault="004F7ACB" w:rsidP="004F7ACB">
      <w:pPr>
        <w:autoSpaceDE w:val="0"/>
        <w:autoSpaceDN w:val="0"/>
        <w:adjustRightInd w:val="0"/>
        <w:spacing w:after="0" w:line="240" w:lineRule="auto"/>
        <w:rPr>
          <w:rFonts w:ascii="Arial" w:hAnsi="Arial" w:cs="Arial"/>
          <w:b/>
          <w:bCs/>
          <w:iCs/>
          <w:sz w:val="24"/>
          <w:szCs w:val="24"/>
        </w:rPr>
      </w:pPr>
    </w:p>
    <w:p w14:paraId="7612A089"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Standard Ealing Council terms and conditions of engagement will apply.</w:t>
      </w:r>
    </w:p>
    <w:p w14:paraId="43A59564"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p>
    <w:p w14:paraId="4260ED47" w14:textId="77777777" w:rsidR="004F7ACB" w:rsidRPr="004F7ACB" w:rsidRDefault="004F7ACB" w:rsidP="004F7ACB">
      <w:pPr>
        <w:autoSpaceDE w:val="0"/>
        <w:autoSpaceDN w:val="0"/>
        <w:adjustRightInd w:val="0"/>
        <w:spacing w:after="0" w:line="240" w:lineRule="auto"/>
        <w:rPr>
          <w:rFonts w:ascii="Arial" w:hAnsi="Arial" w:cs="Arial"/>
          <w:bCs/>
          <w:iCs/>
          <w:sz w:val="24"/>
          <w:szCs w:val="24"/>
        </w:rPr>
      </w:pPr>
      <w:r w:rsidRPr="004F7ACB">
        <w:rPr>
          <w:rFonts w:ascii="Arial" w:hAnsi="Arial" w:cs="Arial"/>
          <w:bCs/>
          <w:iCs/>
          <w:sz w:val="24"/>
          <w:szCs w:val="24"/>
        </w:rPr>
        <w:t>This brief forms the basis of a contract with the Council to provide a professional service for the delivery of the work specified herein. At all times the work must be carried out in accordance with the conditions of contract and this brief and must take account of British Standards, relevant codes of practice and procedures and health and safety requirements.</w:t>
      </w:r>
    </w:p>
    <w:p w14:paraId="1B7B8F5E" w14:textId="77777777" w:rsidR="004F7ACB" w:rsidRPr="004F7ACB" w:rsidRDefault="004F7ACB" w:rsidP="004F7ACB">
      <w:pPr>
        <w:autoSpaceDE w:val="0"/>
        <w:autoSpaceDN w:val="0"/>
        <w:adjustRightInd w:val="0"/>
        <w:spacing w:after="0" w:line="240" w:lineRule="auto"/>
        <w:rPr>
          <w:rFonts w:ascii="Arial" w:hAnsi="Arial" w:cs="Arial"/>
          <w:b/>
          <w:bCs/>
          <w:iCs/>
          <w:sz w:val="24"/>
          <w:szCs w:val="24"/>
        </w:rPr>
      </w:pPr>
    </w:p>
    <w:p w14:paraId="7CC5FC7F" w14:textId="77777777" w:rsidR="00A1248A" w:rsidRPr="007454B2" w:rsidRDefault="00A1248A" w:rsidP="00DE5B0F">
      <w:pPr>
        <w:autoSpaceDE w:val="0"/>
        <w:autoSpaceDN w:val="0"/>
        <w:adjustRightInd w:val="0"/>
        <w:spacing w:after="0" w:line="240" w:lineRule="auto"/>
        <w:rPr>
          <w:rFonts w:ascii="Arial" w:hAnsi="Arial" w:cs="Arial"/>
          <w:bCs/>
          <w:iCs/>
          <w:sz w:val="24"/>
          <w:szCs w:val="24"/>
        </w:rPr>
      </w:pPr>
    </w:p>
    <w:p w14:paraId="339AE2EE" w14:textId="7E963A31" w:rsidR="00DE5B0F" w:rsidRDefault="00DE5B0F" w:rsidP="00DE5B0F">
      <w:pPr>
        <w:autoSpaceDE w:val="0"/>
        <w:autoSpaceDN w:val="0"/>
        <w:adjustRightInd w:val="0"/>
        <w:spacing w:after="0" w:line="240" w:lineRule="auto"/>
        <w:rPr>
          <w:rFonts w:ascii="Arial" w:hAnsi="Arial" w:cs="Arial"/>
          <w:sz w:val="24"/>
          <w:szCs w:val="24"/>
        </w:rPr>
      </w:pPr>
    </w:p>
    <w:p w14:paraId="0D52585A" w14:textId="2B141B96" w:rsidR="00752E2B" w:rsidRDefault="00752E2B" w:rsidP="00DE5B0F">
      <w:pPr>
        <w:autoSpaceDE w:val="0"/>
        <w:autoSpaceDN w:val="0"/>
        <w:adjustRightInd w:val="0"/>
        <w:spacing w:after="0" w:line="240" w:lineRule="auto"/>
        <w:rPr>
          <w:rFonts w:ascii="Arial" w:hAnsi="Arial" w:cs="Arial"/>
          <w:sz w:val="24"/>
          <w:szCs w:val="24"/>
        </w:rPr>
      </w:pPr>
    </w:p>
    <w:p w14:paraId="3D730762" w14:textId="39E57CA8" w:rsidR="0007756A" w:rsidRDefault="0007756A">
      <w:pPr>
        <w:rPr>
          <w:rFonts w:ascii="Arial" w:hAnsi="Arial" w:cs="Arial"/>
          <w:sz w:val="24"/>
          <w:szCs w:val="24"/>
        </w:rPr>
      </w:pPr>
      <w:r>
        <w:rPr>
          <w:rFonts w:ascii="Arial" w:hAnsi="Arial" w:cs="Arial"/>
          <w:sz w:val="24"/>
          <w:szCs w:val="24"/>
        </w:rPr>
        <w:br w:type="page"/>
      </w:r>
    </w:p>
    <w:p w14:paraId="33EC0B27" w14:textId="35EBD5BD" w:rsidR="00752E2B" w:rsidRDefault="0007756A" w:rsidP="00DE5B0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 xml:space="preserve">Appendix </w:t>
      </w:r>
      <w:r w:rsidR="004E1E16">
        <w:rPr>
          <w:rFonts w:ascii="Arial" w:hAnsi="Arial" w:cs="Arial"/>
          <w:b/>
          <w:bCs/>
          <w:sz w:val="24"/>
          <w:szCs w:val="24"/>
        </w:rPr>
        <w:t xml:space="preserve">A – West London </w:t>
      </w:r>
      <w:r w:rsidR="00F96FEA">
        <w:rPr>
          <w:rFonts w:ascii="Arial" w:hAnsi="Arial" w:cs="Arial"/>
          <w:b/>
          <w:bCs/>
          <w:sz w:val="24"/>
          <w:szCs w:val="24"/>
        </w:rPr>
        <w:t>town centres identified in the London Plan</w:t>
      </w:r>
    </w:p>
    <w:p w14:paraId="337389E7" w14:textId="727E3F60" w:rsidR="00F96FEA" w:rsidRDefault="00F96FEA" w:rsidP="00DE5B0F">
      <w:pPr>
        <w:autoSpaceDE w:val="0"/>
        <w:autoSpaceDN w:val="0"/>
        <w:adjustRightInd w:val="0"/>
        <w:spacing w:after="0" w:line="240" w:lineRule="auto"/>
        <w:rPr>
          <w:rFonts w:ascii="Arial" w:hAnsi="Arial" w:cs="Arial"/>
          <w:b/>
          <w:bCs/>
          <w:sz w:val="24"/>
          <w:szCs w:val="24"/>
        </w:rPr>
      </w:pPr>
    </w:p>
    <w:p w14:paraId="70524B9F" w14:textId="202BF572" w:rsidR="00F96FEA" w:rsidRDefault="00F96FEA" w:rsidP="00DE5B0F">
      <w:pPr>
        <w:autoSpaceDE w:val="0"/>
        <w:autoSpaceDN w:val="0"/>
        <w:adjustRightInd w:val="0"/>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4508"/>
        <w:gridCol w:w="4508"/>
      </w:tblGrid>
      <w:tr w:rsidR="00AE7DC5" w14:paraId="21D7D5E0" w14:textId="77777777" w:rsidTr="00AE7DC5">
        <w:tc>
          <w:tcPr>
            <w:tcW w:w="4508" w:type="dxa"/>
          </w:tcPr>
          <w:p w14:paraId="3959D9F6" w14:textId="472E7F64" w:rsidR="00AE7DC5" w:rsidRPr="00AE7DC5" w:rsidRDefault="00AE7DC5" w:rsidP="00DE5B0F">
            <w:pPr>
              <w:autoSpaceDE w:val="0"/>
              <w:autoSpaceDN w:val="0"/>
              <w:adjustRightInd w:val="0"/>
              <w:rPr>
                <w:rFonts w:ascii="Arial" w:hAnsi="Arial" w:cs="Arial"/>
                <w:sz w:val="24"/>
                <w:szCs w:val="24"/>
              </w:rPr>
            </w:pPr>
            <w:r>
              <w:rPr>
                <w:rFonts w:ascii="Arial" w:hAnsi="Arial" w:cs="Arial"/>
                <w:sz w:val="24"/>
                <w:szCs w:val="24"/>
              </w:rPr>
              <w:t>Metropolitan</w:t>
            </w:r>
          </w:p>
        </w:tc>
        <w:tc>
          <w:tcPr>
            <w:tcW w:w="4508" w:type="dxa"/>
          </w:tcPr>
          <w:p w14:paraId="470B9173" w14:textId="247566B6" w:rsidR="00AE7DC5" w:rsidRPr="009325C6" w:rsidRDefault="009325C6" w:rsidP="00DE5B0F">
            <w:pPr>
              <w:autoSpaceDE w:val="0"/>
              <w:autoSpaceDN w:val="0"/>
              <w:adjustRightInd w:val="0"/>
              <w:rPr>
                <w:rFonts w:ascii="Arial" w:hAnsi="Arial" w:cs="Arial"/>
                <w:sz w:val="24"/>
                <w:szCs w:val="24"/>
              </w:rPr>
            </w:pPr>
            <w:r>
              <w:rPr>
                <w:rFonts w:ascii="Arial" w:hAnsi="Arial" w:cs="Arial"/>
                <w:sz w:val="24"/>
                <w:szCs w:val="24"/>
              </w:rPr>
              <w:t>Ealing, Shepherd</w:t>
            </w:r>
            <w:r w:rsidR="00465B32">
              <w:rPr>
                <w:rFonts w:ascii="Arial" w:hAnsi="Arial" w:cs="Arial"/>
                <w:sz w:val="24"/>
                <w:szCs w:val="24"/>
              </w:rPr>
              <w:t>s Bush</w:t>
            </w:r>
            <w:r w:rsidR="00C51A7E">
              <w:rPr>
                <w:rStyle w:val="FootnoteReference"/>
                <w:rFonts w:ascii="Arial" w:hAnsi="Arial" w:cs="Arial"/>
                <w:sz w:val="24"/>
                <w:szCs w:val="24"/>
              </w:rPr>
              <w:footnoteReference w:id="1"/>
            </w:r>
            <w:r w:rsidR="00465B32">
              <w:rPr>
                <w:rFonts w:ascii="Arial" w:hAnsi="Arial" w:cs="Arial"/>
                <w:sz w:val="24"/>
                <w:szCs w:val="24"/>
              </w:rPr>
              <w:t xml:space="preserve"> (H&amp;F), </w:t>
            </w:r>
            <w:r w:rsidR="00AE4B58">
              <w:rPr>
                <w:rFonts w:ascii="Arial" w:hAnsi="Arial" w:cs="Arial"/>
                <w:sz w:val="24"/>
                <w:szCs w:val="24"/>
              </w:rPr>
              <w:t>Harrow, Uxbridge (Hillingdon)</w:t>
            </w:r>
            <w:r w:rsidR="00D65C41">
              <w:rPr>
                <w:rFonts w:ascii="Arial" w:hAnsi="Arial" w:cs="Arial"/>
                <w:sz w:val="24"/>
                <w:szCs w:val="24"/>
              </w:rPr>
              <w:t>, Hounslow</w:t>
            </w:r>
          </w:p>
        </w:tc>
      </w:tr>
      <w:tr w:rsidR="00AE7DC5" w14:paraId="2F45FCF3" w14:textId="77777777" w:rsidTr="00AE7DC5">
        <w:tc>
          <w:tcPr>
            <w:tcW w:w="4508" w:type="dxa"/>
          </w:tcPr>
          <w:p w14:paraId="7034B7D5" w14:textId="120773A7" w:rsidR="00AE7DC5" w:rsidRPr="00D65C41" w:rsidRDefault="00C261E6" w:rsidP="00DE5B0F">
            <w:pPr>
              <w:autoSpaceDE w:val="0"/>
              <w:autoSpaceDN w:val="0"/>
              <w:adjustRightInd w:val="0"/>
              <w:rPr>
                <w:rFonts w:ascii="Arial" w:hAnsi="Arial" w:cs="Arial"/>
                <w:sz w:val="24"/>
                <w:szCs w:val="24"/>
              </w:rPr>
            </w:pPr>
            <w:r>
              <w:rPr>
                <w:rFonts w:ascii="Arial" w:hAnsi="Arial" w:cs="Arial"/>
                <w:sz w:val="24"/>
                <w:szCs w:val="24"/>
              </w:rPr>
              <w:t>Major</w:t>
            </w:r>
          </w:p>
        </w:tc>
        <w:tc>
          <w:tcPr>
            <w:tcW w:w="4508" w:type="dxa"/>
          </w:tcPr>
          <w:p w14:paraId="317D4ED5" w14:textId="1DF2FC05" w:rsidR="00AE7DC5" w:rsidRPr="00AC5E9A" w:rsidRDefault="00D65C41" w:rsidP="00DE5B0F">
            <w:pPr>
              <w:autoSpaceDE w:val="0"/>
              <w:autoSpaceDN w:val="0"/>
              <w:adjustRightInd w:val="0"/>
              <w:rPr>
                <w:rFonts w:ascii="Arial" w:hAnsi="Arial" w:cs="Arial"/>
                <w:sz w:val="24"/>
                <w:szCs w:val="24"/>
              </w:rPr>
            </w:pPr>
            <w:r>
              <w:rPr>
                <w:rFonts w:ascii="Arial" w:hAnsi="Arial" w:cs="Arial"/>
                <w:sz w:val="24"/>
                <w:szCs w:val="24"/>
                <w:u w:val="single"/>
              </w:rPr>
              <w:t>Barnet</w:t>
            </w:r>
            <w:r w:rsidR="004B4003">
              <w:rPr>
                <w:rFonts w:ascii="Arial" w:hAnsi="Arial" w:cs="Arial"/>
                <w:sz w:val="24"/>
                <w:szCs w:val="24"/>
                <w:u w:val="single"/>
              </w:rPr>
              <w:t>/Harrow</w:t>
            </w:r>
            <w:r>
              <w:rPr>
                <w:rFonts w:ascii="Arial" w:hAnsi="Arial" w:cs="Arial"/>
                <w:sz w:val="24"/>
                <w:szCs w:val="24"/>
              </w:rPr>
              <w:t xml:space="preserve">: </w:t>
            </w:r>
            <w:r w:rsidR="006A5F64">
              <w:rPr>
                <w:rFonts w:ascii="Arial" w:hAnsi="Arial" w:cs="Arial"/>
                <w:sz w:val="24"/>
                <w:szCs w:val="24"/>
              </w:rPr>
              <w:t xml:space="preserve">Edgware; </w:t>
            </w:r>
            <w:r w:rsidR="006A5F64">
              <w:rPr>
                <w:rFonts w:ascii="Arial" w:hAnsi="Arial" w:cs="Arial"/>
                <w:sz w:val="24"/>
                <w:szCs w:val="24"/>
                <w:u w:val="single"/>
              </w:rPr>
              <w:t>Brent</w:t>
            </w:r>
            <w:r w:rsidR="00771108">
              <w:rPr>
                <w:rFonts w:ascii="Arial" w:hAnsi="Arial" w:cs="Arial"/>
                <w:sz w:val="24"/>
                <w:szCs w:val="24"/>
              </w:rPr>
              <w:t xml:space="preserve">: Kilburn, Wembley; </w:t>
            </w:r>
            <w:r w:rsidR="00771108">
              <w:rPr>
                <w:rFonts w:ascii="Arial" w:hAnsi="Arial" w:cs="Arial"/>
                <w:sz w:val="24"/>
                <w:szCs w:val="24"/>
                <w:u w:val="single"/>
              </w:rPr>
              <w:t>Ealing</w:t>
            </w:r>
            <w:r w:rsidR="00771108">
              <w:rPr>
                <w:rFonts w:ascii="Arial" w:hAnsi="Arial" w:cs="Arial"/>
                <w:sz w:val="24"/>
                <w:szCs w:val="24"/>
              </w:rPr>
              <w:t xml:space="preserve">: Southall; </w:t>
            </w:r>
            <w:r w:rsidR="00AC5E9A" w:rsidRPr="00AC5E9A">
              <w:rPr>
                <w:rFonts w:ascii="Arial" w:hAnsi="Arial" w:cs="Arial"/>
                <w:sz w:val="24"/>
                <w:szCs w:val="24"/>
                <w:u w:val="single"/>
              </w:rPr>
              <w:t>Hammersmith and Fulham</w:t>
            </w:r>
            <w:r w:rsidR="00AC5E9A">
              <w:rPr>
                <w:rFonts w:ascii="Arial" w:hAnsi="Arial" w:cs="Arial"/>
                <w:sz w:val="24"/>
                <w:szCs w:val="24"/>
              </w:rPr>
              <w:t xml:space="preserve">: Hammersmith; </w:t>
            </w:r>
            <w:r w:rsidR="00AC5E9A">
              <w:rPr>
                <w:rFonts w:ascii="Arial" w:hAnsi="Arial" w:cs="Arial"/>
                <w:sz w:val="24"/>
                <w:szCs w:val="24"/>
                <w:u w:val="single"/>
              </w:rPr>
              <w:t>Hounslow</w:t>
            </w:r>
            <w:r w:rsidR="00AC5E9A">
              <w:rPr>
                <w:rFonts w:ascii="Arial" w:hAnsi="Arial" w:cs="Arial"/>
                <w:sz w:val="24"/>
                <w:szCs w:val="24"/>
              </w:rPr>
              <w:t>: Chiswick</w:t>
            </w:r>
          </w:p>
        </w:tc>
      </w:tr>
      <w:tr w:rsidR="00AE7DC5" w14:paraId="6288F1C6" w14:textId="77777777" w:rsidTr="00AE7DC5">
        <w:tc>
          <w:tcPr>
            <w:tcW w:w="4508" w:type="dxa"/>
          </w:tcPr>
          <w:p w14:paraId="2B05B944" w14:textId="0791FC04" w:rsidR="00AE7DC5" w:rsidRPr="0069071D" w:rsidRDefault="0069071D" w:rsidP="00DE5B0F">
            <w:pPr>
              <w:autoSpaceDE w:val="0"/>
              <w:autoSpaceDN w:val="0"/>
              <w:adjustRightInd w:val="0"/>
              <w:rPr>
                <w:rFonts w:ascii="Arial" w:hAnsi="Arial" w:cs="Arial"/>
                <w:sz w:val="24"/>
                <w:szCs w:val="24"/>
              </w:rPr>
            </w:pPr>
            <w:r>
              <w:rPr>
                <w:rFonts w:ascii="Arial" w:hAnsi="Arial" w:cs="Arial"/>
                <w:sz w:val="24"/>
                <w:szCs w:val="24"/>
              </w:rPr>
              <w:t>District</w:t>
            </w:r>
          </w:p>
        </w:tc>
        <w:tc>
          <w:tcPr>
            <w:tcW w:w="4508" w:type="dxa"/>
          </w:tcPr>
          <w:p w14:paraId="526B1E70" w14:textId="2F8F175D" w:rsidR="0013756C" w:rsidRDefault="0069071D" w:rsidP="00DE5B0F">
            <w:pPr>
              <w:autoSpaceDE w:val="0"/>
              <w:autoSpaceDN w:val="0"/>
              <w:adjustRightInd w:val="0"/>
              <w:rPr>
                <w:rFonts w:ascii="Arial" w:hAnsi="Arial" w:cs="Arial"/>
                <w:sz w:val="24"/>
                <w:szCs w:val="24"/>
              </w:rPr>
            </w:pPr>
            <w:r>
              <w:rPr>
                <w:rFonts w:ascii="Arial" w:hAnsi="Arial" w:cs="Arial"/>
                <w:sz w:val="24"/>
                <w:szCs w:val="24"/>
                <w:u w:val="single"/>
              </w:rPr>
              <w:t>Barnet</w:t>
            </w:r>
            <w:r>
              <w:rPr>
                <w:rFonts w:ascii="Arial" w:hAnsi="Arial" w:cs="Arial"/>
                <w:sz w:val="24"/>
                <w:szCs w:val="24"/>
              </w:rPr>
              <w:t xml:space="preserve">: Brent Street, </w:t>
            </w:r>
            <w:r w:rsidR="002E74B8">
              <w:rPr>
                <w:rFonts w:ascii="Arial" w:hAnsi="Arial" w:cs="Arial"/>
                <w:sz w:val="24"/>
                <w:szCs w:val="24"/>
              </w:rPr>
              <w:t xml:space="preserve">Chipping Barnet, Church End, East Finchley, Golders’ Green, </w:t>
            </w:r>
            <w:r w:rsidR="00771119">
              <w:rPr>
                <w:rFonts w:ascii="Arial" w:hAnsi="Arial" w:cs="Arial"/>
                <w:sz w:val="24"/>
                <w:szCs w:val="24"/>
              </w:rPr>
              <w:t>Hendon Central, Mill Hill, New Barnet, North Finchley, Temple Fortune</w:t>
            </w:r>
            <w:r w:rsidR="00F93C85">
              <w:rPr>
                <w:rFonts w:ascii="Arial" w:hAnsi="Arial" w:cs="Arial"/>
                <w:sz w:val="24"/>
                <w:szCs w:val="24"/>
              </w:rPr>
              <w:t xml:space="preserve"> </w:t>
            </w:r>
            <w:r w:rsidR="00F93C85">
              <w:rPr>
                <w:rFonts w:ascii="Arial" w:hAnsi="Arial" w:cs="Arial"/>
                <w:sz w:val="24"/>
                <w:szCs w:val="24"/>
                <w:u w:val="single"/>
              </w:rPr>
              <w:t>Brent</w:t>
            </w:r>
            <w:r w:rsidR="00F93C85">
              <w:rPr>
                <w:rFonts w:ascii="Arial" w:hAnsi="Arial" w:cs="Arial"/>
                <w:sz w:val="24"/>
                <w:szCs w:val="24"/>
              </w:rPr>
              <w:t xml:space="preserve">: </w:t>
            </w:r>
            <w:r w:rsidR="009A22C3">
              <w:rPr>
                <w:rFonts w:ascii="Arial" w:hAnsi="Arial" w:cs="Arial"/>
                <w:sz w:val="24"/>
                <w:szCs w:val="24"/>
              </w:rPr>
              <w:t xml:space="preserve">Ealing Road, Harlesden, Neasden, Preston Road, </w:t>
            </w:r>
            <w:r w:rsidR="001C4251">
              <w:rPr>
                <w:rFonts w:ascii="Arial" w:hAnsi="Arial" w:cs="Arial"/>
                <w:sz w:val="24"/>
                <w:szCs w:val="24"/>
              </w:rPr>
              <w:t>Wembley Park, Willesden Green</w:t>
            </w:r>
          </w:p>
          <w:p w14:paraId="19ABF942" w14:textId="77777777" w:rsidR="00031978" w:rsidRDefault="001C4251" w:rsidP="00DE5B0F">
            <w:pPr>
              <w:autoSpaceDE w:val="0"/>
              <w:autoSpaceDN w:val="0"/>
              <w:adjustRightInd w:val="0"/>
              <w:rPr>
                <w:rFonts w:ascii="Arial" w:hAnsi="Arial" w:cs="Arial"/>
                <w:sz w:val="24"/>
                <w:szCs w:val="24"/>
              </w:rPr>
            </w:pPr>
            <w:r>
              <w:rPr>
                <w:rFonts w:ascii="Arial" w:hAnsi="Arial" w:cs="Arial"/>
                <w:sz w:val="24"/>
                <w:szCs w:val="24"/>
                <w:u w:val="single"/>
              </w:rPr>
              <w:t>Ealing</w:t>
            </w:r>
            <w:r>
              <w:rPr>
                <w:rFonts w:ascii="Arial" w:hAnsi="Arial" w:cs="Arial"/>
                <w:sz w:val="24"/>
                <w:szCs w:val="24"/>
              </w:rPr>
              <w:t>: Acton, Greenford, Hanwell</w:t>
            </w:r>
          </w:p>
          <w:p w14:paraId="0F2CE0C7" w14:textId="400EFA7A" w:rsidR="0013756C" w:rsidRDefault="00085849" w:rsidP="00DE5B0F">
            <w:pPr>
              <w:autoSpaceDE w:val="0"/>
              <w:autoSpaceDN w:val="0"/>
              <w:adjustRightInd w:val="0"/>
              <w:rPr>
                <w:rFonts w:ascii="Arial" w:hAnsi="Arial" w:cs="Arial"/>
                <w:sz w:val="24"/>
                <w:szCs w:val="24"/>
              </w:rPr>
            </w:pPr>
            <w:r>
              <w:rPr>
                <w:rFonts w:ascii="Arial" w:hAnsi="Arial" w:cs="Arial"/>
                <w:sz w:val="24"/>
                <w:szCs w:val="24"/>
                <w:u w:val="single"/>
              </w:rPr>
              <w:t xml:space="preserve">Hammersmith and </w:t>
            </w:r>
            <w:r w:rsidRPr="0013756C">
              <w:rPr>
                <w:rFonts w:ascii="Arial" w:hAnsi="Arial" w:cs="Arial"/>
                <w:sz w:val="24"/>
                <w:szCs w:val="24"/>
                <w:u w:val="single"/>
              </w:rPr>
              <w:t>Fulham</w:t>
            </w:r>
            <w:r>
              <w:rPr>
                <w:rFonts w:ascii="Arial" w:hAnsi="Arial" w:cs="Arial"/>
                <w:sz w:val="24"/>
                <w:szCs w:val="24"/>
              </w:rPr>
              <w:t xml:space="preserve">: </w:t>
            </w:r>
            <w:r w:rsidR="0013756C">
              <w:rPr>
                <w:rFonts w:ascii="Arial" w:hAnsi="Arial" w:cs="Arial"/>
                <w:sz w:val="24"/>
                <w:szCs w:val="24"/>
              </w:rPr>
              <w:t>Fulham High Street</w:t>
            </w:r>
          </w:p>
          <w:p w14:paraId="3364A6A2" w14:textId="290F7755" w:rsidR="00031978" w:rsidRDefault="002D7B01" w:rsidP="00DE5B0F">
            <w:pPr>
              <w:autoSpaceDE w:val="0"/>
              <w:autoSpaceDN w:val="0"/>
              <w:adjustRightInd w:val="0"/>
              <w:rPr>
                <w:rFonts w:ascii="Arial" w:hAnsi="Arial" w:cs="Arial"/>
                <w:sz w:val="24"/>
                <w:szCs w:val="24"/>
              </w:rPr>
            </w:pPr>
            <w:r w:rsidRPr="0013756C">
              <w:rPr>
                <w:rFonts w:ascii="Arial" w:hAnsi="Arial" w:cs="Arial"/>
                <w:sz w:val="24"/>
                <w:szCs w:val="24"/>
                <w:u w:val="single"/>
              </w:rPr>
              <w:t>Harrow</w:t>
            </w:r>
            <w:r>
              <w:rPr>
                <w:rFonts w:ascii="Arial" w:hAnsi="Arial" w:cs="Arial"/>
                <w:sz w:val="24"/>
                <w:szCs w:val="24"/>
              </w:rPr>
              <w:t xml:space="preserve">: Pinner, Rayners Lane, </w:t>
            </w:r>
            <w:r w:rsidR="008C61AE">
              <w:rPr>
                <w:rFonts w:ascii="Arial" w:hAnsi="Arial" w:cs="Arial"/>
                <w:sz w:val="24"/>
                <w:szCs w:val="24"/>
              </w:rPr>
              <w:t>South Harrow, Stanmore, Wealdstone</w:t>
            </w:r>
            <w:r w:rsidR="00472F6C">
              <w:rPr>
                <w:rFonts w:ascii="Arial" w:hAnsi="Arial" w:cs="Arial"/>
                <w:sz w:val="24"/>
                <w:szCs w:val="24"/>
              </w:rPr>
              <w:t xml:space="preserve"> </w:t>
            </w:r>
            <w:r w:rsidR="00472F6C">
              <w:rPr>
                <w:rFonts w:ascii="Arial" w:hAnsi="Arial" w:cs="Arial"/>
                <w:sz w:val="24"/>
                <w:szCs w:val="24"/>
                <w:u w:val="single"/>
              </w:rPr>
              <w:t>Hillingdon</w:t>
            </w:r>
            <w:r w:rsidR="00472F6C">
              <w:rPr>
                <w:rFonts w:ascii="Arial" w:hAnsi="Arial" w:cs="Arial"/>
                <w:sz w:val="24"/>
                <w:szCs w:val="24"/>
              </w:rPr>
              <w:t xml:space="preserve">: Eastcote, </w:t>
            </w:r>
            <w:r w:rsidR="009A3BBC">
              <w:rPr>
                <w:rFonts w:ascii="Arial" w:hAnsi="Arial" w:cs="Arial"/>
                <w:sz w:val="24"/>
                <w:szCs w:val="24"/>
              </w:rPr>
              <w:t>Hayes, Northwood, Ruislip, Yiewsley/West Drayton</w:t>
            </w:r>
          </w:p>
          <w:p w14:paraId="6F294A7D" w14:textId="77777777" w:rsidR="00AE7DC5" w:rsidRDefault="00085849" w:rsidP="00DE5B0F">
            <w:pPr>
              <w:autoSpaceDE w:val="0"/>
              <w:autoSpaceDN w:val="0"/>
              <w:adjustRightInd w:val="0"/>
              <w:rPr>
                <w:rFonts w:ascii="Arial" w:hAnsi="Arial" w:cs="Arial"/>
                <w:sz w:val="24"/>
                <w:szCs w:val="24"/>
              </w:rPr>
            </w:pPr>
            <w:r>
              <w:rPr>
                <w:rFonts w:ascii="Arial" w:hAnsi="Arial" w:cs="Arial"/>
                <w:sz w:val="24"/>
                <w:szCs w:val="24"/>
                <w:u w:val="single"/>
              </w:rPr>
              <w:t>Hounslow</w:t>
            </w:r>
            <w:r>
              <w:rPr>
                <w:rFonts w:ascii="Arial" w:hAnsi="Arial" w:cs="Arial"/>
                <w:sz w:val="24"/>
                <w:szCs w:val="24"/>
              </w:rPr>
              <w:t>: Brentford</w:t>
            </w:r>
          </w:p>
          <w:p w14:paraId="15A12804" w14:textId="1F6B61B3" w:rsidR="00031978" w:rsidRPr="00031978" w:rsidRDefault="00031978" w:rsidP="004B4003">
            <w:pPr>
              <w:autoSpaceDE w:val="0"/>
              <w:autoSpaceDN w:val="0"/>
              <w:adjustRightInd w:val="0"/>
              <w:spacing w:before="240"/>
              <w:rPr>
                <w:rFonts w:ascii="Arial" w:hAnsi="Arial" w:cs="Arial"/>
                <w:sz w:val="24"/>
                <w:szCs w:val="24"/>
              </w:rPr>
            </w:pPr>
            <w:r>
              <w:rPr>
                <w:rFonts w:ascii="Arial" w:hAnsi="Arial" w:cs="Arial"/>
                <w:sz w:val="24"/>
                <w:szCs w:val="24"/>
                <w:u w:val="single"/>
              </w:rPr>
              <w:t>Shared</w:t>
            </w:r>
            <w:r>
              <w:rPr>
                <w:rFonts w:ascii="Arial" w:hAnsi="Arial" w:cs="Arial"/>
                <w:sz w:val="24"/>
                <w:szCs w:val="24"/>
              </w:rPr>
              <w:t>: Burnt Oak (Barnet/Harrow)</w:t>
            </w:r>
            <w:r w:rsidR="00EE0BB1">
              <w:rPr>
                <w:rFonts w:ascii="Arial" w:hAnsi="Arial" w:cs="Arial"/>
                <w:sz w:val="24"/>
                <w:szCs w:val="24"/>
              </w:rPr>
              <w:t>, Colindale (Barnet/Brent), Cricklewood (Barnet/Brent)</w:t>
            </w:r>
            <w:r w:rsidR="004B4003">
              <w:rPr>
                <w:rFonts w:ascii="Arial" w:hAnsi="Arial" w:cs="Arial"/>
                <w:sz w:val="24"/>
                <w:szCs w:val="24"/>
              </w:rPr>
              <w:t>, Kenton (Brent/Harrow)</w:t>
            </w:r>
          </w:p>
        </w:tc>
      </w:tr>
      <w:tr w:rsidR="008F5B8F" w14:paraId="68B2F48E" w14:textId="77777777" w:rsidTr="00AE7DC5">
        <w:tc>
          <w:tcPr>
            <w:tcW w:w="4508" w:type="dxa"/>
          </w:tcPr>
          <w:p w14:paraId="44ECB66B" w14:textId="1A62AA92" w:rsidR="008F5B8F" w:rsidRDefault="0004182D" w:rsidP="00DE5B0F">
            <w:pPr>
              <w:autoSpaceDE w:val="0"/>
              <w:autoSpaceDN w:val="0"/>
              <w:adjustRightInd w:val="0"/>
              <w:rPr>
                <w:rFonts w:ascii="Arial" w:hAnsi="Arial" w:cs="Arial"/>
                <w:sz w:val="24"/>
                <w:szCs w:val="24"/>
              </w:rPr>
            </w:pPr>
            <w:r>
              <w:rPr>
                <w:rFonts w:ascii="Arial" w:hAnsi="Arial" w:cs="Arial"/>
                <w:sz w:val="24"/>
                <w:szCs w:val="24"/>
              </w:rPr>
              <w:t>Centres identified for future designation</w:t>
            </w:r>
          </w:p>
        </w:tc>
        <w:tc>
          <w:tcPr>
            <w:tcW w:w="4508" w:type="dxa"/>
          </w:tcPr>
          <w:p w14:paraId="088D2F15" w14:textId="77777777" w:rsidR="008F5B8F" w:rsidRDefault="0004182D" w:rsidP="00DE5B0F">
            <w:pPr>
              <w:autoSpaceDE w:val="0"/>
              <w:autoSpaceDN w:val="0"/>
              <w:adjustRightInd w:val="0"/>
              <w:rPr>
                <w:rFonts w:ascii="Arial" w:hAnsi="Arial" w:cs="Arial"/>
                <w:sz w:val="24"/>
                <w:szCs w:val="24"/>
              </w:rPr>
            </w:pPr>
            <w:r>
              <w:rPr>
                <w:rFonts w:ascii="Arial" w:hAnsi="Arial" w:cs="Arial"/>
                <w:sz w:val="24"/>
                <w:szCs w:val="24"/>
              </w:rPr>
              <w:t xml:space="preserve">Brent Cross (Barnet) </w:t>
            </w:r>
            <w:r w:rsidR="00E86F64">
              <w:rPr>
                <w:rFonts w:ascii="Arial" w:hAnsi="Arial" w:cs="Arial"/>
                <w:sz w:val="24"/>
                <w:szCs w:val="24"/>
              </w:rPr>
              <w:t>– as a metropolitan centre</w:t>
            </w:r>
          </w:p>
          <w:p w14:paraId="481F0295" w14:textId="5B9B60FA" w:rsidR="00E86F64" w:rsidRPr="0004182D" w:rsidRDefault="00E86F64" w:rsidP="00DE5B0F">
            <w:pPr>
              <w:autoSpaceDE w:val="0"/>
              <w:autoSpaceDN w:val="0"/>
              <w:adjustRightInd w:val="0"/>
              <w:rPr>
                <w:rFonts w:ascii="Arial" w:hAnsi="Arial" w:cs="Arial"/>
                <w:sz w:val="24"/>
                <w:szCs w:val="24"/>
              </w:rPr>
            </w:pPr>
            <w:r>
              <w:rPr>
                <w:rFonts w:ascii="Arial" w:hAnsi="Arial" w:cs="Arial"/>
                <w:sz w:val="24"/>
                <w:szCs w:val="24"/>
              </w:rPr>
              <w:t>Old Oak High Street</w:t>
            </w:r>
            <w:r w:rsidR="00550ABE">
              <w:rPr>
                <w:rFonts w:ascii="Arial" w:hAnsi="Arial" w:cs="Arial"/>
                <w:sz w:val="24"/>
                <w:szCs w:val="24"/>
              </w:rPr>
              <w:t xml:space="preserve"> (</w:t>
            </w:r>
            <w:r w:rsidR="00A5416C">
              <w:rPr>
                <w:rFonts w:ascii="Arial" w:hAnsi="Arial" w:cs="Arial"/>
                <w:sz w:val="24"/>
                <w:szCs w:val="24"/>
              </w:rPr>
              <w:t>Hammersmith and Fulham/Ealing)</w:t>
            </w:r>
            <w:r>
              <w:rPr>
                <w:rFonts w:ascii="Arial" w:hAnsi="Arial" w:cs="Arial"/>
                <w:sz w:val="24"/>
                <w:szCs w:val="24"/>
              </w:rPr>
              <w:t xml:space="preserve"> – as a </w:t>
            </w:r>
            <w:r w:rsidR="00550ABE">
              <w:rPr>
                <w:rFonts w:ascii="Arial" w:hAnsi="Arial" w:cs="Arial"/>
                <w:sz w:val="24"/>
                <w:szCs w:val="24"/>
              </w:rPr>
              <w:t>major centre</w:t>
            </w:r>
          </w:p>
        </w:tc>
      </w:tr>
    </w:tbl>
    <w:p w14:paraId="5173D26E" w14:textId="1DB01F73" w:rsidR="00C85757" w:rsidRDefault="00C85757" w:rsidP="00DE5B0F">
      <w:pPr>
        <w:autoSpaceDE w:val="0"/>
        <w:autoSpaceDN w:val="0"/>
        <w:adjustRightInd w:val="0"/>
        <w:spacing w:after="0" w:line="240" w:lineRule="auto"/>
        <w:rPr>
          <w:rFonts w:ascii="Arial" w:hAnsi="Arial" w:cs="Arial"/>
          <w:b/>
          <w:bCs/>
          <w:sz w:val="24"/>
          <w:szCs w:val="24"/>
        </w:rPr>
      </w:pPr>
    </w:p>
    <w:p w14:paraId="08B344C4" w14:textId="77777777" w:rsidR="00C85757" w:rsidRDefault="00C85757">
      <w:pPr>
        <w:rPr>
          <w:rFonts w:ascii="Arial" w:hAnsi="Arial" w:cs="Arial"/>
          <w:b/>
          <w:bCs/>
          <w:sz w:val="24"/>
          <w:szCs w:val="24"/>
        </w:rPr>
      </w:pPr>
      <w:r>
        <w:rPr>
          <w:rFonts w:ascii="Arial" w:hAnsi="Arial" w:cs="Arial"/>
          <w:b/>
          <w:bCs/>
          <w:sz w:val="24"/>
          <w:szCs w:val="24"/>
        </w:rPr>
        <w:br w:type="page"/>
      </w:r>
    </w:p>
    <w:p w14:paraId="0504DB43" w14:textId="77777777" w:rsidR="00AC7745" w:rsidRDefault="00AC7745" w:rsidP="005352E7">
      <w:pPr>
        <w:rPr>
          <w:rFonts w:ascii="Arial" w:hAnsi="Arial" w:cs="Arial"/>
          <w:b/>
          <w:bCs/>
          <w:sz w:val="24"/>
          <w:szCs w:val="24"/>
        </w:rPr>
        <w:sectPr w:rsidR="00AC7745">
          <w:footerReference w:type="default" r:id="rId8"/>
          <w:pgSz w:w="11906" w:h="16838"/>
          <w:pgMar w:top="1440" w:right="1440" w:bottom="1440" w:left="1440" w:header="708" w:footer="708" w:gutter="0"/>
          <w:cols w:space="708"/>
          <w:docGrid w:linePitch="360"/>
        </w:sectPr>
      </w:pPr>
    </w:p>
    <w:p w14:paraId="31FAB95A" w14:textId="58F33353" w:rsidR="005352E7" w:rsidRDefault="00FD4CE9" w:rsidP="005352E7">
      <w:pPr>
        <w:rPr>
          <w:b/>
          <w:bCs/>
        </w:rPr>
      </w:pPr>
      <w:r>
        <w:rPr>
          <w:rFonts w:ascii="Arial" w:hAnsi="Arial" w:cs="Arial"/>
          <w:b/>
          <w:bCs/>
          <w:sz w:val="24"/>
          <w:szCs w:val="24"/>
        </w:rPr>
        <w:lastRenderedPageBreak/>
        <w:t xml:space="preserve">Appendix B </w:t>
      </w:r>
      <w:r w:rsidR="005352E7">
        <w:rPr>
          <w:rFonts w:ascii="Arial" w:hAnsi="Arial" w:cs="Arial"/>
          <w:b/>
          <w:bCs/>
          <w:sz w:val="24"/>
          <w:szCs w:val="24"/>
        </w:rPr>
        <w:t>–</w:t>
      </w:r>
      <w:r>
        <w:rPr>
          <w:rFonts w:ascii="Arial" w:hAnsi="Arial" w:cs="Arial"/>
          <w:b/>
          <w:bCs/>
          <w:sz w:val="24"/>
          <w:szCs w:val="24"/>
        </w:rPr>
        <w:t xml:space="preserve"> </w:t>
      </w:r>
      <w:r w:rsidR="005352E7">
        <w:rPr>
          <w:rFonts w:ascii="Arial" w:hAnsi="Arial" w:cs="Arial"/>
          <w:b/>
          <w:bCs/>
          <w:sz w:val="24"/>
          <w:szCs w:val="24"/>
        </w:rPr>
        <w:t>Town centre data held by boroughs</w:t>
      </w:r>
    </w:p>
    <w:p w14:paraId="3C18D553" w14:textId="77777777" w:rsidR="00AC7745" w:rsidRDefault="00AC7745" w:rsidP="005352E7">
      <w:pPr>
        <w:sectPr w:rsidR="00AC7745" w:rsidSect="00AC7745">
          <w:pgSz w:w="16838" w:h="11906" w:orient="landscape"/>
          <w:pgMar w:top="1440" w:right="1440" w:bottom="1440" w:left="1440" w:header="709" w:footer="709" w:gutter="0"/>
          <w:cols w:space="708"/>
          <w:docGrid w:linePitch="360"/>
        </w:sectPr>
      </w:pPr>
    </w:p>
    <w:p w14:paraId="7AA5823D" w14:textId="265C403B" w:rsidR="005352E7" w:rsidRPr="005970A3" w:rsidRDefault="005352E7" w:rsidP="005352E7"/>
    <w:tbl>
      <w:tblPr>
        <w:tblStyle w:val="TableGrid"/>
        <w:tblW w:w="16727" w:type="dxa"/>
        <w:tblInd w:w="-1423" w:type="dxa"/>
        <w:tblLayout w:type="fixed"/>
        <w:tblLook w:val="04A0" w:firstRow="1" w:lastRow="0" w:firstColumn="1" w:lastColumn="0" w:noHBand="0" w:noVBand="1"/>
      </w:tblPr>
      <w:tblGrid>
        <w:gridCol w:w="2054"/>
        <w:gridCol w:w="2058"/>
        <w:gridCol w:w="1984"/>
        <w:gridCol w:w="2268"/>
        <w:gridCol w:w="1985"/>
        <w:gridCol w:w="1701"/>
        <w:gridCol w:w="1842"/>
        <w:gridCol w:w="2835"/>
      </w:tblGrid>
      <w:tr w:rsidR="005352E7" w14:paraId="225905EE" w14:textId="77777777" w:rsidTr="007315A9">
        <w:tc>
          <w:tcPr>
            <w:tcW w:w="2054" w:type="dxa"/>
          </w:tcPr>
          <w:p w14:paraId="3A82687A" w14:textId="77777777" w:rsidR="005352E7" w:rsidRDefault="005352E7" w:rsidP="007315A9">
            <w:pPr>
              <w:rPr>
                <w:b/>
                <w:bCs/>
              </w:rPr>
            </w:pPr>
          </w:p>
        </w:tc>
        <w:tc>
          <w:tcPr>
            <w:tcW w:w="2058" w:type="dxa"/>
          </w:tcPr>
          <w:p w14:paraId="37EEF626" w14:textId="77777777" w:rsidR="005352E7" w:rsidRDefault="005352E7" w:rsidP="007315A9">
            <w:pPr>
              <w:rPr>
                <w:b/>
                <w:bCs/>
              </w:rPr>
            </w:pPr>
            <w:r>
              <w:rPr>
                <w:b/>
                <w:bCs/>
              </w:rPr>
              <w:t>Barnet</w:t>
            </w:r>
          </w:p>
          <w:p w14:paraId="6565E3DF" w14:textId="77777777" w:rsidR="005352E7" w:rsidRDefault="005352E7" w:rsidP="007315A9">
            <w:pPr>
              <w:rPr>
                <w:b/>
                <w:bCs/>
              </w:rPr>
            </w:pPr>
            <w:r>
              <w:rPr>
                <w:b/>
                <w:bCs/>
              </w:rPr>
              <w:t>Barnet has 30 town centres (1 Major, 14 District, 15 Local) and Brent Cross Cricklewood Regional centre.</w:t>
            </w:r>
          </w:p>
          <w:p w14:paraId="10E3DA93" w14:textId="77777777" w:rsidR="005352E7" w:rsidRDefault="005352E7" w:rsidP="007315A9">
            <w:pPr>
              <w:rPr>
                <w:b/>
                <w:bCs/>
              </w:rPr>
            </w:pPr>
          </w:p>
          <w:p w14:paraId="1044F6D9" w14:textId="77777777" w:rsidR="005352E7" w:rsidRDefault="005352E7" w:rsidP="007315A9">
            <w:pPr>
              <w:rPr>
                <w:b/>
                <w:bCs/>
              </w:rPr>
            </w:pPr>
            <w:r>
              <w:rPr>
                <w:b/>
                <w:bCs/>
              </w:rPr>
              <w:t xml:space="preserve">Nick Lynch </w:t>
            </w:r>
          </w:p>
        </w:tc>
        <w:tc>
          <w:tcPr>
            <w:tcW w:w="1984" w:type="dxa"/>
          </w:tcPr>
          <w:p w14:paraId="40BE9436" w14:textId="77777777" w:rsidR="005352E7" w:rsidRDefault="005352E7" w:rsidP="007315A9">
            <w:pPr>
              <w:rPr>
                <w:b/>
                <w:bCs/>
              </w:rPr>
            </w:pPr>
            <w:r>
              <w:rPr>
                <w:b/>
                <w:bCs/>
              </w:rPr>
              <w:t>Brent</w:t>
            </w:r>
          </w:p>
          <w:p w14:paraId="6A48A9FD" w14:textId="77777777" w:rsidR="005352E7" w:rsidRDefault="005352E7" w:rsidP="007315A9">
            <w:pPr>
              <w:rPr>
                <w:b/>
                <w:bCs/>
              </w:rPr>
            </w:pPr>
          </w:p>
          <w:p w14:paraId="00AE4EF7" w14:textId="77777777" w:rsidR="005352E7" w:rsidRDefault="005352E7" w:rsidP="007315A9">
            <w:pPr>
              <w:rPr>
                <w:b/>
                <w:bCs/>
              </w:rPr>
            </w:pPr>
            <w:r>
              <w:rPr>
                <w:b/>
                <w:bCs/>
              </w:rPr>
              <w:t>Jordan Henderson</w:t>
            </w:r>
          </w:p>
          <w:p w14:paraId="3A181D77" w14:textId="77777777" w:rsidR="005352E7" w:rsidRDefault="005352E7" w:rsidP="007315A9">
            <w:pPr>
              <w:rPr>
                <w:b/>
                <w:bCs/>
              </w:rPr>
            </w:pPr>
          </w:p>
        </w:tc>
        <w:tc>
          <w:tcPr>
            <w:tcW w:w="2268" w:type="dxa"/>
          </w:tcPr>
          <w:p w14:paraId="4A2F3FDD" w14:textId="77777777" w:rsidR="005352E7" w:rsidRDefault="005352E7" w:rsidP="007315A9">
            <w:pPr>
              <w:rPr>
                <w:b/>
                <w:bCs/>
              </w:rPr>
            </w:pPr>
            <w:r>
              <w:rPr>
                <w:b/>
                <w:bCs/>
              </w:rPr>
              <w:t>Ealing</w:t>
            </w:r>
          </w:p>
          <w:p w14:paraId="11B1DA3A" w14:textId="77777777" w:rsidR="005352E7" w:rsidRDefault="005352E7" w:rsidP="007315A9">
            <w:pPr>
              <w:rPr>
                <w:b/>
                <w:bCs/>
              </w:rPr>
            </w:pPr>
          </w:p>
          <w:p w14:paraId="6F0DADD9" w14:textId="77777777" w:rsidR="005352E7" w:rsidRDefault="005352E7" w:rsidP="007315A9">
            <w:pPr>
              <w:rPr>
                <w:b/>
                <w:bCs/>
              </w:rPr>
            </w:pPr>
            <w:r>
              <w:rPr>
                <w:b/>
                <w:bCs/>
              </w:rPr>
              <w:t>Sam Cuthbert</w:t>
            </w:r>
          </w:p>
        </w:tc>
        <w:tc>
          <w:tcPr>
            <w:tcW w:w="1985" w:type="dxa"/>
          </w:tcPr>
          <w:p w14:paraId="7AD3424F" w14:textId="77777777" w:rsidR="005352E7" w:rsidRDefault="005352E7" w:rsidP="007315A9">
            <w:pPr>
              <w:rPr>
                <w:b/>
                <w:bCs/>
              </w:rPr>
            </w:pPr>
            <w:r>
              <w:rPr>
                <w:b/>
                <w:bCs/>
              </w:rPr>
              <w:t>Hammersmith and Fulham</w:t>
            </w:r>
          </w:p>
          <w:p w14:paraId="15A3C0DF" w14:textId="77777777" w:rsidR="005352E7" w:rsidRDefault="005352E7" w:rsidP="007315A9">
            <w:pPr>
              <w:rPr>
                <w:b/>
                <w:bCs/>
              </w:rPr>
            </w:pPr>
          </w:p>
          <w:p w14:paraId="462ADB57" w14:textId="77777777" w:rsidR="005352E7" w:rsidRDefault="005352E7" w:rsidP="007315A9">
            <w:pPr>
              <w:rPr>
                <w:b/>
                <w:bCs/>
              </w:rPr>
            </w:pPr>
            <w:r>
              <w:rPr>
                <w:b/>
                <w:bCs/>
              </w:rPr>
              <w:t>Thajinder Janda</w:t>
            </w:r>
          </w:p>
        </w:tc>
        <w:tc>
          <w:tcPr>
            <w:tcW w:w="1701" w:type="dxa"/>
          </w:tcPr>
          <w:p w14:paraId="752D7883" w14:textId="77777777" w:rsidR="005352E7" w:rsidRDefault="005352E7" w:rsidP="007315A9">
            <w:pPr>
              <w:rPr>
                <w:b/>
                <w:bCs/>
              </w:rPr>
            </w:pPr>
            <w:r>
              <w:rPr>
                <w:b/>
                <w:bCs/>
              </w:rPr>
              <w:t>Harrow</w:t>
            </w:r>
          </w:p>
          <w:p w14:paraId="6C75269C" w14:textId="77777777" w:rsidR="005352E7" w:rsidRDefault="005352E7" w:rsidP="007315A9">
            <w:pPr>
              <w:rPr>
                <w:b/>
                <w:bCs/>
              </w:rPr>
            </w:pPr>
          </w:p>
          <w:p w14:paraId="65571399" w14:textId="77777777" w:rsidR="005352E7" w:rsidRDefault="005352E7" w:rsidP="007315A9">
            <w:pPr>
              <w:rPr>
                <w:b/>
                <w:bCs/>
              </w:rPr>
            </w:pPr>
            <w:r>
              <w:rPr>
                <w:b/>
                <w:bCs/>
              </w:rPr>
              <w:t>Callum Sayers</w:t>
            </w:r>
          </w:p>
        </w:tc>
        <w:tc>
          <w:tcPr>
            <w:tcW w:w="1842" w:type="dxa"/>
          </w:tcPr>
          <w:p w14:paraId="5897C832" w14:textId="77777777" w:rsidR="005352E7" w:rsidRDefault="005352E7" w:rsidP="007315A9">
            <w:pPr>
              <w:rPr>
                <w:b/>
                <w:bCs/>
              </w:rPr>
            </w:pPr>
            <w:r>
              <w:rPr>
                <w:b/>
                <w:bCs/>
              </w:rPr>
              <w:t>Hillingdon</w:t>
            </w:r>
          </w:p>
          <w:p w14:paraId="51E80A6B" w14:textId="77777777" w:rsidR="005352E7" w:rsidRDefault="005352E7" w:rsidP="007315A9">
            <w:pPr>
              <w:rPr>
                <w:b/>
                <w:bCs/>
              </w:rPr>
            </w:pPr>
          </w:p>
          <w:p w14:paraId="4DE4860F" w14:textId="77777777" w:rsidR="005352E7" w:rsidRDefault="005352E7" w:rsidP="007315A9">
            <w:pPr>
              <w:rPr>
                <w:b/>
                <w:bCs/>
              </w:rPr>
            </w:pPr>
            <w:r>
              <w:rPr>
                <w:b/>
                <w:bCs/>
              </w:rPr>
              <w:t>Tom Campbell</w:t>
            </w:r>
          </w:p>
        </w:tc>
        <w:tc>
          <w:tcPr>
            <w:tcW w:w="2835" w:type="dxa"/>
          </w:tcPr>
          <w:p w14:paraId="52F7C976" w14:textId="77777777" w:rsidR="005352E7" w:rsidRDefault="005352E7" w:rsidP="007315A9">
            <w:pPr>
              <w:ind w:right="1647"/>
              <w:rPr>
                <w:b/>
                <w:bCs/>
              </w:rPr>
            </w:pPr>
            <w:r>
              <w:rPr>
                <w:b/>
                <w:bCs/>
              </w:rPr>
              <w:t>Hounslow</w:t>
            </w:r>
          </w:p>
          <w:p w14:paraId="06F88FCF" w14:textId="77777777" w:rsidR="005352E7" w:rsidRDefault="005352E7" w:rsidP="007315A9">
            <w:pPr>
              <w:rPr>
                <w:b/>
                <w:bCs/>
              </w:rPr>
            </w:pPr>
          </w:p>
          <w:p w14:paraId="08B1A6CF" w14:textId="77777777" w:rsidR="005352E7" w:rsidRDefault="005352E7" w:rsidP="007315A9">
            <w:pPr>
              <w:rPr>
                <w:b/>
                <w:bCs/>
              </w:rPr>
            </w:pPr>
            <w:r>
              <w:rPr>
                <w:b/>
                <w:bCs/>
              </w:rPr>
              <w:t>David Dewar</w:t>
            </w:r>
          </w:p>
        </w:tc>
      </w:tr>
      <w:tr w:rsidR="005352E7" w14:paraId="20F172B0" w14:textId="77777777" w:rsidTr="007315A9">
        <w:tc>
          <w:tcPr>
            <w:tcW w:w="2054" w:type="dxa"/>
          </w:tcPr>
          <w:p w14:paraId="4C452DD0" w14:textId="77777777" w:rsidR="005352E7" w:rsidRDefault="005352E7" w:rsidP="005352E7">
            <w:pPr>
              <w:pStyle w:val="ListParagraph"/>
              <w:numPr>
                <w:ilvl w:val="0"/>
                <w:numId w:val="40"/>
              </w:numPr>
              <w:ind w:left="312" w:hanging="312"/>
              <w:rPr>
                <w:b/>
                <w:bCs/>
              </w:rPr>
            </w:pPr>
            <w:r>
              <w:rPr>
                <w:b/>
                <w:bCs/>
              </w:rPr>
              <w:t>Does your authority have a current retail/town centre floorspace needs assessment?</w:t>
            </w:r>
          </w:p>
          <w:p w14:paraId="14FB60CD" w14:textId="77777777" w:rsidR="005352E7" w:rsidRDefault="005352E7" w:rsidP="007315A9">
            <w:pPr>
              <w:rPr>
                <w:b/>
                <w:bCs/>
              </w:rPr>
            </w:pPr>
          </w:p>
          <w:p w14:paraId="0ABD62F4" w14:textId="77777777" w:rsidR="005352E7" w:rsidRPr="00F3589C" w:rsidRDefault="005352E7" w:rsidP="007315A9">
            <w:pPr>
              <w:rPr>
                <w:b/>
                <w:bCs/>
              </w:rPr>
            </w:pPr>
          </w:p>
        </w:tc>
        <w:tc>
          <w:tcPr>
            <w:tcW w:w="2058" w:type="dxa"/>
          </w:tcPr>
          <w:p w14:paraId="1E89F340" w14:textId="77777777" w:rsidR="005352E7" w:rsidRDefault="005352E7" w:rsidP="007315A9">
            <w:pPr>
              <w:rPr>
                <w:b/>
                <w:bCs/>
              </w:rPr>
            </w:pPr>
            <w:r>
              <w:rPr>
                <w:b/>
                <w:bCs/>
              </w:rPr>
              <w:t>Town Centres Floorspace Needs Assessment (December 2017)</w:t>
            </w:r>
          </w:p>
          <w:p w14:paraId="2D45921A" w14:textId="77777777" w:rsidR="005352E7" w:rsidRDefault="005352E7" w:rsidP="007315A9">
            <w:pPr>
              <w:rPr>
                <w:b/>
                <w:bCs/>
              </w:rPr>
            </w:pPr>
          </w:p>
          <w:p w14:paraId="6102BD98" w14:textId="77777777" w:rsidR="005352E7" w:rsidRDefault="009B6EFB" w:rsidP="007315A9">
            <w:pPr>
              <w:rPr>
                <w:b/>
                <w:bCs/>
              </w:rPr>
            </w:pPr>
            <w:hyperlink r:id="rId9" w:history="1">
              <w:r w:rsidR="005352E7" w:rsidRPr="00821297">
                <w:rPr>
                  <w:rStyle w:val="Hyperlink"/>
                  <w:b/>
                  <w:bCs/>
                </w:rPr>
                <w:t>https://www.barnet.gov.uk/planning-and-building/planning-policies-and-local-plan/local-plan/ldf-evidence-and-supporting</w:t>
              </w:r>
            </w:hyperlink>
          </w:p>
          <w:p w14:paraId="41305B5E" w14:textId="77777777" w:rsidR="005352E7" w:rsidRDefault="005352E7" w:rsidP="007315A9">
            <w:pPr>
              <w:rPr>
                <w:b/>
                <w:bCs/>
              </w:rPr>
            </w:pPr>
          </w:p>
        </w:tc>
        <w:tc>
          <w:tcPr>
            <w:tcW w:w="1984" w:type="dxa"/>
          </w:tcPr>
          <w:p w14:paraId="772DF53E" w14:textId="77777777" w:rsidR="005352E7" w:rsidRDefault="005352E7" w:rsidP="007315A9">
            <w:pPr>
              <w:rPr>
                <w:b/>
                <w:bCs/>
              </w:rPr>
            </w:pPr>
            <w:r>
              <w:rPr>
                <w:b/>
                <w:bCs/>
              </w:rPr>
              <w:t xml:space="preserve">Retail and Leisure Study. Published 2018. </w:t>
            </w:r>
          </w:p>
          <w:p w14:paraId="39265265" w14:textId="77777777" w:rsidR="005352E7" w:rsidRDefault="005352E7" w:rsidP="007315A9">
            <w:pPr>
              <w:rPr>
                <w:b/>
                <w:bCs/>
              </w:rPr>
            </w:pPr>
          </w:p>
          <w:p w14:paraId="0E33C4BC" w14:textId="77777777" w:rsidR="005352E7" w:rsidRDefault="009B6EFB" w:rsidP="007315A9">
            <w:pPr>
              <w:ind w:left="53" w:firstLine="153"/>
              <w:rPr>
                <w:b/>
                <w:bCs/>
              </w:rPr>
            </w:pPr>
            <w:hyperlink r:id="rId10" w:history="1">
              <w:r w:rsidR="005352E7" w:rsidRPr="00D22A91">
                <w:rPr>
                  <w:rStyle w:val="Hyperlink"/>
                  <w:b/>
                  <w:bCs/>
                </w:rPr>
                <w:t>Microsoft Word - Brent RLS2018 Main Report (Doc A Vol 1) Final .docx</w:t>
              </w:r>
            </w:hyperlink>
          </w:p>
        </w:tc>
        <w:tc>
          <w:tcPr>
            <w:tcW w:w="2268" w:type="dxa"/>
          </w:tcPr>
          <w:p w14:paraId="730F242E" w14:textId="77777777" w:rsidR="005352E7" w:rsidRDefault="005352E7" w:rsidP="007315A9">
            <w:pPr>
              <w:rPr>
                <w:b/>
                <w:bCs/>
              </w:rPr>
            </w:pPr>
            <w:r>
              <w:rPr>
                <w:b/>
                <w:bCs/>
              </w:rPr>
              <w:t>Ealing Retail and Leisure Study  2017</w:t>
            </w:r>
          </w:p>
          <w:p w14:paraId="26EBE848" w14:textId="77777777" w:rsidR="005352E7" w:rsidRDefault="005352E7" w:rsidP="007315A9">
            <w:pPr>
              <w:rPr>
                <w:b/>
                <w:bCs/>
              </w:rPr>
            </w:pPr>
          </w:p>
          <w:p w14:paraId="433AD777" w14:textId="77777777" w:rsidR="005352E7" w:rsidRDefault="009B6EFB" w:rsidP="007315A9">
            <w:pPr>
              <w:rPr>
                <w:b/>
                <w:bCs/>
              </w:rPr>
            </w:pPr>
            <w:hyperlink r:id="rId11" w:history="1">
              <w:r w:rsidR="005352E7" w:rsidRPr="00BC4143">
                <w:rPr>
                  <w:rStyle w:val="Hyperlink"/>
                  <w:b/>
                  <w:bCs/>
                </w:rPr>
                <w:t>Retail | Evidence base | Ealing Council</w:t>
              </w:r>
            </w:hyperlink>
          </w:p>
          <w:p w14:paraId="4368CABE" w14:textId="77777777" w:rsidR="005352E7" w:rsidRDefault="005352E7" w:rsidP="007315A9">
            <w:pPr>
              <w:rPr>
                <w:b/>
                <w:bCs/>
              </w:rPr>
            </w:pPr>
          </w:p>
          <w:p w14:paraId="2636C50D" w14:textId="77777777" w:rsidR="005352E7" w:rsidRDefault="005352E7" w:rsidP="007315A9">
            <w:pPr>
              <w:rPr>
                <w:b/>
                <w:bCs/>
              </w:rPr>
            </w:pPr>
            <w:r>
              <w:rPr>
                <w:b/>
                <w:bCs/>
              </w:rPr>
              <w:t>Retail and Town Centres Study 2018</w:t>
            </w:r>
          </w:p>
          <w:p w14:paraId="1E323806" w14:textId="77777777" w:rsidR="005352E7" w:rsidRDefault="005352E7" w:rsidP="007315A9">
            <w:pPr>
              <w:rPr>
                <w:b/>
                <w:bCs/>
              </w:rPr>
            </w:pPr>
          </w:p>
          <w:p w14:paraId="079C0FC8" w14:textId="122ED656" w:rsidR="005352E7" w:rsidRDefault="005352E7" w:rsidP="007315A9">
            <w:pPr>
              <w:rPr>
                <w:b/>
                <w:bCs/>
              </w:rPr>
            </w:pPr>
            <w:r>
              <w:rPr>
                <w:b/>
                <w:bCs/>
              </w:rPr>
              <w:t>Copy sent</w:t>
            </w:r>
            <w:r w:rsidR="00AC7745">
              <w:rPr>
                <w:b/>
                <w:bCs/>
              </w:rPr>
              <w:t xml:space="preserve"> to WLA</w:t>
            </w:r>
          </w:p>
        </w:tc>
        <w:tc>
          <w:tcPr>
            <w:tcW w:w="1985" w:type="dxa"/>
          </w:tcPr>
          <w:p w14:paraId="091617B8" w14:textId="77777777" w:rsidR="005352E7" w:rsidRDefault="005352E7" w:rsidP="007315A9">
            <w:pPr>
              <w:rPr>
                <w:b/>
                <w:bCs/>
              </w:rPr>
            </w:pPr>
            <w:r>
              <w:rPr>
                <w:b/>
                <w:bCs/>
              </w:rPr>
              <w:t>Retail Needs Study 2016</w:t>
            </w:r>
          </w:p>
          <w:p w14:paraId="2F9899D4" w14:textId="77777777" w:rsidR="005352E7" w:rsidRDefault="009B6EFB" w:rsidP="007315A9">
            <w:pPr>
              <w:rPr>
                <w:b/>
                <w:bCs/>
              </w:rPr>
            </w:pPr>
            <w:hyperlink r:id="rId12" w:history="1">
              <w:r w:rsidR="005352E7" w:rsidRPr="00FF2A0F">
                <w:rPr>
                  <w:rStyle w:val="Hyperlink"/>
                  <w:b/>
                  <w:bCs/>
                </w:rPr>
                <w:t>https://www.lbhf.gov.uk/sites/default/files/section_attachments/lbhf_retail_needs_study_update_2015_-_240516.pdf</w:t>
              </w:r>
            </w:hyperlink>
          </w:p>
          <w:p w14:paraId="0C522566" w14:textId="77777777" w:rsidR="005352E7" w:rsidRDefault="005352E7" w:rsidP="007315A9">
            <w:pPr>
              <w:rPr>
                <w:b/>
                <w:bCs/>
              </w:rPr>
            </w:pPr>
          </w:p>
        </w:tc>
        <w:tc>
          <w:tcPr>
            <w:tcW w:w="1701" w:type="dxa"/>
          </w:tcPr>
          <w:p w14:paraId="46716331" w14:textId="77777777" w:rsidR="005352E7" w:rsidRDefault="005352E7" w:rsidP="007315A9">
            <w:pPr>
              <w:rPr>
                <w:b/>
                <w:bCs/>
              </w:rPr>
            </w:pPr>
            <w:r>
              <w:rPr>
                <w:b/>
                <w:bCs/>
              </w:rPr>
              <w:t>Economic Development Needs Assessment (2017)</w:t>
            </w:r>
          </w:p>
          <w:p w14:paraId="06F71DEE" w14:textId="77777777" w:rsidR="005352E7" w:rsidRDefault="005352E7" w:rsidP="007315A9">
            <w:pPr>
              <w:rPr>
                <w:b/>
                <w:bCs/>
              </w:rPr>
            </w:pPr>
          </w:p>
          <w:p w14:paraId="5143DFBE" w14:textId="77777777" w:rsidR="005352E7" w:rsidRDefault="009B6EFB" w:rsidP="007315A9">
            <w:pPr>
              <w:rPr>
                <w:b/>
                <w:bCs/>
              </w:rPr>
            </w:pPr>
            <w:hyperlink r:id="rId13" w:history="1">
              <w:r w:rsidR="005352E7">
                <w:rPr>
                  <w:rStyle w:val="Hyperlink"/>
                  <w:b/>
                  <w:bCs/>
                </w:rPr>
                <w:t>https://www.harrow.gov.uk/downloads/file/26932/harrow-economic-development-needs-assessment-final-01-07-17</w:t>
              </w:r>
            </w:hyperlink>
          </w:p>
          <w:p w14:paraId="33EB6347" w14:textId="77777777" w:rsidR="005352E7" w:rsidRDefault="005352E7" w:rsidP="007315A9">
            <w:pPr>
              <w:rPr>
                <w:b/>
                <w:bCs/>
              </w:rPr>
            </w:pPr>
          </w:p>
        </w:tc>
        <w:tc>
          <w:tcPr>
            <w:tcW w:w="1842" w:type="dxa"/>
          </w:tcPr>
          <w:p w14:paraId="684C59CE" w14:textId="77777777" w:rsidR="005352E7" w:rsidRDefault="005352E7" w:rsidP="007315A9">
            <w:pPr>
              <w:rPr>
                <w:b/>
                <w:bCs/>
              </w:rPr>
            </w:pPr>
            <w:r>
              <w:rPr>
                <w:b/>
                <w:bCs/>
              </w:rPr>
              <w:t>Town Centres and Retail Study (2006 and updated 2012)</w:t>
            </w:r>
          </w:p>
          <w:p w14:paraId="541E2AD2" w14:textId="77777777" w:rsidR="005352E7" w:rsidRDefault="005352E7" w:rsidP="007315A9">
            <w:pPr>
              <w:rPr>
                <w:b/>
                <w:bCs/>
              </w:rPr>
            </w:pPr>
          </w:p>
          <w:p w14:paraId="245DA537" w14:textId="77777777" w:rsidR="005352E7" w:rsidRDefault="009B6EFB" w:rsidP="007315A9">
            <w:pPr>
              <w:rPr>
                <w:b/>
                <w:bCs/>
              </w:rPr>
            </w:pPr>
            <w:hyperlink r:id="rId14" w:history="1">
              <w:r w:rsidR="005352E7">
                <w:rPr>
                  <w:rStyle w:val="Hyperlink"/>
                  <w:b/>
                  <w:bCs/>
                </w:rPr>
                <w:t>https://www.google.com/url?sa=t&amp;rct=j&amp;q=&amp;esrc=s&amp;source=web&amp;cd=&amp;ved=2ahUKEwidw-DAm-zuAhXlXhUIHZ_PD3sQFjABegQIAxAC&amp;url=https%3A%2F%2Farchive.hillingdon.gov.uk%2Fmedia%2F21836%2FTown-centre-and-retail-study-2006%2Fpdf%2FTOWNCE.pdf&amp;usg</w:t>
              </w:r>
              <w:r w:rsidR="005352E7">
                <w:rPr>
                  <w:rStyle w:val="Hyperlink"/>
                  <w:b/>
                  <w:bCs/>
                </w:rPr>
                <w:lastRenderedPageBreak/>
                <w:t>=AOvVaw1k0Q0bD0HZPaW5HW-j-Cxx</w:t>
              </w:r>
            </w:hyperlink>
            <w:r w:rsidR="005352E7">
              <w:rPr>
                <w:b/>
                <w:bCs/>
              </w:rPr>
              <w:t xml:space="preserve"> </w:t>
            </w:r>
          </w:p>
          <w:p w14:paraId="3797EA2D" w14:textId="77777777" w:rsidR="005352E7" w:rsidRDefault="005352E7" w:rsidP="007315A9">
            <w:pPr>
              <w:rPr>
                <w:b/>
                <w:bCs/>
              </w:rPr>
            </w:pPr>
          </w:p>
        </w:tc>
        <w:tc>
          <w:tcPr>
            <w:tcW w:w="2835" w:type="dxa"/>
          </w:tcPr>
          <w:p w14:paraId="59FF86DB" w14:textId="77777777" w:rsidR="005352E7" w:rsidRDefault="005352E7" w:rsidP="007315A9">
            <w:pPr>
              <w:rPr>
                <w:b/>
                <w:bCs/>
              </w:rPr>
            </w:pPr>
            <w:r>
              <w:rPr>
                <w:b/>
                <w:bCs/>
              </w:rPr>
              <w:lastRenderedPageBreak/>
              <w:t>Yes</w:t>
            </w:r>
          </w:p>
          <w:p w14:paraId="3AE5567A" w14:textId="77777777" w:rsidR="005352E7" w:rsidRDefault="005352E7" w:rsidP="007315A9">
            <w:pPr>
              <w:rPr>
                <w:b/>
                <w:bCs/>
              </w:rPr>
            </w:pPr>
            <w:r>
              <w:rPr>
                <w:b/>
                <w:bCs/>
              </w:rPr>
              <w:t>September 2018</w:t>
            </w:r>
          </w:p>
          <w:p w14:paraId="0B3354C6" w14:textId="77777777" w:rsidR="005352E7" w:rsidRDefault="005352E7" w:rsidP="007315A9">
            <w:pPr>
              <w:rPr>
                <w:b/>
                <w:bCs/>
              </w:rPr>
            </w:pPr>
          </w:p>
          <w:p w14:paraId="4B47EA39" w14:textId="759C7DB3" w:rsidR="005352E7" w:rsidRDefault="005352E7" w:rsidP="007315A9">
            <w:pPr>
              <w:rPr>
                <w:b/>
                <w:bCs/>
              </w:rPr>
            </w:pPr>
            <w:r>
              <w:rPr>
                <w:b/>
                <w:bCs/>
              </w:rPr>
              <w:t>Copy sent</w:t>
            </w:r>
            <w:r w:rsidR="00AC7745">
              <w:rPr>
                <w:b/>
                <w:bCs/>
              </w:rPr>
              <w:t xml:space="preserve"> to WLA</w:t>
            </w:r>
          </w:p>
        </w:tc>
      </w:tr>
      <w:tr w:rsidR="005352E7" w14:paraId="3B284FC3" w14:textId="77777777" w:rsidTr="007315A9">
        <w:tc>
          <w:tcPr>
            <w:tcW w:w="2054" w:type="dxa"/>
          </w:tcPr>
          <w:p w14:paraId="69C98594" w14:textId="77777777" w:rsidR="005352E7" w:rsidRDefault="005352E7" w:rsidP="005352E7">
            <w:pPr>
              <w:pStyle w:val="ListParagraph"/>
              <w:numPr>
                <w:ilvl w:val="0"/>
                <w:numId w:val="40"/>
              </w:numPr>
              <w:ind w:left="312" w:hanging="284"/>
              <w:rPr>
                <w:b/>
                <w:bCs/>
              </w:rPr>
            </w:pPr>
            <w:r>
              <w:rPr>
                <w:b/>
                <w:bCs/>
              </w:rPr>
              <w:t>Does your authority have a current town centre healthcheck (or equivalent) document?</w:t>
            </w:r>
          </w:p>
          <w:p w14:paraId="73166F15" w14:textId="77777777" w:rsidR="005352E7" w:rsidRDefault="005352E7" w:rsidP="007315A9">
            <w:pPr>
              <w:pStyle w:val="ListParagraph"/>
              <w:ind w:left="312"/>
              <w:rPr>
                <w:b/>
                <w:bCs/>
              </w:rPr>
            </w:pPr>
          </w:p>
          <w:p w14:paraId="3EB05D2F" w14:textId="77777777" w:rsidR="005352E7" w:rsidRDefault="005352E7" w:rsidP="007315A9">
            <w:pPr>
              <w:rPr>
                <w:b/>
                <w:bCs/>
              </w:rPr>
            </w:pPr>
          </w:p>
          <w:p w14:paraId="0EF3A4ED" w14:textId="77777777" w:rsidR="005352E7" w:rsidRDefault="005352E7" w:rsidP="007315A9">
            <w:pPr>
              <w:rPr>
                <w:b/>
                <w:bCs/>
              </w:rPr>
            </w:pPr>
          </w:p>
          <w:p w14:paraId="340ACB33" w14:textId="77777777" w:rsidR="005352E7" w:rsidRPr="00974E29" w:rsidRDefault="005352E7" w:rsidP="007315A9">
            <w:pPr>
              <w:rPr>
                <w:b/>
                <w:bCs/>
              </w:rPr>
            </w:pPr>
          </w:p>
        </w:tc>
        <w:tc>
          <w:tcPr>
            <w:tcW w:w="2058" w:type="dxa"/>
          </w:tcPr>
          <w:p w14:paraId="1D2238B9" w14:textId="77777777" w:rsidR="005352E7" w:rsidRDefault="005352E7" w:rsidP="007315A9">
            <w:pPr>
              <w:rPr>
                <w:b/>
                <w:bCs/>
              </w:rPr>
            </w:pPr>
            <w:r>
              <w:rPr>
                <w:b/>
                <w:bCs/>
              </w:rPr>
              <w:t>No</w:t>
            </w:r>
          </w:p>
        </w:tc>
        <w:tc>
          <w:tcPr>
            <w:tcW w:w="1984" w:type="dxa"/>
          </w:tcPr>
          <w:p w14:paraId="44E6D8D7" w14:textId="77777777" w:rsidR="005352E7" w:rsidRDefault="005352E7" w:rsidP="007315A9">
            <w:pPr>
              <w:rPr>
                <w:b/>
                <w:bCs/>
              </w:rPr>
            </w:pPr>
            <w:r>
              <w:rPr>
                <w:b/>
                <w:bCs/>
              </w:rPr>
              <w:t xml:space="preserve">Yes. Last updated late 2019.  </w:t>
            </w:r>
          </w:p>
          <w:p w14:paraId="67197C75" w14:textId="77777777" w:rsidR="005352E7" w:rsidRDefault="005352E7" w:rsidP="007315A9">
            <w:pPr>
              <w:rPr>
                <w:b/>
                <w:bCs/>
              </w:rPr>
            </w:pPr>
          </w:p>
        </w:tc>
        <w:tc>
          <w:tcPr>
            <w:tcW w:w="2268" w:type="dxa"/>
          </w:tcPr>
          <w:p w14:paraId="57C871DD" w14:textId="77777777" w:rsidR="005352E7" w:rsidRDefault="005352E7" w:rsidP="007315A9">
            <w:pPr>
              <w:rPr>
                <w:b/>
                <w:bCs/>
              </w:rPr>
            </w:pPr>
            <w:r>
              <w:rPr>
                <w:b/>
                <w:bCs/>
              </w:rPr>
              <w:t xml:space="preserve">No </w:t>
            </w:r>
          </w:p>
        </w:tc>
        <w:tc>
          <w:tcPr>
            <w:tcW w:w="1985" w:type="dxa"/>
          </w:tcPr>
          <w:p w14:paraId="3FC51190" w14:textId="77777777" w:rsidR="005352E7" w:rsidRDefault="005352E7" w:rsidP="007315A9">
            <w:pPr>
              <w:rPr>
                <w:b/>
                <w:bCs/>
              </w:rPr>
            </w:pPr>
            <w:r>
              <w:rPr>
                <w:b/>
                <w:bCs/>
              </w:rPr>
              <w:t>Yes</w:t>
            </w:r>
          </w:p>
          <w:p w14:paraId="063F98D5" w14:textId="77777777" w:rsidR="005352E7" w:rsidRDefault="005352E7" w:rsidP="007315A9">
            <w:pPr>
              <w:rPr>
                <w:b/>
                <w:bCs/>
              </w:rPr>
            </w:pPr>
            <w:r>
              <w:rPr>
                <w:b/>
                <w:bCs/>
              </w:rPr>
              <w:t>Copy sent</w:t>
            </w:r>
          </w:p>
        </w:tc>
        <w:tc>
          <w:tcPr>
            <w:tcW w:w="1701" w:type="dxa"/>
          </w:tcPr>
          <w:p w14:paraId="50D6DCD9" w14:textId="77777777" w:rsidR="005352E7" w:rsidRDefault="005352E7" w:rsidP="007315A9">
            <w:pPr>
              <w:rPr>
                <w:b/>
                <w:bCs/>
              </w:rPr>
            </w:pPr>
            <w:r>
              <w:rPr>
                <w:b/>
                <w:bCs/>
              </w:rPr>
              <w:t>No – some information in AMR</w:t>
            </w:r>
          </w:p>
        </w:tc>
        <w:tc>
          <w:tcPr>
            <w:tcW w:w="1842" w:type="dxa"/>
          </w:tcPr>
          <w:p w14:paraId="5DE356E2" w14:textId="77777777" w:rsidR="005352E7" w:rsidRDefault="005352E7" w:rsidP="007315A9">
            <w:pPr>
              <w:rPr>
                <w:b/>
                <w:bCs/>
                <w:color w:val="FF0000"/>
              </w:rPr>
            </w:pPr>
            <w:r>
              <w:rPr>
                <w:b/>
                <w:bCs/>
              </w:rPr>
              <w:t>Yes: Retail Study Update 2012 (see attached file)</w:t>
            </w:r>
          </w:p>
          <w:p w14:paraId="75890513" w14:textId="77777777" w:rsidR="005352E7" w:rsidRDefault="005352E7" w:rsidP="007315A9">
            <w:pPr>
              <w:rPr>
                <w:b/>
                <w:bCs/>
              </w:rPr>
            </w:pPr>
          </w:p>
          <w:p w14:paraId="2494961A" w14:textId="77777777" w:rsidR="005352E7" w:rsidRDefault="005352E7" w:rsidP="007315A9">
            <w:pPr>
              <w:rPr>
                <w:b/>
                <w:bCs/>
              </w:rPr>
            </w:pPr>
            <w:r>
              <w:rPr>
                <w:b/>
                <w:bCs/>
              </w:rPr>
              <w:t xml:space="preserve">The Council also undertakes town centre surveys each year, the results of which are summarised in the Council’s latest AMR. One was not undertaken in 2020 due to Covid restrictions. </w:t>
            </w:r>
          </w:p>
          <w:p w14:paraId="734F2202" w14:textId="77777777" w:rsidR="005352E7" w:rsidRDefault="005352E7" w:rsidP="007315A9">
            <w:pPr>
              <w:rPr>
                <w:b/>
                <w:bCs/>
              </w:rPr>
            </w:pPr>
          </w:p>
          <w:p w14:paraId="3DD89A44" w14:textId="77777777" w:rsidR="005352E7" w:rsidRDefault="009B6EFB" w:rsidP="007315A9">
            <w:pPr>
              <w:rPr>
                <w:b/>
                <w:bCs/>
              </w:rPr>
            </w:pPr>
            <w:hyperlink r:id="rId15" w:history="1">
              <w:r w:rsidR="005352E7">
                <w:rPr>
                  <w:rStyle w:val="Hyperlink"/>
                  <w:b/>
                  <w:bCs/>
                </w:rPr>
                <w:t>https://www.hillingdon.gov.uk/article/5587/Authority-monitoring-reports</w:t>
              </w:r>
            </w:hyperlink>
            <w:r w:rsidR="005352E7">
              <w:rPr>
                <w:b/>
                <w:bCs/>
              </w:rPr>
              <w:t xml:space="preserve"> </w:t>
            </w:r>
          </w:p>
          <w:p w14:paraId="39A30024" w14:textId="77777777" w:rsidR="005352E7" w:rsidRDefault="005352E7" w:rsidP="007315A9">
            <w:pPr>
              <w:rPr>
                <w:b/>
                <w:bCs/>
              </w:rPr>
            </w:pPr>
          </w:p>
        </w:tc>
        <w:tc>
          <w:tcPr>
            <w:tcW w:w="2835" w:type="dxa"/>
          </w:tcPr>
          <w:p w14:paraId="3D492BF6" w14:textId="77777777" w:rsidR="005352E7" w:rsidRDefault="005352E7" w:rsidP="007315A9">
            <w:pPr>
              <w:rPr>
                <w:b/>
                <w:bCs/>
              </w:rPr>
            </w:pPr>
            <w:r>
              <w:rPr>
                <w:b/>
                <w:bCs/>
              </w:rPr>
              <w:t>Yes - contained within above-mentioned report, for the borough’s 4 town centres (Hounslow, Chiswick, Brentford and Feltham).</w:t>
            </w:r>
          </w:p>
        </w:tc>
      </w:tr>
      <w:tr w:rsidR="005352E7" w14:paraId="700539EC" w14:textId="77777777" w:rsidTr="007315A9">
        <w:tc>
          <w:tcPr>
            <w:tcW w:w="2054" w:type="dxa"/>
          </w:tcPr>
          <w:p w14:paraId="1488CC0D" w14:textId="77777777" w:rsidR="005352E7" w:rsidRDefault="005352E7" w:rsidP="005352E7">
            <w:pPr>
              <w:pStyle w:val="ListParagraph"/>
              <w:numPr>
                <w:ilvl w:val="0"/>
                <w:numId w:val="40"/>
              </w:numPr>
              <w:ind w:left="312" w:hanging="312"/>
              <w:rPr>
                <w:b/>
                <w:bCs/>
              </w:rPr>
            </w:pPr>
            <w:r>
              <w:rPr>
                <w:b/>
                <w:bCs/>
              </w:rPr>
              <w:t xml:space="preserve">Does your authority have topic or other issue-specific documents on </w:t>
            </w:r>
            <w:r>
              <w:rPr>
                <w:b/>
                <w:bCs/>
              </w:rPr>
              <w:lastRenderedPageBreak/>
              <w:t>individual town centre uses (e.g. hot food takeaway, public houses)?</w:t>
            </w:r>
          </w:p>
          <w:p w14:paraId="5F08CAE3" w14:textId="77777777" w:rsidR="005352E7" w:rsidRDefault="005352E7" w:rsidP="007315A9">
            <w:pPr>
              <w:rPr>
                <w:b/>
                <w:bCs/>
              </w:rPr>
            </w:pPr>
          </w:p>
          <w:p w14:paraId="6F5C6132" w14:textId="77777777" w:rsidR="005352E7" w:rsidRDefault="005352E7" w:rsidP="007315A9">
            <w:pPr>
              <w:rPr>
                <w:b/>
                <w:bCs/>
              </w:rPr>
            </w:pPr>
          </w:p>
          <w:p w14:paraId="4609A93C" w14:textId="77777777" w:rsidR="005352E7" w:rsidRPr="00DD235F" w:rsidRDefault="005352E7" w:rsidP="007315A9">
            <w:pPr>
              <w:rPr>
                <w:b/>
                <w:bCs/>
              </w:rPr>
            </w:pPr>
          </w:p>
          <w:p w14:paraId="7BAE3630" w14:textId="77777777" w:rsidR="005352E7" w:rsidRPr="00DD235F" w:rsidRDefault="005352E7" w:rsidP="007315A9">
            <w:pPr>
              <w:rPr>
                <w:b/>
                <w:bCs/>
              </w:rPr>
            </w:pPr>
          </w:p>
        </w:tc>
        <w:tc>
          <w:tcPr>
            <w:tcW w:w="2058" w:type="dxa"/>
          </w:tcPr>
          <w:p w14:paraId="6561D602" w14:textId="77777777" w:rsidR="005352E7" w:rsidRDefault="005352E7" w:rsidP="007315A9">
            <w:pPr>
              <w:rPr>
                <w:b/>
                <w:bCs/>
              </w:rPr>
            </w:pPr>
            <w:r>
              <w:rPr>
                <w:b/>
                <w:bCs/>
              </w:rPr>
              <w:lastRenderedPageBreak/>
              <w:t xml:space="preserve">Pubs, hot food takeaways and shisha bars  </w:t>
            </w:r>
          </w:p>
          <w:p w14:paraId="755BED41" w14:textId="77777777" w:rsidR="005352E7" w:rsidRDefault="005352E7" w:rsidP="007315A9">
            <w:pPr>
              <w:rPr>
                <w:b/>
                <w:bCs/>
              </w:rPr>
            </w:pPr>
          </w:p>
          <w:p w14:paraId="62A9D158" w14:textId="77777777" w:rsidR="005352E7" w:rsidRDefault="009B6EFB" w:rsidP="007315A9">
            <w:pPr>
              <w:rPr>
                <w:b/>
                <w:bCs/>
              </w:rPr>
            </w:pPr>
            <w:hyperlink r:id="rId16" w:history="1">
              <w:r w:rsidR="005352E7" w:rsidRPr="00EA6FB9">
                <w:rPr>
                  <w:rStyle w:val="Hyperlink"/>
                  <w:b/>
                  <w:bCs/>
                </w:rPr>
                <w:t>https://www.barnet.gov.uk/sites/default/files/barnet_hot_food_takeaways_review_2018.pdf</w:t>
              </w:r>
            </w:hyperlink>
          </w:p>
          <w:p w14:paraId="27D10B31" w14:textId="77777777" w:rsidR="005352E7" w:rsidRDefault="005352E7" w:rsidP="007315A9">
            <w:pPr>
              <w:rPr>
                <w:b/>
                <w:bCs/>
              </w:rPr>
            </w:pPr>
          </w:p>
          <w:p w14:paraId="19A711B2" w14:textId="77777777" w:rsidR="005352E7" w:rsidRDefault="009B6EFB" w:rsidP="007315A9">
            <w:pPr>
              <w:rPr>
                <w:rFonts w:eastAsia="Times New Roman" w:cstheme="minorHAnsi"/>
                <w:b/>
                <w:bCs/>
                <w:spacing w:val="-7"/>
                <w:kern w:val="36"/>
                <w:lang w:eastAsia="en-GB"/>
              </w:rPr>
            </w:pPr>
            <w:hyperlink r:id="rId17" w:history="1">
              <w:r w:rsidR="005352E7" w:rsidRPr="00EA6FB9">
                <w:rPr>
                  <w:rStyle w:val="Hyperlink"/>
                  <w:rFonts w:eastAsia="Times New Roman" w:cstheme="minorHAnsi"/>
                  <w:b/>
                  <w:bCs/>
                  <w:spacing w:val="-7"/>
                  <w:kern w:val="36"/>
                  <w:lang w:eastAsia="en-GB"/>
                </w:rPr>
                <w:t>https://www.barnet.gov.uk/sites/default/files/barnet_public_houses_review_2018.pdf</w:t>
              </w:r>
            </w:hyperlink>
          </w:p>
          <w:p w14:paraId="395EAAAA" w14:textId="77777777" w:rsidR="005352E7" w:rsidRDefault="005352E7" w:rsidP="007315A9">
            <w:pPr>
              <w:rPr>
                <w:rFonts w:eastAsia="Times New Roman" w:cstheme="minorHAnsi"/>
                <w:b/>
                <w:bCs/>
                <w:spacing w:val="-7"/>
                <w:kern w:val="36"/>
                <w:lang w:eastAsia="en-GB"/>
              </w:rPr>
            </w:pPr>
          </w:p>
          <w:p w14:paraId="7FC5FCCB" w14:textId="77777777" w:rsidR="005352E7" w:rsidRDefault="009B6EFB" w:rsidP="007315A9">
            <w:pPr>
              <w:rPr>
                <w:rFonts w:eastAsia="Times New Roman" w:cstheme="minorHAnsi"/>
                <w:b/>
                <w:bCs/>
                <w:spacing w:val="-7"/>
                <w:kern w:val="36"/>
                <w:lang w:eastAsia="en-GB"/>
              </w:rPr>
            </w:pPr>
            <w:hyperlink r:id="rId18" w:history="1">
              <w:r w:rsidR="005352E7" w:rsidRPr="00EA6FB9">
                <w:rPr>
                  <w:rStyle w:val="Hyperlink"/>
                  <w:rFonts w:eastAsia="Times New Roman" w:cstheme="minorHAnsi"/>
                  <w:b/>
                  <w:bCs/>
                  <w:spacing w:val="-7"/>
                  <w:kern w:val="36"/>
                  <w:lang w:eastAsia="en-GB"/>
                </w:rPr>
                <w:t>https://www.barnet.gov.uk/sites/default/files/barnet_shisha_bars_report_2016.pdf</w:t>
              </w:r>
            </w:hyperlink>
          </w:p>
          <w:p w14:paraId="697FEB0F" w14:textId="77777777" w:rsidR="005352E7" w:rsidRPr="00BF2794" w:rsidRDefault="005352E7" w:rsidP="007315A9">
            <w:pPr>
              <w:rPr>
                <w:rFonts w:eastAsia="Times New Roman" w:cstheme="minorHAnsi"/>
                <w:b/>
                <w:bCs/>
                <w:spacing w:val="-7"/>
                <w:kern w:val="36"/>
                <w:lang w:eastAsia="en-GB"/>
              </w:rPr>
            </w:pPr>
          </w:p>
        </w:tc>
        <w:tc>
          <w:tcPr>
            <w:tcW w:w="1984" w:type="dxa"/>
          </w:tcPr>
          <w:p w14:paraId="6B698D44" w14:textId="77777777" w:rsidR="005352E7" w:rsidRDefault="005352E7" w:rsidP="007315A9">
            <w:pPr>
              <w:spacing w:line="256" w:lineRule="auto"/>
              <w:rPr>
                <w:b/>
                <w:bCs/>
              </w:rPr>
            </w:pPr>
            <w:r w:rsidRPr="00395656">
              <w:rPr>
                <w:b/>
                <w:bCs/>
              </w:rPr>
              <w:lastRenderedPageBreak/>
              <w:t xml:space="preserve">Takeaway use among Brent’s school children (2014) - </w:t>
            </w:r>
            <w:hyperlink r:id="rId19" w:history="1">
              <w:r w:rsidRPr="00395656">
                <w:rPr>
                  <w:rStyle w:val="Hyperlink"/>
                  <w:b/>
                  <w:bCs/>
                </w:rPr>
                <w:t>https://www.bren</w:t>
              </w:r>
              <w:r w:rsidRPr="00395656">
                <w:rPr>
                  <w:rStyle w:val="Hyperlink"/>
                  <w:b/>
                  <w:bCs/>
                </w:rPr>
                <w:lastRenderedPageBreak/>
                <w:t>t.gov.uk/media/16415892/eb_e_12-takeaway-use-amongst-brent-school-students.pdf</w:t>
              </w:r>
            </w:hyperlink>
            <w:r w:rsidRPr="00395656">
              <w:rPr>
                <w:b/>
                <w:bCs/>
              </w:rPr>
              <w:t xml:space="preserve"> </w:t>
            </w:r>
          </w:p>
          <w:p w14:paraId="4B5D5C58" w14:textId="77777777" w:rsidR="005352E7" w:rsidRPr="00395656" w:rsidRDefault="005352E7" w:rsidP="007315A9">
            <w:pPr>
              <w:spacing w:line="256" w:lineRule="auto"/>
              <w:rPr>
                <w:b/>
                <w:bCs/>
              </w:rPr>
            </w:pPr>
          </w:p>
          <w:p w14:paraId="57AC7283" w14:textId="77777777" w:rsidR="005352E7" w:rsidRDefault="005352E7" w:rsidP="007315A9">
            <w:pPr>
              <w:spacing w:line="256" w:lineRule="auto"/>
              <w:rPr>
                <w:b/>
                <w:bCs/>
              </w:rPr>
            </w:pPr>
            <w:r w:rsidRPr="00395656">
              <w:rPr>
                <w:b/>
                <w:bCs/>
              </w:rPr>
              <w:t xml:space="preserve">Brent’s young person cigarette and shisha audit (2012) - </w:t>
            </w:r>
            <w:hyperlink r:id="rId20" w:history="1">
              <w:r w:rsidRPr="00395656">
                <w:rPr>
                  <w:rStyle w:val="Hyperlink"/>
                  <w:b/>
                  <w:bCs/>
                </w:rPr>
                <w:t>https://www.brent.gov.uk/media/16415894/eb_e_14-brent-young-persons-cigarette-and-shisha-audit.pdf</w:t>
              </w:r>
            </w:hyperlink>
            <w:r w:rsidRPr="00395656">
              <w:rPr>
                <w:b/>
                <w:bCs/>
              </w:rPr>
              <w:t xml:space="preserve"> </w:t>
            </w:r>
          </w:p>
          <w:p w14:paraId="0DB1DD91" w14:textId="77777777" w:rsidR="005352E7" w:rsidRPr="00395656" w:rsidRDefault="005352E7" w:rsidP="007315A9">
            <w:pPr>
              <w:spacing w:line="256" w:lineRule="auto"/>
              <w:rPr>
                <w:b/>
                <w:bCs/>
              </w:rPr>
            </w:pPr>
          </w:p>
          <w:p w14:paraId="7B8DAC35" w14:textId="77777777" w:rsidR="005352E7" w:rsidRDefault="005352E7" w:rsidP="007315A9">
            <w:pPr>
              <w:spacing w:line="256" w:lineRule="auto"/>
              <w:rPr>
                <w:b/>
                <w:bCs/>
              </w:rPr>
            </w:pPr>
            <w:r w:rsidRPr="00395656">
              <w:rPr>
                <w:b/>
                <w:bCs/>
              </w:rPr>
              <w:t xml:space="preserve">A fair deal: Betting Shops, Adult Gaming Centres and Pawnbrokers in Brent (2013) - </w:t>
            </w:r>
            <w:hyperlink r:id="rId21" w:history="1">
              <w:r w:rsidRPr="00395656">
                <w:rPr>
                  <w:rStyle w:val="Hyperlink"/>
                  <w:b/>
                  <w:bCs/>
                </w:rPr>
                <w:t>https://www.brent.gov.uk/media/9511196/A%20Fair%20Deal%20Betting%20Shops,%20Pay%20Day%20Loan%20Shops%20and%</w:t>
              </w:r>
              <w:r w:rsidRPr="00395656">
                <w:rPr>
                  <w:rStyle w:val="Hyperlink"/>
                  <w:b/>
                  <w:bCs/>
                </w:rPr>
                <w:lastRenderedPageBreak/>
                <w:t>20Pawnbrokers%20in%20Brent.pdf</w:t>
              </w:r>
            </w:hyperlink>
            <w:r w:rsidRPr="00395656">
              <w:rPr>
                <w:b/>
                <w:bCs/>
              </w:rPr>
              <w:t xml:space="preserve"> </w:t>
            </w:r>
          </w:p>
          <w:p w14:paraId="051477BA" w14:textId="77777777" w:rsidR="005352E7" w:rsidRPr="00395656" w:rsidRDefault="005352E7" w:rsidP="007315A9">
            <w:pPr>
              <w:spacing w:line="256" w:lineRule="auto"/>
              <w:rPr>
                <w:b/>
                <w:bCs/>
              </w:rPr>
            </w:pPr>
          </w:p>
          <w:p w14:paraId="7D41C174" w14:textId="77777777" w:rsidR="005352E7" w:rsidRPr="00395656" w:rsidRDefault="005352E7" w:rsidP="007315A9">
            <w:pPr>
              <w:spacing w:line="256" w:lineRule="auto"/>
              <w:rPr>
                <w:b/>
                <w:bCs/>
              </w:rPr>
            </w:pPr>
            <w:r w:rsidRPr="00395656">
              <w:rPr>
                <w:b/>
                <w:bCs/>
              </w:rPr>
              <w:t xml:space="preserve">Inclusive Growth Strategy – Economy (2019-2040) - </w:t>
            </w:r>
            <w:hyperlink r:id="rId22" w:history="1">
              <w:r w:rsidRPr="00395656">
                <w:rPr>
                  <w:rStyle w:val="Hyperlink"/>
                  <w:b/>
                  <w:bCs/>
                </w:rPr>
                <w:t>https://www.brent.gov.uk/media/16415888/eb_e_08-inclusive-growth-strategy-economy.pdf</w:t>
              </w:r>
            </w:hyperlink>
            <w:r w:rsidRPr="00395656">
              <w:rPr>
                <w:b/>
                <w:bCs/>
              </w:rPr>
              <w:t xml:space="preserve"> </w:t>
            </w:r>
          </w:p>
          <w:p w14:paraId="5EA789C2" w14:textId="77777777" w:rsidR="005352E7" w:rsidRDefault="005352E7" w:rsidP="007315A9">
            <w:pPr>
              <w:rPr>
                <w:b/>
                <w:bCs/>
              </w:rPr>
            </w:pPr>
          </w:p>
        </w:tc>
        <w:tc>
          <w:tcPr>
            <w:tcW w:w="2268" w:type="dxa"/>
          </w:tcPr>
          <w:p w14:paraId="5C5CB2D0" w14:textId="77777777" w:rsidR="005352E7" w:rsidRDefault="005352E7" w:rsidP="007315A9">
            <w:pPr>
              <w:rPr>
                <w:b/>
                <w:bCs/>
              </w:rPr>
            </w:pPr>
            <w:r>
              <w:rPr>
                <w:b/>
                <w:bCs/>
              </w:rPr>
              <w:lastRenderedPageBreak/>
              <w:t>No</w:t>
            </w:r>
          </w:p>
        </w:tc>
        <w:tc>
          <w:tcPr>
            <w:tcW w:w="1985" w:type="dxa"/>
          </w:tcPr>
          <w:p w14:paraId="6B44BF82" w14:textId="77777777" w:rsidR="005352E7" w:rsidRDefault="005352E7" w:rsidP="007315A9">
            <w:pPr>
              <w:rPr>
                <w:b/>
                <w:bCs/>
              </w:rPr>
            </w:pPr>
            <w:r>
              <w:rPr>
                <w:b/>
                <w:bCs/>
              </w:rPr>
              <w:t>Retail Policies Background Paper 2016</w:t>
            </w:r>
          </w:p>
          <w:p w14:paraId="4773D849" w14:textId="77777777" w:rsidR="005352E7" w:rsidRDefault="009B6EFB" w:rsidP="007315A9">
            <w:pPr>
              <w:rPr>
                <w:b/>
                <w:bCs/>
              </w:rPr>
            </w:pPr>
            <w:hyperlink r:id="rId23" w:history="1">
              <w:r w:rsidR="005352E7" w:rsidRPr="00FF2A0F">
                <w:rPr>
                  <w:rStyle w:val="Hyperlink"/>
                  <w:b/>
                  <w:bCs/>
                </w:rPr>
                <w:t>https://www.lbhf.gov.uk/sites/defau</w:t>
              </w:r>
              <w:r w:rsidR="005352E7" w:rsidRPr="00FF2A0F">
                <w:rPr>
                  <w:rStyle w:val="Hyperlink"/>
                  <w:b/>
                  <w:bCs/>
                </w:rPr>
                <w:lastRenderedPageBreak/>
                <w:t>lt/files/section_attachments/retail_quotas_background_report_final_2016.pdf</w:t>
              </w:r>
            </w:hyperlink>
          </w:p>
          <w:p w14:paraId="423D3E50" w14:textId="77777777" w:rsidR="005352E7" w:rsidRDefault="005352E7" w:rsidP="007315A9">
            <w:pPr>
              <w:rPr>
                <w:b/>
                <w:bCs/>
              </w:rPr>
            </w:pPr>
          </w:p>
          <w:p w14:paraId="428C5C14" w14:textId="77777777" w:rsidR="005352E7" w:rsidRDefault="005352E7" w:rsidP="007315A9">
            <w:pPr>
              <w:rPr>
                <w:b/>
                <w:bCs/>
              </w:rPr>
            </w:pPr>
            <w:r>
              <w:rPr>
                <w:b/>
                <w:bCs/>
              </w:rPr>
              <w:t>Betting Shops, Pawnbrokers  and Payday Loan Shops 2016</w:t>
            </w:r>
          </w:p>
          <w:p w14:paraId="1DB53D04" w14:textId="77777777" w:rsidR="005352E7" w:rsidRDefault="009B6EFB" w:rsidP="007315A9">
            <w:pPr>
              <w:rPr>
                <w:b/>
                <w:bCs/>
              </w:rPr>
            </w:pPr>
            <w:hyperlink r:id="rId24" w:history="1">
              <w:r w:rsidR="005352E7" w:rsidRPr="00FF2A0F">
                <w:rPr>
                  <w:rStyle w:val="Hyperlink"/>
                  <w:b/>
                  <w:bCs/>
                </w:rPr>
                <w:t>https://www.lbhf.gov.uk/sites/default/files/section_attachments/bettin_shops_pay_day_loads_background_paper_2016.pdf</w:t>
              </w:r>
            </w:hyperlink>
          </w:p>
          <w:p w14:paraId="4CF27C72" w14:textId="77777777" w:rsidR="005352E7" w:rsidRDefault="005352E7" w:rsidP="007315A9">
            <w:pPr>
              <w:rPr>
                <w:b/>
                <w:bCs/>
              </w:rPr>
            </w:pPr>
          </w:p>
          <w:p w14:paraId="0D9D11E3" w14:textId="77777777" w:rsidR="005352E7" w:rsidRDefault="005352E7" w:rsidP="007315A9">
            <w:pPr>
              <w:rPr>
                <w:b/>
                <w:bCs/>
              </w:rPr>
            </w:pPr>
          </w:p>
          <w:p w14:paraId="5DC3D73A" w14:textId="77777777" w:rsidR="005352E7" w:rsidRDefault="005352E7" w:rsidP="007315A9">
            <w:pPr>
              <w:rPr>
                <w:b/>
                <w:bCs/>
              </w:rPr>
            </w:pPr>
          </w:p>
        </w:tc>
        <w:tc>
          <w:tcPr>
            <w:tcW w:w="1701" w:type="dxa"/>
          </w:tcPr>
          <w:p w14:paraId="3D24BAE4" w14:textId="77777777" w:rsidR="005352E7" w:rsidRDefault="005352E7" w:rsidP="007315A9">
            <w:pPr>
              <w:rPr>
                <w:b/>
                <w:bCs/>
              </w:rPr>
            </w:pPr>
            <w:r>
              <w:rPr>
                <w:b/>
                <w:bCs/>
              </w:rPr>
              <w:lastRenderedPageBreak/>
              <w:t>No</w:t>
            </w:r>
          </w:p>
        </w:tc>
        <w:tc>
          <w:tcPr>
            <w:tcW w:w="1842" w:type="dxa"/>
          </w:tcPr>
          <w:p w14:paraId="4522891B" w14:textId="77777777" w:rsidR="005352E7" w:rsidRDefault="005352E7" w:rsidP="007315A9">
            <w:pPr>
              <w:rPr>
                <w:b/>
                <w:bCs/>
              </w:rPr>
            </w:pPr>
            <w:r>
              <w:rPr>
                <w:b/>
                <w:bCs/>
              </w:rPr>
              <w:t>No</w:t>
            </w:r>
          </w:p>
        </w:tc>
        <w:tc>
          <w:tcPr>
            <w:tcW w:w="2835" w:type="dxa"/>
          </w:tcPr>
          <w:p w14:paraId="58F2A733" w14:textId="77777777" w:rsidR="005352E7" w:rsidRDefault="005352E7" w:rsidP="007315A9">
            <w:pPr>
              <w:rPr>
                <w:b/>
                <w:bCs/>
              </w:rPr>
            </w:pPr>
            <w:r>
              <w:rPr>
                <w:b/>
                <w:bCs/>
              </w:rPr>
              <w:t>No</w:t>
            </w:r>
          </w:p>
        </w:tc>
      </w:tr>
      <w:tr w:rsidR="005352E7" w14:paraId="3DB032F5" w14:textId="77777777" w:rsidTr="007315A9">
        <w:tc>
          <w:tcPr>
            <w:tcW w:w="2054" w:type="dxa"/>
          </w:tcPr>
          <w:p w14:paraId="138C103E" w14:textId="77777777" w:rsidR="005352E7" w:rsidRDefault="005352E7" w:rsidP="005352E7">
            <w:pPr>
              <w:pStyle w:val="ListParagraph"/>
              <w:numPr>
                <w:ilvl w:val="0"/>
                <w:numId w:val="40"/>
              </w:numPr>
              <w:ind w:left="312" w:hanging="312"/>
              <w:rPr>
                <w:b/>
                <w:bCs/>
              </w:rPr>
            </w:pPr>
            <w:r>
              <w:rPr>
                <w:b/>
                <w:bCs/>
              </w:rPr>
              <w:lastRenderedPageBreak/>
              <w:t>Has your authority published supplementary planning documents or other documents on individual town centres?</w:t>
            </w:r>
          </w:p>
          <w:p w14:paraId="7F57D796" w14:textId="77777777" w:rsidR="005352E7" w:rsidRDefault="005352E7" w:rsidP="007315A9">
            <w:pPr>
              <w:rPr>
                <w:b/>
                <w:bCs/>
              </w:rPr>
            </w:pPr>
          </w:p>
          <w:p w14:paraId="67F6971E" w14:textId="77777777" w:rsidR="005352E7" w:rsidRDefault="005352E7" w:rsidP="007315A9">
            <w:pPr>
              <w:rPr>
                <w:b/>
                <w:bCs/>
              </w:rPr>
            </w:pPr>
          </w:p>
          <w:p w14:paraId="7A103D06" w14:textId="77777777" w:rsidR="005352E7" w:rsidRPr="00C45AAA" w:rsidRDefault="005352E7" w:rsidP="007315A9">
            <w:pPr>
              <w:rPr>
                <w:b/>
                <w:bCs/>
              </w:rPr>
            </w:pPr>
          </w:p>
          <w:p w14:paraId="5C021B4B" w14:textId="77777777" w:rsidR="005352E7" w:rsidRPr="00C45AAA" w:rsidRDefault="005352E7" w:rsidP="007315A9">
            <w:pPr>
              <w:rPr>
                <w:b/>
                <w:bCs/>
              </w:rPr>
            </w:pPr>
          </w:p>
        </w:tc>
        <w:tc>
          <w:tcPr>
            <w:tcW w:w="2058" w:type="dxa"/>
          </w:tcPr>
          <w:p w14:paraId="57DDFFDC" w14:textId="77777777" w:rsidR="005352E7" w:rsidRDefault="005352E7" w:rsidP="007315A9">
            <w:pPr>
              <w:rPr>
                <w:b/>
                <w:bCs/>
              </w:rPr>
            </w:pPr>
            <w:r>
              <w:rPr>
                <w:b/>
                <w:bCs/>
              </w:rPr>
              <w:t xml:space="preserve">Edgware Growth Area Draft Supplementary Planning Document (SPD) </w:t>
            </w:r>
            <w:hyperlink r:id="rId25" w:history="1">
              <w:r w:rsidRPr="00821297">
                <w:rPr>
                  <w:rStyle w:val="Hyperlink"/>
                  <w:b/>
                  <w:bCs/>
                </w:rPr>
                <w:t>https://engage.barnet.gov.uk/edgware-growth-area-spd</w:t>
              </w:r>
            </w:hyperlink>
          </w:p>
          <w:p w14:paraId="7AAD7F2C" w14:textId="77777777" w:rsidR="005352E7" w:rsidRPr="003020F5" w:rsidRDefault="005352E7" w:rsidP="007315A9">
            <w:pPr>
              <w:rPr>
                <w:b/>
                <w:bCs/>
              </w:rPr>
            </w:pPr>
          </w:p>
          <w:p w14:paraId="6CF4BC88" w14:textId="77777777" w:rsidR="005352E7" w:rsidRDefault="005352E7" w:rsidP="007315A9">
            <w:pPr>
              <w:rPr>
                <w:rFonts w:eastAsia="Times New Roman" w:cstheme="minorHAnsi"/>
                <w:b/>
                <w:bCs/>
                <w:spacing w:val="-7"/>
                <w:kern w:val="36"/>
                <w:lang w:eastAsia="en-GB"/>
              </w:rPr>
            </w:pPr>
            <w:r>
              <w:rPr>
                <w:rFonts w:eastAsia="Times New Roman" w:cstheme="minorHAnsi"/>
                <w:b/>
                <w:bCs/>
                <w:spacing w:val="-7"/>
                <w:kern w:val="36"/>
                <w:lang w:eastAsia="en-GB"/>
              </w:rPr>
              <w:t xml:space="preserve">The </w:t>
            </w:r>
            <w:r w:rsidRPr="003020F5">
              <w:rPr>
                <w:rFonts w:eastAsia="Times New Roman" w:cstheme="minorHAnsi"/>
                <w:b/>
                <w:bCs/>
                <w:spacing w:val="-7"/>
                <w:kern w:val="36"/>
                <w:lang w:eastAsia="en-GB"/>
              </w:rPr>
              <w:t xml:space="preserve">North Finchley Town Centre </w:t>
            </w:r>
            <w:r>
              <w:rPr>
                <w:rFonts w:eastAsia="Times New Roman" w:cstheme="minorHAnsi"/>
                <w:b/>
                <w:bCs/>
                <w:spacing w:val="-7"/>
                <w:kern w:val="36"/>
                <w:lang w:eastAsia="en-GB"/>
              </w:rPr>
              <w:t>Framework</w:t>
            </w:r>
            <w:r w:rsidRPr="003020F5">
              <w:rPr>
                <w:rFonts w:eastAsia="Times New Roman" w:cstheme="minorHAnsi"/>
                <w:b/>
                <w:bCs/>
                <w:spacing w:val="-7"/>
                <w:kern w:val="36"/>
                <w:lang w:eastAsia="en-GB"/>
              </w:rPr>
              <w:t xml:space="preserve"> SPD, adopted Feb 2018</w:t>
            </w:r>
            <w:r>
              <w:rPr>
                <w:rFonts w:eastAsia="Times New Roman" w:cstheme="minorHAnsi"/>
                <w:b/>
                <w:bCs/>
                <w:spacing w:val="-7"/>
                <w:kern w:val="36"/>
                <w:lang w:eastAsia="en-GB"/>
              </w:rPr>
              <w:t xml:space="preserve">. </w:t>
            </w:r>
            <w:hyperlink r:id="rId26" w:history="1">
              <w:r w:rsidRPr="00821297">
                <w:rPr>
                  <w:rStyle w:val="Hyperlink"/>
                  <w:rFonts w:eastAsia="Times New Roman" w:cstheme="minorHAnsi"/>
                  <w:b/>
                  <w:bCs/>
                  <w:spacing w:val="-7"/>
                  <w:kern w:val="36"/>
                  <w:lang w:eastAsia="en-GB"/>
                </w:rPr>
                <w:t>https://www.barnet.gov.uk/media/1210</w:t>
              </w:r>
            </w:hyperlink>
          </w:p>
          <w:p w14:paraId="03F1AFDC" w14:textId="77777777" w:rsidR="005352E7" w:rsidRDefault="005352E7" w:rsidP="007315A9">
            <w:pPr>
              <w:rPr>
                <w:rFonts w:eastAsia="Times New Roman" w:cstheme="minorHAnsi"/>
                <w:b/>
                <w:bCs/>
                <w:spacing w:val="-7"/>
                <w:kern w:val="36"/>
                <w:lang w:eastAsia="en-GB"/>
              </w:rPr>
            </w:pPr>
          </w:p>
          <w:p w14:paraId="69F44789" w14:textId="77777777" w:rsidR="005352E7" w:rsidRDefault="005352E7" w:rsidP="007315A9">
            <w:pPr>
              <w:rPr>
                <w:rFonts w:eastAsia="Times New Roman" w:cstheme="minorHAnsi"/>
                <w:b/>
                <w:bCs/>
                <w:spacing w:val="-7"/>
                <w:kern w:val="36"/>
                <w:lang w:eastAsia="en-GB"/>
              </w:rPr>
            </w:pPr>
            <w:r>
              <w:rPr>
                <w:rFonts w:eastAsia="Times New Roman" w:cstheme="minorHAnsi"/>
                <w:b/>
                <w:bCs/>
                <w:spacing w:val="-7"/>
                <w:kern w:val="36"/>
                <w:lang w:eastAsia="en-GB"/>
              </w:rPr>
              <w:t xml:space="preserve">Other adopted development </w:t>
            </w:r>
            <w:r>
              <w:rPr>
                <w:rFonts w:eastAsia="Times New Roman" w:cstheme="minorHAnsi"/>
                <w:b/>
                <w:bCs/>
                <w:spacing w:val="-7"/>
                <w:kern w:val="36"/>
                <w:lang w:eastAsia="en-GB"/>
              </w:rPr>
              <w:lastRenderedPageBreak/>
              <w:t>frameworks are approx. 10 years old.</w:t>
            </w:r>
          </w:p>
          <w:p w14:paraId="5B6950F3" w14:textId="77777777" w:rsidR="005352E7" w:rsidRDefault="009B6EFB" w:rsidP="007315A9">
            <w:pPr>
              <w:rPr>
                <w:b/>
                <w:bCs/>
              </w:rPr>
            </w:pPr>
            <w:hyperlink r:id="rId27" w:history="1">
              <w:r w:rsidR="005352E7" w:rsidRPr="00821297">
                <w:rPr>
                  <w:rStyle w:val="Hyperlink"/>
                  <w:b/>
                  <w:bCs/>
                </w:rPr>
                <w:t>https://www.barnet.gov.uk/planning-and-building/planning-policies-and-local-plan/local-plan/town-centre-frameworks</w:t>
              </w:r>
            </w:hyperlink>
          </w:p>
          <w:p w14:paraId="72534F9E" w14:textId="77777777" w:rsidR="005352E7" w:rsidRDefault="005352E7" w:rsidP="007315A9">
            <w:pPr>
              <w:rPr>
                <w:b/>
                <w:bCs/>
              </w:rPr>
            </w:pPr>
          </w:p>
        </w:tc>
        <w:tc>
          <w:tcPr>
            <w:tcW w:w="1984" w:type="dxa"/>
          </w:tcPr>
          <w:p w14:paraId="01225C56" w14:textId="77777777" w:rsidR="005352E7" w:rsidRDefault="005352E7" w:rsidP="007315A9">
            <w:pPr>
              <w:rPr>
                <w:b/>
                <w:bCs/>
              </w:rPr>
            </w:pPr>
            <w:r>
              <w:rPr>
                <w:b/>
                <w:bCs/>
              </w:rPr>
              <w:lastRenderedPageBreak/>
              <w:t>No</w:t>
            </w:r>
          </w:p>
        </w:tc>
        <w:tc>
          <w:tcPr>
            <w:tcW w:w="2268" w:type="dxa"/>
          </w:tcPr>
          <w:p w14:paraId="1E3CED24" w14:textId="77777777" w:rsidR="005352E7" w:rsidRDefault="005352E7" w:rsidP="007315A9">
            <w:pPr>
              <w:rPr>
                <w:b/>
                <w:bCs/>
              </w:rPr>
            </w:pPr>
            <w:r>
              <w:rPr>
                <w:b/>
                <w:bCs/>
              </w:rPr>
              <w:t xml:space="preserve">No </w:t>
            </w:r>
          </w:p>
        </w:tc>
        <w:tc>
          <w:tcPr>
            <w:tcW w:w="1985" w:type="dxa"/>
          </w:tcPr>
          <w:p w14:paraId="226243C4" w14:textId="77777777" w:rsidR="005352E7" w:rsidRDefault="005352E7" w:rsidP="007315A9">
            <w:pPr>
              <w:rPr>
                <w:b/>
                <w:bCs/>
              </w:rPr>
            </w:pPr>
            <w:r>
              <w:rPr>
                <w:b/>
                <w:bCs/>
              </w:rPr>
              <w:t>No</w:t>
            </w:r>
          </w:p>
        </w:tc>
        <w:tc>
          <w:tcPr>
            <w:tcW w:w="1701" w:type="dxa"/>
          </w:tcPr>
          <w:p w14:paraId="2ECE7256" w14:textId="77777777" w:rsidR="005352E7" w:rsidRDefault="005352E7" w:rsidP="007315A9">
            <w:pPr>
              <w:rPr>
                <w:b/>
                <w:bCs/>
              </w:rPr>
            </w:pPr>
            <w:r>
              <w:rPr>
                <w:b/>
                <w:bCs/>
              </w:rPr>
              <w:t>Harrow and Wealdstone Area Action Plan (2013)</w:t>
            </w:r>
          </w:p>
          <w:p w14:paraId="41050AF2" w14:textId="77777777" w:rsidR="005352E7" w:rsidRDefault="009B6EFB" w:rsidP="007315A9">
            <w:pPr>
              <w:rPr>
                <w:b/>
                <w:bCs/>
              </w:rPr>
            </w:pPr>
            <w:hyperlink r:id="rId28" w:history="1">
              <w:r w:rsidR="005352E7">
                <w:rPr>
                  <w:rStyle w:val="Hyperlink"/>
                  <w:b/>
                  <w:bCs/>
                </w:rPr>
                <w:t>https://www.harrow.gov.uk/downloads/file/23239/harrow-wealdstone-area-action-plan</w:t>
              </w:r>
            </w:hyperlink>
          </w:p>
        </w:tc>
        <w:tc>
          <w:tcPr>
            <w:tcW w:w="1842" w:type="dxa"/>
          </w:tcPr>
          <w:p w14:paraId="7981C2DC" w14:textId="77777777" w:rsidR="005352E7" w:rsidRDefault="005352E7" w:rsidP="007315A9">
            <w:pPr>
              <w:rPr>
                <w:b/>
                <w:bCs/>
              </w:rPr>
            </w:pPr>
            <w:r>
              <w:rPr>
                <w:b/>
                <w:bCs/>
              </w:rPr>
              <w:t>No</w:t>
            </w:r>
          </w:p>
        </w:tc>
        <w:tc>
          <w:tcPr>
            <w:tcW w:w="2835" w:type="dxa"/>
          </w:tcPr>
          <w:p w14:paraId="021D6B76" w14:textId="77777777" w:rsidR="005352E7" w:rsidRDefault="005352E7" w:rsidP="007315A9">
            <w:pPr>
              <w:rPr>
                <w:b/>
                <w:bCs/>
              </w:rPr>
            </w:pPr>
            <w:r>
              <w:rPr>
                <w:b/>
                <w:bCs/>
              </w:rPr>
              <w:t>No</w:t>
            </w:r>
          </w:p>
        </w:tc>
      </w:tr>
      <w:tr w:rsidR="005352E7" w14:paraId="41EA10A7" w14:textId="77777777" w:rsidTr="007315A9">
        <w:tc>
          <w:tcPr>
            <w:tcW w:w="2054" w:type="dxa"/>
          </w:tcPr>
          <w:p w14:paraId="2B9FB77A" w14:textId="77777777" w:rsidR="005352E7" w:rsidRDefault="005352E7" w:rsidP="005352E7">
            <w:pPr>
              <w:pStyle w:val="ListParagraph"/>
              <w:numPr>
                <w:ilvl w:val="0"/>
                <w:numId w:val="40"/>
              </w:numPr>
              <w:ind w:left="312" w:hanging="426"/>
              <w:rPr>
                <w:b/>
                <w:bCs/>
              </w:rPr>
            </w:pPr>
            <w:r>
              <w:rPr>
                <w:b/>
                <w:bCs/>
              </w:rPr>
              <w:t>Does your authority hold Goad maps for your principal town centres?</w:t>
            </w:r>
          </w:p>
          <w:p w14:paraId="294E7EF7" w14:textId="77777777" w:rsidR="005352E7" w:rsidRDefault="005352E7" w:rsidP="007315A9">
            <w:pPr>
              <w:rPr>
                <w:b/>
                <w:bCs/>
              </w:rPr>
            </w:pPr>
          </w:p>
          <w:p w14:paraId="436993AF" w14:textId="77777777" w:rsidR="005352E7" w:rsidRPr="0058248F" w:rsidRDefault="005352E7" w:rsidP="007315A9">
            <w:pPr>
              <w:rPr>
                <w:b/>
                <w:bCs/>
              </w:rPr>
            </w:pPr>
          </w:p>
        </w:tc>
        <w:tc>
          <w:tcPr>
            <w:tcW w:w="2058" w:type="dxa"/>
          </w:tcPr>
          <w:p w14:paraId="44538521" w14:textId="77777777" w:rsidR="005352E7" w:rsidRDefault="005352E7" w:rsidP="007315A9">
            <w:pPr>
              <w:rPr>
                <w:b/>
                <w:bCs/>
              </w:rPr>
            </w:pPr>
            <w:r>
              <w:rPr>
                <w:b/>
                <w:bCs/>
              </w:rPr>
              <w:t>No</w:t>
            </w:r>
          </w:p>
          <w:p w14:paraId="532713AF" w14:textId="77777777" w:rsidR="005352E7" w:rsidRDefault="005352E7" w:rsidP="007315A9">
            <w:pPr>
              <w:rPr>
                <w:b/>
                <w:bCs/>
              </w:rPr>
            </w:pPr>
          </w:p>
          <w:p w14:paraId="1D2B1278" w14:textId="77777777" w:rsidR="005352E7" w:rsidRDefault="005352E7" w:rsidP="007315A9">
            <w:pPr>
              <w:rPr>
                <w:b/>
                <w:bCs/>
              </w:rPr>
            </w:pPr>
          </w:p>
          <w:p w14:paraId="18703CAB" w14:textId="77777777" w:rsidR="005352E7" w:rsidRDefault="005352E7" w:rsidP="007315A9">
            <w:pPr>
              <w:rPr>
                <w:b/>
                <w:bCs/>
              </w:rPr>
            </w:pPr>
          </w:p>
        </w:tc>
        <w:tc>
          <w:tcPr>
            <w:tcW w:w="1984" w:type="dxa"/>
          </w:tcPr>
          <w:p w14:paraId="24D43301" w14:textId="77777777" w:rsidR="005352E7" w:rsidRDefault="005352E7" w:rsidP="007315A9">
            <w:pPr>
              <w:rPr>
                <w:b/>
                <w:bCs/>
              </w:rPr>
            </w:pPr>
            <w:r>
              <w:rPr>
                <w:b/>
                <w:bCs/>
              </w:rPr>
              <w:t>No</w:t>
            </w:r>
          </w:p>
        </w:tc>
        <w:tc>
          <w:tcPr>
            <w:tcW w:w="2268" w:type="dxa"/>
          </w:tcPr>
          <w:p w14:paraId="7BB580C1" w14:textId="77777777" w:rsidR="005352E7" w:rsidRDefault="005352E7" w:rsidP="007315A9">
            <w:pPr>
              <w:rPr>
                <w:b/>
                <w:bCs/>
              </w:rPr>
            </w:pPr>
            <w:r>
              <w:rPr>
                <w:b/>
                <w:bCs/>
              </w:rPr>
              <w:t>No</w:t>
            </w:r>
          </w:p>
        </w:tc>
        <w:tc>
          <w:tcPr>
            <w:tcW w:w="1985" w:type="dxa"/>
          </w:tcPr>
          <w:p w14:paraId="7D1972AE" w14:textId="77777777" w:rsidR="005352E7" w:rsidRDefault="005352E7" w:rsidP="007315A9">
            <w:pPr>
              <w:rPr>
                <w:b/>
                <w:bCs/>
              </w:rPr>
            </w:pPr>
            <w:r>
              <w:rPr>
                <w:b/>
                <w:bCs/>
              </w:rPr>
              <w:t>No</w:t>
            </w:r>
          </w:p>
        </w:tc>
        <w:tc>
          <w:tcPr>
            <w:tcW w:w="1701" w:type="dxa"/>
          </w:tcPr>
          <w:p w14:paraId="5451861B" w14:textId="77777777" w:rsidR="005352E7" w:rsidRDefault="005352E7" w:rsidP="007315A9">
            <w:pPr>
              <w:rPr>
                <w:b/>
                <w:bCs/>
              </w:rPr>
            </w:pPr>
            <w:r>
              <w:rPr>
                <w:b/>
                <w:bCs/>
              </w:rPr>
              <w:t>No</w:t>
            </w:r>
          </w:p>
        </w:tc>
        <w:tc>
          <w:tcPr>
            <w:tcW w:w="1842" w:type="dxa"/>
          </w:tcPr>
          <w:p w14:paraId="56928E40" w14:textId="77777777" w:rsidR="005352E7" w:rsidRDefault="005352E7" w:rsidP="007315A9">
            <w:pPr>
              <w:rPr>
                <w:b/>
                <w:bCs/>
              </w:rPr>
            </w:pPr>
            <w:r>
              <w:rPr>
                <w:b/>
                <w:bCs/>
              </w:rPr>
              <w:t>No</w:t>
            </w:r>
          </w:p>
        </w:tc>
        <w:tc>
          <w:tcPr>
            <w:tcW w:w="2835" w:type="dxa"/>
          </w:tcPr>
          <w:p w14:paraId="4F68224A" w14:textId="77777777" w:rsidR="005352E7" w:rsidRDefault="005352E7" w:rsidP="007315A9">
            <w:pPr>
              <w:rPr>
                <w:b/>
                <w:bCs/>
              </w:rPr>
            </w:pPr>
            <w:r>
              <w:rPr>
                <w:b/>
                <w:bCs/>
              </w:rPr>
              <w:t>Yes -  Hounslow, Chiswick, Brentford and Feltham maps are contained in Appendix H of the above-mentioned study. Data is from 2018.</w:t>
            </w:r>
          </w:p>
          <w:p w14:paraId="68F84014" w14:textId="77777777" w:rsidR="005352E7" w:rsidRDefault="005352E7" w:rsidP="007315A9">
            <w:pPr>
              <w:rPr>
                <w:b/>
                <w:bCs/>
              </w:rPr>
            </w:pPr>
            <w:r>
              <w:rPr>
                <w:b/>
                <w:bCs/>
              </w:rPr>
              <w:t>Council also holds historic GOAD data for these four centres (from 2002).</w:t>
            </w:r>
          </w:p>
          <w:p w14:paraId="16BF3F3F" w14:textId="77777777" w:rsidR="005352E7" w:rsidRDefault="005352E7" w:rsidP="007315A9">
            <w:pPr>
              <w:rPr>
                <w:b/>
                <w:bCs/>
              </w:rPr>
            </w:pPr>
          </w:p>
        </w:tc>
      </w:tr>
      <w:tr w:rsidR="005352E7" w14:paraId="3E1CCE13" w14:textId="77777777" w:rsidTr="007315A9">
        <w:tc>
          <w:tcPr>
            <w:tcW w:w="2054" w:type="dxa"/>
          </w:tcPr>
          <w:p w14:paraId="4B8DBC6C" w14:textId="77777777" w:rsidR="005352E7" w:rsidRDefault="005352E7" w:rsidP="005352E7">
            <w:pPr>
              <w:pStyle w:val="ListParagraph"/>
              <w:numPr>
                <w:ilvl w:val="0"/>
                <w:numId w:val="40"/>
              </w:numPr>
              <w:ind w:left="312" w:hanging="312"/>
              <w:rPr>
                <w:b/>
                <w:bCs/>
              </w:rPr>
            </w:pPr>
            <w:r>
              <w:rPr>
                <w:b/>
                <w:bCs/>
              </w:rPr>
              <w:t>Does your authority hold any other information about town centres that might be of use to a West London study?</w:t>
            </w:r>
          </w:p>
          <w:p w14:paraId="17824857" w14:textId="77777777" w:rsidR="005352E7" w:rsidRDefault="005352E7" w:rsidP="007315A9">
            <w:pPr>
              <w:rPr>
                <w:b/>
                <w:bCs/>
              </w:rPr>
            </w:pPr>
          </w:p>
          <w:p w14:paraId="7C1DE18E" w14:textId="77777777" w:rsidR="005352E7" w:rsidRDefault="005352E7" w:rsidP="007315A9">
            <w:pPr>
              <w:rPr>
                <w:b/>
                <w:bCs/>
              </w:rPr>
            </w:pPr>
          </w:p>
          <w:p w14:paraId="21630E62" w14:textId="77777777" w:rsidR="005352E7" w:rsidRDefault="005352E7" w:rsidP="007315A9">
            <w:pPr>
              <w:rPr>
                <w:b/>
                <w:bCs/>
              </w:rPr>
            </w:pPr>
          </w:p>
          <w:p w14:paraId="702B7A93" w14:textId="77777777" w:rsidR="005352E7" w:rsidRPr="001F0E7A" w:rsidRDefault="005352E7" w:rsidP="007315A9">
            <w:pPr>
              <w:rPr>
                <w:b/>
                <w:bCs/>
              </w:rPr>
            </w:pPr>
          </w:p>
        </w:tc>
        <w:tc>
          <w:tcPr>
            <w:tcW w:w="2058" w:type="dxa"/>
          </w:tcPr>
          <w:p w14:paraId="4F0A435A" w14:textId="77777777" w:rsidR="005352E7" w:rsidRPr="00185215" w:rsidRDefault="005352E7" w:rsidP="007315A9">
            <w:pPr>
              <w:rPr>
                <w:b/>
                <w:bCs/>
              </w:rPr>
            </w:pPr>
            <w:r w:rsidRPr="00185215">
              <w:rPr>
                <w:b/>
                <w:bCs/>
              </w:rPr>
              <w:lastRenderedPageBreak/>
              <w:t xml:space="preserve">Harrow/Barnet , GLA sponsored project on Edgware Growth Area SPD  - various background evidence base studies (retail, transport, design) undertaken in 2020 </w:t>
            </w:r>
          </w:p>
          <w:p w14:paraId="57C6A78A" w14:textId="77777777" w:rsidR="005352E7" w:rsidRDefault="009B6EFB" w:rsidP="007315A9">
            <w:pPr>
              <w:rPr>
                <w:b/>
                <w:bCs/>
              </w:rPr>
            </w:pPr>
            <w:hyperlink r:id="rId29" w:history="1">
              <w:r w:rsidR="005352E7" w:rsidRPr="00821297">
                <w:rPr>
                  <w:rStyle w:val="Hyperlink"/>
                  <w:b/>
                  <w:bCs/>
                </w:rPr>
                <w:t>https://engage.barnet.gov.uk/edgware-growth-area-spd</w:t>
              </w:r>
            </w:hyperlink>
          </w:p>
          <w:p w14:paraId="7B163CC9" w14:textId="77777777" w:rsidR="005352E7" w:rsidRPr="00633A7B" w:rsidRDefault="005352E7" w:rsidP="007315A9"/>
          <w:p w14:paraId="1F26DB31" w14:textId="77777777" w:rsidR="005352E7" w:rsidRDefault="005352E7" w:rsidP="007315A9">
            <w:pPr>
              <w:rPr>
                <w:b/>
                <w:bCs/>
              </w:rPr>
            </w:pPr>
          </w:p>
          <w:p w14:paraId="30B39721" w14:textId="77777777" w:rsidR="005352E7" w:rsidRDefault="005352E7" w:rsidP="007315A9">
            <w:pPr>
              <w:rPr>
                <w:b/>
                <w:bCs/>
              </w:rPr>
            </w:pPr>
          </w:p>
          <w:p w14:paraId="74B9ACE5" w14:textId="77777777" w:rsidR="005352E7" w:rsidRPr="00633A7B" w:rsidRDefault="005352E7" w:rsidP="007315A9">
            <w:pPr>
              <w:jc w:val="right"/>
            </w:pPr>
          </w:p>
        </w:tc>
        <w:tc>
          <w:tcPr>
            <w:tcW w:w="1984" w:type="dxa"/>
          </w:tcPr>
          <w:p w14:paraId="122ABA37" w14:textId="77777777" w:rsidR="005352E7" w:rsidRDefault="005352E7" w:rsidP="007315A9">
            <w:pPr>
              <w:spacing w:line="256" w:lineRule="auto"/>
              <w:rPr>
                <w:b/>
                <w:bCs/>
              </w:rPr>
            </w:pPr>
            <w:r w:rsidRPr="00187CAA">
              <w:rPr>
                <w:b/>
                <w:bCs/>
              </w:rPr>
              <w:lastRenderedPageBreak/>
              <w:t xml:space="preserve">Brent Workspace Study (2017) - </w:t>
            </w:r>
            <w:hyperlink r:id="rId30" w:history="1">
              <w:r w:rsidRPr="00187CAA">
                <w:rPr>
                  <w:rStyle w:val="Hyperlink"/>
                  <w:b/>
                  <w:bCs/>
                </w:rPr>
                <w:t>https://www.brent.gov.uk/media/16415891/eb_e_09-brent-workspace-study.pdf</w:t>
              </w:r>
            </w:hyperlink>
            <w:r w:rsidRPr="00187CAA">
              <w:rPr>
                <w:b/>
                <w:bCs/>
              </w:rPr>
              <w:t xml:space="preserve"> </w:t>
            </w:r>
          </w:p>
          <w:p w14:paraId="0C368E8D" w14:textId="77777777" w:rsidR="005352E7" w:rsidRPr="00187CAA" w:rsidRDefault="005352E7" w:rsidP="007315A9">
            <w:pPr>
              <w:spacing w:line="256" w:lineRule="auto"/>
              <w:rPr>
                <w:b/>
                <w:bCs/>
              </w:rPr>
            </w:pPr>
          </w:p>
          <w:p w14:paraId="24075E0A" w14:textId="77777777" w:rsidR="005352E7" w:rsidRPr="00187CAA" w:rsidRDefault="005352E7" w:rsidP="007315A9">
            <w:pPr>
              <w:spacing w:line="256" w:lineRule="auto"/>
              <w:rPr>
                <w:b/>
                <w:bCs/>
              </w:rPr>
            </w:pPr>
            <w:r w:rsidRPr="00187CAA">
              <w:rPr>
                <w:b/>
                <w:bCs/>
              </w:rPr>
              <w:t xml:space="preserve">Brent Affordable Workplace Strategy (2020) - </w:t>
            </w:r>
            <w:hyperlink r:id="rId31" w:anchor="AI50529" w:history="1">
              <w:r w:rsidRPr="00187CAA">
                <w:rPr>
                  <w:rStyle w:val="Hyperlink"/>
                  <w:b/>
                  <w:bCs/>
                </w:rPr>
                <w:t>http://democracy.brent.gov.uk/ieIssueDetails.aspx?IId=53717&amp;PlanId=0&amp;Opt=3#AI50529</w:t>
              </w:r>
            </w:hyperlink>
            <w:r w:rsidRPr="00187CAA">
              <w:rPr>
                <w:b/>
                <w:bCs/>
              </w:rPr>
              <w:t xml:space="preserve"> </w:t>
            </w:r>
          </w:p>
          <w:p w14:paraId="49AF5C8E" w14:textId="77777777" w:rsidR="005352E7" w:rsidRDefault="005352E7" w:rsidP="007315A9">
            <w:pPr>
              <w:rPr>
                <w:b/>
                <w:bCs/>
              </w:rPr>
            </w:pPr>
          </w:p>
        </w:tc>
        <w:tc>
          <w:tcPr>
            <w:tcW w:w="2268" w:type="dxa"/>
          </w:tcPr>
          <w:p w14:paraId="677E92E5" w14:textId="77777777" w:rsidR="005352E7" w:rsidRDefault="005352E7" w:rsidP="007315A9">
            <w:pPr>
              <w:rPr>
                <w:b/>
                <w:bCs/>
              </w:rPr>
            </w:pPr>
            <w:r>
              <w:rPr>
                <w:b/>
                <w:bCs/>
              </w:rPr>
              <w:lastRenderedPageBreak/>
              <w:t>No</w:t>
            </w:r>
          </w:p>
        </w:tc>
        <w:tc>
          <w:tcPr>
            <w:tcW w:w="1985" w:type="dxa"/>
          </w:tcPr>
          <w:p w14:paraId="7DD636D3" w14:textId="77777777" w:rsidR="005352E7" w:rsidRDefault="005352E7" w:rsidP="007315A9">
            <w:pPr>
              <w:rPr>
                <w:b/>
                <w:bCs/>
              </w:rPr>
            </w:pPr>
            <w:r>
              <w:rPr>
                <w:b/>
                <w:bCs/>
              </w:rPr>
              <w:t>No</w:t>
            </w:r>
          </w:p>
        </w:tc>
        <w:tc>
          <w:tcPr>
            <w:tcW w:w="1701" w:type="dxa"/>
          </w:tcPr>
          <w:p w14:paraId="1E02427A" w14:textId="77777777" w:rsidR="005352E7" w:rsidRDefault="005352E7" w:rsidP="007315A9">
            <w:pPr>
              <w:rPr>
                <w:b/>
                <w:bCs/>
              </w:rPr>
            </w:pPr>
            <w:r>
              <w:rPr>
                <w:b/>
                <w:bCs/>
              </w:rPr>
              <w:t>No</w:t>
            </w:r>
          </w:p>
        </w:tc>
        <w:tc>
          <w:tcPr>
            <w:tcW w:w="1842" w:type="dxa"/>
          </w:tcPr>
          <w:p w14:paraId="57BD05AE" w14:textId="77777777" w:rsidR="005352E7" w:rsidRDefault="005352E7" w:rsidP="007315A9">
            <w:pPr>
              <w:rPr>
                <w:b/>
                <w:bCs/>
              </w:rPr>
            </w:pPr>
            <w:r>
              <w:rPr>
                <w:b/>
                <w:bCs/>
              </w:rPr>
              <w:t xml:space="preserve">Vacancy rates and information on different use classes in each of the town centres (Source: Town Centre surveys). </w:t>
            </w:r>
          </w:p>
          <w:p w14:paraId="098FC95E" w14:textId="77777777" w:rsidR="005352E7" w:rsidRDefault="005352E7" w:rsidP="007315A9">
            <w:pPr>
              <w:rPr>
                <w:b/>
                <w:bCs/>
              </w:rPr>
            </w:pPr>
            <w:r>
              <w:rPr>
                <w:b/>
                <w:bCs/>
              </w:rPr>
              <w:t xml:space="preserve">These are summarised in the Council’s latest AMR. The last survey was </w:t>
            </w:r>
            <w:r>
              <w:rPr>
                <w:b/>
                <w:bCs/>
              </w:rPr>
              <w:lastRenderedPageBreak/>
              <w:t xml:space="preserve">undertaken in summer 2019. </w:t>
            </w:r>
          </w:p>
          <w:p w14:paraId="6C2CD6DD" w14:textId="77777777" w:rsidR="005352E7" w:rsidRDefault="005352E7" w:rsidP="007315A9">
            <w:pPr>
              <w:rPr>
                <w:b/>
                <w:bCs/>
              </w:rPr>
            </w:pPr>
          </w:p>
          <w:p w14:paraId="0F3BD393" w14:textId="77777777" w:rsidR="005352E7" w:rsidRDefault="005352E7" w:rsidP="007315A9">
            <w:pPr>
              <w:rPr>
                <w:b/>
                <w:bCs/>
              </w:rPr>
            </w:pPr>
          </w:p>
          <w:p w14:paraId="0530687A" w14:textId="77777777" w:rsidR="005352E7" w:rsidRDefault="005352E7" w:rsidP="007315A9">
            <w:pPr>
              <w:rPr>
                <w:b/>
                <w:bCs/>
              </w:rPr>
            </w:pPr>
            <w:r>
              <w:rPr>
                <w:b/>
                <w:bCs/>
              </w:rPr>
              <w:t xml:space="preserve">Information on office forecasts were contained within the Employment Land Study (2014), however these have been superseded by the work undertaken by the GLA for the new London Plan. </w:t>
            </w:r>
          </w:p>
          <w:p w14:paraId="2D24BB08" w14:textId="77777777" w:rsidR="005352E7" w:rsidRDefault="005352E7" w:rsidP="007315A9">
            <w:pPr>
              <w:rPr>
                <w:b/>
                <w:bCs/>
              </w:rPr>
            </w:pPr>
          </w:p>
          <w:p w14:paraId="7527E9E9" w14:textId="77777777" w:rsidR="005352E7" w:rsidRDefault="005352E7" w:rsidP="007315A9">
            <w:pPr>
              <w:rPr>
                <w:b/>
                <w:bCs/>
              </w:rPr>
            </w:pPr>
            <w:r>
              <w:rPr>
                <w:b/>
                <w:bCs/>
              </w:rPr>
              <w:t xml:space="preserve">A Tourism Study (2006) was also undertaken which included hotel forecasts, but again this been superseded by the work undertaken by the GLA for new iteration of the London Plan. The focus of this growth has also </w:t>
            </w:r>
            <w:r>
              <w:rPr>
                <w:b/>
                <w:bCs/>
              </w:rPr>
              <w:lastRenderedPageBreak/>
              <w:t xml:space="preserve">been predominantly around Heathrow Airport, rather than town centres specifically. </w:t>
            </w:r>
          </w:p>
          <w:p w14:paraId="17457ED7" w14:textId="77777777" w:rsidR="005352E7" w:rsidRDefault="005352E7" w:rsidP="007315A9">
            <w:pPr>
              <w:rPr>
                <w:b/>
                <w:bCs/>
              </w:rPr>
            </w:pPr>
          </w:p>
        </w:tc>
        <w:tc>
          <w:tcPr>
            <w:tcW w:w="2835" w:type="dxa"/>
          </w:tcPr>
          <w:p w14:paraId="601FC6DC" w14:textId="77777777" w:rsidR="005352E7" w:rsidRDefault="005352E7" w:rsidP="007315A9">
            <w:pPr>
              <w:rPr>
                <w:b/>
                <w:bCs/>
              </w:rPr>
            </w:pPr>
            <w:r>
              <w:rPr>
                <w:b/>
                <w:bCs/>
              </w:rPr>
              <w:lastRenderedPageBreak/>
              <w:t>No</w:t>
            </w:r>
          </w:p>
        </w:tc>
      </w:tr>
    </w:tbl>
    <w:p w14:paraId="721A74CF" w14:textId="77777777" w:rsidR="005352E7" w:rsidRDefault="005352E7" w:rsidP="005352E7">
      <w:pPr>
        <w:rPr>
          <w:b/>
          <w:bCs/>
        </w:rPr>
      </w:pPr>
    </w:p>
    <w:p w14:paraId="4DE678AB" w14:textId="7C001518" w:rsidR="00F96FEA" w:rsidRPr="0007756A" w:rsidRDefault="00F96FEA" w:rsidP="00DE5B0F">
      <w:pPr>
        <w:autoSpaceDE w:val="0"/>
        <w:autoSpaceDN w:val="0"/>
        <w:adjustRightInd w:val="0"/>
        <w:spacing w:after="0" w:line="240" w:lineRule="auto"/>
        <w:rPr>
          <w:rFonts w:ascii="Arial" w:hAnsi="Arial" w:cs="Arial"/>
          <w:b/>
          <w:bCs/>
          <w:sz w:val="24"/>
          <w:szCs w:val="24"/>
        </w:rPr>
      </w:pPr>
    </w:p>
    <w:sectPr w:rsidR="00F96FEA" w:rsidRPr="0007756A" w:rsidSect="00AC774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02D32" w14:textId="77777777" w:rsidR="009B6EFB" w:rsidRDefault="009B6EFB" w:rsidP="00EB373C">
      <w:pPr>
        <w:spacing w:after="0" w:line="240" w:lineRule="auto"/>
      </w:pPr>
      <w:r>
        <w:separator/>
      </w:r>
    </w:p>
  </w:endnote>
  <w:endnote w:type="continuationSeparator" w:id="0">
    <w:p w14:paraId="57485471" w14:textId="77777777" w:rsidR="009B6EFB" w:rsidRDefault="009B6EFB" w:rsidP="00EB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276530"/>
      <w:docPartObj>
        <w:docPartGallery w:val="Page Numbers (Bottom of Page)"/>
        <w:docPartUnique/>
      </w:docPartObj>
    </w:sdtPr>
    <w:sdtEndPr>
      <w:rPr>
        <w:noProof/>
      </w:rPr>
    </w:sdtEndPr>
    <w:sdtContent>
      <w:p w14:paraId="096D71EE" w14:textId="528EB346" w:rsidR="00A96254" w:rsidRDefault="00A962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B1110A" w14:textId="77777777" w:rsidR="00A96254" w:rsidRDefault="00A96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80F14" w14:textId="77777777" w:rsidR="009B6EFB" w:rsidRDefault="009B6EFB" w:rsidP="00EB373C">
      <w:pPr>
        <w:spacing w:after="0" w:line="240" w:lineRule="auto"/>
      </w:pPr>
      <w:r>
        <w:separator/>
      </w:r>
    </w:p>
  </w:footnote>
  <w:footnote w:type="continuationSeparator" w:id="0">
    <w:p w14:paraId="0110301A" w14:textId="77777777" w:rsidR="009B6EFB" w:rsidRDefault="009B6EFB" w:rsidP="00EB373C">
      <w:pPr>
        <w:spacing w:after="0" w:line="240" w:lineRule="auto"/>
      </w:pPr>
      <w:r>
        <w:continuationSeparator/>
      </w:r>
    </w:p>
  </w:footnote>
  <w:footnote w:id="1">
    <w:p w14:paraId="46F225A4" w14:textId="785BCDC3" w:rsidR="00C51A7E" w:rsidRDefault="00C51A7E">
      <w:pPr>
        <w:pStyle w:val="FootnoteText"/>
      </w:pPr>
      <w:r>
        <w:rPr>
          <w:rStyle w:val="FootnoteReference"/>
        </w:rPr>
        <w:footnoteRef/>
      </w:r>
      <w:r>
        <w:t xml:space="preserve"> </w:t>
      </w:r>
      <w:r w:rsidR="00AF5E49">
        <w:t>Identified as having future potential to become an international centre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D15981"/>
    <w:multiLevelType w:val="hybridMultilevel"/>
    <w:tmpl w:val="4BBE17A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C134B"/>
    <w:multiLevelType w:val="hybridMultilevel"/>
    <w:tmpl w:val="867E0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A70B31"/>
    <w:multiLevelType w:val="hybridMultilevel"/>
    <w:tmpl w:val="FE6E8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B9411B"/>
    <w:multiLevelType w:val="hybridMultilevel"/>
    <w:tmpl w:val="19FC4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9D3891"/>
    <w:multiLevelType w:val="hybridMultilevel"/>
    <w:tmpl w:val="85E06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204A08"/>
    <w:multiLevelType w:val="hybridMultilevel"/>
    <w:tmpl w:val="279CF31C"/>
    <w:lvl w:ilvl="0" w:tplc="0809000F">
      <w:start w:val="1"/>
      <w:numFmt w:val="decimal"/>
      <w:lvlText w:val="%1."/>
      <w:lvlJc w:val="left"/>
      <w:pPr>
        <w:ind w:left="786" w:hanging="360"/>
      </w:pPr>
      <w:rPr>
        <w:rFont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08543DE3"/>
    <w:multiLevelType w:val="hybridMultilevel"/>
    <w:tmpl w:val="A94A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090011"/>
    <w:multiLevelType w:val="hybridMultilevel"/>
    <w:tmpl w:val="6E6C7F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E948CE"/>
    <w:multiLevelType w:val="hybridMultilevel"/>
    <w:tmpl w:val="C7EAD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9B7014"/>
    <w:multiLevelType w:val="hybridMultilevel"/>
    <w:tmpl w:val="9064E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842AB1"/>
    <w:multiLevelType w:val="hybridMultilevel"/>
    <w:tmpl w:val="F21E0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81C09"/>
    <w:multiLevelType w:val="hybridMultilevel"/>
    <w:tmpl w:val="66D8C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A87CC4"/>
    <w:multiLevelType w:val="hybridMultilevel"/>
    <w:tmpl w:val="300A564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1E321345"/>
    <w:multiLevelType w:val="hybridMultilevel"/>
    <w:tmpl w:val="EDC42F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6E7E25"/>
    <w:multiLevelType w:val="hybridMultilevel"/>
    <w:tmpl w:val="881639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401288"/>
    <w:multiLevelType w:val="hybridMultilevel"/>
    <w:tmpl w:val="06227E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7E4673"/>
    <w:multiLevelType w:val="hybridMultilevel"/>
    <w:tmpl w:val="B85C4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75F98"/>
    <w:multiLevelType w:val="hybridMultilevel"/>
    <w:tmpl w:val="1BC83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CC4E4E"/>
    <w:multiLevelType w:val="hybridMultilevel"/>
    <w:tmpl w:val="F1780E7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6D91CCB"/>
    <w:multiLevelType w:val="multilevel"/>
    <w:tmpl w:val="668A2410"/>
    <w:lvl w:ilvl="0">
      <w:start w:val="1"/>
      <w:numFmt w:val="decimal"/>
      <w:pStyle w:val="Style1"/>
      <w:lvlText w:val="%1."/>
      <w:lvlJc w:val="left"/>
      <w:pPr>
        <w:tabs>
          <w:tab w:val="num" w:pos="644"/>
        </w:tabs>
        <w:ind w:left="644"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7F6B13"/>
    <w:multiLevelType w:val="hybridMultilevel"/>
    <w:tmpl w:val="0B6815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3749C3"/>
    <w:multiLevelType w:val="hybridMultilevel"/>
    <w:tmpl w:val="D71861F2"/>
    <w:lvl w:ilvl="0" w:tplc="AFDC124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925B19"/>
    <w:multiLevelType w:val="multilevel"/>
    <w:tmpl w:val="158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A44B82"/>
    <w:multiLevelType w:val="hybridMultilevel"/>
    <w:tmpl w:val="20560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560018"/>
    <w:multiLevelType w:val="hybridMultilevel"/>
    <w:tmpl w:val="72CEC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B51DF6"/>
    <w:multiLevelType w:val="hybridMultilevel"/>
    <w:tmpl w:val="1960E61C"/>
    <w:lvl w:ilvl="0" w:tplc="A02091E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102F2E"/>
    <w:multiLevelType w:val="hybridMultilevel"/>
    <w:tmpl w:val="71426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EE3336"/>
    <w:multiLevelType w:val="hybridMultilevel"/>
    <w:tmpl w:val="DAEE7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705A96"/>
    <w:multiLevelType w:val="hybridMultilevel"/>
    <w:tmpl w:val="0AEC5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2D6766"/>
    <w:multiLevelType w:val="multilevel"/>
    <w:tmpl w:val="07E4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2E76EB"/>
    <w:multiLevelType w:val="hybridMultilevel"/>
    <w:tmpl w:val="841ED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8E28F3"/>
    <w:multiLevelType w:val="multilevel"/>
    <w:tmpl w:val="4704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702CB7"/>
    <w:multiLevelType w:val="hybridMultilevel"/>
    <w:tmpl w:val="467EAEBC"/>
    <w:lvl w:ilvl="0" w:tplc="93662546">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9B2805"/>
    <w:multiLevelType w:val="hybridMultilevel"/>
    <w:tmpl w:val="725A7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5C3D16"/>
    <w:multiLevelType w:val="hybridMultilevel"/>
    <w:tmpl w:val="61AA4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FE3D36"/>
    <w:multiLevelType w:val="hybridMultilevel"/>
    <w:tmpl w:val="97D8B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A90DBC"/>
    <w:multiLevelType w:val="hybridMultilevel"/>
    <w:tmpl w:val="93FA65E4"/>
    <w:lvl w:ilvl="0" w:tplc="84341F9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A904B2"/>
    <w:multiLevelType w:val="hybridMultilevel"/>
    <w:tmpl w:val="A7260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820D8D"/>
    <w:multiLevelType w:val="hybridMultilevel"/>
    <w:tmpl w:val="0CE28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861627"/>
    <w:multiLevelType w:val="multilevel"/>
    <w:tmpl w:val="193E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2"/>
  </w:num>
  <w:num w:numId="3">
    <w:abstractNumId w:val="0"/>
  </w:num>
  <w:num w:numId="4">
    <w:abstractNumId w:val="15"/>
  </w:num>
  <w:num w:numId="5">
    <w:abstractNumId w:val="14"/>
  </w:num>
  <w:num w:numId="6">
    <w:abstractNumId w:val="39"/>
  </w:num>
  <w:num w:numId="7">
    <w:abstractNumId w:val="31"/>
  </w:num>
  <w:num w:numId="8">
    <w:abstractNumId w:val="29"/>
  </w:num>
  <w:num w:numId="9">
    <w:abstractNumId w:val="35"/>
  </w:num>
  <w:num w:numId="10">
    <w:abstractNumId w:val="25"/>
  </w:num>
  <w:num w:numId="11">
    <w:abstractNumId w:val="21"/>
  </w:num>
  <w:num w:numId="12">
    <w:abstractNumId w:val="36"/>
  </w:num>
  <w:num w:numId="13">
    <w:abstractNumId w:val="18"/>
  </w:num>
  <w:num w:numId="14">
    <w:abstractNumId w:val="11"/>
  </w:num>
  <w:num w:numId="15">
    <w:abstractNumId w:val="8"/>
  </w:num>
  <w:num w:numId="16">
    <w:abstractNumId w:val="30"/>
  </w:num>
  <w:num w:numId="17">
    <w:abstractNumId w:val="10"/>
  </w:num>
  <w:num w:numId="18">
    <w:abstractNumId w:val="6"/>
  </w:num>
  <w:num w:numId="19">
    <w:abstractNumId w:val="28"/>
  </w:num>
  <w:num w:numId="20">
    <w:abstractNumId w:val="37"/>
  </w:num>
  <w:num w:numId="21">
    <w:abstractNumId w:val="1"/>
  </w:num>
  <w:num w:numId="22">
    <w:abstractNumId w:val="9"/>
  </w:num>
  <w:num w:numId="23">
    <w:abstractNumId w:val="12"/>
  </w:num>
  <w:num w:numId="24">
    <w:abstractNumId w:val="26"/>
  </w:num>
  <w:num w:numId="25">
    <w:abstractNumId w:val="3"/>
  </w:num>
  <w:num w:numId="26">
    <w:abstractNumId w:val="38"/>
  </w:num>
  <w:num w:numId="27">
    <w:abstractNumId w:val="33"/>
  </w:num>
  <w:num w:numId="28">
    <w:abstractNumId w:val="16"/>
  </w:num>
  <w:num w:numId="29">
    <w:abstractNumId w:val="2"/>
  </w:num>
  <w:num w:numId="30">
    <w:abstractNumId w:val="20"/>
  </w:num>
  <w:num w:numId="31">
    <w:abstractNumId w:val="27"/>
  </w:num>
  <w:num w:numId="32">
    <w:abstractNumId w:val="4"/>
  </w:num>
  <w:num w:numId="33">
    <w:abstractNumId w:val="34"/>
  </w:num>
  <w:num w:numId="34">
    <w:abstractNumId w:val="13"/>
  </w:num>
  <w:num w:numId="35">
    <w:abstractNumId w:val="23"/>
  </w:num>
  <w:num w:numId="36">
    <w:abstractNumId w:val="19"/>
  </w:num>
  <w:num w:numId="37">
    <w:abstractNumId w:val="7"/>
  </w:num>
  <w:num w:numId="38">
    <w:abstractNumId w:val="5"/>
  </w:num>
  <w:num w:numId="39">
    <w:abstractNumId w:val="24"/>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6F"/>
    <w:rsid w:val="00010B04"/>
    <w:rsid w:val="00011D0A"/>
    <w:rsid w:val="0001310E"/>
    <w:rsid w:val="000270CD"/>
    <w:rsid w:val="00031978"/>
    <w:rsid w:val="00040039"/>
    <w:rsid w:val="0004182D"/>
    <w:rsid w:val="00042776"/>
    <w:rsid w:val="0004395F"/>
    <w:rsid w:val="000475F8"/>
    <w:rsid w:val="00065F1A"/>
    <w:rsid w:val="00073C72"/>
    <w:rsid w:val="0007756A"/>
    <w:rsid w:val="00080212"/>
    <w:rsid w:val="00080A36"/>
    <w:rsid w:val="00080EBC"/>
    <w:rsid w:val="00085849"/>
    <w:rsid w:val="000A5324"/>
    <w:rsid w:val="000A6204"/>
    <w:rsid w:val="000A736D"/>
    <w:rsid w:val="000B05B5"/>
    <w:rsid w:val="000B68DE"/>
    <w:rsid w:val="000C04C9"/>
    <w:rsid w:val="000C26F2"/>
    <w:rsid w:val="000C3FCA"/>
    <w:rsid w:val="000C533A"/>
    <w:rsid w:val="000D43E7"/>
    <w:rsid w:val="000D7D55"/>
    <w:rsid w:val="000E67AD"/>
    <w:rsid w:val="000F3367"/>
    <w:rsid w:val="000F6662"/>
    <w:rsid w:val="0010142A"/>
    <w:rsid w:val="0010655C"/>
    <w:rsid w:val="00135033"/>
    <w:rsid w:val="0013756C"/>
    <w:rsid w:val="00137A46"/>
    <w:rsid w:val="00143AB5"/>
    <w:rsid w:val="00146A22"/>
    <w:rsid w:val="00147BB2"/>
    <w:rsid w:val="00152775"/>
    <w:rsid w:val="0016363C"/>
    <w:rsid w:val="0017019E"/>
    <w:rsid w:val="00172669"/>
    <w:rsid w:val="001759C6"/>
    <w:rsid w:val="001909BC"/>
    <w:rsid w:val="0019536B"/>
    <w:rsid w:val="001A2BCD"/>
    <w:rsid w:val="001A5521"/>
    <w:rsid w:val="001B1593"/>
    <w:rsid w:val="001C1355"/>
    <w:rsid w:val="001C3795"/>
    <w:rsid w:val="001C3893"/>
    <w:rsid w:val="001C4251"/>
    <w:rsid w:val="001C528F"/>
    <w:rsid w:val="001D1422"/>
    <w:rsid w:val="001D41D2"/>
    <w:rsid w:val="001E115A"/>
    <w:rsid w:val="001F147C"/>
    <w:rsid w:val="001F4E3B"/>
    <w:rsid w:val="001F6DCD"/>
    <w:rsid w:val="002020B3"/>
    <w:rsid w:val="00203A18"/>
    <w:rsid w:val="00221A44"/>
    <w:rsid w:val="00221CC3"/>
    <w:rsid w:val="0023578B"/>
    <w:rsid w:val="00236D30"/>
    <w:rsid w:val="0023702B"/>
    <w:rsid w:val="00246BCB"/>
    <w:rsid w:val="00253228"/>
    <w:rsid w:val="00265382"/>
    <w:rsid w:val="00267185"/>
    <w:rsid w:val="00270E48"/>
    <w:rsid w:val="002731A7"/>
    <w:rsid w:val="00275BE6"/>
    <w:rsid w:val="00277617"/>
    <w:rsid w:val="0028187E"/>
    <w:rsid w:val="00282A90"/>
    <w:rsid w:val="002831F5"/>
    <w:rsid w:val="00286080"/>
    <w:rsid w:val="002869BD"/>
    <w:rsid w:val="002930B6"/>
    <w:rsid w:val="00293881"/>
    <w:rsid w:val="002A7460"/>
    <w:rsid w:val="002B1114"/>
    <w:rsid w:val="002B5333"/>
    <w:rsid w:val="002C7B42"/>
    <w:rsid w:val="002D1970"/>
    <w:rsid w:val="002D7B01"/>
    <w:rsid w:val="002E74B8"/>
    <w:rsid w:val="002F4D3A"/>
    <w:rsid w:val="002F4F0B"/>
    <w:rsid w:val="00303716"/>
    <w:rsid w:val="00304C36"/>
    <w:rsid w:val="00306757"/>
    <w:rsid w:val="00307146"/>
    <w:rsid w:val="003102D7"/>
    <w:rsid w:val="003114B8"/>
    <w:rsid w:val="003152BE"/>
    <w:rsid w:val="003153D2"/>
    <w:rsid w:val="003166C0"/>
    <w:rsid w:val="00317DF7"/>
    <w:rsid w:val="0032244E"/>
    <w:rsid w:val="0032461F"/>
    <w:rsid w:val="00336D36"/>
    <w:rsid w:val="00341EB6"/>
    <w:rsid w:val="003422E9"/>
    <w:rsid w:val="00346F77"/>
    <w:rsid w:val="0035180C"/>
    <w:rsid w:val="00353ACA"/>
    <w:rsid w:val="003601DF"/>
    <w:rsid w:val="00371519"/>
    <w:rsid w:val="00386F59"/>
    <w:rsid w:val="0039089D"/>
    <w:rsid w:val="00395232"/>
    <w:rsid w:val="00395B2D"/>
    <w:rsid w:val="003A25D1"/>
    <w:rsid w:val="003B1886"/>
    <w:rsid w:val="003B222B"/>
    <w:rsid w:val="003B6C1F"/>
    <w:rsid w:val="003B79F1"/>
    <w:rsid w:val="003C1459"/>
    <w:rsid w:val="003C4C86"/>
    <w:rsid w:val="003D2017"/>
    <w:rsid w:val="003D4565"/>
    <w:rsid w:val="003E0708"/>
    <w:rsid w:val="003E0725"/>
    <w:rsid w:val="003E61C7"/>
    <w:rsid w:val="003E7B72"/>
    <w:rsid w:val="003F2A73"/>
    <w:rsid w:val="003F40F0"/>
    <w:rsid w:val="0040054E"/>
    <w:rsid w:val="0040176C"/>
    <w:rsid w:val="0040329D"/>
    <w:rsid w:val="004175AB"/>
    <w:rsid w:val="0041770F"/>
    <w:rsid w:val="0042413D"/>
    <w:rsid w:val="004277C1"/>
    <w:rsid w:val="00442360"/>
    <w:rsid w:val="004448E3"/>
    <w:rsid w:val="004502A3"/>
    <w:rsid w:val="0045562E"/>
    <w:rsid w:val="004638E8"/>
    <w:rsid w:val="00465B32"/>
    <w:rsid w:val="00467421"/>
    <w:rsid w:val="00467C39"/>
    <w:rsid w:val="00472F6C"/>
    <w:rsid w:val="00473D28"/>
    <w:rsid w:val="00475C1F"/>
    <w:rsid w:val="00480EAE"/>
    <w:rsid w:val="00485A18"/>
    <w:rsid w:val="00485CAF"/>
    <w:rsid w:val="00485E17"/>
    <w:rsid w:val="00486829"/>
    <w:rsid w:val="004872FD"/>
    <w:rsid w:val="004904E6"/>
    <w:rsid w:val="00490626"/>
    <w:rsid w:val="00491B0B"/>
    <w:rsid w:val="00492043"/>
    <w:rsid w:val="004944A5"/>
    <w:rsid w:val="004B11CC"/>
    <w:rsid w:val="004B220D"/>
    <w:rsid w:val="004B29CD"/>
    <w:rsid w:val="004B4003"/>
    <w:rsid w:val="004B59EF"/>
    <w:rsid w:val="004B6A28"/>
    <w:rsid w:val="004B6EF7"/>
    <w:rsid w:val="004B7E9C"/>
    <w:rsid w:val="004C2209"/>
    <w:rsid w:val="004C57F3"/>
    <w:rsid w:val="004D033B"/>
    <w:rsid w:val="004D1E13"/>
    <w:rsid w:val="004D6C84"/>
    <w:rsid w:val="004E1E16"/>
    <w:rsid w:val="004E204A"/>
    <w:rsid w:val="004E2184"/>
    <w:rsid w:val="004E23E6"/>
    <w:rsid w:val="004E375A"/>
    <w:rsid w:val="004E63BF"/>
    <w:rsid w:val="004F2968"/>
    <w:rsid w:val="004F3B53"/>
    <w:rsid w:val="004F6166"/>
    <w:rsid w:val="004F6305"/>
    <w:rsid w:val="004F754A"/>
    <w:rsid w:val="004F7ACB"/>
    <w:rsid w:val="00504B33"/>
    <w:rsid w:val="0052287B"/>
    <w:rsid w:val="0052304E"/>
    <w:rsid w:val="0052425D"/>
    <w:rsid w:val="005321C5"/>
    <w:rsid w:val="005352E7"/>
    <w:rsid w:val="00535DB6"/>
    <w:rsid w:val="005440EE"/>
    <w:rsid w:val="00544776"/>
    <w:rsid w:val="00550ABE"/>
    <w:rsid w:val="00555603"/>
    <w:rsid w:val="0055747A"/>
    <w:rsid w:val="00560D65"/>
    <w:rsid w:val="0057462C"/>
    <w:rsid w:val="00583270"/>
    <w:rsid w:val="0058672F"/>
    <w:rsid w:val="005B42A2"/>
    <w:rsid w:val="005B4E58"/>
    <w:rsid w:val="005B5F23"/>
    <w:rsid w:val="005B69A0"/>
    <w:rsid w:val="005C21C0"/>
    <w:rsid w:val="005C2E6A"/>
    <w:rsid w:val="005C36E0"/>
    <w:rsid w:val="005C3B69"/>
    <w:rsid w:val="005D590D"/>
    <w:rsid w:val="005E04F7"/>
    <w:rsid w:val="005E6710"/>
    <w:rsid w:val="006010CA"/>
    <w:rsid w:val="006062C3"/>
    <w:rsid w:val="006212B8"/>
    <w:rsid w:val="00625504"/>
    <w:rsid w:val="0063416D"/>
    <w:rsid w:val="00641259"/>
    <w:rsid w:val="00654FA8"/>
    <w:rsid w:val="006570B4"/>
    <w:rsid w:val="00663B81"/>
    <w:rsid w:val="00670EF1"/>
    <w:rsid w:val="00672A85"/>
    <w:rsid w:val="00680877"/>
    <w:rsid w:val="006838A9"/>
    <w:rsid w:val="00684471"/>
    <w:rsid w:val="0069071D"/>
    <w:rsid w:val="006922A5"/>
    <w:rsid w:val="006974AB"/>
    <w:rsid w:val="006A5CA8"/>
    <w:rsid w:val="006A5F64"/>
    <w:rsid w:val="006B05BE"/>
    <w:rsid w:val="006B3764"/>
    <w:rsid w:val="006B4024"/>
    <w:rsid w:val="006C0634"/>
    <w:rsid w:val="006C7771"/>
    <w:rsid w:val="006D6291"/>
    <w:rsid w:val="00702824"/>
    <w:rsid w:val="00710C62"/>
    <w:rsid w:val="00715203"/>
    <w:rsid w:val="00716C25"/>
    <w:rsid w:val="00735674"/>
    <w:rsid w:val="00737607"/>
    <w:rsid w:val="00740F7D"/>
    <w:rsid w:val="00742CD0"/>
    <w:rsid w:val="007454B2"/>
    <w:rsid w:val="00752E2B"/>
    <w:rsid w:val="00755164"/>
    <w:rsid w:val="007624CE"/>
    <w:rsid w:val="00764610"/>
    <w:rsid w:val="00770231"/>
    <w:rsid w:val="00771108"/>
    <w:rsid w:val="00771119"/>
    <w:rsid w:val="00776870"/>
    <w:rsid w:val="00780160"/>
    <w:rsid w:val="00781CD6"/>
    <w:rsid w:val="00793D96"/>
    <w:rsid w:val="007A3662"/>
    <w:rsid w:val="007B18DD"/>
    <w:rsid w:val="007C15CB"/>
    <w:rsid w:val="007C3D2F"/>
    <w:rsid w:val="007C5BE2"/>
    <w:rsid w:val="007D15BE"/>
    <w:rsid w:val="007E7C03"/>
    <w:rsid w:val="00803294"/>
    <w:rsid w:val="008036C3"/>
    <w:rsid w:val="00806029"/>
    <w:rsid w:val="00816AF1"/>
    <w:rsid w:val="00827412"/>
    <w:rsid w:val="00833F35"/>
    <w:rsid w:val="00834F86"/>
    <w:rsid w:val="008445D4"/>
    <w:rsid w:val="008503B8"/>
    <w:rsid w:val="00851CB8"/>
    <w:rsid w:val="00857681"/>
    <w:rsid w:val="00860C3D"/>
    <w:rsid w:val="008613A8"/>
    <w:rsid w:val="008617B4"/>
    <w:rsid w:val="008703C1"/>
    <w:rsid w:val="00875CA7"/>
    <w:rsid w:val="00882423"/>
    <w:rsid w:val="008841CA"/>
    <w:rsid w:val="00892DB4"/>
    <w:rsid w:val="008A296F"/>
    <w:rsid w:val="008B6103"/>
    <w:rsid w:val="008C61AE"/>
    <w:rsid w:val="008E15E0"/>
    <w:rsid w:val="008E3E47"/>
    <w:rsid w:val="008F3AA9"/>
    <w:rsid w:val="008F5B8F"/>
    <w:rsid w:val="008F63AD"/>
    <w:rsid w:val="00901B17"/>
    <w:rsid w:val="00905A76"/>
    <w:rsid w:val="00910E22"/>
    <w:rsid w:val="009112FA"/>
    <w:rsid w:val="009325C6"/>
    <w:rsid w:val="00932C1B"/>
    <w:rsid w:val="00934C8B"/>
    <w:rsid w:val="0093576C"/>
    <w:rsid w:val="0094618C"/>
    <w:rsid w:val="00964536"/>
    <w:rsid w:val="00971C4A"/>
    <w:rsid w:val="00974606"/>
    <w:rsid w:val="00984AF3"/>
    <w:rsid w:val="009850EF"/>
    <w:rsid w:val="0099633A"/>
    <w:rsid w:val="009A22C3"/>
    <w:rsid w:val="009A3BBC"/>
    <w:rsid w:val="009B1998"/>
    <w:rsid w:val="009B2990"/>
    <w:rsid w:val="009B6EFB"/>
    <w:rsid w:val="009B7EF6"/>
    <w:rsid w:val="009C0E32"/>
    <w:rsid w:val="009C21F0"/>
    <w:rsid w:val="009C5B6B"/>
    <w:rsid w:val="009D0565"/>
    <w:rsid w:val="009D2FA5"/>
    <w:rsid w:val="009E0CF7"/>
    <w:rsid w:val="009F03EF"/>
    <w:rsid w:val="009F1DA3"/>
    <w:rsid w:val="00A071C2"/>
    <w:rsid w:val="00A1248A"/>
    <w:rsid w:val="00A13883"/>
    <w:rsid w:val="00A16C7A"/>
    <w:rsid w:val="00A17817"/>
    <w:rsid w:val="00A27997"/>
    <w:rsid w:val="00A306EF"/>
    <w:rsid w:val="00A37824"/>
    <w:rsid w:val="00A5416C"/>
    <w:rsid w:val="00A56F27"/>
    <w:rsid w:val="00A613A4"/>
    <w:rsid w:val="00A71F74"/>
    <w:rsid w:val="00A72D47"/>
    <w:rsid w:val="00A73464"/>
    <w:rsid w:val="00A76F98"/>
    <w:rsid w:val="00A8115A"/>
    <w:rsid w:val="00A8299D"/>
    <w:rsid w:val="00A9029C"/>
    <w:rsid w:val="00A96254"/>
    <w:rsid w:val="00AA0B3D"/>
    <w:rsid w:val="00AA184E"/>
    <w:rsid w:val="00AA1D13"/>
    <w:rsid w:val="00AA1E58"/>
    <w:rsid w:val="00AA4675"/>
    <w:rsid w:val="00AC04E9"/>
    <w:rsid w:val="00AC4091"/>
    <w:rsid w:val="00AC5E9A"/>
    <w:rsid w:val="00AC7745"/>
    <w:rsid w:val="00AE3056"/>
    <w:rsid w:val="00AE4B58"/>
    <w:rsid w:val="00AE7DC5"/>
    <w:rsid w:val="00AF3383"/>
    <w:rsid w:val="00AF4E7F"/>
    <w:rsid w:val="00AF5E49"/>
    <w:rsid w:val="00B00823"/>
    <w:rsid w:val="00B07AC4"/>
    <w:rsid w:val="00B1002E"/>
    <w:rsid w:val="00B10AD7"/>
    <w:rsid w:val="00B1188E"/>
    <w:rsid w:val="00B14595"/>
    <w:rsid w:val="00B231E7"/>
    <w:rsid w:val="00B3182B"/>
    <w:rsid w:val="00B40F64"/>
    <w:rsid w:val="00B421A4"/>
    <w:rsid w:val="00B5382C"/>
    <w:rsid w:val="00B6436D"/>
    <w:rsid w:val="00B64B1A"/>
    <w:rsid w:val="00B9769A"/>
    <w:rsid w:val="00BA0660"/>
    <w:rsid w:val="00BA2723"/>
    <w:rsid w:val="00BB1473"/>
    <w:rsid w:val="00BB525C"/>
    <w:rsid w:val="00BB7C21"/>
    <w:rsid w:val="00BC342F"/>
    <w:rsid w:val="00BC5ABA"/>
    <w:rsid w:val="00BC7EF4"/>
    <w:rsid w:val="00BE30D2"/>
    <w:rsid w:val="00BE5662"/>
    <w:rsid w:val="00C01A89"/>
    <w:rsid w:val="00C03B71"/>
    <w:rsid w:val="00C06C83"/>
    <w:rsid w:val="00C11CEC"/>
    <w:rsid w:val="00C13FA2"/>
    <w:rsid w:val="00C14E2B"/>
    <w:rsid w:val="00C17511"/>
    <w:rsid w:val="00C178FE"/>
    <w:rsid w:val="00C2056F"/>
    <w:rsid w:val="00C261E6"/>
    <w:rsid w:val="00C3083C"/>
    <w:rsid w:val="00C35D78"/>
    <w:rsid w:val="00C36598"/>
    <w:rsid w:val="00C460F4"/>
    <w:rsid w:val="00C508A0"/>
    <w:rsid w:val="00C51A7E"/>
    <w:rsid w:val="00C56972"/>
    <w:rsid w:val="00C602B5"/>
    <w:rsid w:val="00C66191"/>
    <w:rsid w:val="00C708A2"/>
    <w:rsid w:val="00C739F7"/>
    <w:rsid w:val="00C7494F"/>
    <w:rsid w:val="00C77145"/>
    <w:rsid w:val="00C838D9"/>
    <w:rsid w:val="00C85757"/>
    <w:rsid w:val="00C87621"/>
    <w:rsid w:val="00C9243A"/>
    <w:rsid w:val="00C97F88"/>
    <w:rsid w:val="00CA325E"/>
    <w:rsid w:val="00CA3ABB"/>
    <w:rsid w:val="00CB0755"/>
    <w:rsid w:val="00CB0789"/>
    <w:rsid w:val="00CB2C67"/>
    <w:rsid w:val="00CC43C1"/>
    <w:rsid w:val="00CD3217"/>
    <w:rsid w:val="00CE26F0"/>
    <w:rsid w:val="00CE68A9"/>
    <w:rsid w:val="00D04206"/>
    <w:rsid w:val="00D100D6"/>
    <w:rsid w:val="00D14877"/>
    <w:rsid w:val="00D154CE"/>
    <w:rsid w:val="00D22B62"/>
    <w:rsid w:val="00D23891"/>
    <w:rsid w:val="00D27E30"/>
    <w:rsid w:val="00D61F75"/>
    <w:rsid w:val="00D65C41"/>
    <w:rsid w:val="00D662A0"/>
    <w:rsid w:val="00D668D6"/>
    <w:rsid w:val="00D67E49"/>
    <w:rsid w:val="00D74484"/>
    <w:rsid w:val="00D76A31"/>
    <w:rsid w:val="00D80C5C"/>
    <w:rsid w:val="00D8189A"/>
    <w:rsid w:val="00D81CC8"/>
    <w:rsid w:val="00D83934"/>
    <w:rsid w:val="00D91CB9"/>
    <w:rsid w:val="00D957E2"/>
    <w:rsid w:val="00DA3B28"/>
    <w:rsid w:val="00DA49F1"/>
    <w:rsid w:val="00DA6A99"/>
    <w:rsid w:val="00DB28A9"/>
    <w:rsid w:val="00DC4BED"/>
    <w:rsid w:val="00DC720A"/>
    <w:rsid w:val="00DD0FC5"/>
    <w:rsid w:val="00DD239F"/>
    <w:rsid w:val="00DD2873"/>
    <w:rsid w:val="00DD7A25"/>
    <w:rsid w:val="00DE5B0F"/>
    <w:rsid w:val="00DE7843"/>
    <w:rsid w:val="00DE7AAA"/>
    <w:rsid w:val="00DF1CD4"/>
    <w:rsid w:val="00DF30A3"/>
    <w:rsid w:val="00DF6966"/>
    <w:rsid w:val="00E01B25"/>
    <w:rsid w:val="00E26EF8"/>
    <w:rsid w:val="00E33656"/>
    <w:rsid w:val="00E40BB6"/>
    <w:rsid w:val="00E51C22"/>
    <w:rsid w:val="00E520FC"/>
    <w:rsid w:val="00E52435"/>
    <w:rsid w:val="00E55A7D"/>
    <w:rsid w:val="00E66ADE"/>
    <w:rsid w:val="00E827A3"/>
    <w:rsid w:val="00E86F64"/>
    <w:rsid w:val="00E9332E"/>
    <w:rsid w:val="00E96A8E"/>
    <w:rsid w:val="00EA2FDE"/>
    <w:rsid w:val="00EB373C"/>
    <w:rsid w:val="00EC2610"/>
    <w:rsid w:val="00EC3D6B"/>
    <w:rsid w:val="00ED4E1F"/>
    <w:rsid w:val="00EE0BB1"/>
    <w:rsid w:val="00EE221C"/>
    <w:rsid w:val="00EE4DD0"/>
    <w:rsid w:val="00EE5524"/>
    <w:rsid w:val="00EE725B"/>
    <w:rsid w:val="00EF160B"/>
    <w:rsid w:val="00EF6E69"/>
    <w:rsid w:val="00F031B8"/>
    <w:rsid w:val="00F04007"/>
    <w:rsid w:val="00F04642"/>
    <w:rsid w:val="00F06BD3"/>
    <w:rsid w:val="00F07931"/>
    <w:rsid w:val="00F235A5"/>
    <w:rsid w:val="00F23BBA"/>
    <w:rsid w:val="00F26A63"/>
    <w:rsid w:val="00F41955"/>
    <w:rsid w:val="00F53031"/>
    <w:rsid w:val="00F55725"/>
    <w:rsid w:val="00F62305"/>
    <w:rsid w:val="00F66E92"/>
    <w:rsid w:val="00F84E5C"/>
    <w:rsid w:val="00F93C85"/>
    <w:rsid w:val="00F96FEA"/>
    <w:rsid w:val="00FA0286"/>
    <w:rsid w:val="00FA0EAD"/>
    <w:rsid w:val="00FB2540"/>
    <w:rsid w:val="00FB4510"/>
    <w:rsid w:val="00FC31BD"/>
    <w:rsid w:val="00FD479E"/>
    <w:rsid w:val="00FD4CE9"/>
    <w:rsid w:val="00FE2981"/>
    <w:rsid w:val="00FE4447"/>
    <w:rsid w:val="00FE44CC"/>
    <w:rsid w:val="00FE65EC"/>
    <w:rsid w:val="00FE77F3"/>
    <w:rsid w:val="00FF5932"/>
    <w:rsid w:val="00FF5F30"/>
    <w:rsid w:val="15605117"/>
    <w:rsid w:val="57FAB41E"/>
    <w:rsid w:val="5AAC1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50FEE"/>
  <w15:chartTrackingRefBased/>
  <w15:docId w15:val="{653CAA74-37E0-4E04-B518-6D3779BC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B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4606"/>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3422E9"/>
    <w:pPr>
      <w:ind w:left="720"/>
      <w:contextualSpacing/>
    </w:pPr>
  </w:style>
  <w:style w:type="character" w:styleId="Hyperlink">
    <w:name w:val="Hyperlink"/>
    <w:basedOn w:val="DefaultParagraphFont"/>
    <w:uiPriority w:val="99"/>
    <w:unhideWhenUsed/>
    <w:rsid w:val="004E375A"/>
    <w:rPr>
      <w:color w:val="0563C1" w:themeColor="hyperlink"/>
      <w:u w:val="single"/>
    </w:rPr>
  </w:style>
  <w:style w:type="character" w:styleId="UnresolvedMention">
    <w:name w:val="Unresolved Mention"/>
    <w:basedOn w:val="DefaultParagraphFont"/>
    <w:uiPriority w:val="99"/>
    <w:semiHidden/>
    <w:unhideWhenUsed/>
    <w:rsid w:val="004E375A"/>
    <w:rPr>
      <w:color w:val="808080"/>
      <w:shd w:val="clear" w:color="auto" w:fill="E6E6E6"/>
    </w:rPr>
  </w:style>
  <w:style w:type="paragraph" w:styleId="FootnoteText">
    <w:name w:val="footnote text"/>
    <w:basedOn w:val="Normal"/>
    <w:link w:val="FootnoteTextChar"/>
    <w:uiPriority w:val="99"/>
    <w:semiHidden/>
    <w:unhideWhenUsed/>
    <w:rsid w:val="00EB37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73C"/>
    <w:rPr>
      <w:sz w:val="20"/>
      <w:szCs w:val="20"/>
    </w:rPr>
  </w:style>
  <w:style w:type="character" w:styleId="FootnoteReference">
    <w:name w:val="footnote reference"/>
    <w:basedOn w:val="DefaultParagraphFont"/>
    <w:uiPriority w:val="99"/>
    <w:semiHidden/>
    <w:unhideWhenUsed/>
    <w:rsid w:val="00EB373C"/>
    <w:rPr>
      <w:vertAlign w:val="superscript"/>
    </w:rPr>
  </w:style>
  <w:style w:type="paragraph" w:styleId="Header">
    <w:name w:val="header"/>
    <w:basedOn w:val="Normal"/>
    <w:link w:val="HeaderChar"/>
    <w:uiPriority w:val="99"/>
    <w:unhideWhenUsed/>
    <w:rsid w:val="00EB37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73C"/>
  </w:style>
  <w:style w:type="paragraph" w:styleId="Footer">
    <w:name w:val="footer"/>
    <w:basedOn w:val="Normal"/>
    <w:link w:val="FooterChar"/>
    <w:uiPriority w:val="99"/>
    <w:unhideWhenUsed/>
    <w:rsid w:val="00EB37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73C"/>
  </w:style>
  <w:style w:type="paragraph" w:styleId="BalloonText">
    <w:name w:val="Balloon Text"/>
    <w:basedOn w:val="Normal"/>
    <w:link w:val="BalloonTextChar"/>
    <w:uiPriority w:val="99"/>
    <w:semiHidden/>
    <w:unhideWhenUsed/>
    <w:rsid w:val="001014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42A"/>
    <w:rPr>
      <w:rFonts w:ascii="Segoe UI" w:hAnsi="Segoe UI" w:cs="Segoe UI"/>
      <w:sz w:val="18"/>
      <w:szCs w:val="18"/>
    </w:rPr>
  </w:style>
  <w:style w:type="paragraph" w:styleId="EndnoteText">
    <w:name w:val="endnote text"/>
    <w:basedOn w:val="Normal"/>
    <w:link w:val="EndnoteTextChar"/>
    <w:uiPriority w:val="99"/>
    <w:semiHidden/>
    <w:unhideWhenUsed/>
    <w:rsid w:val="00A1388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3883"/>
    <w:rPr>
      <w:sz w:val="20"/>
      <w:szCs w:val="20"/>
    </w:rPr>
  </w:style>
  <w:style w:type="character" w:styleId="EndnoteReference">
    <w:name w:val="endnote reference"/>
    <w:basedOn w:val="DefaultParagraphFont"/>
    <w:uiPriority w:val="99"/>
    <w:semiHidden/>
    <w:unhideWhenUsed/>
    <w:rsid w:val="00A13883"/>
    <w:rPr>
      <w:vertAlign w:val="superscript"/>
    </w:rPr>
  </w:style>
  <w:style w:type="paragraph" w:customStyle="1" w:styleId="Style1">
    <w:name w:val="Style1"/>
    <w:basedOn w:val="Normal"/>
    <w:link w:val="Style1Char"/>
    <w:qFormat/>
    <w:rsid w:val="00654FA8"/>
    <w:pPr>
      <w:numPr>
        <w:numId w:val="36"/>
      </w:numPr>
      <w:spacing w:before="100" w:beforeAutospacing="1" w:after="100" w:afterAutospacing="1" w:line="240" w:lineRule="auto"/>
    </w:pPr>
    <w:rPr>
      <w:sz w:val="24"/>
    </w:rPr>
  </w:style>
  <w:style w:type="character" w:customStyle="1" w:styleId="Style1Char">
    <w:name w:val="Style1 Char"/>
    <w:basedOn w:val="DefaultParagraphFont"/>
    <w:link w:val="Style1"/>
    <w:rsid w:val="00E96A8E"/>
    <w:rPr>
      <w:sz w:val="24"/>
    </w:rPr>
  </w:style>
  <w:style w:type="table" w:styleId="TableGrid">
    <w:name w:val="Table Grid"/>
    <w:basedOn w:val="TableNormal"/>
    <w:uiPriority w:val="39"/>
    <w:rsid w:val="00AE7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867863">
      <w:bodyDiv w:val="1"/>
      <w:marLeft w:val="0"/>
      <w:marRight w:val="0"/>
      <w:marTop w:val="0"/>
      <w:marBottom w:val="0"/>
      <w:divBdr>
        <w:top w:val="none" w:sz="0" w:space="0" w:color="auto"/>
        <w:left w:val="none" w:sz="0" w:space="0" w:color="auto"/>
        <w:bottom w:val="none" w:sz="0" w:space="0" w:color="auto"/>
        <w:right w:val="none" w:sz="0" w:space="0" w:color="auto"/>
      </w:divBdr>
      <w:divsChild>
        <w:div w:id="1463377601">
          <w:marLeft w:val="0"/>
          <w:marRight w:val="0"/>
          <w:marTop w:val="0"/>
          <w:marBottom w:val="0"/>
          <w:divBdr>
            <w:top w:val="none" w:sz="0" w:space="0" w:color="auto"/>
            <w:left w:val="none" w:sz="0" w:space="0" w:color="auto"/>
            <w:bottom w:val="none" w:sz="0" w:space="0" w:color="auto"/>
            <w:right w:val="none" w:sz="0" w:space="0" w:color="auto"/>
          </w:divBdr>
          <w:divsChild>
            <w:div w:id="202140201">
              <w:marLeft w:val="0"/>
              <w:marRight w:val="0"/>
              <w:marTop w:val="0"/>
              <w:marBottom w:val="0"/>
              <w:divBdr>
                <w:top w:val="none" w:sz="0" w:space="0" w:color="auto"/>
                <w:left w:val="none" w:sz="0" w:space="0" w:color="auto"/>
                <w:bottom w:val="none" w:sz="0" w:space="0" w:color="auto"/>
                <w:right w:val="none" w:sz="0" w:space="0" w:color="auto"/>
              </w:divBdr>
              <w:divsChild>
                <w:div w:id="916131131">
                  <w:marLeft w:val="0"/>
                  <w:marRight w:val="0"/>
                  <w:marTop w:val="0"/>
                  <w:marBottom w:val="0"/>
                  <w:divBdr>
                    <w:top w:val="none" w:sz="0" w:space="0" w:color="auto"/>
                    <w:left w:val="none" w:sz="0" w:space="0" w:color="auto"/>
                    <w:bottom w:val="none" w:sz="0" w:space="0" w:color="auto"/>
                    <w:right w:val="none" w:sz="0" w:space="0" w:color="auto"/>
                  </w:divBdr>
                  <w:divsChild>
                    <w:div w:id="774521458">
                      <w:marLeft w:val="0"/>
                      <w:marRight w:val="0"/>
                      <w:marTop w:val="0"/>
                      <w:marBottom w:val="0"/>
                      <w:divBdr>
                        <w:top w:val="none" w:sz="0" w:space="0" w:color="auto"/>
                        <w:left w:val="none" w:sz="0" w:space="0" w:color="auto"/>
                        <w:bottom w:val="none" w:sz="0" w:space="0" w:color="auto"/>
                        <w:right w:val="none" w:sz="0" w:space="0" w:color="auto"/>
                      </w:divBdr>
                      <w:divsChild>
                        <w:div w:id="1566144885">
                          <w:marLeft w:val="0"/>
                          <w:marRight w:val="0"/>
                          <w:marTop w:val="0"/>
                          <w:marBottom w:val="0"/>
                          <w:divBdr>
                            <w:top w:val="none" w:sz="0" w:space="0" w:color="auto"/>
                            <w:left w:val="none" w:sz="0" w:space="0" w:color="auto"/>
                            <w:bottom w:val="none" w:sz="0" w:space="0" w:color="auto"/>
                            <w:right w:val="none" w:sz="0" w:space="0" w:color="auto"/>
                          </w:divBdr>
                          <w:divsChild>
                            <w:div w:id="1108088916">
                              <w:marLeft w:val="0"/>
                              <w:marRight w:val="0"/>
                              <w:marTop w:val="0"/>
                              <w:marBottom w:val="0"/>
                              <w:divBdr>
                                <w:top w:val="none" w:sz="0" w:space="0" w:color="auto"/>
                                <w:left w:val="none" w:sz="0" w:space="0" w:color="auto"/>
                                <w:bottom w:val="none" w:sz="0" w:space="0" w:color="auto"/>
                                <w:right w:val="none" w:sz="0" w:space="0" w:color="auto"/>
                              </w:divBdr>
                              <w:divsChild>
                                <w:div w:id="1793554642">
                                  <w:marLeft w:val="0"/>
                                  <w:marRight w:val="0"/>
                                  <w:marTop w:val="0"/>
                                  <w:marBottom w:val="0"/>
                                  <w:divBdr>
                                    <w:top w:val="none" w:sz="0" w:space="0" w:color="auto"/>
                                    <w:left w:val="none" w:sz="0" w:space="0" w:color="auto"/>
                                    <w:bottom w:val="none" w:sz="0" w:space="0" w:color="auto"/>
                                    <w:right w:val="none" w:sz="0" w:space="0" w:color="auto"/>
                                  </w:divBdr>
                                  <w:divsChild>
                                    <w:div w:id="276184922">
                                      <w:marLeft w:val="0"/>
                                      <w:marRight w:val="0"/>
                                      <w:marTop w:val="0"/>
                                      <w:marBottom w:val="0"/>
                                      <w:divBdr>
                                        <w:top w:val="none" w:sz="0" w:space="0" w:color="auto"/>
                                        <w:left w:val="none" w:sz="0" w:space="0" w:color="auto"/>
                                        <w:bottom w:val="none" w:sz="0" w:space="0" w:color="auto"/>
                                        <w:right w:val="none" w:sz="0" w:space="0" w:color="auto"/>
                                      </w:divBdr>
                                      <w:divsChild>
                                        <w:div w:id="1478109994">
                                          <w:marLeft w:val="0"/>
                                          <w:marRight w:val="0"/>
                                          <w:marTop w:val="0"/>
                                          <w:marBottom w:val="0"/>
                                          <w:divBdr>
                                            <w:top w:val="none" w:sz="0" w:space="0" w:color="auto"/>
                                            <w:left w:val="none" w:sz="0" w:space="0" w:color="auto"/>
                                            <w:bottom w:val="none" w:sz="0" w:space="0" w:color="auto"/>
                                            <w:right w:val="none" w:sz="0" w:space="0" w:color="auto"/>
                                          </w:divBdr>
                                          <w:divsChild>
                                            <w:div w:id="131102667">
                                              <w:marLeft w:val="0"/>
                                              <w:marRight w:val="0"/>
                                              <w:marTop w:val="0"/>
                                              <w:marBottom w:val="0"/>
                                              <w:divBdr>
                                                <w:top w:val="none" w:sz="0" w:space="0" w:color="auto"/>
                                                <w:left w:val="none" w:sz="0" w:space="0" w:color="auto"/>
                                                <w:bottom w:val="none" w:sz="0" w:space="0" w:color="auto"/>
                                                <w:right w:val="none" w:sz="0" w:space="0" w:color="auto"/>
                                              </w:divBdr>
                                              <w:divsChild>
                                                <w:div w:id="749929279">
                                                  <w:marLeft w:val="0"/>
                                                  <w:marRight w:val="0"/>
                                                  <w:marTop w:val="0"/>
                                                  <w:marBottom w:val="0"/>
                                                  <w:divBdr>
                                                    <w:top w:val="none" w:sz="0" w:space="0" w:color="auto"/>
                                                    <w:left w:val="none" w:sz="0" w:space="0" w:color="auto"/>
                                                    <w:bottom w:val="none" w:sz="0" w:space="0" w:color="auto"/>
                                                    <w:right w:val="none" w:sz="0" w:space="0" w:color="auto"/>
                                                  </w:divBdr>
                                                  <w:divsChild>
                                                    <w:div w:id="164372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7654373">
      <w:bodyDiv w:val="1"/>
      <w:marLeft w:val="0"/>
      <w:marRight w:val="0"/>
      <w:marTop w:val="0"/>
      <w:marBottom w:val="0"/>
      <w:divBdr>
        <w:top w:val="none" w:sz="0" w:space="0" w:color="auto"/>
        <w:left w:val="none" w:sz="0" w:space="0" w:color="auto"/>
        <w:bottom w:val="none" w:sz="0" w:space="0" w:color="auto"/>
        <w:right w:val="none" w:sz="0" w:space="0" w:color="auto"/>
      </w:divBdr>
      <w:divsChild>
        <w:div w:id="28651101">
          <w:marLeft w:val="0"/>
          <w:marRight w:val="0"/>
          <w:marTop w:val="0"/>
          <w:marBottom w:val="0"/>
          <w:divBdr>
            <w:top w:val="none" w:sz="0" w:space="0" w:color="auto"/>
            <w:left w:val="none" w:sz="0" w:space="0" w:color="auto"/>
            <w:bottom w:val="none" w:sz="0" w:space="0" w:color="auto"/>
            <w:right w:val="none" w:sz="0" w:space="0" w:color="auto"/>
          </w:divBdr>
          <w:divsChild>
            <w:div w:id="1601911065">
              <w:marLeft w:val="0"/>
              <w:marRight w:val="0"/>
              <w:marTop w:val="0"/>
              <w:marBottom w:val="0"/>
              <w:divBdr>
                <w:top w:val="none" w:sz="0" w:space="0" w:color="auto"/>
                <w:left w:val="none" w:sz="0" w:space="0" w:color="auto"/>
                <w:bottom w:val="none" w:sz="0" w:space="0" w:color="auto"/>
                <w:right w:val="none" w:sz="0" w:space="0" w:color="auto"/>
              </w:divBdr>
              <w:divsChild>
                <w:div w:id="24866146">
                  <w:marLeft w:val="0"/>
                  <w:marRight w:val="0"/>
                  <w:marTop w:val="0"/>
                  <w:marBottom w:val="0"/>
                  <w:divBdr>
                    <w:top w:val="none" w:sz="0" w:space="0" w:color="auto"/>
                    <w:left w:val="none" w:sz="0" w:space="0" w:color="auto"/>
                    <w:bottom w:val="none" w:sz="0" w:space="0" w:color="auto"/>
                    <w:right w:val="none" w:sz="0" w:space="0" w:color="auto"/>
                  </w:divBdr>
                  <w:divsChild>
                    <w:div w:id="1633057784">
                      <w:marLeft w:val="0"/>
                      <w:marRight w:val="0"/>
                      <w:marTop w:val="0"/>
                      <w:marBottom w:val="0"/>
                      <w:divBdr>
                        <w:top w:val="none" w:sz="0" w:space="0" w:color="auto"/>
                        <w:left w:val="none" w:sz="0" w:space="0" w:color="auto"/>
                        <w:bottom w:val="none" w:sz="0" w:space="0" w:color="auto"/>
                        <w:right w:val="none" w:sz="0" w:space="0" w:color="auto"/>
                      </w:divBdr>
                      <w:divsChild>
                        <w:div w:id="2088764008">
                          <w:marLeft w:val="0"/>
                          <w:marRight w:val="0"/>
                          <w:marTop w:val="0"/>
                          <w:marBottom w:val="0"/>
                          <w:divBdr>
                            <w:top w:val="none" w:sz="0" w:space="0" w:color="auto"/>
                            <w:left w:val="none" w:sz="0" w:space="0" w:color="auto"/>
                            <w:bottom w:val="none" w:sz="0" w:space="0" w:color="auto"/>
                            <w:right w:val="none" w:sz="0" w:space="0" w:color="auto"/>
                          </w:divBdr>
                          <w:divsChild>
                            <w:div w:id="1768231774">
                              <w:marLeft w:val="0"/>
                              <w:marRight w:val="0"/>
                              <w:marTop w:val="0"/>
                              <w:marBottom w:val="0"/>
                              <w:divBdr>
                                <w:top w:val="none" w:sz="0" w:space="0" w:color="auto"/>
                                <w:left w:val="none" w:sz="0" w:space="0" w:color="auto"/>
                                <w:bottom w:val="none" w:sz="0" w:space="0" w:color="auto"/>
                                <w:right w:val="none" w:sz="0" w:space="0" w:color="auto"/>
                              </w:divBdr>
                              <w:divsChild>
                                <w:div w:id="1454211070">
                                  <w:marLeft w:val="0"/>
                                  <w:marRight w:val="0"/>
                                  <w:marTop w:val="0"/>
                                  <w:marBottom w:val="0"/>
                                  <w:divBdr>
                                    <w:top w:val="none" w:sz="0" w:space="0" w:color="auto"/>
                                    <w:left w:val="none" w:sz="0" w:space="0" w:color="auto"/>
                                    <w:bottom w:val="none" w:sz="0" w:space="0" w:color="auto"/>
                                    <w:right w:val="none" w:sz="0" w:space="0" w:color="auto"/>
                                  </w:divBdr>
                                  <w:divsChild>
                                    <w:div w:id="572471933">
                                      <w:marLeft w:val="0"/>
                                      <w:marRight w:val="0"/>
                                      <w:marTop w:val="0"/>
                                      <w:marBottom w:val="0"/>
                                      <w:divBdr>
                                        <w:top w:val="none" w:sz="0" w:space="0" w:color="auto"/>
                                        <w:left w:val="none" w:sz="0" w:space="0" w:color="auto"/>
                                        <w:bottom w:val="none" w:sz="0" w:space="0" w:color="auto"/>
                                        <w:right w:val="none" w:sz="0" w:space="0" w:color="auto"/>
                                      </w:divBdr>
                                      <w:divsChild>
                                        <w:div w:id="111024988">
                                          <w:marLeft w:val="0"/>
                                          <w:marRight w:val="0"/>
                                          <w:marTop w:val="0"/>
                                          <w:marBottom w:val="0"/>
                                          <w:divBdr>
                                            <w:top w:val="none" w:sz="0" w:space="0" w:color="auto"/>
                                            <w:left w:val="none" w:sz="0" w:space="0" w:color="auto"/>
                                            <w:bottom w:val="none" w:sz="0" w:space="0" w:color="auto"/>
                                            <w:right w:val="none" w:sz="0" w:space="0" w:color="auto"/>
                                          </w:divBdr>
                                          <w:divsChild>
                                            <w:div w:id="1059593685">
                                              <w:marLeft w:val="0"/>
                                              <w:marRight w:val="0"/>
                                              <w:marTop w:val="0"/>
                                              <w:marBottom w:val="0"/>
                                              <w:divBdr>
                                                <w:top w:val="none" w:sz="0" w:space="0" w:color="auto"/>
                                                <w:left w:val="none" w:sz="0" w:space="0" w:color="auto"/>
                                                <w:bottom w:val="none" w:sz="0" w:space="0" w:color="auto"/>
                                                <w:right w:val="none" w:sz="0" w:space="0" w:color="auto"/>
                                              </w:divBdr>
                                              <w:divsChild>
                                                <w:div w:id="2129157185">
                                                  <w:marLeft w:val="0"/>
                                                  <w:marRight w:val="0"/>
                                                  <w:marTop w:val="0"/>
                                                  <w:marBottom w:val="0"/>
                                                  <w:divBdr>
                                                    <w:top w:val="none" w:sz="0" w:space="0" w:color="auto"/>
                                                    <w:left w:val="none" w:sz="0" w:space="0" w:color="auto"/>
                                                    <w:bottom w:val="none" w:sz="0" w:space="0" w:color="auto"/>
                                                    <w:right w:val="none" w:sz="0" w:space="0" w:color="auto"/>
                                                  </w:divBdr>
                                                  <w:divsChild>
                                                    <w:div w:id="59383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arrow.gov.uk/downloads/file/26932/harrow-economic-development-needs-assessment-final-01-07-17" TargetMode="External"/><Relationship Id="rId18" Type="http://schemas.openxmlformats.org/officeDocument/2006/relationships/hyperlink" Target="https://www.barnet.gov.uk/sites/default/files/barnet_shisha_bars_report_2016.pdf" TargetMode="External"/><Relationship Id="rId26" Type="http://schemas.openxmlformats.org/officeDocument/2006/relationships/hyperlink" Target="https://www.barnet.gov.uk/media/1210" TargetMode="External"/><Relationship Id="rId3" Type="http://schemas.openxmlformats.org/officeDocument/2006/relationships/styles" Target="styles.xml"/><Relationship Id="rId21" Type="http://schemas.openxmlformats.org/officeDocument/2006/relationships/hyperlink" Target="https://www.brent.gov.uk/media/9511196/A%20Fair%20Deal%20Betting%20Shops,%20Pay%20Day%20Loan%20Shops%20and%20Pawnbrokers%20in%20Brent.pdf" TargetMode="External"/><Relationship Id="rId7" Type="http://schemas.openxmlformats.org/officeDocument/2006/relationships/endnotes" Target="endnotes.xml"/><Relationship Id="rId12" Type="http://schemas.openxmlformats.org/officeDocument/2006/relationships/hyperlink" Target="https://www.lbhf.gov.uk/sites/default/files/section_attachments/lbhf_retail_needs_study_update_2015_-_240516.pdf" TargetMode="External"/><Relationship Id="rId17" Type="http://schemas.openxmlformats.org/officeDocument/2006/relationships/hyperlink" Target="https://www.barnet.gov.uk/sites/default/files/barnet_public_houses_review_2018.pdf" TargetMode="External"/><Relationship Id="rId25" Type="http://schemas.openxmlformats.org/officeDocument/2006/relationships/hyperlink" Target="https://engage.barnet.gov.uk/edgware-growth-area-spd"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arnet.gov.uk/sites/default/files/barnet_hot_food_takeaways_review_2018.pdf" TargetMode="External"/><Relationship Id="rId20" Type="http://schemas.openxmlformats.org/officeDocument/2006/relationships/hyperlink" Target="https://www.brent.gov.uk/media/16415894/eb_e_14-brent-young-persons-cigarette-and-shisha-audit.pdf" TargetMode="External"/><Relationship Id="rId29" Type="http://schemas.openxmlformats.org/officeDocument/2006/relationships/hyperlink" Target="https://engage.barnet.gov.uk/edgware-growth-area-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ling.gov.uk/info/201164/local_plans/614/evidence_base/8" TargetMode="External"/><Relationship Id="rId24" Type="http://schemas.openxmlformats.org/officeDocument/2006/relationships/hyperlink" Target="https://www.lbhf.gov.uk/sites/default/files/section_attachments/bettin_shops_pay_day_loads_background_paper_2016.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illingdon.gov.uk/article/5587/Authority-monitoring-reports" TargetMode="External"/><Relationship Id="rId23" Type="http://schemas.openxmlformats.org/officeDocument/2006/relationships/hyperlink" Target="https://www.lbhf.gov.uk/sites/default/files/section_attachments/retail_quotas_background_report_final_2016.pdf" TargetMode="External"/><Relationship Id="rId28" Type="http://schemas.openxmlformats.org/officeDocument/2006/relationships/hyperlink" Target="https://www.harrow.gov.uk/downloads/file/23239/harrow-wealdstone-area-action-plan" TargetMode="External"/><Relationship Id="rId10" Type="http://schemas.openxmlformats.org/officeDocument/2006/relationships/hyperlink" Target="https://www.brent.gov.uk/media/16415899/eb_e_01-retail-leisure-needs-study-vol1.pdf" TargetMode="External"/><Relationship Id="rId19" Type="http://schemas.openxmlformats.org/officeDocument/2006/relationships/hyperlink" Target="https://www.brent.gov.uk/media/16415892/eb_e_12-takeaway-use-amongst-brent-school-students.pdf" TargetMode="External"/><Relationship Id="rId31" Type="http://schemas.openxmlformats.org/officeDocument/2006/relationships/hyperlink" Target="http://democracy.brent.gov.uk/ieIssueDetails.aspx?IId=53717&amp;PlanId=0&amp;Opt=3" TargetMode="External"/><Relationship Id="rId4" Type="http://schemas.openxmlformats.org/officeDocument/2006/relationships/settings" Target="settings.xml"/><Relationship Id="rId9" Type="http://schemas.openxmlformats.org/officeDocument/2006/relationships/hyperlink" Target="https://www.barnet.gov.uk/planning-and-building/planning-policies-and-local-plan/local-plan/ldf-evidence-and-supporting" TargetMode="External"/><Relationship Id="rId14" Type="http://schemas.openxmlformats.org/officeDocument/2006/relationships/hyperlink" Target="https://www.google.com/url?sa=t&amp;rct=j&amp;q=&amp;esrc=s&amp;source=web&amp;cd=&amp;ved=2ahUKEwidw-DAm-zuAhXlXhUIHZ_PD3sQFjABegQIAxAC&amp;url=https%3A%2F%2Farchive.hillingdon.gov.uk%2Fmedia%2F21836%2FTown-centre-and-retail-study-2006%2Fpdf%2FTOWNCE.pdf&amp;usg=AOvVaw1k0Q0bD0HZPaW5HW-j-Cxx" TargetMode="External"/><Relationship Id="rId22" Type="http://schemas.openxmlformats.org/officeDocument/2006/relationships/hyperlink" Target="https://www.brent.gov.uk/media/16415888/eb_e_08-inclusive-growth-strategy-economy.pdf" TargetMode="External"/><Relationship Id="rId27" Type="http://schemas.openxmlformats.org/officeDocument/2006/relationships/hyperlink" Target="https://www.barnet.gov.uk/planning-and-building/planning-policies-and-local-plan/local-plan/town-centre-frameworks" TargetMode="External"/><Relationship Id="rId30" Type="http://schemas.openxmlformats.org/officeDocument/2006/relationships/hyperlink" Target="https://www.brent.gov.uk/media/16415891/eb_e_09-brent-workspace-stud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12C93-35DE-4EB3-9D2B-550933FCA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4518</Words>
  <Characters>25756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Shaw</dc:creator>
  <cp:keywords/>
  <dc:description/>
  <cp:lastModifiedBy>Andrew Barry-Purssell</cp:lastModifiedBy>
  <cp:revision>21</cp:revision>
  <cp:lastPrinted>2018-12-11T08:38:00Z</cp:lastPrinted>
  <dcterms:created xsi:type="dcterms:W3CDTF">2021-09-17T11:08:00Z</dcterms:created>
  <dcterms:modified xsi:type="dcterms:W3CDTF">2021-09-24T10:39:00Z</dcterms:modified>
</cp:coreProperties>
</file>