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ED1" w:rsidRDefault="00E362EC">
      <w:pPr>
        <w:pStyle w:val="Heading1"/>
      </w:pPr>
      <w:bookmarkStart w:id="0" w:name="_tqv9mya7y5oc"/>
      <w:bookmarkStart w:id="1" w:name="_GoBack"/>
      <w:bookmarkEnd w:id="0"/>
      <w:bookmarkEnd w:id="1"/>
      <w:r>
        <w:t>Call-Off Schedule 16 (Benchmarking)</w:t>
      </w:r>
    </w:p>
    <w:p w:rsidR="00267ED1" w:rsidRDefault="00E362EC">
      <w:pPr>
        <w:pStyle w:val="Standard"/>
        <w:keepNext/>
        <w:numPr>
          <w:ilvl w:val="0"/>
          <w:numId w:val="2"/>
        </w:numPr>
        <w:tabs>
          <w:tab w:val="left" w:pos="142"/>
        </w:tabs>
        <w:spacing w:before="120"/>
        <w:jc w:val="left"/>
      </w:pPr>
      <w:r>
        <w:rPr>
          <w:rFonts w:ascii="Arial Bold" w:eastAsia="Arial Bold" w:hAnsi="Arial Bold" w:cs="Arial Bold"/>
          <w:b/>
          <w:sz w:val="24"/>
          <w:szCs w:val="24"/>
        </w:rPr>
        <w:t>Definitions</w:t>
      </w:r>
    </w:p>
    <w:p w:rsidR="00267ED1" w:rsidRDefault="00E362EC">
      <w:pPr>
        <w:pStyle w:val="Standard"/>
        <w:keepNext/>
        <w:widowControl/>
        <w:numPr>
          <w:ilvl w:val="1"/>
          <w:numId w:val="1"/>
        </w:numPr>
        <w:tabs>
          <w:tab w:val="left" w:pos="1778"/>
        </w:tabs>
        <w:spacing w:before="120" w:after="120"/>
        <w:ind w:hanging="360"/>
        <w:jc w:val="left"/>
      </w:pPr>
      <w:r>
        <w:rPr>
          <w:rFonts w:ascii="Arial" w:eastAsia="Arial" w:hAnsi="Arial" w:cs="Arial"/>
          <w:color w:val="000000"/>
          <w:sz w:val="24"/>
          <w:szCs w:val="24"/>
        </w:rPr>
        <w:t>In this Schedule, the following expressions shall have the following meanings:</w:t>
      </w:r>
    </w:p>
    <w:tbl>
      <w:tblPr>
        <w:tblW w:w="8041" w:type="dxa"/>
        <w:tblInd w:w="1008" w:type="dxa"/>
        <w:tblLayout w:type="fixed"/>
        <w:tblCellMar>
          <w:left w:w="10" w:type="dxa"/>
          <w:right w:w="10" w:type="dxa"/>
        </w:tblCellMar>
        <w:tblLook w:val="0000" w:firstRow="0" w:lastRow="0" w:firstColumn="0" w:lastColumn="0" w:noHBand="0" w:noVBand="0"/>
      </w:tblPr>
      <w:tblGrid>
        <w:gridCol w:w="2898"/>
        <w:gridCol w:w="5143"/>
      </w:tblGrid>
      <w:tr w:rsidR="00267ED1">
        <w:tc>
          <w:tcPr>
            <w:tcW w:w="28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spacing w:after="120"/>
              <w:ind w:left="-108"/>
              <w:jc w:val="left"/>
            </w:pPr>
            <w:r>
              <w:rPr>
                <w:rFonts w:ascii="Arial" w:eastAsia="Arial" w:hAnsi="Arial" w:cs="Arial"/>
                <w:b/>
                <w:color w:val="000000"/>
                <w:sz w:val="24"/>
                <w:szCs w:val="24"/>
              </w:rPr>
              <w:t>"Benchmark Review"</w:t>
            </w:r>
          </w:p>
        </w:tc>
        <w:tc>
          <w:tcPr>
            <w:tcW w:w="51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tabs>
                <w:tab w:val="left" w:pos="175"/>
              </w:tabs>
              <w:spacing w:after="120"/>
              <w:jc w:val="left"/>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267ED1">
        <w:tc>
          <w:tcPr>
            <w:tcW w:w="28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spacing w:after="120"/>
              <w:ind w:left="-108"/>
              <w:jc w:val="left"/>
            </w:pPr>
            <w:r>
              <w:rPr>
                <w:rFonts w:ascii="Arial" w:eastAsia="Arial" w:hAnsi="Arial" w:cs="Arial"/>
                <w:b/>
                <w:color w:val="000000"/>
                <w:sz w:val="24"/>
                <w:szCs w:val="24"/>
              </w:rPr>
              <w:t>"Benchmarked Deliverables"</w:t>
            </w:r>
          </w:p>
        </w:tc>
        <w:tc>
          <w:tcPr>
            <w:tcW w:w="51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tabs>
                <w:tab w:val="left" w:pos="175"/>
              </w:tabs>
              <w:spacing w:after="120"/>
              <w:jc w:val="left"/>
            </w:pPr>
            <w:r>
              <w:rPr>
                <w:rFonts w:ascii="Arial" w:eastAsia="Arial" w:hAnsi="Arial" w:cs="Arial"/>
                <w:color w:val="000000"/>
                <w:sz w:val="24"/>
                <w:szCs w:val="24"/>
              </w:rPr>
              <w:t>any Deliverables included within the scope of a Benchmark Review pursuant to this Schedule;</w:t>
            </w:r>
          </w:p>
        </w:tc>
      </w:tr>
      <w:tr w:rsidR="00267ED1">
        <w:tc>
          <w:tcPr>
            <w:tcW w:w="28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spacing w:after="120"/>
              <w:ind w:left="-108"/>
              <w:jc w:val="left"/>
            </w:pPr>
            <w:r>
              <w:rPr>
                <w:rFonts w:ascii="Arial" w:eastAsia="Arial" w:hAnsi="Arial" w:cs="Arial"/>
                <w:b/>
                <w:color w:val="000000"/>
                <w:sz w:val="24"/>
                <w:szCs w:val="24"/>
              </w:rPr>
              <w:t>"Comparable Rates"</w:t>
            </w:r>
          </w:p>
        </w:tc>
        <w:tc>
          <w:tcPr>
            <w:tcW w:w="51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tabs>
                <w:tab w:val="left" w:pos="175"/>
              </w:tabs>
              <w:spacing w:after="120"/>
              <w:jc w:val="left"/>
            </w:pPr>
            <w:r>
              <w:rPr>
                <w:rFonts w:ascii="Arial" w:eastAsia="Arial" w:hAnsi="Arial" w:cs="Arial"/>
                <w:color w:val="000000"/>
                <w:sz w:val="24"/>
                <w:szCs w:val="24"/>
              </w:rPr>
              <w:t>the Charges for Comparable Deliverables;</w:t>
            </w:r>
          </w:p>
        </w:tc>
      </w:tr>
      <w:tr w:rsidR="00267ED1">
        <w:tc>
          <w:tcPr>
            <w:tcW w:w="28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spacing w:after="120"/>
              <w:ind w:left="-108"/>
              <w:jc w:val="left"/>
            </w:pPr>
            <w:r>
              <w:rPr>
                <w:rFonts w:ascii="Arial" w:eastAsia="Arial" w:hAnsi="Arial" w:cs="Arial"/>
                <w:b/>
                <w:color w:val="000000"/>
                <w:sz w:val="24"/>
                <w:szCs w:val="24"/>
              </w:rPr>
              <w:t>"Comparable Deliverables"</w:t>
            </w:r>
          </w:p>
        </w:tc>
        <w:tc>
          <w:tcPr>
            <w:tcW w:w="51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tabs>
                <w:tab w:val="left" w:pos="175"/>
              </w:tabs>
              <w:spacing w:after="120"/>
              <w:jc w:val="left"/>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267ED1">
        <w:tc>
          <w:tcPr>
            <w:tcW w:w="28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spacing w:after="120"/>
              <w:ind w:left="-108"/>
              <w:jc w:val="left"/>
            </w:pPr>
            <w:r>
              <w:rPr>
                <w:rFonts w:ascii="Arial" w:eastAsia="Arial" w:hAnsi="Arial" w:cs="Arial"/>
                <w:b/>
                <w:color w:val="000000"/>
                <w:sz w:val="24"/>
                <w:szCs w:val="24"/>
              </w:rPr>
              <w:t>"Comparison Group"</w:t>
            </w:r>
          </w:p>
        </w:tc>
        <w:tc>
          <w:tcPr>
            <w:tcW w:w="51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tabs>
                <w:tab w:val="left" w:pos="175"/>
              </w:tabs>
              <w:spacing w:after="120"/>
              <w:jc w:val="left"/>
            </w:pPr>
            <w:r>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267ED1">
        <w:tc>
          <w:tcPr>
            <w:tcW w:w="28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spacing w:after="120"/>
              <w:ind w:left="-108"/>
              <w:jc w:val="left"/>
            </w:pPr>
            <w:r>
              <w:rPr>
                <w:rFonts w:ascii="Arial" w:eastAsia="Arial" w:hAnsi="Arial" w:cs="Arial"/>
                <w:b/>
                <w:color w:val="000000"/>
                <w:sz w:val="24"/>
                <w:szCs w:val="24"/>
              </w:rPr>
              <w:t>"Equivalent Data"</w:t>
            </w:r>
          </w:p>
        </w:tc>
        <w:tc>
          <w:tcPr>
            <w:tcW w:w="51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tabs>
                <w:tab w:val="left" w:pos="175"/>
              </w:tabs>
              <w:spacing w:after="120"/>
              <w:jc w:val="left"/>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267ED1">
        <w:tc>
          <w:tcPr>
            <w:tcW w:w="28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spacing w:after="120"/>
              <w:ind w:left="-108"/>
              <w:jc w:val="left"/>
            </w:pPr>
            <w:r>
              <w:rPr>
                <w:rFonts w:ascii="Arial" w:eastAsia="Arial" w:hAnsi="Arial" w:cs="Arial"/>
                <w:b/>
                <w:color w:val="000000"/>
                <w:sz w:val="24"/>
                <w:szCs w:val="24"/>
              </w:rPr>
              <w:t>"Good Value"</w:t>
            </w:r>
          </w:p>
        </w:tc>
        <w:tc>
          <w:tcPr>
            <w:tcW w:w="51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tabs>
                <w:tab w:val="left" w:pos="175"/>
              </w:tabs>
              <w:spacing w:after="120"/>
              <w:jc w:val="left"/>
            </w:pPr>
            <w:r>
              <w:rPr>
                <w:rFonts w:ascii="Arial" w:eastAsia="Arial" w:hAnsi="Arial" w:cs="Arial"/>
                <w:color w:val="000000"/>
                <w:sz w:val="24"/>
                <w:szCs w:val="24"/>
              </w:rPr>
              <w:t>that the Benchmarked Rates are within the Upper Quartile; and</w:t>
            </w:r>
          </w:p>
        </w:tc>
      </w:tr>
      <w:tr w:rsidR="00267ED1">
        <w:tc>
          <w:tcPr>
            <w:tcW w:w="28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spacing w:after="120"/>
              <w:ind w:left="-108"/>
              <w:jc w:val="left"/>
            </w:pPr>
            <w:r>
              <w:rPr>
                <w:rFonts w:ascii="Arial" w:eastAsia="Arial" w:hAnsi="Arial" w:cs="Arial"/>
                <w:b/>
                <w:color w:val="000000"/>
                <w:sz w:val="24"/>
                <w:szCs w:val="24"/>
              </w:rPr>
              <w:t>"Upper Quartile"</w:t>
            </w:r>
          </w:p>
        </w:tc>
        <w:tc>
          <w:tcPr>
            <w:tcW w:w="51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67ED1" w:rsidRDefault="00E362EC">
            <w:pPr>
              <w:pStyle w:val="Standard"/>
              <w:widowControl/>
              <w:tabs>
                <w:tab w:val="left" w:pos="175"/>
              </w:tabs>
              <w:spacing w:after="120"/>
              <w:jc w:val="left"/>
            </w:pPr>
            <w:r>
              <w:rPr>
                <w:rFonts w:ascii="Arial" w:eastAsia="Arial" w:hAnsi="Arial" w:cs="Arial"/>
                <w:sz w:val="24"/>
                <w:szCs w:val="24"/>
              </w:rPr>
              <w:t>In respect</w:t>
            </w:r>
            <w:r>
              <w:rPr>
                <w:rFonts w:ascii="Arial" w:eastAsia="Arial" w:hAnsi="Arial" w:cs="Arial"/>
                <w:color w:val="000000"/>
                <w:sz w:val="24"/>
                <w:szCs w:val="24"/>
              </w:rPr>
              <w:t xml:space="preserve"> of Benchmarked Rates, </w:t>
            </w:r>
            <w:r>
              <w:rPr>
                <w:rFonts w:ascii="Arial" w:eastAsia="Arial" w:hAnsi="Arial" w:cs="Arial"/>
                <w:sz w:val="24"/>
                <w:szCs w:val="24"/>
              </w:rPr>
              <w:t>based</w:t>
            </w:r>
            <w:r>
              <w:rPr>
                <w:rFonts w:ascii="Arial" w:eastAsia="Arial" w:hAnsi="Arial" w:cs="Arial"/>
                <w:color w:val="000000"/>
                <w:sz w:val="24"/>
                <w:szCs w:val="24"/>
              </w:rPr>
              <w:t xml:space="preserve"> on an analysis of Equivalent Data, the Benchmarked Rates, as compared to the range of prices for Comparable Deliverables, are within the top 25% in terms of best value for money for the recipients of Comparable Deliverables.</w:t>
            </w:r>
          </w:p>
        </w:tc>
      </w:tr>
    </w:tbl>
    <w:p w:rsidR="00267ED1" w:rsidRDefault="00E362EC">
      <w:pPr>
        <w:pStyle w:val="Standard"/>
        <w:keepNext/>
        <w:widowControl/>
        <w:numPr>
          <w:ilvl w:val="0"/>
          <w:numId w:val="1"/>
        </w:numPr>
        <w:tabs>
          <w:tab w:val="left" w:pos="502"/>
        </w:tabs>
        <w:spacing w:before="120"/>
        <w:jc w:val="left"/>
      </w:pPr>
      <w:r>
        <w:rPr>
          <w:rFonts w:ascii="Arial Bold" w:eastAsia="Arial Bold" w:hAnsi="Arial Bold" w:cs="Arial Bold"/>
          <w:b/>
          <w:color w:val="000000"/>
          <w:sz w:val="24"/>
          <w:szCs w:val="24"/>
        </w:rPr>
        <w:lastRenderedPageBreak/>
        <w:t>When you should use this Schedule</w:t>
      </w:r>
    </w:p>
    <w:p w:rsidR="00267ED1" w:rsidRDefault="00E362EC">
      <w:pPr>
        <w:pStyle w:val="Standard"/>
        <w:widowControl/>
        <w:numPr>
          <w:ilvl w:val="1"/>
          <w:numId w:val="1"/>
        </w:numPr>
        <w:tabs>
          <w:tab w:val="left" w:pos="1778"/>
        </w:tabs>
        <w:spacing w:before="120" w:after="120"/>
        <w:ind w:hanging="360"/>
        <w:jc w:val="left"/>
      </w:pPr>
      <w:r>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rsidR="00267ED1" w:rsidRDefault="00E362EC">
      <w:pPr>
        <w:pStyle w:val="Standard"/>
        <w:widowControl/>
        <w:numPr>
          <w:ilvl w:val="1"/>
          <w:numId w:val="1"/>
        </w:numPr>
        <w:tabs>
          <w:tab w:val="left" w:pos="1778"/>
        </w:tabs>
        <w:spacing w:before="120" w:after="120"/>
        <w:ind w:hanging="360"/>
        <w:jc w:val="left"/>
      </w:pPr>
      <w:r>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267ED1" w:rsidRDefault="00E362EC">
      <w:pPr>
        <w:pStyle w:val="Standard"/>
        <w:widowControl/>
        <w:numPr>
          <w:ilvl w:val="1"/>
          <w:numId w:val="1"/>
        </w:numPr>
        <w:tabs>
          <w:tab w:val="left" w:pos="1778"/>
        </w:tabs>
        <w:spacing w:before="120" w:after="120"/>
        <w:ind w:hanging="360"/>
        <w:jc w:val="left"/>
      </w:pPr>
      <w:r>
        <w:rPr>
          <w:rFonts w:ascii="Arial" w:eastAsia="Arial" w:hAnsi="Arial" w:cs="Arial"/>
          <w:color w:val="000000"/>
          <w:sz w:val="24"/>
          <w:szCs w:val="24"/>
        </w:rPr>
        <w:t>Amounts payable under this Schedule shall not fall with the definition of a Cost.</w:t>
      </w:r>
    </w:p>
    <w:p w:rsidR="00267ED1" w:rsidRDefault="00E362EC">
      <w:pPr>
        <w:pStyle w:val="Standard"/>
        <w:keepNext/>
        <w:widowControl/>
        <w:numPr>
          <w:ilvl w:val="0"/>
          <w:numId w:val="1"/>
        </w:numPr>
        <w:tabs>
          <w:tab w:val="left" w:pos="502"/>
        </w:tabs>
        <w:spacing w:before="120"/>
        <w:jc w:val="left"/>
      </w:pPr>
      <w:r>
        <w:rPr>
          <w:rFonts w:ascii="Arial Bold" w:eastAsia="Arial Bold" w:hAnsi="Arial Bold" w:cs="Arial Bold"/>
          <w:b/>
          <w:color w:val="000000"/>
          <w:sz w:val="24"/>
          <w:szCs w:val="24"/>
        </w:rPr>
        <w:t>Benchmarking</w:t>
      </w:r>
    </w:p>
    <w:p w:rsidR="00267ED1" w:rsidRDefault="00E362EC">
      <w:pPr>
        <w:pStyle w:val="Standard"/>
        <w:keepNext/>
        <w:widowControl/>
        <w:numPr>
          <w:ilvl w:val="1"/>
          <w:numId w:val="1"/>
        </w:numPr>
        <w:tabs>
          <w:tab w:val="left" w:pos="1778"/>
        </w:tabs>
        <w:spacing w:before="120" w:after="120"/>
        <w:ind w:hanging="360"/>
        <w:jc w:val="left"/>
      </w:pPr>
      <w:r>
        <w:rPr>
          <w:rFonts w:ascii="Arial" w:eastAsia="Arial" w:hAnsi="Arial" w:cs="Arial"/>
          <w:b/>
          <w:color w:val="000000"/>
          <w:sz w:val="24"/>
          <w:szCs w:val="24"/>
        </w:rPr>
        <w:t>How benchmarking works</w:t>
      </w:r>
    </w:p>
    <w:p w:rsidR="00267ED1" w:rsidRDefault="00E362EC">
      <w:pPr>
        <w:pStyle w:val="Standard"/>
        <w:widowControl/>
        <w:numPr>
          <w:ilvl w:val="2"/>
          <w:numId w:val="1"/>
        </w:numPr>
        <w:tabs>
          <w:tab w:val="left" w:pos="4407"/>
        </w:tabs>
        <w:spacing w:before="120" w:after="120"/>
        <w:jc w:val="left"/>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rsidR="00267ED1" w:rsidRDefault="00E362EC">
      <w:pPr>
        <w:pStyle w:val="Standard"/>
        <w:widowControl/>
        <w:numPr>
          <w:ilvl w:val="2"/>
          <w:numId w:val="1"/>
        </w:numPr>
        <w:tabs>
          <w:tab w:val="left" w:pos="4407"/>
        </w:tabs>
        <w:spacing w:before="120" w:after="120"/>
        <w:jc w:val="left"/>
      </w:pPr>
      <w:r>
        <w:rPr>
          <w:rFonts w:ascii="Arial" w:eastAsia="Arial" w:hAnsi="Arial" w:cs="Arial"/>
          <w:color w:val="000000"/>
          <w:sz w:val="24"/>
          <w:szCs w:val="24"/>
        </w:rPr>
        <w:t>The Buyer may, by written notice to the Supplier, require a Benchmark Review of any or all of the Deliverables.</w:t>
      </w:r>
    </w:p>
    <w:p w:rsidR="00267ED1" w:rsidRDefault="00E362EC">
      <w:pPr>
        <w:pStyle w:val="Standard"/>
        <w:widowControl/>
        <w:numPr>
          <w:ilvl w:val="2"/>
          <w:numId w:val="1"/>
        </w:numPr>
        <w:tabs>
          <w:tab w:val="left" w:pos="4407"/>
        </w:tabs>
        <w:spacing w:before="120" w:after="120"/>
        <w:jc w:val="left"/>
      </w:pPr>
      <w:r>
        <w:rPr>
          <w:rFonts w:ascii="Arial" w:eastAsia="Arial" w:hAnsi="Arial" w:cs="Arial"/>
          <w:color w:val="000000"/>
          <w:sz w:val="24"/>
          <w:szCs w:val="24"/>
        </w:rPr>
        <w:t>The Buyer shall not be entitled to request a Benchmark Review during the first six (6) Month period from the Contract Commencement Date or at intervals of less than twelve (12) Months after any previous Benchmark Review.</w:t>
      </w:r>
    </w:p>
    <w:p w:rsidR="00267ED1" w:rsidRDefault="00E362EC">
      <w:pPr>
        <w:pStyle w:val="Standard"/>
        <w:widowControl/>
        <w:numPr>
          <w:ilvl w:val="2"/>
          <w:numId w:val="1"/>
        </w:numPr>
        <w:tabs>
          <w:tab w:val="left" w:pos="4407"/>
        </w:tabs>
        <w:spacing w:before="120" w:after="120"/>
        <w:jc w:val="left"/>
      </w:pPr>
      <w:r>
        <w:rPr>
          <w:rFonts w:ascii="Arial" w:eastAsia="Arial" w:hAnsi="Arial" w:cs="Arial"/>
          <w:color w:val="000000"/>
          <w:sz w:val="24"/>
          <w:szCs w:val="24"/>
        </w:rPr>
        <w:t>The purpose of a Benchmark Review will be to establish whether the Benchmarked Deliverables are, individually and/or as a whole, Good Value.</w:t>
      </w:r>
    </w:p>
    <w:p w:rsidR="00267ED1" w:rsidRDefault="00E362EC">
      <w:pPr>
        <w:pStyle w:val="Standard"/>
        <w:widowControl/>
        <w:numPr>
          <w:ilvl w:val="2"/>
          <w:numId w:val="1"/>
        </w:numPr>
        <w:tabs>
          <w:tab w:val="left" w:pos="4407"/>
        </w:tabs>
        <w:spacing w:before="120" w:after="120"/>
        <w:jc w:val="left"/>
      </w:pPr>
      <w:r>
        <w:rPr>
          <w:rFonts w:ascii="Arial" w:eastAsia="Arial" w:hAnsi="Arial" w:cs="Arial"/>
          <w:color w:val="000000"/>
          <w:sz w:val="24"/>
          <w:szCs w:val="24"/>
        </w:rPr>
        <w:t>The Deliverables that are to be the Benchmarked Deliverables will be identified by the Buyer in writing.</w:t>
      </w:r>
    </w:p>
    <w:p w:rsidR="00267ED1" w:rsidRDefault="00E362EC">
      <w:pPr>
        <w:pStyle w:val="Standard"/>
        <w:widowControl/>
        <w:numPr>
          <w:ilvl w:val="2"/>
          <w:numId w:val="1"/>
        </w:numPr>
        <w:tabs>
          <w:tab w:val="left" w:pos="4407"/>
        </w:tabs>
        <w:spacing w:before="120" w:after="120"/>
        <w:jc w:val="left"/>
      </w:pPr>
      <w:r>
        <w:rPr>
          <w:rFonts w:ascii="Arial" w:eastAsia="Arial" w:hAnsi="Arial" w:cs="Arial"/>
          <w:color w:val="000000"/>
          <w:sz w:val="24"/>
          <w:szCs w:val="24"/>
        </w:rPr>
        <w:t>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w:t>
      </w:r>
    </w:p>
    <w:p w:rsidR="00267ED1" w:rsidRDefault="00E362EC">
      <w:pPr>
        <w:pStyle w:val="Standard"/>
        <w:widowControl/>
        <w:numPr>
          <w:ilvl w:val="2"/>
          <w:numId w:val="1"/>
        </w:numPr>
        <w:tabs>
          <w:tab w:val="left" w:pos="4407"/>
        </w:tabs>
        <w:spacing w:before="120" w:after="120"/>
        <w:jc w:val="left"/>
      </w:pPr>
      <w:r>
        <w:rPr>
          <w:rFonts w:ascii="Arial" w:eastAsia="Arial" w:hAnsi="Arial" w:cs="Arial"/>
          <w:color w:val="000000"/>
          <w:sz w:val="24"/>
          <w:szCs w:val="24"/>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w:t>
      </w:r>
      <w:r>
        <w:rPr>
          <w:rFonts w:ascii="Arial" w:eastAsia="Arial" w:hAnsi="Arial" w:cs="Arial"/>
          <w:color w:val="000000"/>
          <w:sz w:val="24"/>
          <w:szCs w:val="24"/>
        </w:rPr>
        <w:lastRenderedPageBreak/>
        <w:t>by the benchmarker shall be raised against the Supplier and the relevant portion shall be reimbursed by the Buyer.</w:t>
      </w:r>
    </w:p>
    <w:p w:rsidR="00267ED1" w:rsidRDefault="00E362EC">
      <w:pPr>
        <w:pStyle w:val="Standard"/>
        <w:keepNext/>
        <w:widowControl/>
        <w:numPr>
          <w:ilvl w:val="1"/>
          <w:numId w:val="1"/>
        </w:numPr>
        <w:tabs>
          <w:tab w:val="left" w:pos="1778"/>
        </w:tabs>
        <w:spacing w:before="120" w:after="120"/>
        <w:ind w:hanging="360"/>
        <w:jc w:val="left"/>
      </w:pPr>
      <w:r>
        <w:rPr>
          <w:rFonts w:ascii="Arial" w:eastAsia="Arial" w:hAnsi="Arial" w:cs="Arial"/>
          <w:b/>
          <w:color w:val="000000"/>
          <w:sz w:val="24"/>
          <w:szCs w:val="24"/>
        </w:rPr>
        <w:t>Benchmarking Process</w:t>
      </w:r>
    </w:p>
    <w:p w:rsidR="00267ED1" w:rsidRDefault="00E362EC">
      <w:pPr>
        <w:pStyle w:val="Standard"/>
        <w:keepNext/>
        <w:widowControl/>
        <w:numPr>
          <w:ilvl w:val="2"/>
          <w:numId w:val="1"/>
        </w:numPr>
        <w:tabs>
          <w:tab w:val="left" w:pos="4407"/>
        </w:tabs>
        <w:spacing w:before="120" w:after="120"/>
        <w:jc w:val="left"/>
      </w:pPr>
      <w:bookmarkStart w:id="2" w:name="_gjdgxs"/>
      <w:bookmarkEnd w:id="2"/>
      <w:r>
        <w:rPr>
          <w:rFonts w:ascii="Arial" w:eastAsia="Arial" w:hAnsi="Arial" w:cs="Arial"/>
          <w:color w:val="000000"/>
          <w:sz w:val="24"/>
          <w:szCs w:val="24"/>
        </w:rPr>
        <w:t>The benchmarker shall produce and send to the Buyer, for Approval, a draft plan for the Benchmark Review which must include:</w:t>
      </w:r>
    </w:p>
    <w:p w:rsidR="00267ED1" w:rsidRDefault="00E362EC">
      <w:pPr>
        <w:pStyle w:val="Standard"/>
        <w:widowControl/>
        <w:numPr>
          <w:ilvl w:val="3"/>
          <w:numId w:val="1"/>
        </w:numPr>
        <w:tabs>
          <w:tab w:val="left" w:pos="4548"/>
        </w:tabs>
        <w:spacing w:before="120" w:after="120"/>
        <w:jc w:val="left"/>
      </w:pPr>
      <w:r>
        <w:rPr>
          <w:rFonts w:ascii="Arial" w:eastAsia="Arial" w:hAnsi="Arial" w:cs="Arial"/>
          <w:color w:val="000000"/>
          <w:sz w:val="24"/>
          <w:szCs w:val="24"/>
        </w:rPr>
        <w:t>a proposed cost and timetable for the Benchmark Review;</w:t>
      </w:r>
    </w:p>
    <w:p w:rsidR="00267ED1" w:rsidRDefault="00E362EC">
      <w:pPr>
        <w:pStyle w:val="Standard"/>
        <w:widowControl/>
        <w:numPr>
          <w:ilvl w:val="3"/>
          <w:numId w:val="1"/>
        </w:numPr>
        <w:tabs>
          <w:tab w:val="left" w:pos="4548"/>
        </w:tabs>
        <w:spacing w:before="120" w:after="120"/>
        <w:jc w:val="left"/>
      </w:pPr>
      <w:r>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rsidR="00267ED1" w:rsidRDefault="00E362EC">
      <w:pPr>
        <w:pStyle w:val="Standard"/>
        <w:widowControl/>
        <w:numPr>
          <w:ilvl w:val="3"/>
          <w:numId w:val="1"/>
        </w:numPr>
        <w:tabs>
          <w:tab w:val="left" w:pos="4548"/>
        </w:tabs>
        <w:spacing w:before="120" w:after="120"/>
        <w:jc w:val="left"/>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description of how the benchmarker will scope and identify the Comparison Group.</w:t>
      </w:r>
    </w:p>
    <w:p w:rsidR="00267ED1" w:rsidRDefault="00E362EC">
      <w:pPr>
        <w:pStyle w:val="Standard"/>
        <w:widowControl/>
        <w:numPr>
          <w:ilvl w:val="2"/>
          <w:numId w:val="1"/>
        </w:numPr>
        <w:tabs>
          <w:tab w:val="left" w:pos="4407"/>
        </w:tabs>
        <w:spacing w:before="120" w:after="120"/>
        <w:jc w:val="left"/>
      </w:pPr>
      <w:bookmarkStart w:id="3" w:name="_30j0zll"/>
      <w:bookmarkEnd w:id="3"/>
      <w:r>
        <w:rPr>
          <w:rFonts w:ascii="Arial" w:eastAsia="Arial" w:hAnsi="Arial" w:cs="Arial"/>
          <w:color w:val="000000"/>
          <w:sz w:val="24"/>
          <w:szCs w:val="24"/>
        </w:rPr>
        <w:t>The benchmarker, acting reasonably, shall be entitled to use any model to determine the achievement of value for money and to carry out the benchmarking.</w:t>
      </w:r>
    </w:p>
    <w:p w:rsidR="00267ED1" w:rsidRDefault="00E362EC">
      <w:pPr>
        <w:pStyle w:val="Standard"/>
        <w:widowControl/>
        <w:numPr>
          <w:ilvl w:val="2"/>
          <w:numId w:val="1"/>
        </w:numPr>
        <w:tabs>
          <w:tab w:val="left" w:pos="4407"/>
        </w:tabs>
        <w:spacing w:before="120" w:after="120"/>
        <w:jc w:val="left"/>
      </w:pPr>
      <w:bookmarkStart w:id="4" w:name="_1fob9te"/>
      <w:bookmarkEnd w:id="4"/>
      <w:r>
        <w:rPr>
          <w:rFonts w:ascii="Arial" w:eastAsia="Arial" w:hAnsi="Arial" w:cs="Arial"/>
          <w:color w:val="000000"/>
          <w:sz w:val="24"/>
          <w:szCs w:val="24"/>
        </w:rP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267ED1" w:rsidRDefault="00E362EC">
      <w:pPr>
        <w:pStyle w:val="Standard"/>
        <w:widowControl/>
        <w:numPr>
          <w:ilvl w:val="2"/>
          <w:numId w:val="1"/>
        </w:numPr>
        <w:tabs>
          <w:tab w:val="left" w:pos="4407"/>
        </w:tabs>
        <w:spacing w:before="120" w:after="120"/>
        <w:jc w:val="left"/>
      </w:pPr>
      <w:r>
        <w:rPr>
          <w:rFonts w:ascii="Arial" w:eastAsia="Arial" w:hAnsi="Arial" w:cs="Arial"/>
          <w:color w:val="000000"/>
          <w:sz w:val="24"/>
          <w:szCs w:val="24"/>
        </w:rPr>
        <w:t>Once both Parties have approved the draft plan then they will notify the benchmarker.  No Party may unreasonably withhold or delay its Approval of the draft plan.</w:t>
      </w:r>
    </w:p>
    <w:p w:rsidR="00267ED1" w:rsidRDefault="00E362EC">
      <w:pPr>
        <w:pStyle w:val="Standard"/>
        <w:keepNext/>
        <w:widowControl/>
        <w:numPr>
          <w:ilvl w:val="2"/>
          <w:numId w:val="1"/>
        </w:numPr>
        <w:tabs>
          <w:tab w:val="left" w:pos="4407"/>
        </w:tabs>
        <w:spacing w:before="120" w:after="120"/>
        <w:jc w:val="left"/>
      </w:pPr>
      <w:r>
        <w:rPr>
          <w:rFonts w:ascii="Arial" w:eastAsia="Arial" w:hAnsi="Arial" w:cs="Arial"/>
          <w:color w:val="000000"/>
          <w:sz w:val="24"/>
          <w:szCs w:val="24"/>
        </w:rPr>
        <w:t>Once it has received the Approval of the draft plan, the benchmarker shall:</w:t>
      </w:r>
    </w:p>
    <w:p w:rsidR="00267ED1" w:rsidRDefault="00E362EC">
      <w:pPr>
        <w:pStyle w:val="Standard"/>
        <w:widowControl/>
        <w:numPr>
          <w:ilvl w:val="3"/>
          <w:numId w:val="1"/>
        </w:numPr>
        <w:tabs>
          <w:tab w:val="left" w:pos="4548"/>
        </w:tabs>
        <w:spacing w:before="120" w:after="120"/>
        <w:jc w:val="left"/>
      </w:pPr>
      <w:proofErr w:type="gramStart"/>
      <w:r>
        <w:rPr>
          <w:rFonts w:ascii="Arial" w:eastAsia="Arial" w:hAnsi="Arial" w:cs="Arial"/>
          <w:color w:val="000000"/>
          <w:sz w:val="24"/>
          <w:szCs w:val="24"/>
        </w:rPr>
        <w:t>finalise</w:t>
      </w:r>
      <w:proofErr w:type="gramEnd"/>
      <w:r>
        <w:rPr>
          <w:rFonts w:ascii="Arial" w:eastAsia="Arial" w:hAnsi="Arial" w:cs="Arial"/>
          <w:color w:val="000000"/>
          <w:sz w:val="24"/>
          <w:szCs w:val="24"/>
        </w:rPr>
        <w:t xml:space="preserve"> the Comparison Group and collect data relating to Comparable Rates. The selection of the Comparable Rates (both in terms of number and identity) shall be a matter for the Supplier's professional </w:t>
      </w:r>
      <w:r>
        <w:rPr>
          <w:rFonts w:ascii="Arial" w:eastAsia="Arial" w:hAnsi="Arial" w:cs="Arial"/>
          <w:sz w:val="24"/>
          <w:szCs w:val="24"/>
        </w:rPr>
        <w:t>judgement</w:t>
      </w:r>
      <w:r>
        <w:rPr>
          <w:rFonts w:ascii="Arial" w:eastAsia="Arial" w:hAnsi="Arial" w:cs="Arial"/>
          <w:color w:val="000000"/>
          <w:sz w:val="24"/>
          <w:szCs w:val="24"/>
        </w:rPr>
        <w:t xml:space="preserve"> using:</w:t>
      </w:r>
    </w:p>
    <w:p w:rsidR="00267ED1" w:rsidRDefault="00E362EC">
      <w:pPr>
        <w:pStyle w:val="Standard"/>
        <w:widowControl/>
        <w:numPr>
          <w:ilvl w:val="4"/>
          <w:numId w:val="1"/>
        </w:numPr>
        <w:tabs>
          <w:tab w:val="left" w:pos="4559"/>
        </w:tabs>
        <w:spacing w:before="120" w:after="120"/>
        <w:jc w:val="left"/>
      </w:pPr>
      <w:r>
        <w:rPr>
          <w:rFonts w:ascii="Arial" w:eastAsia="Arial" w:hAnsi="Arial" w:cs="Arial"/>
          <w:color w:val="000000"/>
          <w:sz w:val="24"/>
          <w:szCs w:val="24"/>
        </w:rPr>
        <w:t>market intelligence;</w:t>
      </w:r>
    </w:p>
    <w:p w:rsidR="00267ED1" w:rsidRDefault="00E362EC">
      <w:pPr>
        <w:pStyle w:val="Standard"/>
        <w:widowControl/>
        <w:numPr>
          <w:ilvl w:val="4"/>
          <w:numId w:val="1"/>
        </w:numPr>
        <w:tabs>
          <w:tab w:val="left" w:pos="4559"/>
        </w:tabs>
        <w:spacing w:before="120" w:after="120"/>
        <w:jc w:val="left"/>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benchmarker’s</w:t>
      </w:r>
      <w:proofErr w:type="spellEnd"/>
      <w:r>
        <w:rPr>
          <w:rFonts w:ascii="Arial" w:eastAsia="Arial" w:hAnsi="Arial" w:cs="Arial"/>
          <w:color w:val="000000"/>
          <w:sz w:val="24"/>
          <w:szCs w:val="24"/>
        </w:rPr>
        <w:t xml:space="preserve"> own data and experience;</w:t>
      </w:r>
    </w:p>
    <w:p w:rsidR="00267ED1" w:rsidRDefault="00E362EC">
      <w:pPr>
        <w:pStyle w:val="Standard"/>
        <w:widowControl/>
        <w:numPr>
          <w:ilvl w:val="4"/>
          <w:numId w:val="1"/>
        </w:numPr>
        <w:tabs>
          <w:tab w:val="left" w:pos="4559"/>
        </w:tabs>
        <w:spacing w:before="120" w:after="120"/>
        <w:jc w:val="left"/>
      </w:pPr>
      <w:r>
        <w:rPr>
          <w:rFonts w:ascii="Arial" w:eastAsia="Arial" w:hAnsi="Arial" w:cs="Arial"/>
          <w:color w:val="000000"/>
          <w:sz w:val="24"/>
          <w:szCs w:val="24"/>
        </w:rPr>
        <w:t>relevant published information; and</w:t>
      </w:r>
    </w:p>
    <w:p w:rsidR="00267ED1" w:rsidRDefault="00E362EC">
      <w:pPr>
        <w:pStyle w:val="Standard"/>
        <w:widowControl/>
        <w:numPr>
          <w:ilvl w:val="4"/>
          <w:numId w:val="1"/>
        </w:numPr>
        <w:tabs>
          <w:tab w:val="left" w:pos="4559"/>
        </w:tabs>
        <w:spacing w:before="120" w:after="120"/>
        <w:jc w:val="left"/>
      </w:pPr>
      <w:r>
        <w:rPr>
          <w:rFonts w:ascii="Arial" w:eastAsia="Arial" w:hAnsi="Arial" w:cs="Arial"/>
          <w:color w:val="000000"/>
          <w:sz w:val="24"/>
          <w:szCs w:val="24"/>
        </w:rPr>
        <w:t>pursuant to Paragraph 3.2.6  below, information from other suppliers or purchasers on Comparable Rates;</w:t>
      </w:r>
    </w:p>
    <w:p w:rsidR="00267ED1" w:rsidRDefault="00E362EC">
      <w:pPr>
        <w:pStyle w:val="Standard"/>
        <w:widowControl/>
        <w:numPr>
          <w:ilvl w:val="3"/>
          <w:numId w:val="1"/>
        </w:numPr>
        <w:tabs>
          <w:tab w:val="left" w:pos="4548"/>
        </w:tabs>
        <w:spacing w:before="120" w:after="120"/>
        <w:jc w:val="left"/>
      </w:pPr>
      <w:r>
        <w:rPr>
          <w:rFonts w:ascii="Arial" w:eastAsia="Arial" w:hAnsi="Arial" w:cs="Arial"/>
          <w:color w:val="000000"/>
          <w:sz w:val="24"/>
          <w:szCs w:val="24"/>
        </w:rPr>
        <w:t>by applying the adjustment factors listed in Paragraph 3.2.7 and from an analysis of the Comparable Rates, derive the Equivalent Data;</w:t>
      </w:r>
    </w:p>
    <w:p w:rsidR="00267ED1" w:rsidRDefault="00E362EC">
      <w:pPr>
        <w:pStyle w:val="Standard"/>
        <w:widowControl/>
        <w:numPr>
          <w:ilvl w:val="3"/>
          <w:numId w:val="1"/>
        </w:numPr>
        <w:tabs>
          <w:tab w:val="left" w:pos="4548"/>
        </w:tabs>
        <w:spacing w:before="120" w:after="120"/>
        <w:jc w:val="left"/>
      </w:pPr>
      <w:r>
        <w:rPr>
          <w:rFonts w:ascii="Arial" w:eastAsia="Arial" w:hAnsi="Arial" w:cs="Arial"/>
          <w:color w:val="000000"/>
          <w:sz w:val="24"/>
          <w:szCs w:val="24"/>
        </w:rPr>
        <w:t>using the Equivalent Data, calculate the Upper Quartile;</w:t>
      </w:r>
    </w:p>
    <w:p w:rsidR="00267ED1" w:rsidRDefault="00E362EC">
      <w:pPr>
        <w:pStyle w:val="Standard"/>
        <w:widowControl/>
        <w:numPr>
          <w:ilvl w:val="3"/>
          <w:numId w:val="1"/>
        </w:numPr>
        <w:tabs>
          <w:tab w:val="left" w:pos="4548"/>
        </w:tabs>
        <w:spacing w:before="120" w:after="120"/>
        <w:jc w:val="left"/>
      </w:pPr>
      <w:proofErr w:type="gramStart"/>
      <w:r>
        <w:rPr>
          <w:rFonts w:ascii="Arial" w:eastAsia="Arial" w:hAnsi="Arial" w:cs="Arial"/>
          <w:color w:val="000000"/>
          <w:sz w:val="24"/>
          <w:szCs w:val="24"/>
        </w:rPr>
        <w:lastRenderedPageBreak/>
        <w:t>determine</w:t>
      </w:r>
      <w:proofErr w:type="gramEnd"/>
      <w:r>
        <w:rPr>
          <w:rFonts w:ascii="Arial" w:eastAsia="Arial" w:hAnsi="Arial" w:cs="Arial"/>
          <w:color w:val="000000"/>
          <w:sz w:val="24"/>
          <w:szCs w:val="24"/>
        </w:rPr>
        <w:t xml:space="preserve"> whether or not each Benchmarked Rate is, and/or the Benchmarked Rates as a whole are, Good Value.</w:t>
      </w:r>
    </w:p>
    <w:p w:rsidR="00267ED1" w:rsidRDefault="00E362EC">
      <w:pPr>
        <w:pStyle w:val="Standard"/>
        <w:widowControl/>
        <w:numPr>
          <w:ilvl w:val="2"/>
          <w:numId w:val="1"/>
        </w:numPr>
        <w:tabs>
          <w:tab w:val="left" w:pos="4407"/>
        </w:tabs>
        <w:spacing w:before="120" w:after="120"/>
        <w:jc w:val="left"/>
      </w:pPr>
      <w:bookmarkStart w:id="5" w:name="_3znysh7"/>
      <w:bookmarkEnd w:id="5"/>
      <w:r>
        <w:rPr>
          <w:rFonts w:ascii="Arial" w:eastAsia="Arial" w:hAnsi="Arial" w:cs="Arial"/>
          <w:color w:val="000000"/>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267ED1" w:rsidRDefault="00E362EC">
      <w:pPr>
        <w:pStyle w:val="Standard"/>
        <w:keepNext/>
        <w:widowControl/>
        <w:numPr>
          <w:ilvl w:val="2"/>
          <w:numId w:val="1"/>
        </w:numPr>
        <w:tabs>
          <w:tab w:val="left" w:pos="4407"/>
        </w:tabs>
        <w:spacing w:before="120" w:after="120"/>
        <w:jc w:val="left"/>
      </w:pPr>
      <w:bookmarkStart w:id="6" w:name="_2et92p0"/>
      <w:bookmarkEnd w:id="6"/>
      <w:r>
        <w:rPr>
          <w:rFonts w:ascii="Arial" w:eastAsia="Arial" w:hAnsi="Arial" w:cs="Arial"/>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rsidR="00267ED1" w:rsidRDefault="00E362EC">
      <w:pPr>
        <w:pStyle w:val="Standard"/>
        <w:widowControl/>
        <w:numPr>
          <w:ilvl w:val="3"/>
          <w:numId w:val="1"/>
        </w:numPr>
        <w:tabs>
          <w:tab w:val="left" w:pos="4548"/>
        </w:tabs>
        <w:spacing w:before="120" w:after="120"/>
        <w:jc w:val="left"/>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rsidR="00267ED1" w:rsidRDefault="00E362EC">
      <w:pPr>
        <w:pStyle w:val="Standard"/>
        <w:widowControl/>
        <w:numPr>
          <w:ilvl w:val="3"/>
          <w:numId w:val="1"/>
        </w:numPr>
        <w:tabs>
          <w:tab w:val="left" w:pos="4548"/>
        </w:tabs>
        <w:spacing w:before="120" w:after="120"/>
        <w:jc w:val="left"/>
      </w:pPr>
      <w:r>
        <w:rPr>
          <w:rFonts w:ascii="Arial" w:eastAsia="Arial" w:hAnsi="Arial" w:cs="Arial"/>
          <w:color w:val="000000"/>
          <w:sz w:val="24"/>
          <w:szCs w:val="24"/>
        </w:rPr>
        <w:t>exchange rates;</w:t>
      </w:r>
    </w:p>
    <w:p w:rsidR="00267ED1" w:rsidRDefault="00E362EC">
      <w:pPr>
        <w:pStyle w:val="Standard"/>
        <w:widowControl/>
        <w:numPr>
          <w:ilvl w:val="3"/>
          <w:numId w:val="1"/>
        </w:numPr>
        <w:tabs>
          <w:tab w:val="left" w:pos="4548"/>
        </w:tabs>
        <w:spacing w:before="120" w:after="120"/>
        <w:jc w:val="left"/>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other factors reasonably identified by the Supplier, which, if not taken into consideration, could unfairly cause the Supplier's pricing to appear non-competitive.</w:t>
      </w:r>
    </w:p>
    <w:p w:rsidR="00267ED1" w:rsidRDefault="00E362EC">
      <w:pPr>
        <w:pStyle w:val="Standard"/>
        <w:keepNext/>
        <w:widowControl/>
        <w:numPr>
          <w:ilvl w:val="1"/>
          <w:numId w:val="1"/>
        </w:numPr>
        <w:tabs>
          <w:tab w:val="left" w:pos="1782"/>
        </w:tabs>
        <w:spacing w:before="120" w:after="120"/>
        <w:ind w:left="648" w:hanging="216"/>
        <w:jc w:val="left"/>
      </w:pPr>
      <w:r>
        <w:rPr>
          <w:rFonts w:ascii="Arial" w:eastAsia="Arial" w:hAnsi="Arial" w:cs="Arial"/>
          <w:b/>
          <w:color w:val="000000"/>
          <w:sz w:val="24"/>
          <w:szCs w:val="24"/>
        </w:rPr>
        <w:t>Benchmarking Report</w:t>
      </w:r>
    </w:p>
    <w:p w:rsidR="00267ED1" w:rsidRDefault="00E362EC">
      <w:pPr>
        <w:pStyle w:val="Standard"/>
        <w:widowControl/>
        <w:numPr>
          <w:ilvl w:val="2"/>
          <w:numId w:val="1"/>
        </w:numPr>
        <w:tabs>
          <w:tab w:val="left" w:pos="4407"/>
        </w:tabs>
        <w:spacing w:before="120" w:after="120"/>
        <w:jc w:val="left"/>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benchmarker following the Benchmark Review and as further described in this Schedule;</w:t>
      </w:r>
    </w:p>
    <w:p w:rsidR="00267ED1" w:rsidRDefault="00E362EC">
      <w:pPr>
        <w:pStyle w:val="Standard"/>
        <w:keepNext/>
        <w:widowControl/>
        <w:numPr>
          <w:ilvl w:val="2"/>
          <w:numId w:val="1"/>
        </w:numPr>
        <w:tabs>
          <w:tab w:val="left" w:pos="4407"/>
        </w:tabs>
        <w:spacing w:before="120" w:after="120"/>
        <w:jc w:val="left"/>
      </w:pPr>
      <w:r>
        <w:rPr>
          <w:rFonts w:ascii="Arial" w:eastAsia="Arial" w:hAnsi="Arial" w:cs="Arial"/>
          <w:color w:val="000000"/>
          <w:sz w:val="24"/>
          <w:szCs w:val="24"/>
        </w:rPr>
        <w:t>The benchmarker shall prepare a Benchmarking Report and deliver it to the Buyer, at the time specified in the plan Approved pursuant to Paragraph 3.2.3, setting out its findings.  Those findings shall be required to:</w:t>
      </w:r>
    </w:p>
    <w:p w:rsidR="00267ED1" w:rsidRDefault="00E362EC">
      <w:pPr>
        <w:pStyle w:val="Standard"/>
        <w:widowControl/>
        <w:numPr>
          <w:ilvl w:val="3"/>
          <w:numId w:val="1"/>
        </w:numPr>
        <w:tabs>
          <w:tab w:val="left" w:pos="4548"/>
        </w:tabs>
        <w:spacing w:before="120" w:after="120"/>
        <w:jc w:val="left"/>
      </w:pPr>
      <w:r>
        <w:rPr>
          <w:rFonts w:ascii="Arial" w:eastAsia="Arial" w:hAnsi="Arial" w:cs="Arial"/>
          <w:color w:val="000000"/>
          <w:sz w:val="24"/>
          <w:szCs w:val="24"/>
        </w:rPr>
        <w:t>include a finding as to whether or not a Benchmarked Service and/or whether the Benchmarked Deliverables as a whole are, Good Value;</w:t>
      </w:r>
    </w:p>
    <w:p w:rsidR="00267ED1" w:rsidRDefault="00E362EC">
      <w:pPr>
        <w:pStyle w:val="Standard"/>
        <w:widowControl/>
        <w:numPr>
          <w:ilvl w:val="3"/>
          <w:numId w:val="1"/>
        </w:numPr>
        <w:tabs>
          <w:tab w:val="left" w:pos="4548"/>
        </w:tabs>
        <w:spacing w:before="120" w:after="120"/>
        <w:jc w:val="left"/>
      </w:pPr>
      <w:bookmarkStart w:id="7" w:name="_tyjcwt"/>
      <w:bookmarkEnd w:id="7"/>
      <w:r>
        <w:rPr>
          <w:rFonts w:ascii="Arial" w:eastAsia="Arial" w:hAnsi="Arial" w:cs="Arial"/>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rsidR="00267ED1" w:rsidRDefault="00E362EC">
      <w:pPr>
        <w:pStyle w:val="Standard"/>
        <w:widowControl/>
        <w:numPr>
          <w:ilvl w:val="3"/>
          <w:numId w:val="1"/>
        </w:numPr>
        <w:tabs>
          <w:tab w:val="left" w:pos="4548"/>
        </w:tabs>
        <w:spacing w:before="120" w:after="120"/>
        <w:jc w:val="left"/>
      </w:pPr>
      <w:proofErr w:type="gramStart"/>
      <w:r>
        <w:rPr>
          <w:rFonts w:ascii="Arial" w:eastAsia="Arial" w:hAnsi="Arial" w:cs="Arial"/>
          <w:color w:val="000000"/>
          <w:sz w:val="24"/>
          <w:szCs w:val="24"/>
        </w:rPr>
        <w:t>include</w:t>
      </w:r>
      <w:proofErr w:type="gramEnd"/>
      <w:r>
        <w:rPr>
          <w:rFonts w:ascii="Arial" w:eastAsia="Arial" w:hAnsi="Arial" w:cs="Arial"/>
          <w:color w:val="000000"/>
          <w:sz w:val="24"/>
          <w:szCs w:val="24"/>
        </w:rPr>
        <w:t xml:space="preserve"> sufficient detail and transparency so that the Party requesting the Benchmarking can interpret and understand how the Supplier has calculated whether or not the Benchmarked Deliverables are, individually or as a whole, Good Value.</w:t>
      </w:r>
    </w:p>
    <w:p w:rsidR="00267ED1" w:rsidRDefault="00E362EC">
      <w:pPr>
        <w:pStyle w:val="Standard"/>
        <w:widowControl/>
        <w:numPr>
          <w:ilvl w:val="2"/>
          <w:numId w:val="1"/>
        </w:numPr>
        <w:tabs>
          <w:tab w:val="left" w:pos="4407"/>
        </w:tabs>
        <w:spacing w:before="120" w:after="120"/>
        <w:jc w:val="left"/>
      </w:pPr>
      <w:r>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sectPr w:rsidR="00267ED1">
      <w:headerReference w:type="default" r:id="rId7"/>
      <w:footerReference w:type="default" r:id="rId8"/>
      <w:pgSz w:w="11906" w:h="16838"/>
      <w:pgMar w:top="1440" w:right="1257" w:bottom="1440" w:left="1440" w:header="708"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F6B" w:rsidRDefault="00602F6B">
      <w:r>
        <w:separator/>
      </w:r>
    </w:p>
  </w:endnote>
  <w:endnote w:type="continuationSeparator" w:id="0">
    <w:p w:rsidR="00602F6B" w:rsidRDefault="0060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FB" w:rsidRDefault="00602F6B">
    <w:pPr>
      <w:pStyle w:val="Standard"/>
      <w:tabs>
        <w:tab w:val="center" w:pos="4513"/>
        <w:tab w:val="right" w:pos="9026"/>
      </w:tabs>
      <w:spacing w:after="0"/>
      <w:rPr>
        <w:rFonts w:ascii="Arial" w:eastAsia="Arial" w:hAnsi="Arial" w:cs="Arial"/>
        <w:sz w:val="20"/>
        <w:szCs w:val="20"/>
      </w:rPr>
    </w:pPr>
  </w:p>
  <w:p w:rsidR="004956FB" w:rsidRDefault="00E362EC">
    <w:pPr>
      <w:pStyle w:val="Standard"/>
      <w:tabs>
        <w:tab w:val="center" w:pos="4513"/>
        <w:tab w:val="right" w:pos="9026"/>
      </w:tabs>
      <w:spacing w:after="0"/>
    </w:pPr>
    <w:r>
      <w:rPr>
        <w:rFonts w:ascii="Arial" w:eastAsia="Arial" w:hAnsi="Arial" w:cs="Arial"/>
        <w:sz w:val="20"/>
        <w:szCs w:val="20"/>
      </w:rPr>
      <w:t>Framework Ref: RM6187</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sidR="004D3406">
      <w:rPr>
        <w:noProof/>
      </w:rPr>
      <w:t>1</w:t>
    </w:r>
    <w:r>
      <w:fldChar w:fldCharType="end"/>
    </w:r>
  </w:p>
  <w:p w:rsidR="004956FB" w:rsidRDefault="00E362EC">
    <w:pPr>
      <w:pStyle w:val="Standard"/>
      <w:tabs>
        <w:tab w:val="center" w:pos="4513"/>
        <w:tab w:val="right" w:pos="9026"/>
      </w:tabs>
      <w:spacing w:after="0"/>
      <w:rPr>
        <w:rFonts w:ascii="Arial" w:eastAsia="Arial" w:hAnsi="Arial" w:cs="Arial"/>
        <w:sz w:val="20"/>
        <w:szCs w:val="20"/>
      </w:rPr>
    </w:pPr>
    <w:r>
      <w:rPr>
        <w:rFonts w:ascii="Arial" w:eastAsia="Arial" w:hAnsi="Arial" w:cs="Arial"/>
        <w:sz w:val="20"/>
        <w:szCs w:val="20"/>
      </w:rPr>
      <w:t>Model Version: v3.2</w:t>
    </w:r>
  </w:p>
  <w:p w:rsidR="005C6C6D" w:rsidRDefault="005C6C6D">
    <w:pPr>
      <w:pStyle w:val="Standard"/>
      <w:tabs>
        <w:tab w:val="center" w:pos="4513"/>
        <w:tab w:val="right" w:pos="9026"/>
      </w:tabs>
      <w:spacing w:after="0"/>
      <w:rPr>
        <w:rFonts w:ascii="Arial" w:eastAsia="Arial" w:hAnsi="Arial" w:cs="Arial"/>
        <w:sz w:val="20"/>
        <w:szCs w:val="20"/>
      </w:rPr>
    </w:pPr>
    <w:r w:rsidRPr="005C6C6D">
      <w:rPr>
        <w:rFonts w:ascii="Arial" w:eastAsia="Arial" w:hAnsi="Arial" w:cs="Arial"/>
        <w:sz w:val="20"/>
        <w:szCs w:val="20"/>
      </w:rPr>
      <w:t>Unity Programme Delivery Partner SR1032578788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F6B" w:rsidRDefault="00602F6B">
      <w:r>
        <w:rPr>
          <w:color w:val="000000"/>
        </w:rPr>
        <w:separator/>
      </w:r>
    </w:p>
  </w:footnote>
  <w:footnote w:type="continuationSeparator" w:id="0">
    <w:p w:rsidR="00602F6B" w:rsidRDefault="00602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FB" w:rsidRDefault="00E362EC">
    <w:pPr>
      <w:pStyle w:val="Standard"/>
      <w:widowControl/>
      <w:tabs>
        <w:tab w:val="center" w:pos="4513"/>
        <w:tab w:val="right" w:pos="9026"/>
      </w:tabs>
      <w:spacing w:after="0"/>
    </w:pPr>
    <w:r>
      <w:rPr>
        <w:rFonts w:ascii="Arial" w:eastAsia="Arial" w:hAnsi="Arial" w:cs="Arial"/>
        <w:b/>
        <w:color w:val="000000"/>
        <w:sz w:val="20"/>
        <w:szCs w:val="20"/>
      </w:rPr>
      <w:t>Call-Off Schedule 16 (Benchmarking)</w:t>
    </w:r>
  </w:p>
  <w:p w:rsidR="004956FB" w:rsidRDefault="00E362EC">
    <w:pPr>
      <w:pStyle w:val="Standard"/>
      <w:widowControl/>
      <w:tabs>
        <w:tab w:val="center" w:pos="4513"/>
        <w:tab w:val="right" w:pos="9026"/>
      </w:tabs>
      <w:spacing w:after="0"/>
    </w:pPr>
    <w:r>
      <w:rPr>
        <w:rFonts w:ascii="Arial" w:eastAsia="Arial" w:hAnsi="Arial" w:cs="Arial"/>
        <w:color w:val="000000"/>
        <w:sz w:val="20"/>
        <w:szCs w:val="20"/>
      </w:rPr>
      <w:t>Call-Off Ref:</w:t>
    </w:r>
  </w:p>
  <w:p w:rsidR="004956FB" w:rsidRDefault="00E362EC">
    <w:pPr>
      <w:pStyle w:val="Standard"/>
      <w:widowControl/>
      <w:tabs>
        <w:tab w:val="center" w:pos="4513"/>
        <w:tab w:val="right" w:pos="9026"/>
      </w:tabs>
      <w:spacing w:after="0"/>
    </w:pPr>
    <w:r>
      <w:rPr>
        <w:rFonts w:ascii="Arial" w:eastAsia="Arial" w:hAnsi="Arial" w:cs="Arial"/>
        <w:color w:val="000000"/>
        <w:sz w:val="20"/>
        <w:szCs w:val="20"/>
      </w:rPr>
      <w:t>Crown Copyright 2018</w:t>
    </w:r>
  </w:p>
  <w:p w:rsidR="004956FB" w:rsidRDefault="00602F6B">
    <w:pPr>
      <w:pStyle w:val="Standard"/>
      <w:widowControl/>
      <w:tabs>
        <w:tab w:val="center" w:pos="4513"/>
        <w:tab w:val="right" w:pos="9026"/>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E7FCA"/>
    <w:multiLevelType w:val="multilevel"/>
    <w:tmpl w:val="849A708A"/>
    <w:styleLink w:val="WWNum1"/>
    <w:lvl w:ilvl="0">
      <w:start w:val="1"/>
      <w:numFmt w:val="decimal"/>
      <w:lvlText w:val="%1."/>
      <w:lvlJc w:val="left"/>
      <w:pPr>
        <w:ind w:left="360" w:hanging="360"/>
      </w:pPr>
      <w:rPr>
        <w:rFonts w:eastAsia="Arial Bold"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563"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rFonts w:eastAsia="Arial" w:cs="Arial"/>
        <w:b w:val="0"/>
        <w:i w:val="0"/>
        <w:caps w:val="0"/>
        <w:smallCaps w:val="0"/>
        <w:strike w:val="0"/>
        <w:dstrike w:val="0"/>
        <w:color w:val="000000"/>
        <w:position w:val="0"/>
        <w:sz w:val="24"/>
        <w:szCs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D1"/>
    <w:rsid w:val="00267ED1"/>
    <w:rsid w:val="004D3406"/>
    <w:rsid w:val="005C6C6D"/>
    <w:rsid w:val="00602F6B"/>
    <w:rsid w:val="0071051B"/>
    <w:rsid w:val="008D3A39"/>
    <w:rsid w:val="008F10DC"/>
    <w:rsid w:val="00915B40"/>
    <w:rsid w:val="00D4633A"/>
    <w:rsid w:val="00E362EC"/>
    <w:rsid w:val="00FA0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E9026-7F8D-4FBC-9406-23409DFF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jc w:val="both"/>
    </w:pPr>
  </w:style>
  <w:style w:type="paragraph" w:styleId="Heading1">
    <w:name w:val="heading 1"/>
    <w:basedOn w:val="Normal"/>
    <w:next w:val="Standard"/>
    <w:pPr>
      <w:keepNext/>
      <w:keepLines/>
      <w:jc w:val="left"/>
      <w:outlineLvl w:val="0"/>
    </w:pPr>
    <w:rPr>
      <w:rFonts w:ascii="Arial" w:eastAsia="Arial" w:hAnsi="Arial" w:cs="Arial"/>
      <w:b/>
      <w:sz w:val="36"/>
      <w:szCs w:val="36"/>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spacing w:before="280" w:after="80"/>
      <w:outlineLvl w:val="2"/>
    </w:pPr>
    <w:rPr>
      <w:b/>
      <w:color w:val="000000"/>
      <w:sz w:val="28"/>
      <w:szCs w:val="28"/>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rFonts w:eastAsia="Arial" w:cs="Arial"/>
      <w:b w:val="0"/>
      <w:i w:val="0"/>
      <w:caps w:val="0"/>
      <w:smallCaps w:val="0"/>
      <w:strike w:val="0"/>
      <w:dstrike w:val="0"/>
      <w:color w:val="000000"/>
      <w:position w:val="0"/>
      <w:sz w:val="24"/>
      <w:szCs w:val="24"/>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2</cp:revision>
  <dcterms:created xsi:type="dcterms:W3CDTF">2023-06-12T08:23:00Z</dcterms:created>
  <dcterms:modified xsi:type="dcterms:W3CDTF">2023-06-12T08:23:00Z</dcterms:modified>
</cp:coreProperties>
</file>