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Default="00CB078F" w:rsidP="00F03AF6">
      <w:pPr>
        <w:pStyle w:val="Background1"/>
        <w:numPr>
          <w:ilvl w:val="0"/>
          <w:numId w:val="0"/>
        </w:numPr>
        <w:spacing w:after="120" w:line="240" w:lineRule="atLeast"/>
        <w:jc w:val="center"/>
        <w:rPr>
          <w:rFonts w:cs="Arial"/>
          <w:b/>
          <w:sz w:val="22"/>
          <w:szCs w:val="22"/>
        </w:rPr>
      </w:pPr>
    </w:p>
    <w:p w14:paraId="3709C39E" w14:textId="77777777" w:rsidR="004658E5" w:rsidRDefault="004658E5" w:rsidP="00F03AF6">
      <w:pPr>
        <w:pStyle w:val="Background1"/>
        <w:numPr>
          <w:ilvl w:val="0"/>
          <w:numId w:val="0"/>
        </w:numPr>
        <w:spacing w:after="120" w:line="240" w:lineRule="atLeast"/>
        <w:jc w:val="center"/>
        <w:rPr>
          <w:rFonts w:cs="Arial"/>
          <w:b/>
          <w:sz w:val="22"/>
          <w:szCs w:val="22"/>
        </w:rPr>
      </w:pPr>
    </w:p>
    <w:p w14:paraId="0CA25B9E" w14:textId="77777777" w:rsidR="004658E5" w:rsidRDefault="004658E5" w:rsidP="00F03AF6">
      <w:pPr>
        <w:pStyle w:val="Background1"/>
        <w:numPr>
          <w:ilvl w:val="0"/>
          <w:numId w:val="0"/>
        </w:numPr>
        <w:spacing w:after="120" w:line="240" w:lineRule="atLeast"/>
        <w:jc w:val="center"/>
        <w:rPr>
          <w:rFonts w:cs="Arial"/>
          <w:b/>
          <w:sz w:val="22"/>
          <w:szCs w:val="22"/>
        </w:rPr>
      </w:pPr>
    </w:p>
    <w:p w14:paraId="4BA1805C" w14:textId="77777777" w:rsidR="004658E5" w:rsidRDefault="004658E5" w:rsidP="00F03AF6">
      <w:pPr>
        <w:pStyle w:val="Background1"/>
        <w:numPr>
          <w:ilvl w:val="0"/>
          <w:numId w:val="0"/>
        </w:numPr>
        <w:spacing w:after="120" w:line="240" w:lineRule="atLeast"/>
        <w:jc w:val="center"/>
        <w:rPr>
          <w:rFonts w:cs="Arial"/>
          <w:b/>
          <w:sz w:val="22"/>
          <w:szCs w:val="22"/>
        </w:rPr>
      </w:pPr>
    </w:p>
    <w:p w14:paraId="0DC61999" w14:textId="77777777" w:rsidR="004658E5" w:rsidRDefault="004658E5" w:rsidP="00F03AF6">
      <w:pPr>
        <w:pStyle w:val="Background1"/>
        <w:numPr>
          <w:ilvl w:val="0"/>
          <w:numId w:val="0"/>
        </w:numPr>
        <w:spacing w:after="120" w:line="240" w:lineRule="atLeast"/>
        <w:jc w:val="center"/>
        <w:rPr>
          <w:rFonts w:cs="Arial"/>
          <w:b/>
          <w:sz w:val="22"/>
          <w:szCs w:val="22"/>
        </w:rPr>
      </w:pPr>
    </w:p>
    <w:p w14:paraId="03D0C3B3" w14:textId="77777777" w:rsidR="004658E5" w:rsidRDefault="004658E5" w:rsidP="00F03AF6">
      <w:pPr>
        <w:pStyle w:val="Background1"/>
        <w:numPr>
          <w:ilvl w:val="0"/>
          <w:numId w:val="0"/>
        </w:numPr>
        <w:spacing w:after="120" w:line="240" w:lineRule="atLeast"/>
        <w:jc w:val="center"/>
        <w:rPr>
          <w:rFonts w:cs="Arial"/>
          <w:b/>
          <w:sz w:val="22"/>
          <w:szCs w:val="22"/>
        </w:rPr>
      </w:pPr>
    </w:p>
    <w:p w14:paraId="7AF05795" w14:textId="77777777" w:rsidR="004658E5" w:rsidRDefault="004658E5" w:rsidP="00F03AF6">
      <w:pPr>
        <w:pStyle w:val="Background1"/>
        <w:numPr>
          <w:ilvl w:val="0"/>
          <w:numId w:val="0"/>
        </w:numPr>
        <w:spacing w:after="120" w:line="240" w:lineRule="atLeast"/>
        <w:jc w:val="center"/>
        <w:rPr>
          <w:rFonts w:cs="Arial"/>
          <w:b/>
          <w:sz w:val="22"/>
          <w:szCs w:val="22"/>
        </w:rPr>
      </w:pPr>
    </w:p>
    <w:p w14:paraId="715CD9C0" w14:textId="77777777" w:rsidR="004658E5" w:rsidRDefault="004658E5" w:rsidP="00F03AF6">
      <w:pPr>
        <w:pStyle w:val="Background1"/>
        <w:numPr>
          <w:ilvl w:val="0"/>
          <w:numId w:val="0"/>
        </w:numPr>
        <w:spacing w:after="120" w:line="240" w:lineRule="atLeast"/>
        <w:jc w:val="center"/>
        <w:rPr>
          <w:rFonts w:cs="Arial"/>
          <w:b/>
          <w:sz w:val="22"/>
          <w:szCs w:val="22"/>
        </w:rPr>
      </w:pPr>
    </w:p>
    <w:p w14:paraId="72C6025E" w14:textId="50AAA863" w:rsidR="004658E5" w:rsidRPr="000325AB" w:rsidRDefault="004658E5" w:rsidP="004658E5">
      <w:pPr>
        <w:pStyle w:val="Header"/>
        <w:jc w:val="center"/>
        <w:rPr>
          <w:rFonts w:ascii="Arial" w:hAnsi="Arial" w:cs="Arial"/>
          <w:b/>
          <w:sz w:val="28"/>
          <w:szCs w:val="28"/>
        </w:rPr>
      </w:pPr>
      <w:r w:rsidRPr="000325AB">
        <w:rPr>
          <w:rFonts w:ascii="Arial" w:hAnsi="Arial" w:cs="Arial"/>
          <w:b/>
          <w:sz w:val="28"/>
          <w:szCs w:val="28"/>
        </w:rPr>
        <w:t>THE PROVISION OF RECRUITMENT, TRAINING</w:t>
      </w:r>
      <w:r>
        <w:rPr>
          <w:rFonts w:ascii="Arial" w:hAnsi="Arial" w:cs="Arial"/>
          <w:b/>
          <w:sz w:val="28"/>
          <w:szCs w:val="28"/>
        </w:rPr>
        <w:t xml:space="preserve"> </w:t>
      </w:r>
      <w:r w:rsidRPr="000325AB">
        <w:rPr>
          <w:rFonts w:ascii="Arial" w:hAnsi="Arial" w:cs="Arial"/>
          <w:b/>
          <w:sz w:val="28"/>
          <w:szCs w:val="28"/>
        </w:rPr>
        <w:t xml:space="preserve">AND ADMINISTRATION </w:t>
      </w:r>
      <w:r w:rsidR="00107810">
        <w:rPr>
          <w:rFonts w:ascii="Arial" w:hAnsi="Arial" w:cs="Arial"/>
          <w:b/>
          <w:sz w:val="28"/>
          <w:szCs w:val="28"/>
        </w:rPr>
        <w:t>FOR HM TREASURY</w:t>
      </w:r>
    </w:p>
    <w:p w14:paraId="3155C9D5" w14:textId="77777777" w:rsidR="004658E5" w:rsidRPr="000325AB" w:rsidRDefault="004658E5" w:rsidP="004658E5">
      <w:pPr>
        <w:pStyle w:val="Header"/>
        <w:jc w:val="center"/>
        <w:rPr>
          <w:rFonts w:ascii="Arial" w:hAnsi="Arial" w:cs="Arial"/>
          <w:b/>
          <w:sz w:val="28"/>
          <w:szCs w:val="28"/>
        </w:rPr>
      </w:pPr>
      <w:r w:rsidRPr="000325AB">
        <w:rPr>
          <w:rFonts w:ascii="Arial" w:hAnsi="Arial" w:cs="Arial"/>
          <w:b/>
          <w:sz w:val="28"/>
          <w:szCs w:val="28"/>
        </w:rPr>
        <w:t>CCDE17A05</w:t>
      </w:r>
    </w:p>
    <w:p w14:paraId="432CC99E" w14:textId="77777777" w:rsidR="004658E5" w:rsidRPr="000352DC" w:rsidRDefault="004658E5" w:rsidP="004658E5">
      <w:pPr>
        <w:pStyle w:val="Header"/>
        <w:jc w:val="center"/>
        <w:rPr>
          <w:rFonts w:ascii="Arial" w:hAnsi="Arial" w:cs="Arial"/>
          <w:b/>
          <w:sz w:val="28"/>
          <w:szCs w:val="28"/>
          <w:highlight w:val="yellow"/>
        </w:rPr>
      </w:pPr>
    </w:p>
    <w:p w14:paraId="283F990D" w14:textId="77777777" w:rsidR="004658E5" w:rsidRDefault="004658E5" w:rsidP="004658E5">
      <w:pPr>
        <w:spacing w:line="-278" w:lineRule="auto"/>
        <w:jc w:val="center"/>
        <w:rPr>
          <w:rFonts w:ascii="Arial" w:hAnsi="Arial" w:cs="Arial"/>
          <w:b/>
          <w:caps/>
          <w:sz w:val="28"/>
          <w:szCs w:val="28"/>
          <w:lang w:val="fr-FR"/>
        </w:rPr>
      </w:pPr>
      <w:r>
        <w:rPr>
          <w:rFonts w:ascii="Arial" w:hAnsi="Arial" w:cs="Arial"/>
          <w:b/>
          <w:caps/>
          <w:sz w:val="28"/>
          <w:szCs w:val="28"/>
          <w:lang w:val="fr-FR"/>
        </w:rPr>
        <w:t>CONTRACT</w:t>
      </w:r>
    </w:p>
    <w:p w14:paraId="03C2C596" w14:textId="77777777" w:rsidR="00E8272D" w:rsidRDefault="00E8272D" w:rsidP="004658E5">
      <w:pPr>
        <w:spacing w:line="-278" w:lineRule="auto"/>
        <w:jc w:val="center"/>
        <w:rPr>
          <w:rFonts w:ascii="Arial" w:hAnsi="Arial" w:cs="Arial"/>
          <w:b/>
          <w:caps/>
          <w:sz w:val="28"/>
          <w:szCs w:val="28"/>
          <w:lang w:val="fr-FR"/>
        </w:rPr>
      </w:pPr>
    </w:p>
    <w:p w14:paraId="6ACB6FD5" w14:textId="198E3C56" w:rsidR="00E8272D" w:rsidRDefault="00E8272D" w:rsidP="004658E5">
      <w:pPr>
        <w:spacing w:line="-278" w:lineRule="auto"/>
        <w:jc w:val="center"/>
        <w:rPr>
          <w:rFonts w:ascii="Arial" w:hAnsi="Arial" w:cs="Arial"/>
          <w:b/>
          <w:caps/>
          <w:sz w:val="28"/>
          <w:szCs w:val="28"/>
          <w:lang w:val="fr-FR"/>
        </w:rPr>
      </w:pPr>
      <w:r>
        <w:rPr>
          <w:rFonts w:ascii="Arial" w:hAnsi="Arial" w:cs="Arial"/>
          <w:b/>
          <w:caps/>
          <w:sz w:val="28"/>
          <w:szCs w:val="28"/>
          <w:lang w:val="fr-FR"/>
        </w:rPr>
        <w:t>FOR</w:t>
      </w:r>
    </w:p>
    <w:p w14:paraId="6222C423" w14:textId="77777777" w:rsidR="00E8272D" w:rsidRDefault="00E8272D" w:rsidP="004658E5">
      <w:pPr>
        <w:spacing w:line="-278" w:lineRule="auto"/>
        <w:jc w:val="center"/>
        <w:rPr>
          <w:rFonts w:ascii="Arial" w:hAnsi="Arial" w:cs="Arial"/>
          <w:b/>
          <w:caps/>
          <w:sz w:val="28"/>
          <w:szCs w:val="28"/>
          <w:lang w:val="fr-FR"/>
        </w:rPr>
      </w:pPr>
    </w:p>
    <w:p w14:paraId="2ADF5BB8" w14:textId="77777777" w:rsidR="004658E5" w:rsidRPr="000352DC" w:rsidRDefault="004658E5" w:rsidP="004658E5">
      <w:pPr>
        <w:spacing w:line="-278" w:lineRule="auto"/>
        <w:jc w:val="center"/>
        <w:rPr>
          <w:rFonts w:ascii="Arial" w:hAnsi="Arial" w:cs="Arial"/>
          <w:b/>
          <w:caps/>
          <w:sz w:val="28"/>
          <w:szCs w:val="28"/>
          <w:lang w:val="fr-FR"/>
        </w:rPr>
      </w:pPr>
      <w:r>
        <w:rPr>
          <w:rFonts w:ascii="Arial" w:hAnsi="Arial" w:cs="Arial"/>
          <w:b/>
          <w:caps/>
          <w:sz w:val="28"/>
          <w:szCs w:val="28"/>
          <w:lang w:val="fr-FR"/>
        </w:rPr>
        <w:t>HM TREASURY</w:t>
      </w:r>
    </w:p>
    <w:p w14:paraId="121A86E0" w14:textId="77777777" w:rsidR="004658E5" w:rsidRDefault="004658E5" w:rsidP="00F03AF6">
      <w:pPr>
        <w:pStyle w:val="Background1"/>
        <w:numPr>
          <w:ilvl w:val="0"/>
          <w:numId w:val="0"/>
        </w:numPr>
        <w:spacing w:after="120" w:line="240" w:lineRule="atLeast"/>
        <w:jc w:val="center"/>
        <w:rPr>
          <w:rFonts w:cs="Arial"/>
          <w:b/>
          <w:sz w:val="22"/>
          <w:szCs w:val="22"/>
        </w:rPr>
      </w:pPr>
    </w:p>
    <w:p w14:paraId="1EB4F70D" w14:textId="77777777" w:rsidR="004658E5" w:rsidRDefault="004658E5" w:rsidP="00F03AF6">
      <w:pPr>
        <w:pStyle w:val="Background1"/>
        <w:numPr>
          <w:ilvl w:val="0"/>
          <w:numId w:val="0"/>
        </w:numPr>
        <w:spacing w:after="120" w:line="240" w:lineRule="atLeast"/>
        <w:jc w:val="center"/>
        <w:rPr>
          <w:rFonts w:cs="Arial"/>
          <w:b/>
          <w:sz w:val="22"/>
          <w:szCs w:val="22"/>
        </w:rPr>
      </w:pPr>
    </w:p>
    <w:p w14:paraId="1F765FA1" w14:textId="77777777" w:rsidR="004658E5" w:rsidRDefault="004658E5" w:rsidP="00F03AF6">
      <w:pPr>
        <w:pStyle w:val="Background1"/>
        <w:numPr>
          <w:ilvl w:val="0"/>
          <w:numId w:val="0"/>
        </w:numPr>
        <w:spacing w:after="120" w:line="240" w:lineRule="atLeast"/>
        <w:jc w:val="center"/>
        <w:rPr>
          <w:rFonts w:cs="Arial"/>
          <w:b/>
          <w:sz w:val="22"/>
          <w:szCs w:val="22"/>
        </w:rPr>
      </w:pPr>
    </w:p>
    <w:p w14:paraId="1B3F55EB" w14:textId="77777777" w:rsidR="004658E5" w:rsidRDefault="004658E5" w:rsidP="00F03AF6">
      <w:pPr>
        <w:pStyle w:val="Background1"/>
        <w:numPr>
          <w:ilvl w:val="0"/>
          <w:numId w:val="0"/>
        </w:numPr>
        <w:spacing w:after="120" w:line="240" w:lineRule="atLeast"/>
        <w:jc w:val="center"/>
        <w:rPr>
          <w:rFonts w:cs="Arial"/>
          <w:b/>
          <w:sz w:val="22"/>
          <w:szCs w:val="22"/>
        </w:rPr>
      </w:pPr>
    </w:p>
    <w:p w14:paraId="67CFD536" w14:textId="77777777" w:rsidR="004658E5" w:rsidRDefault="004658E5" w:rsidP="00F03AF6">
      <w:pPr>
        <w:pStyle w:val="Background1"/>
        <w:numPr>
          <w:ilvl w:val="0"/>
          <w:numId w:val="0"/>
        </w:numPr>
        <w:spacing w:after="120" w:line="240" w:lineRule="atLeast"/>
        <w:jc w:val="center"/>
        <w:rPr>
          <w:rFonts w:cs="Arial"/>
          <w:b/>
          <w:sz w:val="22"/>
          <w:szCs w:val="22"/>
        </w:rPr>
      </w:pPr>
    </w:p>
    <w:p w14:paraId="2B336557" w14:textId="77777777" w:rsidR="004658E5" w:rsidRDefault="004658E5" w:rsidP="00F03AF6">
      <w:pPr>
        <w:pStyle w:val="Background1"/>
        <w:numPr>
          <w:ilvl w:val="0"/>
          <w:numId w:val="0"/>
        </w:numPr>
        <w:spacing w:after="120" w:line="240" w:lineRule="atLeast"/>
        <w:jc w:val="center"/>
        <w:rPr>
          <w:rFonts w:cs="Arial"/>
          <w:b/>
          <w:sz w:val="22"/>
          <w:szCs w:val="22"/>
        </w:rPr>
      </w:pPr>
    </w:p>
    <w:p w14:paraId="6DC38395" w14:textId="77777777" w:rsidR="004658E5" w:rsidRDefault="004658E5" w:rsidP="00F03AF6">
      <w:pPr>
        <w:pStyle w:val="Background1"/>
        <w:numPr>
          <w:ilvl w:val="0"/>
          <w:numId w:val="0"/>
        </w:numPr>
        <w:spacing w:after="120" w:line="240" w:lineRule="atLeast"/>
        <w:jc w:val="center"/>
        <w:rPr>
          <w:rFonts w:cs="Arial"/>
          <w:b/>
          <w:sz w:val="22"/>
          <w:szCs w:val="22"/>
        </w:rPr>
      </w:pPr>
    </w:p>
    <w:p w14:paraId="009BE830" w14:textId="77777777" w:rsidR="004658E5" w:rsidRDefault="004658E5" w:rsidP="00F03AF6">
      <w:pPr>
        <w:pStyle w:val="Background1"/>
        <w:numPr>
          <w:ilvl w:val="0"/>
          <w:numId w:val="0"/>
        </w:numPr>
        <w:spacing w:after="120" w:line="240" w:lineRule="atLeast"/>
        <w:jc w:val="center"/>
        <w:rPr>
          <w:rFonts w:cs="Arial"/>
          <w:b/>
          <w:sz w:val="22"/>
          <w:szCs w:val="22"/>
        </w:rPr>
      </w:pPr>
    </w:p>
    <w:p w14:paraId="7827330E" w14:textId="77777777" w:rsidR="004658E5" w:rsidRDefault="004658E5" w:rsidP="00F03AF6">
      <w:pPr>
        <w:pStyle w:val="Background1"/>
        <w:numPr>
          <w:ilvl w:val="0"/>
          <w:numId w:val="0"/>
        </w:numPr>
        <w:spacing w:after="120" w:line="240" w:lineRule="atLeast"/>
        <w:jc w:val="center"/>
        <w:rPr>
          <w:rFonts w:cs="Arial"/>
          <w:b/>
          <w:sz w:val="22"/>
          <w:szCs w:val="22"/>
        </w:rPr>
      </w:pPr>
    </w:p>
    <w:p w14:paraId="12DE9414" w14:textId="77777777" w:rsidR="004658E5" w:rsidRDefault="004658E5" w:rsidP="00F03AF6">
      <w:pPr>
        <w:pStyle w:val="Background1"/>
        <w:numPr>
          <w:ilvl w:val="0"/>
          <w:numId w:val="0"/>
        </w:numPr>
        <w:spacing w:after="120" w:line="240" w:lineRule="atLeast"/>
        <w:jc w:val="center"/>
        <w:rPr>
          <w:rFonts w:cs="Arial"/>
          <w:b/>
          <w:sz w:val="22"/>
          <w:szCs w:val="22"/>
        </w:rPr>
      </w:pPr>
    </w:p>
    <w:p w14:paraId="7FE3892C" w14:textId="77777777" w:rsidR="004658E5" w:rsidRDefault="004658E5" w:rsidP="00F03AF6">
      <w:pPr>
        <w:pStyle w:val="Background1"/>
        <w:numPr>
          <w:ilvl w:val="0"/>
          <w:numId w:val="0"/>
        </w:numPr>
        <w:spacing w:after="120" w:line="240" w:lineRule="atLeast"/>
        <w:jc w:val="center"/>
        <w:rPr>
          <w:rFonts w:cs="Arial"/>
          <w:b/>
          <w:sz w:val="22"/>
          <w:szCs w:val="22"/>
        </w:rPr>
      </w:pPr>
    </w:p>
    <w:p w14:paraId="571248E1" w14:textId="77777777" w:rsidR="004658E5" w:rsidRDefault="004658E5" w:rsidP="00F03AF6">
      <w:pPr>
        <w:pStyle w:val="Background1"/>
        <w:numPr>
          <w:ilvl w:val="0"/>
          <w:numId w:val="0"/>
        </w:numPr>
        <w:spacing w:after="120" w:line="240" w:lineRule="atLeast"/>
        <w:jc w:val="center"/>
        <w:rPr>
          <w:rFonts w:cs="Arial"/>
          <w:b/>
          <w:sz w:val="22"/>
          <w:szCs w:val="22"/>
        </w:rPr>
      </w:pPr>
      <w:bookmarkStart w:id="0" w:name="_GoBack"/>
      <w:bookmarkEnd w:id="0"/>
    </w:p>
    <w:p w14:paraId="7382CF27" w14:textId="77777777" w:rsidR="004658E5" w:rsidRDefault="004658E5" w:rsidP="00F03AF6">
      <w:pPr>
        <w:pStyle w:val="Background1"/>
        <w:numPr>
          <w:ilvl w:val="0"/>
          <w:numId w:val="0"/>
        </w:numPr>
        <w:spacing w:after="120" w:line="240" w:lineRule="atLeast"/>
        <w:jc w:val="center"/>
        <w:rPr>
          <w:rFonts w:cs="Arial"/>
          <w:b/>
          <w:sz w:val="22"/>
          <w:szCs w:val="22"/>
        </w:rPr>
      </w:pPr>
    </w:p>
    <w:p w14:paraId="7C520F30" w14:textId="77777777" w:rsidR="004658E5" w:rsidRDefault="004658E5" w:rsidP="00F03AF6">
      <w:pPr>
        <w:pStyle w:val="Background1"/>
        <w:numPr>
          <w:ilvl w:val="0"/>
          <w:numId w:val="0"/>
        </w:numPr>
        <w:spacing w:after="120" w:line="240" w:lineRule="atLeast"/>
        <w:jc w:val="center"/>
        <w:rPr>
          <w:rFonts w:cs="Arial"/>
          <w:b/>
          <w:sz w:val="22"/>
          <w:szCs w:val="22"/>
        </w:rPr>
      </w:pPr>
    </w:p>
    <w:p w14:paraId="731DA6BC" w14:textId="77777777" w:rsidR="004658E5" w:rsidRDefault="004658E5" w:rsidP="00F03AF6">
      <w:pPr>
        <w:pStyle w:val="Background1"/>
        <w:numPr>
          <w:ilvl w:val="0"/>
          <w:numId w:val="0"/>
        </w:numPr>
        <w:spacing w:after="120" w:line="240" w:lineRule="atLeast"/>
        <w:jc w:val="center"/>
        <w:rPr>
          <w:rFonts w:cs="Arial"/>
          <w:b/>
          <w:sz w:val="22"/>
          <w:szCs w:val="22"/>
        </w:rPr>
      </w:pPr>
    </w:p>
    <w:p w14:paraId="539275B4" w14:textId="77777777" w:rsidR="004658E5" w:rsidRDefault="004658E5" w:rsidP="00F03AF6">
      <w:pPr>
        <w:pStyle w:val="Background1"/>
        <w:numPr>
          <w:ilvl w:val="0"/>
          <w:numId w:val="0"/>
        </w:numPr>
        <w:spacing w:after="120" w:line="240" w:lineRule="atLeast"/>
        <w:jc w:val="center"/>
        <w:rPr>
          <w:rFonts w:cs="Arial"/>
          <w:b/>
          <w:sz w:val="22"/>
          <w:szCs w:val="22"/>
        </w:rPr>
      </w:pPr>
    </w:p>
    <w:p w14:paraId="34BA5A86" w14:textId="77777777" w:rsidR="004658E5" w:rsidRDefault="004658E5" w:rsidP="00F03AF6">
      <w:pPr>
        <w:pStyle w:val="Background1"/>
        <w:numPr>
          <w:ilvl w:val="0"/>
          <w:numId w:val="0"/>
        </w:numPr>
        <w:spacing w:after="120" w:line="240" w:lineRule="atLeast"/>
        <w:jc w:val="center"/>
        <w:rPr>
          <w:rFonts w:cs="Arial"/>
          <w:b/>
          <w:sz w:val="22"/>
          <w:szCs w:val="22"/>
        </w:rPr>
      </w:pPr>
    </w:p>
    <w:p w14:paraId="6C2FA23D" w14:textId="77777777" w:rsidR="004658E5" w:rsidRDefault="004658E5" w:rsidP="00F03AF6">
      <w:pPr>
        <w:pStyle w:val="Background1"/>
        <w:numPr>
          <w:ilvl w:val="0"/>
          <w:numId w:val="0"/>
        </w:numPr>
        <w:spacing w:after="120" w:line="240" w:lineRule="atLeast"/>
        <w:jc w:val="center"/>
        <w:rPr>
          <w:rFonts w:cs="Arial"/>
          <w:b/>
          <w:sz w:val="22"/>
          <w:szCs w:val="22"/>
        </w:rPr>
      </w:pPr>
    </w:p>
    <w:p w14:paraId="7A6FFD03" w14:textId="77777777" w:rsidR="004658E5" w:rsidRDefault="004658E5" w:rsidP="00F03AF6">
      <w:pPr>
        <w:pStyle w:val="Background1"/>
        <w:numPr>
          <w:ilvl w:val="0"/>
          <w:numId w:val="0"/>
        </w:numPr>
        <w:spacing w:after="120" w:line="240" w:lineRule="atLeast"/>
        <w:jc w:val="center"/>
        <w:rPr>
          <w:rFonts w:cs="Arial"/>
          <w:b/>
          <w:sz w:val="22"/>
          <w:szCs w:val="22"/>
        </w:rPr>
      </w:pPr>
    </w:p>
    <w:p w14:paraId="68C9306E" w14:textId="77777777" w:rsidR="004658E5" w:rsidRDefault="004658E5" w:rsidP="004658E5">
      <w:pPr>
        <w:pStyle w:val="Background1"/>
        <w:numPr>
          <w:ilvl w:val="0"/>
          <w:numId w:val="0"/>
        </w:numPr>
        <w:spacing w:after="120" w:line="240" w:lineRule="atLeast"/>
        <w:rPr>
          <w:rFonts w:cs="Arial"/>
          <w:b/>
          <w:sz w:val="22"/>
          <w:szCs w:val="22"/>
        </w:rPr>
      </w:pPr>
    </w:p>
    <w:p w14:paraId="0953E6B2" w14:textId="77777777" w:rsidR="004658E5" w:rsidRPr="00F44471" w:rsidRDefault="004658E5" w:rsidP="00F03AF6">
      <w:pPr>
        <w:pStyle w:val="Background1"/>
        <w:numPr>
          <w:ilvl w:val="0"/>
          <w:numId w:val="0"/>
        </w:numPr>
        <w:spacing w:after="120" w:line="240" w:lineRule="atLeast"/>
        <w:jc w:val="center"/>
        <w:rPr>
          <w:rFonts w:cs="Arial"/>
          <w:b/>
          <w:sz w:val="22"/>
          <w:szCs w:val="22"/>
        </w:rPr>
        <w:sectPr w:rsidR="004658E5"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lastRenderedPageBreak/>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245EB8DB"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B92567">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lastRenderedPageBreak/>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53320349"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within </w:t>
      </w:r>
      <w:r w:rsidR="006352E5" w:rsidRPr="006352E5">
        <w:rPr>
          <w:b w:val="0"/>
          <w:sz w:val="22"/>
          <w:szCs w:val="22"/>
        </w:rPr>
        <w:t>7</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0072151C"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B92567">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04AA3BBD"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lastRenderedPageBreak/>
        <w:t xml:space="preserve">The Customer may extend the Agreement for a period of up to </w:t>
      </w:r>
      <w:r w:rsidR="00AE6F12">
        <w:rPr>
          <w:rFonts w:cs="Arial"/>
          <w:b w:val="0"/>
          <w:sz w:val="22"/>
          <w:szCs w:val="22"/>
        </w:rPr>
        <w:t>1 year</w:t>
      </w:r>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3A319454"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B92567">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B92567">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1C6E0DDE"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xml:space="preserve">, “sub-contract” means a contract between two or more suppliers, at any stage of remoteness from the </w:t>
      </w:r>
      <w:r w:rsidR="006352E5">
        <w:rPr>
          <w:sz w:val="22"/>
          <w:szCs w:val="22"/>
        </w:rPr>
        <w:t>Customer</w:t>
      </w:r>
      <w:r>
        <w:rPr>
          <w:sz w:val="22"/>
          <w:szCs w:val="22"/>
        </w:rPr>
        <w:t xml:space="preserve"> in a subcontracting chain, made </w:t>
      </w:r>
      <w:r>
        <w:rPr>
          <w:sz w:val="22"/>
          <w:szCs w:val="22"/>
        </w:rPr>
        <w:lastRenderedPageBreak/>
        <w:t>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6FC098EC"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B92567">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10BA41B0"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B92567">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680A27CC"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B92567">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61667241"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B92567">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46D2672B"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B92567" w:rsidRPr="00B92567">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1C7C5619"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1A77A7E9"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B92567">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4525CF64"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B92567" w:rsidRPr="00B92567">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0CF2836B"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B92567">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B92567">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62969EA9"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B92567">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B92567">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15D7ECE3"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B92567">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B92567">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60A5E532"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B92567">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5585DD0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B92567">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B92567">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B92567">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B92567">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B92567">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32EBC253"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B92567" w:rsidRPr="00B92567">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0FECAC"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B92567">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2371673F"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B92567">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25FF4181"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B92567" w:rsidRPr="00B92567">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38EA826D"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B92567">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4D463F09"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B92567">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F36AD4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B92567" w:rsidRPr="00B92567">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48CA2723"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B92567" w:rsidRPr="00B92567">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B92567" w:rsidRPr="00B92567">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B92567" w:rsidRPr="00B92567">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0814BC9E" w:rsidR="00732F92" w:rsidRDefault="00732F92" w:rsidP="00736C8C">
      <w:pPr>
        <w:rPr>
          <w:rFonts w:ascii="Arial" w:hAnsi="Arial" w:cs="Arial"/>
          <w:sz w:val="22"/>
          <w:szCs w:val="22"/>
          <w:u w:val="single"/>
          <w:lang w:eastAsia="en-US"/>
        </w:rPr>
      </w:pPr>
    </w:p>
    <w:p w14:paraId="1E94BE43" w14:textId="77777777" w:rsidR="00732F92" w:rsidRDefault="00732F92">
      <w:pPr>
        <w:rPr>
          <w:rFonts w:ascii="Arial" w:hAnsi="Arial" w:cs="Arial"/>
          <w:sz w:val="22"/>
          <w:szCs w:val="22"/>
          <w:u w:val="single"/>
          <w:lang w:eastAsia="en-US"/>
        </w:rPr>
      </w:pPr>
      <w:r>
        <w:rPr>
          <w:rFonts w:ascii="Arial" w:hAnsi="Arial" w:cs="Arial"/>
          <w:sz w:val="22"/>
          <w:szCs w:val="22"/>
          <w:u w:val="single"/>
          <w:lang w:eastAsia="en-US"/>
        </w:rPr>
        <w:br w:type="page"/>
      </w:r>
    </w:p>
    <w:p w14:paraId="0034E3D3" w14:textId="14DBFAF5" w:rsidR="00744BF1" w:rsidRPr="00B92567" w:rsidRDefault="006352E5" w:rsidP="00B92567">
      <w:pPr>
        <w:jc w:val="center"/>
        <w:rPr>
          <w:rFonts w:ascii="Arial" w:hAnsi="Arial" w:cs="Arial"/>
          <w:b/>
          <w:sz w:val="22"/>
          <w:szCs w:val="22"/>
          <w:lang w:eastAsia="en-US"/>
        </w:rPr>
      </w:pPr>
      <w:r>
        <w:rPr>
          <w:rFonts w:ascii="Arial" w:hAnsi="Arial" w:cs="Arial"/>
          <w:b/>
          <w:sz w:val="22"/>
          <w:szCs w:val="22"/>
          <w:u w:val="single"/>
          <w:lang w:eastAsia="en-US"/>
        </w:rPr>
        <w:t>Schedule</w:t>
      </w:r>
      <w:r w:rsidR="00732F92" w:rsidRPr="00B92567">
        <w:rPr>
          <w:rFonts w:ascii="Arial" w:hAnsi="Arial" w:cs="Arial"/>
          <w:b/>
          <w:sz w:val="22"/>
          <w:szCs w:val="22"/>
          <w:u w:val="single"/>
          <w:lang w:eastAsia="en-US"/>
        </w:rPr>
        <w:t xml:space="preserve"> 1 – Performance Levels</w:t>
      </w:r>
    </w:p>
    <w:p w14:paraId="40213217" w14:textId="1C0647DA" w:rsidR="00732F92" w:rsidRPr="00B92567" w:rsidRDefault="00732F92" w:rsidP="00736C8C">
      <w:pPr>
        <w:rPr>
          <w:rFonts w:ascii="Arial" w:hAnsi="Arial" w:cs="Arial"/>
          <w:sz w:val="22"/>
          <w:szCs w:val="22"/>
          <w:lang w:eastAsia="en-US"/>
        </w:rPr>
      </w:pPr>
    </w:p>
    <w:p w14:paraId="37FF37AF" w14:textId="1274AD4F" w:rsidR="00732F92" w:rsidRPr="00B92567" w:rsidRDefault="00732F92" w:rsidP="00732F92">
      <w:pPr>
        <w:pStyle w:val="ListParagraph"/>
        <w:numPr>
          <w:ilvl w:val="0"/>
          <w:numId w:val="17"/>
        </w:numPr>
        <w:rPr>
          <w:rFonts w:ascii="Arial" w:hAnsi="Arial" w:cs="Arial"/>
          <w:b/>
          <w:sz w:val="22"/>
          <w:szCs w:val="22"/>
          <w:lang w:eastAsia="en-US"/>
        </w:rPr>
      </w:pPr>
      <w:r w:rsidRPr="00B92567">
        <w:rPr>
          <w:rFonts w:ascii="Arial" w:hAnsi="Arial" w:cs="Arial"/>
          <w:b/>
          <w:sz w:val="22"/>
          <w:szCs w:val="22"/>
          <w:lang w:eastAsia="en-US"/>
        </w:rPr>
        <w:t>Definitions</w:t>
      </w:r>
    </w:p>
    <w:p w14:paraId="212966B3" w14:textId="6F90D15A" w:rsidR="00732F92" w:rsidRPr="00B92567" w:rsidRDefault="00732F92" w:rsidP="00732F92">
      <w:pPr>
        <w:rPr>
          <w:rFonts w:ascii="Arial" w:hAnsi="Arial" w:cs="Arial"/>
          <w:sz w:val="22"/>
          <w:szCs w:val="22"/>
          <w:lang w:eastAsia="en-US"/>
        </w:rPr>
      </w:pPr>
    </w:p>
    <w:p w14:paraId="21BC4E67" w14:textId="3D0EF02C" w:rsidR="00732F92" w:rsidRPr="00B92567" w:rsidRDefault="00732F92" w:rsidP="00732F92">
      <w:pPr>
        <w:ind w:left="720"/>
        <w:rPr>
          <w:rFonts w:ascii="Arial" w:hAnsi="Arial" w:cs="Arial"/>
          <w:sz w:val="22"/>
          <w:szCs w:val="22"/>
          <w:lang w:eastAsia="en-US"/>
        </w:rPr>
      </w:pPr>
      <w:r w:rsidRPr="00B92567">
        <w:rPr>
          <w:rFonts w:ascii="Arial" w:hAnsi="Arial" w:cs="Arial"/>
          <w:sz w:val="22"/>
          <w:szCs w:val="22"/>
          <w:lang w:eastAsia="en-US"/>
        </w:rPr>
        <w:t>In this Schedule, the following definitions shall apply:</w:t>
      </w:r>
    </w:p>
    <w:p w14:paraId="01209F6E" w14:textId="66473B96" w:rsidR="00732F92" w:rsidRPr="00B92567" w:rsidRDefault="00732F92" w:rsidP="00732F92">
      <w:pPr>
        <w:ind w:left="720"/>
        <w:rPr>
          <w:rFonts w:ascii="Arial" w:hAnsi="Arial" w:cs="Arial"/>
          <w:sz w:val="22"/>
          <w:szCs w:val="22"/>
          <w:lang w:eastAsia="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4"/>
        <w:gridCol w:w="5328"/>
      </w:tblGrid>
      <w:tr w:rsidR="00732F92" w:rsidRPr="00B92567" w14:paraId="5744838F" w14:textId="77777777" w:rsidTr="00864DF7">
        <w:tc>
          <w:tcPr>
            <w:tcW w:w="3704" w:type="dxa"/>
          </w:tcPr>
          <w:p w14:paraId="1CE12CA8" w14:textId="7688F9E1" w:rsidR="00732F92" w:rsidRPr="00B92567" w:rsidRDefault="00732F92" w:rsidP="007D7D7E">
            <w:pPr>
              <w:spacing w:after="120"/>
              <w:rPr>
                <w:rFonts w:ascii="Arial" w:hAnsi="Arial" w:cs="Arial"/>
                <w:sz w:val="22"/>
                <w:szCs w:val="22"/>
                <w:lang w:eastAsia="en-US"/>
              </w:rPr>
            </w:pPr>
            <w:r w:rsidRPr="00B92567">
              <w:rPr>
                <w:rFonts w:ascii="Arial" w:hAnsi="Arial" w:cs="Arial"/>
                <w:sz w:val="22"/>
                <w:szCs w:val="22"/>
                <w:lang w:eastAsia="en-US"/>
              </w:rPr>
              <w:t>“Available”</w:t>
            </w:r>
          </w:p>
        </w:tc>
        <w:tc>
          <w:tcPr>
            <w:tcW w:w="5328" w:type="dxa"/>
          </w:tcPr>
          <w:p w14:paraId="057AE8E0" w14:textId="0320905F" w:rsidR="00732F92" w:rsidRPr="00B92567" w:rsidRDefault="00DE34DB" w:rsidP="007D7D7E">
            <w:pPr>
              <w:spacing w:after="120"/>
              <w:rPr>
                <w:rFonts w:ascii="Arial" w:hAnsi="Arial" w:cs="Arial"/>
                <w:sz w:val="22"/>
                <w:szCs w:val="22"/>
                <w:lang w:eastAsia="en-US"/>
              </w:rPr>
            </w:pPr>
            <w:r>
              <w:rPr>
                <w:rFonts w:ascii="Arial" w:hAnsi="Arial" w:cs="Arial"/>
                <w:sz w:val="22"/>
                <w:szCs w:val="22"/>
                <w:lang w:eastAsia="en-US"/>
              </w:rPr>
              <w:t>means End Users are able to access and utilise all functions of the Services, the Supplier is able to meet all of the Key Performance Indicators</w:t>
            </w:r>
            <w:r w:rsidR="00732F92" w:rsidRPr="00B92567">
              <w:rPr>
                <w:rFonts w:ascii="Arial" w:hAnsi="Arial" w:cs="Arial"/>
                <w:sz w:val="22"/>
                <w:szCs w:val="22"/>
                <w:lang w:eastAsia="en-US"/>
              </w:rPr>
              <w:t>;</w:t>
            </w:r>
          </w:p>
        </w:tc>
      </w:tr>
      <w:tr w:rsidR="00732F92" w:rsidRPr="00B92567" w14:paraId="4F4572CA" w14:textId="77777777" w:rsidTr="00864DF7">
        <w:tc>
          <w:tcPr>
            <w:tcW w:w="3704" w:type="dxa"/>
          </w:tcPr>
          <w:p w14:paraId="7A77E8E6" w14:textId="3696DE95" w:rsidR="00732F92" w:rsidRPr="00B92567" w:rsidRDefault="007D7D7E" w:rsidP="007D7D7E">
            <w:pPr>
              <w:spacing w:after="120"/>
              <w:rPr>
                <w:rFonts w:ascii="Arial" w:hAnsi="Arial" w:cs="Arial"/>
                <w:sz w:val="22"/>
                <w:szCs w:val="22"/>
                <w:lang w:eastAsia="en-US"/>
              </w:rPr>
            </w:pPr>
            <w:r w:rsidRPr="00B92567">
              <w:rPr>
                <w:rFonts w:ascii="Arial" w:hAnsi="Arial" w:cs="Arial"/>
                <w:sz w:val="22"/>
                <w:szCs w:val="22"/>
                <w:lang w:eastAsia="en-US"/>
              </w:rPr>
              <w:t>“End User”</w:t>
            </w:r>
          </w:p>
        </w:tc>
        <w:tc>
          <w:tcPr>
            <w:tcW w:w="5328" w:type="dxa"/>
          </w:tcPr>
          <w:p w14:paraId="652ECB98" w14:textId="0EF2C710" w:rsidR="00732F92" w:rsidRPr="00B92567" w:rsidRDefault="007D7D7E" w:rsidP="007D7D7E">
            <w:pPr>
              <w:spacing w:after="120"/>
              <w:rPr>
                <w:rFonts w:ascii="Arial" w:hAnsi="Arial" w:cs="Arial"/>
                <w:sz w:val="22"/>
                <w:szCs w:val="22"/>
                <w:lang w:eastAsia="en-US"/>
              </w:rPr>
            </w:pPr>
            <w:r w:rsidRPr="00B92567">
              <w:rPr>
                <w:rFonts w:ascii="Arial" w:hAnsi="Arial" w:cs="Arial"/>
                <w:sz w:val="22"/>
                <w:szCs w:val="22"/>
                <w:lang w:eastAsia="en-US"/>
              </w:rPr>
              <w:t xml:space="preserve">any person authorised by the </w:t>
            </w:r>
            <w:r w:rsidR="006352E5">
              <w:rPr>
                <w:rFonts w:ascii="Arial" w:hAnsi="Arial" w:cs="Arial"/>
                <w:sz w:val="22"/>
                <w:szCs w:val="22"/>
                <w:lang w:eastAsia="en-US"/>
              </w:rPr>
              <w:t>Customer</w:t>
            </w:r>
            <w:r w:rsidRPr="00B92567">
              <w:rPr>
                <w:rFonts w:ascii="Arial" w:hAnsi="Arial" w:cs="Arial"/>
                <w:sz w:val="22"/>
                <w:szCs w:val="22"/>
                <w:lang w:eastAsia="en-US"/>
              </w:rPr>
              <w:t xml:space="preserve"> to use the Services;</w:t>
            </w:r>
          </w:p>
        </w:tc>
      </w:tr>
      <w:tr w:rsidR="00732F92" w:rsidRPr="00B92567" w14:paraId="2E772696" w14:textId="77777777" w:rsidTr="00864DF7">
        <w:tc>
          <w:tcPr>
            <w:tcW w:w="3704" w:type="dxa"/>
          </w:tcPr>
          <w:p w14:paraId="365190CA" w14:textId="203C1139" w:rsidR="00732F92" w:rsidRPr="00B92567" w:rsidRDefault="007D7D7E" w:rsidP="007D7D7E">
            <w:pPr>
              <w:spacing w:after="120"/>
              <w:rPr>
                <w:rFonts w:ascii="Arial" w:hAnsi="Arial" w:cs="Arial"/>
                <w:sz w:val="22"/>
                <w:szCs w:val="22"/>
                <w:lang w:eastAsia="en-US"/>
              </w:rPr>
            </w:pPr>
            <w:r w:rsidRPr="00B92567">
              <w:rPr>
                <w:rFonts w:ascii="Arial" w:hAnsi="Arial" w:cs="Arial"/>
                <w:sz w:val="22"/>
                <w:szCs w:val="22"/>
                <w:lang w:eastAsia="en-US"/>
              </w:rPr>
              <w:t>“Help Desk”</w:t>
            </w:r>
          </w:p>
        </w:tc>
        <w:tc>
          <w:tcPr>
            <w:tcW w:w="5328" w:type="dxa"/>
          </w:tcPr>
          <w:p w14:paraId="722C7450" w14:textId="1EF5FE26" w:rsidR="00732F92" w:rsidRPr="00B92567" w:rsidRDefault="007D7D7E" w:rsidP="007D7D7E">
            <w:pPr>
              <w:spacing w:after="120"/>
              <w:rPr>
                <w:rFonts w:ascii="Arial" w:hAnsi="Arial" w:cs="Arial"/>
                <w:sz w:val="22"/>
                <w:szCs w:val="22"/>
                <w:lang w:eastAsia="en-US"/>
              </w:rPr>
            </w:pPr>
            <w:r w:rsidRPr="00B92567">
              <w:rPr>
                <w:rFonts w:ascii="Arial" w:hAnsi="Arial" w:cs="Arial"/>
                <w:sz w:val="22"/>
                <w:szCs w:val="22"/>
                <w:lang w:eastAsia="en-US"/>
              </w:rPr>
              <w:t>the single point of contact help desk set up and operated by the Supplier for the purposes of this Agreement;</w:t>
            </w:r>
          </w:p>
        </w:tc>
      </w:tr>
      <w:tr w:rsidR="00732F92" w:rsidRPr="00B92567" w14:paraId="3241141B" w14:textId="77777777" w:rsidTr="00864DF7">
        <w:tc>
          <w:tcPr>
            <w:tcW w:w="3704" w:type="dxa"/>
          </w:tcPr>
          <w:p w14:paraId="2C101658" w14:textId="32611AD0" w:rsidR="00732F92" w:rsidRPr="00B92567" w:rsidRDefault="007D7D7E" w:rsidP="007D7D7E">
            <w:pPr>
              <w:spacing w:after="120"/>
              <w:rPr>
                <w:rFonts w:ascii="Arial" w:hAnsi="Arial" w:cs="Arial"/>
                <w:sz w:val="22"/>
                <w:szCs w:val="22"/>
                <w:lang w:eastAsia="en-US"/>
              </w:rPr>
            </w:pPr>
            <w:r w:rsidRPr="00B92567">
              <w:rPr>
                <w:rFonts w:ascii="Arial" w:hAnsi="Arial" w:cs="Arial"/>
                <w:sz w:val="22"/>
                <w:szCs w:val="22"/>
                <w:lang w:eastAsia="en-US"/>
              </w:rPr>
              <w:t>“Non-Available”</w:t>
            </w:r>
          </w:p>
        </w:tc>
        <w:tc>
          <w:tcPr>
            <w:tcW w:w="5328" w:type="dxa"/>
          </w:tcPr>
          <w:p w14:paraId="0035FD3F" w14:textId="3C1137CD" w:rsidR="00732F92" w:rsidRPr="00B92567" w:rsidRDefault="007D7D7E" w:rsidP="007D7D7E">
            <w:pPr>
              <w:spacing w:after="120"/>
              <w:rPr>
                <w:rFonts w:ascii="Arial" w:hAnsi="Arial" w:cs="Arial"/>
                <w:sz w:val="22"/>
                <w:szCs w:val="22"/>
                <w:lang w:eastAsia="en-US"/>
              </w:rPr>
            </w:pPr>
            <w:r w:rsidRPr="00B92567">
              <w:rPr>
                <w:rFonts w:ascii="Arial" w:hAnsi="Arial" w:cs="Arial"/>
                <w:sz w:val="22"/>
                <w:szCs w:val="22"/>
                <w:lang w:eastAsia="en-US"/>
              </w:rPr>
              <w:t>in relation to the Services, that the Services are not available;</w:t>
            </w:r>
          </w:p>
        </w:tc>
      </w:tr>
      <w:tr w:rsidR="00732F92" w:rsidRPr="00B92567" w14:paraId="2E863FD6" w14:textId="77777777" w:rsidTr="00864DF7">
        <w:tc>
          <w:tcPr>
            <w:tcW w:w="3704" w:type="dxa"/>
          </w:tcPr>
          <w:p w14:paraId="05AD2ED3" w14:textId="24418614" w:rsidR="00732F92" w:rsidRPr="00B92567" w:rsidRDefault="007D7D7E" w:rsidP="007D7D7E">
            <w:pPr>
              <w:spacing w:after="120"/>
              <w:rPr>
                <w:rFonts w:ascii="Arial" w:hAnsi="Arial" w:cs="Arial"/>
                <w:sz w:val="22"/>
                <w:szCs w:val="22"/>
                <w:lang w:eastAsia="en-US"/>
              </w:rPr>
            </w:pPr>
            <w:r w:rsidRPr="00B92567">
              <w:rPr>
                <w:rFonts w:ascii="Arial" w:hAnsi="Arial" w:cs="Arial"/>
                <w:sz w:val="22"/>
                <w:szCs w:val="22"/>
                <w:lang w:eastAsia="en-US"/>
              </w:rPr>
              <w:t>“Performance Monitoring Report”</w:t>
            </w:r>
          </w:p>
        </w:tc>
        <w:tc>
          <w:tcPr>
            <w:tcW w:w="5328" w:type="dxa"/>
          </w:tcPr>
          <w:p w14:paraId="5FE9FC70" w14:textId="72ECE3BD" w:rsidR="00732F92" w:rsidRPr="00B92567" w:rsidRDefault="007D7D7E" w:rsidP="007D7D7E">
            <w:pPr>
              <w:spacing w:after="120"/>
              <w:rPr>
                <w:rFonts w:ascii="Arial" w:hAnsi="Arial" w:cs="Arial"/>
                <w:sz w:val="22"/>
                <w:szCs w:val="22"/>
                <w:lang w:eastAsia="en-US"/>
              </w:rPr>
            </w:pPr>
            <w:r w:rsidRPr="00B92567">
              <w:rPr>
                <w:rFonts w:ascii="Arial" w:hAnsi="Arial" w:cs="Arial"/>
                <w:sz w:val="22"/>
                <w:szCs w:val="22"/>
                <w:lang w:eastAsia="en-US"/>
              </w:rPr>
              <w:t>has the meaning given in Paragraph 1.1(a) of Part B;</w:t>
            </w:r>
          </w:p>
        </w:tc>
      </w:tr>
      <w:tr w:rsidR="00732F92" w:rsidRPr="00B92567" w14:paraId="3A46FB14" w14:textId="77777777" w:rsidTr="00864DF7">
        <w:tc>
          <w:tcPr>
            <w:tcW w:w="3704" w:type="dxa"/>
          </w:tcPr>
          <w:p w14:paraId="6F4BC4D7" w14:textId="0192439A" w:rsidR="00732F92" w:rsidRPr="00B92567" w:rsidRDefault="007D7D7E" w:rsidP="007D7D7E">
            <w:pPr>
              <w:spacing w:after="120"/>
              <w:rPr>
                <w:rFonts w:ascii="Arial" w:hAnsi="Arial" w:cs="Arial"/>
                <w:sz w:val="22"/>
                <w:szCs w:val="22"/>
                <w:lang w:eastAsia="en-US"/>
              </w:rPr>
            </w:pPr>
            <w:r w:rsidRPr="00B92567">
              <w:rPr>
                <w:rFonts w:ascii="Arial" w:hAnsi="Arial" w:cs="Arial"/>
                <w:sz w:val="22"/>
                <w:szCs w:val="22"/>
                <w:lang w:eastAsia="en-US"/>
              </w:rPr>
              <w:t>“Performance Review Meeting”</w:t>
            </w:r>
          </w:p>
        </w:tc>
        <w:tc>
          <w:tcPr>
            <w:tcW w:w="5328" w:type="dxa"/>
          </w:tcPr>
          <w:p w14:paraId="48CB4C9D" w14:textId="7725E2E6" w:rsidR="00732F92" w:rsidRPr="00B92567" w:rsidRDefault="007D7D7E" w:rsidP="007D7D7E">
            <w:pPr>
              <w:spacing w:after="120"/>
              <w:rPr>
                <w:rFonts w:ascii="Arial" w:hAnsi="Arial" w:cs="Arial"/>
                <w:sz w:val="22"/>
                <w:szCs w:val="22"/>
                <w:lang w:eastAsia="en-US"/>
              </w:rPr>
            </w:pPr>
            <w:r w:rsidRPr="00B92567">
              <w:rPr>
                <w:rFonts w:ascii="Arial" w:hAnsi="Arial" w:cs="Arial"/>
                <w:sz w:val="22"/>
                <w:szCs w:val="22"/>
                <w:lang w:eastAsia="en-US"/>
              </w:rPr>
              <w:t xml:space="preserve">The regular meetings between the Supplier and the </w:t>
            </w:r>
            <w:r w:rsidR="006352E5">
              <w:rPr>
                <w:rFonts w:ascii="Arial" w:hAnsi="Arial" w:cs="Arial"/>
                <w:sz w:val="22"/>
                <w:szCs w:val="22"/>
                <w:lang w:eastAsia="en-US"/>
              </w:rPr>
              <w:t>Customer</w:t>
            </w:r>
            <w:r w:rsidRPr="00B92567">
              <w:rPr>
                <w:rFonts w:ascii="Arial" w:hAnsi="Arial" w:cs="Arial"/>
                <w:sz w:val="22"/>
                <w:szCs w:val="22"/>
                <w:lang w:eastAsia="en-US"/>
              </w:rPr>
              <w:t xml:space="preserve"> to manage and review the Supplier’s performance under this Agreement, as further described in Paragraph 1.5 of Part B;</w:t>
            </w:r>
          </w:p>
        </w:tc>
      </w:tr>
      <w:tr w:rsidR="00732F92" w:rsidRPr="00B92567" w14:paraId="0C97A71D" w14:textId="77777777" w:rsidTr="00864DF7">
        <w:tc>
          <w:tcPr>
            <w:tcW w:w="3704" w:type="dxa"/>
          </w:tcPr>
          <w:p w14:paraId="501AF226" w14:textId="0E79936A" w:rsidR="00732F92" w:rsidRPr="00B92567" w:rsidRDefault="007D7D7E" w:rsidP="00106B93">
            <w:pPr>
              <w:spacing w:after="120"/>
              <w:rPr>
                <w:rFonts w:ascii="Arial" w:hAnsi="Arial" w:cs="Arial"/>
                <w:sz w:val="22"/>
                <w:szCs w:val="22"/>
                <w:lang w:eastAsia="en-US"/>
              </w:rPr>
            </w:pPr>
            <w:r w:rsidRPr="00B92567">
              <w:rPr>
                <w:rFonts w:ascii="Arial" w:hAnsi="Arial" w:cs="Arial"/>
                <w:sz w:val="22"/>
                <w:szCs w:val="22"/>
                <w:lang w:eastAsia="en-US"/>
              </w:rPr>
              <w:t>“Repeat KPI Failure”</w:t>
            </w:r>
          </w:p>
        </w:tc>
        <w:tc>
          <w:tcPr>
            <w:tcW w:w="5328" w:type="dxa"/>
          </w:tcPr>
          <w:p w14:paraId="34C88B60" w14:textId="24A72261" w:rsidR="00732F92" w:rsidRPr="00B92567" w:rsidRDefault="007D7D7E" w:rsidP="00106B93">
            <w:pPr>
              <w:spacing w:after="120"/>
              <w:rPr>
                <w:rFonts w:ascii="Arial" w:hAnsi="Arial" w:cs="Arial"/>
                <w:sz w:val="22"/>
                <w:szCs w:val="22"/>
                <w:lang w:eastAsia="en-US"/>
              </w:rPr>
            </w:pPr>
            <w:r w:rsidRPr="00B92567">
              <w:rPr>
                <w:rFonts w:ascii="Arial" w:hAnsi="Arial" w:cs="Arial"/>
                <w:sz w:val="22"/>
                <w:szCs w:val="22"/>
                <w:lang w:eastAsia="en-US"/>
              </w:rPr>
              <w:t>has the meaning given in Paragraph 3.1 of Part A;</w:t>
            </w:r>
          </w:p>
        </w:tc>
      </w:tr>
      <w:tr w:rsidR="00732F92" w:rsidRPr="00B92567" w14:paraId="60A5B669" w14:textId="77777777" w:rsidTr="00864DF7">
        <w:tc>
          <w:tcPr>
            <w:tcW w:w="3704" w:type="dxa"/>
          </w:tcPr>
          <w:p w14:paraId="30F2B0B8" w14:textId="09566CF5" w:rsidR="00732F92" w:rsidRPr="00B92567" w:rsidRDefault="007D7D7E" w:rsidP="00106B93">
            <w:pPr>
              <w:spacing w:after="120"/>
              <w:rPr>
                <w:rFonts w:ascii="Arial" w:hAnsi="Arial" w:cs="Arial"/>
                <w:sz w:val="22"/>
                <w:szCs w:val="22"/>
                <w:lang w:eastAsia="en-US"/>
              </w:rPr>
            </w:pPr>
            <w:r w:rsidRPr="00B92567">
              <w:rPr>
                <w:rFonts w:ascii="Arial" w:hAnsi="Arial" w:cs="Arial"/>
                <w:sz w:val="22"/>
                <w:szCs w:val="22"/>
                <w:lang w:eastAsia="en-US"/>
              </w:rPr>
              <w:t>“Satisfaction Survey”</w:t>
            </w:r>
          </w:p>
        </w:tc>
        <w:tc>
          <w:tcPr>
            <w:tcW w:w="5328" w:type="dxa"/>
          </w:tcPr>
          <w:p w14:paraId="69724A9F" w14:textId="037C9943" w:rsidR="00732F92" w:rsidRPr="00B92567" w:rsidRDefault="00D9399E" w:rsidP="00106B93">
            <w:pPr>
              <w:spacing w:after="120"/>
              <w:rPr>
                <w:rFonts w:ascii="Arial" w:hAnsi="Arial" w:cs="Arial"/>
                <w:sz w:val="22"/>
                <w:szCs w:val="22"/>
                <w:lang w:eastAsia="en-US"/>
              </w:rPr>
            </w:pPr>
            <w:r>
              <w:rPr>
                <w:rFonts w:ascii="Arial" w:hAnsi="Arial" w:cs="Arial"/>
                <w:sz w:val="22"/>
                <w:szCs w:val="22"/>
                <w:lang w:eastAsia="en-US"/>
              </w:rPr>
              <w:t xml:space="preserve">means </w:t>
            </w:r>
            <w:r w:rsidR="00DE34DB">
              <w:rPr>
                <w:rFonts w:ascii="Arial" w:hAnsi="Arial" w:cs="Arial"/>
                <w:sz w:val="22"/>
                <w:szCs w:val="22"/>
                <w:lang w:eastAsia="en-US"/>
              </w:rPr>
              <w:t xml:space="preserve">satisfaction surveys undertaken from time to time by the </w:t>
            </w:r>
            <w:r w:rsidR="006352E5">
              <w:rPr>
                <w:rFonts w:ascii="Arial" w:hAnsi="Arial" w:cs="Arial"/>
                <w:sz w:val="22"/>
                <w:szCs w:val="22"/>
                <w:lang w:eastAsia="en-US"/>
              </w:rPr>
              <w:t>Customer</w:t>
            </w:r>
            <w:r w:rsidR="00DE34DB">
              <w:rPr>
                <w:rFonts w:ascii="Arial" w:hAnsi="Arial" w:cs="Arial"/>
                <w:sz w:val="22"/>
                <w:szCs w:val="22"/>
                <w:lang w:eastAsia="en-US"/>
              </w:rPr>
              <w:t xml:space="preserve"> in respect of End Users or various groups of End Users. The subject matter of Satisfaction Surveys may include the assessment of the Supplier’s performance against the agreed Key Performance Indicators and / or other suggestions for improvements to the Services;</w:t>
            </w:r>
          </w:p>
        </w:tc>
      </w:tr>
      <w:tr w:rsidR="00106B93" w:rsidRPr="00B92567" w14:paraId="3B005EED" w14:textId="77777777" w:rsidTr="00864DF7">
        <w:tc>
          <w:tcPr>
            <w:tcW w:w="3704" w:type="dxa"/>
          </w:tcPr>
          <w:p w14:paraId="5CCFF8A3" w14:textId="77777777" w:rsidR="00106B93" w:rsidRPr="00B92567" w:rsidRDefault="00106B93" w:rsidP="00106B93">
            <w:pPr>
              <w:rPr>
                <w:rFonts w:ascii="Arial" w:hAnsi="Arial" w:cs="Arial"/>
                <w:sz w:val="22"/>
                <w:szCs w:val="22"/>
                <w:lang w:eastAsia="en-US"/>
              </w:rPr>
            </w:pPr>
            <w:r w:rsidRPr="00B92567">
              <w:rPr>
                <w:rFonts w:ascii="Arial" w:hAnsi="Arial" w:cs="Arial"/>
                <w:sz w:val="22"/>
                <w:szCs w:val="22"/>
                <w:lang w:eastAsia="en-US"/>
              </w:rPr>
              <w:t>“Service Availability”</w:t>
            </w:r>
          </w:p>
          <w:p w14:paraId="39572A1F" w14:textId="77777777" w:rsidR="00106B93" w:rsidRPr="00B92567" w:rsidRDefault="00106B93" w:rsidP="00106B93">
            <w:pPr>
              <w:spacing w:after="120"/>
              <w:rPr>
                <w:rFonts w:ascii="Arial" w:hAnsi="Arial" w:cs="Arial"/>
                <w:sz w:val="22"/>
                <w:szCs w:val="22"/>
                <w:lang w:eastAsia="en-US"/>
              </w:rPr>
            </w:pPr>
          </w:p>
        </w:tc>
        <w:tc>
          <w:tcPr>
            <w:tcW w:w="5328" w:type="dxa"/>
          </w:tcPr>
          <w:p w14:paraId="0B4E6AD2" w14:textId="77777777" w:rsidR="00106B93" w:rsidRPr="00B92567" w:rsidRDefault="00106B93" w:rsidP="00106B93">
            <w:pPr>
              <w:autoSpaceDE w:val="0"/>
              <w:autoSpaceDN w:val="0"/>
              <w:adjustRightInd w:val="0"/>
              <w:rPr>
                <w:rFonts w:ascii="Arial" w:hAnsi="Arial" w:cs="Arial"/>
                <w:sz w:val="22"/>
                <w:szCs w:val="22"/>
                <w:lang w:eastAsia="en-US"/>
              </w:rPr>
            </w:pPr>
            <w:r w:rsidRPr="00B92567">
              <w:rPr>
                <w:rFonts w:ascii="Arial" w:hAnsi="Arial" w:cs="Arial"/>
                <w:sz w:val="22"/>
                <w:szCs w:val="22"/>
                <w:lang w:eastAsia="en-US"/>
              </w:rPr>
              <w:t>has the meaning given in Paragraph 2 of Part</w:t>
            </w:r>
          </w:p>
          <w:p w14:paraId="5FF7A84C" w14:textId="2C784DB1" w:rsidR="00106B93" w:rsidRPr="00B92567" w:rsidRDefault="00106B93" w:rsidP="00106B93">
            <w:pPr>
              <w:spacing w:after="120"/>
              <w:rPr>
                <w:rFonts w:ascii="Arial" w:hAnsi="Arial" w:cs="Arial"/>
                <w:sz w:val="22"/>
                <w:szCs w:val="22"/>
                <w:lang w:eastAsia="en-US"/>
              </w:rPr>
            </w:pPr>
            <w:r w:rsidRPr="00B92567">
              <w:rPr>
                <w:rFonts w:ascii="Arial" w:hAnsi="Arial" w:cs="Arial"/>
                <w:sz w:val="22"/>
                <w:szCs w:val="22"/>
                <w:lang w:eastAsia="en-US"/>
              </w:rPr>
              <w:t>II of Annex 1;</w:t>
            </w:r>
            <w:r w:rsidR="00864DF7">
              <w:rPr>
                <w:rFonts w:ascii="Arial" w:hAnsi="Arial" w:cs="Arial"/>
                <w:sz w:val="22"/>
                <w:szCs w:val="22"/>
                <w:lang w:eastAsia="en-US"/>
              </w:rPr>
              <w:t xml:space="preserve"> and</w:t>
            </w:r>
          </w:p>
        </w:tc>
      </w:tr>
      <w:tr w:rsidR="00106B93" w:rsidRPr="00B92567" w14:paraId="7D3B160B" w14:textId="77777777" w:rsidTr="00864DF7">
        <w:tc>
          <w:tcPr>
            <w:tcW w:w="3704" w:type="dxa"/>
          </w:tcPr>
          <w:p w14:paraId="126313AE" w14:textId="2A6630BC" w:rsidR="00106B93" w:rsidRPr="00B92567" w:rsidRDefault="00106B93" w:rsidP="00106B93">
            <w:pPr>
              <w:spacing w:after="120"/>
              <w:rPr>
                <w:rFonts w:ascii="Arial" w:hAnsi="Arial" w:cs="Arial"/>
                <w:sz w:val="22"/>
                <w:szCs w:val="22"/>
                <w:lang w:eastAsia="en-US"/>
              </w:rPr>
            </w:pPr>
            <w:r w:rsidRPr="00B92567">
              <w:rPr>
                <w:rFonts w:ascii="Arial" w:hAnsi="Arial" w:cs="Arial"/>
                <w:sz w:val="22"/>
                <w:szCs w:val="22"/>
                <w:lang w:eastAsia="en-US"/>
              </w:rPr>
              <w:t>“Service Downtime”</w:t>
            </w:r>
          </w:p>
        </w:tc>
        <w:tc>
          <w:tcPr>
            <w:tcW w:w="5328" w:type="dxa"/>
          </w:tcPr>
          <w:p w14:paraId="7FE52B6E" w14:textId="77777777" w:rsidR="00106B93" w:rsidRPr="00B92567" w:rsidRDefault="00106B93" w:rsidP="00106B93">
            <w:pPr>
              <w:autoSpaceDE w:val="0"/>
              <w:autoSpaceDN w:val="0"/>
              <w:adjustRightInd w:val="0"/>
              <w:rPr>
                <w:rFonts w:ascii="Arial" w:hAnsi="Arial" w:cs="Arial"/>
                <w:sz w:val="22"/>
                <w:szCs w:val="22"/>
                <w:lang w:eastAsia="en-US"/>
              </w:rPr>
            </w:pPr>
            <w:r w:rsidRPr="00B92567">
              <w:rPr>
                <w:rFonts w:ascii="Arial" w:hAnsi="Arial" w:cs="Arial"/>
                <w:sz w:val="22"/>
                <w:szCs w:val="22"/>
                <w:lang w:eastAsia="en-US"/>
              </w:rPr>
              <w:t>any period of time during which any of the</w:t>
            </w:r>
          </w:p>
          <w:p w14:paraId="7DF6B999" w14:textId="0CF1A8D2" w:rsidR="00106B93" w:rsidRPr="00B92567" w:rsidRDefault="00864DF7" w:rsidP="00106B93">
            <w:pPr>
              <w:spacing w:after="120"/>
              <w:rPr>
                <w:rFonts w:ascii="Arial" w:hAnsi="Arial" w:cs="Arial"/>
                <w:sz w:val="22"/>
                <w:szCs w:val="22"/>
                <w:lang w:eastAsia="en-US"/>
              </w:rPr>
            </w:pPr>
            <w:r>
              <w:rPr>
                <w:rFonts w:ascii="Arial" w:hAnsi="Arial" w:cs="Arial"/>
                <w:sz w:val="22"/>
                <w:szCs w:val="22"/>
                <w:lang w:eastAsia="en-US"/>
              </w:rPr>
              <w:t>Services are not Available.</w:t>
            </w:r>
          </w:p>
        </w:tc>
      </w:tr>
    </w:tbl>
    <w:p w14:paraId="6B7860C4" w14:textId="3F0F088F" w:rsidR="00106B93" w:rsidRPr="00B92567" w:rsidRDefault="00106B93" w:rsidP="00732F92">
      <w:pPr>
        <w:ind w:left="720"/>
        <w:rPr>
          <w:rFonts w:ascii="Arial" w:hAnsi="Arial" w:cs="Arial"/>
          <w:sz w:val="22"/>
          <w:szCs w:val="22"/>
          <w:lang w:eastAsia="en-US"/>
        </w:rPr>
      </w:pPr>
    </w:p>
    <w:p w14:paraId="3EC83C3A" w14:textId="77777777" w:rsidR="00106B93" w:rsidRPr="00B92567" w:rsidRDefault="00106B93">
      <w:pPr>
        <w:rPr>
          <w:rFonts w:ascii="Arial" w:hAnsi="Arial" w:cs="Arial"/>
          <w:sz w:val="22"/>
          <w:szCs w:val="22"/>
          <w:lang w:eastAsia="en-US"/>
        </w:rPr>
      </w:pPr>
      <w:r w:rsidRPr="00B92567">
        <w:rPr>
          <w:rFonts w:ascii="Arial" w:hAnsi="Arial" w:cs="Arial"/>
          <w:sz w:val="22"/>
          <w:szCs w:val="22"/>
          <w:lang w:eastAsia="en-US"/>
        </w:rPr>
        <w:br w:type="page"/>
      </w:r>
    </w:p>
    <w:p w14:paraId="56315ECF" w14:textId="64C1A8D5" w:rsidR="00732F92" w:rsidRPr="006352E5" w:rsidRDefault="00106B93" w:rsidP="00B92567">
      <w:pPr>
        <w:spacing w:after="120"/>
        <w:ind w:left="720"/>
        <w:jc w:val="center"/>
        <w:rPr>
          <w:rFonts w:ascii="Arial" w:hAnsi="Arial" w:cs="Arial"/>
          <w:b/>
          <w:sz w:val="22"/>
          <w:szCs w:val="22"/>
          <w:lang w:eastAsia="en-US"/>
        </w:rPr>
      </w:pPr>
      <w:r w:rsidRPr="006352E5">
        <w:rPr>
          <w:rFonts w:ascii="Arial" w:hAnsi="Arial" w:cs="Arial"/>
          <w:b/>
          <w:sz w:val="22"/>
          <w:szCs w:val="22"/>
          <w:lang w:eastAsia="en-US"/>
        </w:rPr>
        <w:t>PART A: PERFORMANCE INDICATORS AND SERVICE CREDITS</w:t>
      </w:r>
    </w:p>
    <w:p w14:paraId="662CD9E6" w14:textId="31874F24" w:rsidR="00106B93" w:rsidRPr="00B92567" w:rsidRDefault="00106B93" w:rsidP="00B92567">
      <w:pPr>
        <w:pStyle w:val="GPSL1CLAUSEHEADING"/>
        <w:spacing w:after="120"/>
        <w:rPr>
          <w:rFonts w:ascii="Arial" w:hAnsi="Arial" w:cs="Arial"/>
          <w:b/>
          <w:sz w:val="22"/>
          <w:szCs w:val="22"/>
          <w:lang w:eastAsia="en-US"/>
        </w:rPr>
      </w:pPr>
      <w:r w:rsidRPr="00B92567">
        <w:rPr>
          <w:rFonts w:ascii="Arial" w:hAnsi="Arial" w:cs="Arial"/>
          <w:b/>
          <w:sz w:val="22"/>
          <w:szCs w:val="22"/>
          <w:lang w:eastAsia="en-US"/>
        </w:rPr>
        <w:t>PERFORMANCE INDICATORS</w:t>
      </w:r>
    </w:p>
    <w:p w14:paraId="418AEF54" w14:textId="7D85DA98" w:rsidR="00106B93" w:rsidRPr="00B92567" w:rsidRDefault="00106B93" w:rsidP="00B92567">
      <w:pPr>
        <w:pStyle w:val="GPSL2numberedclause"/>
        <w:spacing w:after="120"/>
        <w:rPr>
          <w:rFonts w:ascii="Arial" w:hAnsi="Arial" w:cs="Arial"/>
          <w:sz w:val="22"/>
          <w:szCs w:val="22"/>
          <w:lang w:eastAsia="en-US"/>
        </w:rPr>
      </w:pPr>
      <w:r w:rsidRPr="00B92567">
        <w:rPr>
          <w:rFonts w:ascii="Arial" w:hAnsi="Arial" w:cs="Arial"/>
          <w:sz w:val="22"/>
          <w:szCs w:val="22"/>
        </w:rPr>
        <w:t>Annex 1 sets out the</w:t>
      </w:r>
      <w:r w:rsidR="006352E5">
        <w:rPr>
          <w:rFonts w:ascii="Arial" w:hAnsi="Arial" w:cs="Arial"/>
          <w:sz w:val="22"/>
          <w:szCs w:val="22"/>
        </w:rPr>
        <w:t xml:space="preserve"> Key Performance Indicators (KPIs) </w:t>
      </w:r>
      <w:r w:rsidRPr="00B92567">
        <w:rPr>
          <w:rFonts w:ascii="Arial" w:hAnsi="Arial" w:cs="Arial"/>
          <w:sz w:val="22"/>
          <w:szCs w:val="22"/>
        </w:rPr>
        <w:t>which the Parties have agreed shall be used to measure the performance of the Services by the Supplier.</w:t>
      </w:r>
    </w:p>
    <w:p w14:paraId="1FA7F0AC" w14:textId="5EB3B498" w:rsidR="00106B93" w:rsidRPr="00B92567" w:rsidRDefault="00106B93" w:rsidP="00B92567">
      <w:pPr>
        <w:pStyle w:val="GPSL2numberedclause"/>
        <w:spacing w:after="120"/>
        <w:rPr>
          <w:rFonts w:ascii="Arial" w:hAnsi="Arial" w:cs="Arial"/>
          <w:sz w:val="22"/>
          <w:szCs w:val="22"/>
          <w:lang w:eastAsia="en-US"/>
        </w:rPr>
      </w:pPr>
      <w:r w:rsidRPr="00B92567">
        <w:rPr>
          <w:rFonts w:ascii="Arial" w:hAnsi="Arial" w:cs="Arial"/>
          <w:sz w:val="22"/>
          <w:szCs w:val="22"/>
        </w:rPr>
        <w:t xml:space="preserve">The Supplier shall monitor its performance against each Performance Indicator and shall send the </w:t>
      </w:r>
      <w:r w:rsidR="006352E5">
        <w:rPr>
          <w:rFonts w:ascii="Arial" w:hAnsi="Arial" w:cs="Arial"/>
          <w:sz w:val="22"/>
          <w:szCs w:val="22"/>
        </w:rPr>
        <w:t>Customer</w:t>
      </w:r>
      <w:r w:rsidRPr="00B92567">
        <w:rPr>
          <w:rFonts w:ascii="Arial" w:hAnsi="Arial" w:cs="Arial"/>
          <w:sz w:val="22"/>
          <w:szCs w:val="22"/>
        </w:rPr>
        <w:t xml:space="preserve"> a report detailing the level of service actually achieved in accordance with Part B.</w:t>
      </w:r>
    </w:p>
    <w:p w14:paraId="0A1D7B3C" w14:textId="5A6AF0CF" w:rsidR="00106B93" w:rsidRPr="00B92567" w:rsidRDefault="006352E5" w:rsidP="00B92567">
      <w:pPr>
        <w:pStyle w:val="GPSL2numberedclause"/>
        <w:spacing w:after="120"/>
        <w:rPr>
          <w:rFonts w:ascii="Arial" w:hAnsi="Arial" w:cs="Arial"/>
          <w:sz w:val="22"/>
          <w:szCs w:val="22"/>
          <w:lang w:eastAsia="en-US"/>
        </w:rPr>
      </w:pPr>
      <w:r>
        <w:rPr>
          <w:rFonts w:ascii="Arial" w:hAnsi="Arial" w:cs="Arial"/>
          <w:sz w:val="22"/>
          <w:szCs w:val="22"/>
        </w:rPr>
        <w:t>Service Credits</w:t>
      </w:r>
      <w:r w:rsidR="00106B93" w:rsidRPr="00B92567">
        <w:rPr>
          <w:rFonts w:ascii="Arial" w:hAnsi="Arial" w:cs="Arial"/>
          <w:sz w:val="22"/>
          <w:szCs w:val="22"/>
        </w:rPr>
        <w:t xml:space="preserve"> shall accrue for any KPI Failure and shall be calculated in accordance with Paragraphs 2.</w:t>
      </w:r>
    </w:p>
    <w:p w14:paraId="70637EE3" w14:textId="77587BEA" w:rsidR="00106B93" w:rsidRPr="00B92567" w:rsidRDefault="00106B93" w:rsidP="00B92567">
      <w:pPr>
        <w:pStyle w:val="GPSL1CLAUSEHEADING"/>
        <w:spacing w:after="120"/>
        <w:rPr>
          <w:rFonts w:ascii="Arial" w:hAnsi="Arial" w:cs="Arial"/>
          <w:b/>
          <w:sz w:val="22"/>
          <w:szCs w:val="22"/>
          <w:lang w:eastAsia="en-US"/>
        </w:rPr>
      </w:pPr>
      <w:r w:rsidRPr="00B92567">
        <w:rPr>
          <w:rFonts w:ascii="Arial" w:hAnsi="Arial" w:cs="Arial"/>
          <w:b/>
          <w:sz w:val="22"/>
          <w:szCs w:val="22"/>
          <w:lang w:eastAsia="en-US"/>
        </w:rPr>
        <w:t xml:space="preserve">SERVICE </w:t>
      </w:r>
      <w:r w:rsidR="00864DF7">
        <w:rPr>
          <w:rFonts w:ascii="Arial" w:hAnsi="Arial" w:cs="Arial"/>
          <w:b/>
          <w:sz w:val="22"/>
          <w:szCs w:val="22"/>
          <w:lang w:eastAsia="en-US"/>
        </w:rPr>
        <w:t>CREDITS</w:t>
      </w:r>
    </w:p>
    <w:p w14:paraId="66D03678" w14:textId="04F9B231" w:rsidR="00106B93" w:rsidRPr="00B92567" w:rsidRDefault="00106B93" w:rsidP="00B92567">
      <w:pPr>
        <w:pStyle w:val="GPSL2numberedclause"/>
        <w:spacing w:after="120"/>
        <w:rPr>
          <w:rFonts w:ascii="Arial" w:hAnsi="Arial" w:cs="Arial"/>
          <w:sz w:val="22"/>
          <w:szCs w:val="22"/>
          <w:lang w:eastAsia="en-US"/>
        </w:rPr>
      </w:pPr>
      <w:r w:rsidRPr="00B92567">
        <w:rPr>
          <w:rFonts w:ascii="Arial" w:hAnsi="Arial" w:cs="Arial"/>
          <w:sz w:val="22"/>
          <w:szCs w:val="22"/>
        </w:rPr>
        <w:t xml:space="preserve">If the level of performance of the Supplier during a Service Period achieves the Target in respect of a Key Performance Indicator, no Service </w:t>
      </w:r>
      <w:r w:rsidR="00864DF7">
        <w:rPr>
          <w:rFonts w:ascii="Arial" w:hAnsi="Arial" w:cs="Arial"/>
          <w:sz w:val="22"/>
          <w:szCs w:val="22"/>
        </w:rPr>
        <w:t>Credits</w:t>
      </w:r>
      <w:r w:rsidRPr="00B92567">
        <w:rPr>
          <w:rFonts w:ascii="Arial" w:hAnsi="Arial" w:cs="Arial"/>
          <w:sz w:val="22"/>
          <w:szCs w:val="22"/>
        </w:rPr>
        <w:t xml:space="preserve"> shall accrue to the Supplier in respect of that Key Performance Indicator.</w:t>
      </w:r>
    </w:p>
    <w:p w14:paraId="441CACE8" w14:textId="7B8D306E" w:rsidR="00106B93" w:rsidRPr="00B92567" w:rsidRDefault="00106B93" w:rsidP="00B92567">
      <w:pPr>
        <w:pStyle w:val="GPSL2numberedclause"/>
        <w:spacing w:after="120"/>
        <w:rPr>
          <w:rFonts w:ascii="Arial" w:hAnsi="Arial" w:cs="Arial"/>
          <w:sz w:val="22"/>
          <w:szCs w:val="22"/>
          <w:lang w:eastAsia="en-US"/>
        </w:rPr>
      </w:pPr>
      <w:r w:rsidRPr="00B92567">
        <w:rPr>
          <w:rFonts w:ascii="Arial" w:hAnsi="Arial" w:cs="Arial"/>
          <w:sz w:val="22"/>
          <w:szCs w:val="22"/>
        </w:rPr>
        <w:t xml:space="preserve">If the level of performance of the Supplier during a Service Period is below the Target in respect of a Key Performance Indicator, Service </w:t>
      </w:r>
      <w:r w:rsidR="00864DF7">
        <w:rPr>
          <w:rFonts w:ascii="Arial" w:hAnsi="Arial" w:cs="Arial"/>
          <w:sz w:val="22"/>
          <w:szCs w:val="22"/>
        </w:rPr>
        <w:t>Credits</w:t>
      </w:r>
      <w:r w:rsidRPr="00B92567">
        <w:rPr>
          <w:rFonts w:ascii="Arial" w:hAnsi="Arial" w:cs="Arial"/>
          <w:sz w:val="22"/>
          <w:szCs w:val="22"/>
        </w:rPr>
        <w:t xml:space="preserve"> shall accrue to the Supplier in respect of that Key Performance Indicator as set out in Paragraph 2.3</w:t>
      </w:r>
    </w:p>
    <w:p w14:paraId="6DFD2520" w14:textId="4CED323C" w:rsidR="00106B93" w:rsidRPr="00B92567" w:rsidRDefault="00106B93" w:rsidP="00B92567">
      <w:pPr>
        <w:pStyle w:val="GPSL2numberedclause"/>
        <w:spacing w:after="120"/>
        <w:rPr>
          <w:rFonts w:ascii="Arial" w:hAnsi="Arial" w:cs="Arial"/>
          <w:sz w:val="22"/>
          <w:szCs w:val="22"/>
          <w:lang w:eastAsia="en-US"/>
        </w:rPr>
      </w:pPr>
      <w:r w:rsidRPr="00B92567">
        <w:rPr>
          <w:rFonts w:ascii="Arial" w:hAnsi="Arial" w:cs="Arial"/>
          <w:sz w:val="22"/>
          <w:szCs w:val="22"/>
        </w:rPr>
        <w:t xml:space="preserve">The number of Service </w:t>
      </w:r>
      <w:r w:rsidR="00864DF7">
        <w:rPr>
          <w:rFonts w:ascii="Arial" w:hAnsi="Arial" w:cs="Arial"/>
          <w:sz w:val="22"/>
          <w:szCs w:val="22"/>
        </w:rPr>
        <w:t>Credits</w:t>
      </w:r>
      <w:r w:rsidRPr="00B92567">
        <w:rPr>
          <w:rFonts w:ascii="Arial" w:hAnsi="Arial" w:cs="Arial"/>
          <w:sz w:val="22"/>
          <w:szCs w:val="22"/>
        </w:rPr>
        <w:t xml:space="preserve"> that shall accrue to the Supplier in respect of a KPI Failure shall be the applicable number as set out in Annex 1.</w:t>
      </w:r>
    </w:p>
    <w:p w14:paraId="15DE2BE2" w14:textId="661D9AB1" w:rsidR="00106B93" w:rsidRPr="00B92567" w:rsidRDefault="00106B93" w:rsidP="00B92567">
      <w:pPr>
        <w:pStyle w:val="GPSL1CLAUSEHEADING"/>
        <w:spacing w:after="120"/>
        <w:rPr>
          <w:rFonts w:ascii="Arial" w:hAnsi="Arial" w:cs="Arial"/>
          <w:b/>
          <w:sz w:val="22"/>
          <w:szCs w:val="22"/>
          <w:lang w:eastAsia="en-US"/>
        </w:rPr>
      </w:pPr>
      <w:r w:rsidRPr="00B92567">
        <w:rPr>
          <w:rFonts w:ascii="Arial" w:hAnsi="Arial" w:cs="Arial"/>
          <w:b/>
          <w:sz w:val="22"/>
          <w:szCs w:val="22"/>
          <w:lang w:eastAsia="en-US"/>
        </w:rPr>
        <w:t>REPE</w:t>
      </w:r>
      <w:r w:rsidR="006352E5">
        <w:rPr>
          <w:rFonts w:ascii="Arial" w:hAnsi="Arial" w:cs="Arial"/>
          <w:b/>
          <w:sz w:val="22"/>
          <w:szCs w:val="22"/>
          <w:lang w:eastAsia="en-US"/>
        </w:rPr>
        <w:t>AT KPI FAILURES AND RELATED KPI</w:t>
      </w:r>
      <w:r w:rsidRPr="00B92567">
        <w:rPr>
          <w:rFonts w:ascii="Arial" w:hAnsi="Arial" w:cs="Arial"/>
          <w:b/>
          <w:sz w:val="22"/>
          <w:szCs w:val="22"/>
          <w:lang w:eastAsia="en-US"/>
        </w:rPr>
        <w:t xml:space="preserve"> FAILURES</w:t>
      </w:r>
    </w:p>
    <w:p w14:paraId="55857E0C" w14:textId="4807C52E" w:rsidR="00106B93" w:rsidRPr="00B92567" w:rsidRDefault="00106B93" w:rsidP="00B92567">
      <w:pPr>
        <w:pStyle w:val="GPSL1CLAUSEHEADING"/>
        <w:numPr>
          <w:ilvl w:val="0"/>
          <w:numId w:val="0"/>
        </w:numPr>
        <w:spacing w:after="120"/>
        <w:ind w:left="644"/>
        <w:rPr>
          <w:rFonts w:ascii="Arial" w:hAnsi="Arial" w:cs="Arial"/>
          <w:b/>
          <w:sz w:val="22"/>
          <w:szCs w:val="22"/>
          <w:lang w:eastAsia="en-US"/>
        </w:rPr>
      </w:pPr>
      <w:r w:rsidRPr="00B92567">
        <w:rPr>
          <w:rFonts w:ascii="Arial" w:hAnsi="Arial" w:cs="Arial"/>
          <w:b/>
          <w:sz w:val="22"/>
          <w:szCs w:val="22"/>
          <w:lang w:eastAsia="en-US"/>
        </w:rPr>
        <w:t>Repeat KPI Failures</w:t>
      </w:r>
    </w:p>
    <w:p w14:paraId="739EB1B0" w14:textId="08F551E9" w:rsidR="00106B93" w:rsidRPr="00DE34DB" w:rsidRDefault="00106B93" w:rsidP="00DE34DB">
      <w:pPr>
        <w:pStyle w:val="GPSL2numberedclause"/>
        <w:spacing w:after="120"/>
        <w:rPr>
          <w:rFonts w:ascii="Arial" w:hAnsi="Arial" w:cs="Arial"/>
          <w:sz w:val="22"/>
          <w:szCs w:val="22"/>
          <w:lang w:eastAsia="en-US"/>
        </w:rPr>
      </w:pPr>
      <w:r w:rsidRPr="00B92567">
        <w:rPr>
          <w:rFonts w:ascii="Arial" w:hAnsi="Arial" w:cs="Arial"/>
          <w:sz w:val="22"/>
          <w:szCs w:val="22"/>
        </w:rPr>
        <w:t xml:space="preserve">If a KPI Failure occurs in respect of the same Key Performance Indicator in any two consecutive Measurement Periods, the second and any subsequent such KPI Failure shall be a </w:t>
      </w:r>
      <w:r w:rsidRPr="00B92567">
        <w:rPr>
          <w:rFonts w:ascii="Arial" w:hAnsi="Arial" w:cs="Arial"/>
          <w:b/>
          <w:bCs/>
          <w:sz w:val="22"/>
          <w:szCs w:val="22"/>
        </w:rPr>
        <w:t>“Repeat KPI Failure”</w:t>
      </w:r>
      <w:r w:rsidRPr="00B92567">
        <w:rPr>
          <w:rFonts w:ascii="Arial" w:hAnsi="Arial" w:cs="Arial"/>
          <w:bCs/>
          <w:sz w:val="22"/>
          <w:szCs w:val="22"/>
        </w:rPr>
        <w:t>.</w:t>
      </w:r>
    </w:p>
    <w:p w14:paraId="5A492895" w14:textId="5CAF175B" w:rsidR="00106B93" w:rsidRPr="00B92567" w:rsidRDefault="00864DF7" w:rsidP="00DE34DB">
      <w:pPr>
        <w:pStyle w:val="GPSL1CLAUSEHEADING"/>
        <w:numPr>
          <w:ilvl w:val="0"/>
          <w:numId w:val="0"/>
        </w:numPr>
        <w:spacing w:after="120"/>
        <w:ind w:left="644" w:hanging="76"/>
        <w:rPr>
          <w:rFonts w:ascii="Arial" w:hAnsi="Arial" w:cs="Arial"/>
          <w:b/>
          <w:sz w:val="22"/>
          <w:szCs w:val="22"/>
          <w:lang w:eastAsia="en-US"/>
        </w:rPr>
      </w:pPr>
      <w:r>
        <w:rPr>
          <w:rFonts w:ascii="Arial" w:hAnsi="Arial" w:cs="Arial"/>
          <w:b/>
          <w:sz w:val="22"/>
          <w:szCs w:val="22"/>
          <w:lang w:eastAsia="en-US"/>
        </w:rPr>
        <w:t>Rectification Plan</w:t>
      </w:r>
    </w:p>
    <w:p w14:paraId="35834E03" w14:textId="0FCF4E93" w:rsidR="00864DF7" w:rsidRPr="00864DF7" w:rsidRDefault="00864DF7" w:rsidP="000671F2">
      <w:pPr>
        <w:pStyle w:val="GPSL2numberedclause"/>
        <w:spacing w:after="120"/>
        <w:rPr>
          <w:rFonts w:ascii="Arial" w:hAnsi="Arial" w:cs="Arial"/>
          <w:sz w:val="22"/>
          <w:szCs w:val="22"/>
        </w:rPr>
      </w:pPr>
      <w:r w:rsidRPr="00864DF7">
        <w:rPr>
          <w:rFonts w:ascii="Arial" w:hAnsi="Arial" w:cs="Arial"/>
          <w:sz w:val="22"/>
          <w:szCs w:val="22"/>
        </w:rPr>
        <w:t xml:space="preserve">If the Supplier, upon being made aware of their inability to meet any one KPI, is unable to improve its performance within 3 months of an agreed Rectification Plan being put in place, then the Customer will have grounds to terminate the contract. </w:t>
      </w:r>
    </w:p>
    <w:p w14:paraId="522D787A" w14:textId="60AEBC8D" w:rsidR="00864DF7" w:rsidRPr="00864DF7" w:rsidRDefault="00864DF7" w:rsidP="00864DF7">
      <w:pPr>
        <w:pStyle w:val="GPSL2numberedclause"/>
        <w:spacing w:after="120"/>
        <w:rPr>
          <w:rFonts w:ascii="Arial" w:hAnsi="Arial" w:cs="Arial"/>
          <w:sz w:val="22"/>
          <w:szCs w:val="22"/>
        </w:rPr>
      </w:pPr>
      <w:r w:rsidRPr="00864DF7">
        <w:rPr>
          <w:rFonts w:ascii="Arial" w:hAnsi="Arial" w:cs="Arial"/>
          <w:sz w:val="22"/>
          <w:szCs w:val="22"/>
        </w:rPr>
        <w:t>Upon termination of the contract, the Supplier will continue to provide training to existing apprentices, but will not be requested or required to recruit or provide training to any new apprentices.</w:t>
      </w:r>
    </w:p>
    <w:p w14:paraId="5CED856C" w14:textId="624ABE29" w:rsidR="00753999" w:rsidRPr="00B92567" w:rsidRDefault="00753999" w:rsidP="00B92567">
      <w:pPr>
        <w:pStyle w:val="GPSL1CLAUSEHEADING"/>
        <w:spacing w:after="120"/>
        <w:rPr>
          <w:rFonts w:ascii="Arial" w:hAnsi="Arial" w:cs="Arial"/>
          <w:b/>
          <w:sz w:val="22"/>
          <w:szCs w:val="22"/>
          <w:lang w:eastAsia="en-US"/>
        </w:rPr>
      </w:pPr>
      <w:r w:rsidRPr="00B92567">
        <w:rPr>
          <w:rFonts w:ascii="Arial" w:hAnsi="Arial" w:cs="Arial"/>
          <w:b/>
          <w:sz w:val="22"/>
          <w:szCs w:val="22"/>
          <w:lang w:eastAsia="en-US"/>
        </w:rPr>
        <w:t>PERMITTED MAINTENANCE</w:t>
      </w:r>
    </w:p>
    <w:p w14:paraId="686E0615" w14:textId="5C80F2DD" w:rsidR="00753999" w:rsidRPr="00B92567" w:rsidRDefault="00753999" w:rsidP="00B92567">
      <w:pPr>
        <w:pStyle w:val="GPSL2numberedclause"/>
        <w:spacing w:after="120"/>
        <w:rPr>
          <w:rFonts w:ascii="Arial" w:hAnsi="Arial" w:cs="Arial"/>
          <w:sz w:val="22"/>
          <w:szCs w:val="22"/>
          <w:lang w:eastAsia="en-US"/>
        </w:rPr>
      </w:pPr>
      <w:r w:rsidRPr="00B92567">
        <w:rPr>
          <w:rFonts w:ascii="Arial" w:hAnsi="Arial" w:cs="Arial"/>
          <w:sz w:val="22"/>
          <w:szCs w:val="22"/>
          <w:lang w:eastAsia="en-US"/>
        </w:rPr>
        <w:t>N/A</w:t>
      </w:r>
    </w:p>
    <w:p w14:paraId="59F1E39F" w14:textId="7A64A229" w:rsidR="00753999" w:rsidRPr="00B92567" w:rsidRDefault="00753999" w:rsidP="00B92567">
      <w:pPr>
        <w:pStyle w:val="GPSL1CLAUSEHEADING"/>
        <w:spacing w:after="120"/>
        <w:rPr>
          <w:rFonts w:ascii="Arial" w:hAnsi="Arial" w:cs="Arial"/>
          <w:b/>
          <w:sz w:val="22"/>
          <w:szCs w:val="22"/>
          <w:lang w:eastAsia="en-US"/>
        </w:rPr>
      </w:pPr>
      <w:r w:rsidRPr="00B92567">
        <w:rPr>
          <w:rFonts w:ascii="Arial" w:hAnsi="Arial" w:cs="Arial"/>
          <w:b/>
          <w:sz w:val="22"/>
          <w:szCs w:val="22"/>
          <w:lang w:eastAsia="en-US"/>
        </w:rPr>
        <w:t>SERVICE CREDITS</w:t>
      </w:r>
    </w:p>
    <w:p w14:paraId="01ADF86F" w14:textId="5451F4A0" w:rsidR="00753999" w:rsidRPr="00B92567" w:rsidRDefault="00753999" w:rsidP="00B92567">
      <w:pPr>
        <w:pStyle w:val="GPSL2numberedclause"/>
        <w:spacing w:after="120"/>
        <w:rPr>
          <w:rFonts w:ascii="Arial" w:hAnsi="Arial" w:cs="Arial"/>
          <w:sz w:val="22"/>
          <w:szCs w:val="22"/>
          <w:lang w:eastAsia="en-US"/>
        </w:rPr>
      </w:pPr>
      <w:r w:rsidRPr="00B92567">
        <w:rPr>
          <w:rFonts w:ascii="Arial" w:hAnsi="Arial" w:cs="Arial"/>
          <w:sz w:val="22"/>
          <w:szCs w:val="22"/>
          <w:lang w:eastAsia="en-US"/>
        </w:rPr>
        <w:t xml:space="preserve">Service Credits as set out in the Service Level Agreement / KPI table in </w:t>
      </w:r>
      <w:r w:rsidR="008A1F3B">
        <w:rPr>
          <w:rFonts w:ascii="Arial" w:hAnsi="Arial" w:cs="Arial"/>
          <w:sz w:val="22"/>
          <w:szCs w:val="22"/>
          <w:lang w:eastAsia="en-US"/>
        </w:rPr>
        <w:t>Annex 1</w:t>
      </w:r>
      <w:r w:rsidRPr="00B92567">
        <w:rPr>
          <w:rFonts w:ascii="Arial" w:hAnsi="Arial" w:cs="Arial"/>
          <w:sz w:val="22"/>
          <w:szCs w:val="22"/>
          <w:lang w:eastAsia="en-US"/>
        </w:rPr>
        <w:t>.</w:t>
      </w:r>
    </w:p>
    <w:p w14:paraId="22840C4C" w14:textId="107B2B6C" w:rsidR="00753999" w:rsidRPr="00B92567" w:rsidRDefault="00753999" w:rsidP="00B92567">
      <w:pPr>
        <w:pStyle w:val="GPSL2numberedclause"/>
        <w:spacing w:after="120"/>
        <w:rPr>
          <w:rFonts w:ascii="Arial" w:hAnsi="Arial" w:cs="Arial"/>
          <w:sz w:val="22"/>
          <w:szCs w:val="22"/>
          <w:lang w:eastAsia="en-US"/>
        </w:rPr>
      </w:pPr>
      <w:r w:rsidRPr="00B92567">
        <w:rPr>
          <w:rFonts w:ascii="Arial" w:hAnsi="Arial" w:cs="Arial"/>
          <w:sz w:val="22"/>
          <w:szCs w:val="22"/>
          <w:lang w:eastAsia="en-US"/>
        </w:rPr>
        <w:t xml:space="preserve">The </w:t>
      </w:r>
      <w:r w:rsidR="006352E5">
        <w:rPr>
          <w:rFonts w:ascii="Arial" w:hAnsi="Arial" w:cs="Arial"/>
          <w:sz w:val="22"/>
          <w:szCs w:val="22"/>
          <w:lang w:eastAsia="en-US"/>
        </w:rPr>
        <w:t>Customer</w:t>
      </w:r>
      <w:r w:rsidRPr="00B92567">
        <w:rPr>
          <w:rFonts w:ascii="Arial" w:hAnsi="Arial" w:cs="Arial"/>
          <w:sz w:val="22"/>
          <w:szCs w:val="22"/>
          <w:lang w:eastAsia="en-US"/>
        </w:rPr>
        <w:t xml:space="preserve"> shall use the Performance Monitoring Reports provided pursuant to Part B, among other things, to verify the calculation and accuracy of the Service Credits (if any) applicable to each Service Period.</w:t>
      </w:r>
    </w:p>
    <w:p w14:paraId="1A3C5239" w14:textId="3AAC1367" w:rsidR="00753999" w:rsidRPr="00B92567" w:rsidRDefault="00753999" w:rsidP="00B92567">
      <w:pPr>
        <w:pStyle w:val="GPSL1CLAUSEHEADING"/>
        <w:numPr>
          <w:ilvl w:val="0"/>
          <w:numId w:val="0"/>
        </w:numPr>
        <w:spacing w:after="120"/>
        <w:ind w:left="644" w:hanging="360"/>
        <w:jc w:val="center"/>
        <w:rPr>
          <w:rFonts w:ascii="Arial" w:hAnsi="Arial" w:cs="Arial"/>
          <w:b/>
          <w:sz w:val="22"/>
          <w:szCs w:val="22"/>
          <w:lang w:eastAsia="en-US"/>
        </w:rPr>
      </w:pPr>
      <w:r w:rsidRPr="00B92567">
        <w:rPr>
          <w:rFonts w:ascii="Arial" w:hAnsi="Arial" w:cs="Arial"/>
          <w:b/>
          <w:sz w:val="22"/>
          <w:szCs w:val="22"/>
          <w:lang w:eastAsia="en-US"/>
        </w:rPr>
        <w:t>PART B: PERFORMANCE MONITORING</w:t>
      </w:r>
    </w:p>
    <w:p w14:paraId="76713BA5" w14:textId="15753CF7" w:rsidR="00753999" w:rsidRPr="00B92567" w:rsidRDefault="00753999" w:rsidP="00B92567">
      <w:pPr>
        <w:pStyle w:val="GPSL1CLAUSEHEADING"/>
        <w:numPr>
          <w:ilvl w:val="0"/>
          <w:numId w:val="19"/>
        </w:numPr>
        <w:spacing w:after="120"/>
        <w:rPr>
          <w:rFonts w:ascii="Arial" w:hAnsi="Arial" w:cs="Arial"/>
          <w:b/>
          <w:sz w:val="22"/>
          <w:szCs w:val="22"/>
          <w:lang w:eastAsia="en-US"/>
        </w:rPr>
      </w:pPr>
      <w:r w:rsidRPr="00B92567">
        <w:rPr>
          <w:rFonts w:ascii="Arial" w:hAnsi="Arial" w:cs="Arial"/>
          <w:b/>
          <w:sz w:val="22"/>
          <w:szCs w:val="22"/>
          <w:lang w:eastAsia="en-US"/>
        </w:rPr>
        <w:t>PERFORMANCE MONITORING AND PERFORMANCE REVIEW</w:t>
      </w:r>
    </w:p>
    <w:p w14:paraId="4DB09663" w14:textId="7C0EA715" w:rsidR="00753999" w:rsidRPr="00B92567" w:rsidRDefault="00753999" w:rsidP="00B92567">
      <w:pPr>
        <w:pStyle w:val="GPSL2numberedclause"/>
        <w:numPr>
          <w:ilvl w:val="1"/>
          <w:numId w:val="19"/>
        </w:numPr>
        <w:spacing w:after="120"/>
        <w:rPr>
          <w:rFonts w:ascii="Arial" w:hAnsi="Arial" w:cs="Arial"/>
          <w:sz w:val="22"/>
          <w:szCs w:val="22"/>
          <w:lang w:eastAsia="en-US"/>
        </w:rPr>
      </w:pPr>
      <w:r w:rsidRPr="00B92567">
        <w:rPr>
          <w:rFonts w:ascii="Arial" w:hAnsi="Arial" w:cs="Arial"/>
          <w:sz w:val="22"/>
          <w:szCs w:val="22"/>
          <w:lang w:eastAsia="en-US"/>
        </w:rPr>
        <w:t>Within 10 working days of the end of each Service Period, the Supplier shall provide:</w:t>
      </w:r>
    </w:p>
    <w:p w14:paraId="27F6242E" w14:textId="49E54A63" w:rsidR="00753999" w:rsidRPr="00B92567" w:rsidRDefault="00753999" w:rsidP="00B92567">
      <w:pPr>
        <w:pStyle w:val="GPSL3numberedclause"/>
        <w:numPr>
          <w:ilvl w:val="6"/>
          <w:numId w:val="9"/>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 xml:space="preserve">a report to the </w:t>
      </w:r>
      <w:r w:rsidR="006352E5">
        <w:rPr>
          <w:rFonts w:ascii="Arial" w:hAnsi="Arial" w:cs="Arial"/>
          <w:sz w:val="22"/>
          <w:szCs w:val="22"/>
          <w:lang w:eastAsia="en-US"/>
        </w:rPr>
        <w:t>Customer</w:t>
      </w:r>
      <w:r w:rsidRPr="00B92567">
        <w:rPr>
          <w:rFonts w:ascii="Arial" w:hAnsi="Arial" w:cs="Arial"/>
          <w:sz w:val="22"/>
          <w:szCs w:val="22"/>
          <w:lang w:eastAsia="en-US"/>
        </w:rPr>
        <w:t xml:space="preserve"> Representative which summarises the performance by the Supplier against each of the </w:t>
      </w:r>
      <w:r w:rsidRPr="008A1F3B">
        <w:rPr>
          <w:rFonts w:ascii="Arial" w:hAnsi="Arial" w:cs="Arial"/>
          <w:sz w:val="22"/>
          <w:szCs w:val="22"/>
          <w:lang w:eastAsia="en-US"/>
        </w:rPr>
        <w:t>Performance Indicators</w:t>
      </w:r>
      <w:r w:rsidRPr="00B92567">
        <w:rPr>
          <w:rFonts w:ascii="Arial" w:hAnsi="Arial" w:cs="Arial"/>
          <w:sz w:val="22"/>
          <w:szCs w:val="22"/>
          <w:lang w:eastAsia="en-US"/>
        </w:rPr>
        <w:t xml:space="preserve"> as more particularly described in Paragraph 1.2 (the “</w:t>
      </w:r>
      <w:r w:rsidRPr="00B92567">
        <w:rPr>
          <w:rFonts w:ascii="Arial" w:hAnsi="Arial" w:cs="Arial"/>
          <w:b/>
          <w:sz w:val="22"/>
          <w:szCs w:val="22"/>
          <w:lang w:eastAsia="en-US"/>
        </w:rPr>
        <w:t>Performance Monitoring Report</w:t>
      </w:r>
      <w:r w:rsidRPr="00B92567">
        <w:rPr>
          <w:rFonts w:ascii="Arial" w:hAnsi="Arial" w:cs="Arial"/>
          <w:sz w:val="22"/>
          <w:szCs w:val="22"/>
          <w:lang w:eastAsia="en-US"/>
        </w:rPr>
        <w:t>”); and</w:t>
      </w:r>
    </w:p>
    <w:p w14:paraId="13ECA9C8" w14:textId="0AB90F96" w:rsidR="00753999" w:rsidRPr="00B92567" w:rsidRDefault="00753999" w:rsidP="00B92567">
      <w:pPr>
        <w:pStyle w:val="GPSL3numberedclause"/>
        <w:numPr>
          <w:ilvl w:val="6"/>
          <w:numId w:val="9"/>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 xml:space="preserve">a report to the </w:t>
      </w:r>
      <w:r w:rsidR="006352E5">
        <w:rPr>
          <w:rFonts w:ascii="Arial" w:hAnsi="Arial" w:cs="Arial"/>
          <w:sz w:val="22"/>
          <w:szCs w:val="22"/>
          <w:lang w:eastAsia="en-US"/>
        </w:rPr>
        <w:t>Customer</w:t>
      </w:r>
      <w:r w:rsidRPr="00B92567">
        <w:rPr>
          <w:rFonts w:ascii="Arial" w:hAnsi="Arial" w:cs="Arial"/>
          <w:sz w:val="22"/>
          <w:szCs w:val="22"/>
          <w:lang w:eastAsia="en-US"/>
        </w:rPr>
        <w:t xml:space="preserve">’s senior responsible officer which summarises the Supplier’s performance over the </w:t>
      </w:r>
      <w:r w:rsidR="00FD0170" w:rsidRPr="00B92567">
        <w:rPr>
          <w:rFonts w:ascii="Arial" w:hAnsi="Arial" w:cs="Arial"/>
          <w:sz w:val="22"/>
          <w:szCs w:val="22"/>
          <w:lang w:eastAsia="en-US"/>
        </w:rPr>
        <w:t>relevant</w:t>
      </w:r>
      <w:r w:rsidRPr="00B92567">
        <w:rPr>
          <w:rFonts w:ascii="Arial" w:hAnsi="Arial" w:cs="Arial"/>
          <w:sz w:val="22"/>
          <w:szCs w:val="22"/>
          <w:lang w:eastAsia="en-US"/>
        </w:rPr>
        <w:t xml:space="preserve"> Service Period as more particularly described in Paragraph </w:t>
      </w:r>
      <w:r w:rsidR="00FD0170" w:rsidRPr="00B92567">
        <w:rPr>
          <w:rFonts w:ascii="Arial" w:hAnsi="Arial" w:cs="Arial"/>
          <w:sz w:val="22"/>
          <w:szCs w:val="22"/>
          <w:lang w:eastAsia="en-US"/>
        </w:rPr>
        <w:t>1.3 (the “</w:t>
      </w:r>
      <w:r w:rsidR="00FD0170" w:rsidRPr="00B92567">
        <w:rPr>
          <w:rFonts w:ascii="Arial" w:hAnsi="Arial" w:cs="Arial"/>
          <w:b/>
          <w:sz w:val="22"/>
          <w:szCs w:val="22"/>
          <w:lang w:eastAsia="en-US"/>
        </w:rPr>
        <w:t>Balanced Scorecard Report</w:t>
      </w:r>
      <w:r w:rsidR="00FD0170" w:rsidRPr="00B92567">
        <w:rPr>
          <w:rFonts w:ascii="Arial" w:hAnsi="Arial" w:cs="Arial"/>
          <w:sz w:val="22"/>
          <w:szCs w:val="22"/>
          <w:lang w:eastAsia="en-US"/>
        </w:rPr>
        <w:t>”).</w:t>
      </w:r>
    </w:p>
    <w:p w14:paraId="4DDCAB96" w14:textId="37E732FB" w:rsidR="00FD0170" w:rsidRPr="00B92567" w:rsidRDefault="00FD0170" w:rsidP="00B92567">
      <w:pPr>
        <w:pStyle w:val="GPSL3numberedclause"/>
        <w:numPr>
          <w:ilvl w:val="0"/>
          <w:numId w:val="0"/>
        </w:numPr>
        <w:spacing w:after="120"/>
        <w:ind w:left="1287" w:hanging="720"/>
        <w:rPr>
          <w:rFonts w:ascii="Arial" w:hAnsi="Arial" w:cs="Arial"/>
          <w:b/>
          <w:sz w:val="22"/>
          <w:szCs w:val="22"/>
          <w:lang w:eastAsia="en-US"/>
        </w:rPr>
      </w:pPr>
      <w:r w:rsidRPr="00B92567">
        <w:rPr>
          <w:rFonts w:ascii="Arial" w:hAnsi="Arial" w:cs="Arial"/>
          <w:b/>
          <w:sz w:val="22"/>
          <w:szCs w:val="22"/>
          <w:lang w:eastAsia="en-US"/>
        </w:rPr>
        <w:t>Performance Monitoring Report</w:t>
      </w:r>
    </w:p>
    <w:p w14:paraId="26B8CFC2" w14:textId="72326ABF" w:rsidR="00FD0170" w:rsidRPr="00B92567" w:rsidRDefault="00FD0170" w:rsidP="00B92567">
      <w:pPr>
        <w:pStyle w:val="GPSL2numberedclause"/>
        <w:numPr>
          <w:ilvl w:val="1"/>
          <w:numId w:val="19"/>
        </w:numPr>
        <w:spacing w:after="120"/>
        <w:rPr>
          <w:rFonts w:ascii="Arial" w:hAnsi="Arial" w:cs="Arial"/>
          <w:sz w:val="22"/>
          <w:szCs w:val="22"/>
          <w:lang w:eastAsia="en-US"/>
        </w:rPr>
      </w:pPr>
      <w:r w:rsidRPr="00B92567">
        <w:rPr>
          <w:rFonts w:ascii="Arial" w:hAnsi="Arial" w:cs="Arial"/>
          <w:sz w:val="22"/>
          <w:szCs w:val="22"/>
          <w:lang w:eastAsia="en-US"/>
        </w:rPr>
        <w:t>The Performance Monitoring Report shall be in such format as agreed between the Parties from time to time and contain, as a minimum, the following information:</w:t>
      </w:r>
    </w:p>
    <w:p w14:paraId="13361634" w14:textId="02FC686F" w:rsidR="00FD0170" w:rsidRPr="008A1F3B" w:rsidRDefault="00FD0170" w:rsidP="008A1F3B">
      <w:pPr>
        <w:pStyle w:val="GPSL1CLAUSEHEADING"/>
        <w:numPr>
          <w:ilvl w:val="0"/>
          <w:numId w:val="0"/>
        </w:numPr>
        <w:spacing w:after="120"/>
        <w:ind w:left="644" w:hanging="77"/>
        <w:rPr>
          <w:rFonts w:ascii="Arial" w:hAnsi="Arial" w:cs="Arial"/>
          <w:b/>
          <w:sz w:val="22"/>
          <w:szCs w:val="22"/>
          <w:lang w:eastAsia="en-US"/>
        </w:rPr>
      </w:pPr>
      <w:r w:rsidRPr="008A1F3B">
        <w:rPr>
          <w:rFonts w:ascii="Arial" w:hAnsi="Arial" w:cs="Arial"/>
          <w:b/>
          <w:sz w:val="22"/>
          <w:szCs w:val="22"/>
          <w:lang w:eastAsia="en-US"/>
        </w:rPr>
        <w:t>Information in respect of the Service Period just ended</w:t>
      </w:r>
    </w:p>
    <w:p w14:paraId="31DE1E99" w14:textId="680F9911" w:rsidR="00FD0170" w:rsidRPr="00B92567" w:rsidRDefault="00FD0170"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for each Key Performance Indicator, the actual performance achieved over the Service Period, and that achieved over the previous 3 Measurement Periods;</w:t>
      </w:r>
    </w:p>
    <w:p w14:paraId="39701B62" w14:textId="2BE5435A" w:rsidR="00FD0170" w:rsidRPr="00B92567" w:rsidRDefault="00FD0170"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 xml:space="preserve">a summary of all Performance </w:t>
      </w:r>
      <w:r w:rsidR="00F902AE" w:rsidRPr="00B92567">
        <w:rPr>
          <w:rFonts w:ascii="Arial" w:hAnsi="Arial" w:cs="Arial"/>
          <w:sz w:val="22"/>
          <w:szCs w:val="22"/>
          <w:lang w:eastAsia="en-US"/>
        </w:rPr>
        <w:t>Failure</w:t>
      </w:r>
      <w:r w:rsidRPr="00B92567">
        <w:rPr>
          <w:rFonts w:ascii="Arial" w:hAnsi="Arial" w:cs="Arial"/>
          <w:sz w:val="22"/>
          <w:szCs w:val="22"/>
          <w:lang w:eastAsia="en-US"/>
        </w:rPr>
        <w:t xml:space="preserve"> that occurred during the Service Period;</w:t>
      </w:r>
    </w:p>
    <w:p w14:paraId="2AC00A44" w14:textId="7BB4359B" w:rsidR="00FD0170" w:rsidRPr="00B92567" w:rsidRDefault="00FD0170"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which Performance Failures remain outstanding and progress in resolving them;</w:t>
      </w:r>
    </w:p>
    <w:p w14:paraId="4B797524" w14:textId="7BBE6417" w:rsidR="00FD0170" w:rsidRPr="00B92567" w:rsidRDefault="00FD0170"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the status of any outstanding Rectification Plan processes, including:</w:t>
      </w:r>
    </w:p>
    <w:p w14:paraId="5212CC67" w14:textId="1A5CF846" w:rsidR="00FD0170" w:rsidRPr="00B92567" w:rsidRDefault="00FD0170" w:rsidP="00B92567">
      <w:pPr>
        <w:pStyle w:val="GPSL3numberedclause"/>
        <w:numPr>
          <w:ilvl w:val="7"/>
          <w:numId w:val="20"/>
        </w:numPr>
        <w:tabs>
          <w:tab w:val="clear" w:pos="4961"/>
        </w:tabs>
        <w:spacing w:after="120"/>
        <w:ind w:left="1276" w:hanging="284"/>
        <w:rPr>
          <w:rFonts w:ascii="Arial" w:hAnsi="Arial" w:cs="Arial"/>
          <w:sz w:val="22"/>
          <w:szCs w:val="22"/>
          <w:lang w:eastAsia="en-US"/>
        </w:rPr>
      </w:pPr>
      <w:r w:rsidRPr="00B92567">
        <w:rPr>
          <w:rFonts w:ascii="Arial" w:hAnsi="Arial" w:cs="Arial"/>
          <w:sz w:val="22"/>
          <w:szCs w:val="22"/>
          <w:lang w:eastAsia="en-US"/>
        </w:rPr>
        <w:t>whether or not a Rectification Plan has been agreed; and</w:t>
      </w:r>
    </w:p>
    <w:p w14:paraId="7BAD4B13" w14:textId="54F4D0F9" w:rsidR="00FD0170" w:rsidRPr="00B92567" w:rsidRDefault="00FD0170" w:rsidP="00B92567">
      <w:pPr>
        <w:pStyle w:val="GPSL3numberedclause"/>
        <w:numPr>
          <w:ilvl w:val="7"/>
          <w:numId w:val="20"/>
        </w:numPr>
        <w:tabs>
          <w:tab w:val="clear" w:pos="4961"/>
        </w:tabs>
        <w:spacing w:after="120"/>
        <w:ind w:left="1276" w:hanging="284"/>
        <w:rPr>
          <w:rFonts w:ascii="Arial" w:hAnsi="Arial" w:cs="Arial"/>
          <w:sz w:val="22"/>
          <w:szCs w:val="22"/>
          <w:lang w:eastAsia="en-US"/>
        </w:rPr>
      </w:pPr>
      <w:r w:rsidRPr="00B92567">
        <w:rPr>
          <w:rFonts w:ascii="Arial" w:hAnsi="Arial" w:cs="Arial"/>
          <w:sz w:val="22"/>
          <w:szCs w:val="22"/>
          <w:lang w:eastAsia="en-US"/>
        </w:rPr>
        <w:t>where a Rectification Plan has been agreed, a summary of the Supplier’s progress in implementing that Rectification Plan;</w:t>
      </w:r>
    </w:p>
    <w:p w14:paraId="4F01D45F" w14:textId="6C4E94B2" w:rsidR="00FD0170" w:rsidRPr="00B92567" w:rsidRDefault="00FD0170"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for any Repeat Failures, actions taken to resolve the underlying cause and prevent recurrence;</w:t>
      </w:r>
    </w:p>
    <w:p w14:paraId="1DAB6568" w14:textId="0A58A5D5" w:rsidR="00FD0170" w:rsidRPr="00B92567" w:rsidRDefault="00FD0170"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the Service Credits to be applied, indicating the KPI Failure(s) to which the Service Credits relate;</w:t>
      </w:r>
    </w:p>
    <w:p w14:paraId="05DE9734" w14:textId="3D2D90A8" w:rsidR="00FD0170" w:rsidRPr="00B92567" w:rsidRDefault="00B616D9"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the conduct and performance of any agreed periodic tests that have occurred;</w:t>
      </w:r>
    </w:p>
    <w:p w14:paraId="18134BA2" w14:textId="1A613ADB" w:rsidR="00B616D9" w:rsidRPr="00B92567" w:rsidRDefault="00B616D9"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relevant particulars of any aspects of the Supplier’s performance which fail to meet the requirements of this Agreement;</w:t>
      </w:r>
    </w:p>
    <w:p w14:paraId="1F1BA08D" w14:textId="20622CEA" w:rsidR="00B616D9" w:rsidRPr="00B92567" w:rsidRDefault="00B616D9"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 xml:space="preserve">such details as the </w:t>
      </w:r>
      <w:r w:rsidR="006352E5">
        <w:rPr>
          <w:rFonts w:ascii="Arial" w:hAnsi="Arial" w:cs="Arial"/>
          <w:sz w:val="22"/>
          <w:szCs w:val="22"/>
          <w:lang w:eastAsia="en-US"/>
        </w:rPr>
        <w:t>Customer</w:t>
      </w:r>
      <w:r w:rsidRPr="00B92567">
        <w:rPr>
          <w:rFonts w:ascii="Arial" w:hAnsi="Arial" w:cs="Arial"/>
          <w:sz w:val="22"/>
          <w:szCs w:val="22"/>
          <w:lang w:eastAsia="en-US"/>
        </w:rPr>
        <w:t xml:space="preserve"> may reasonably require from time to time; and</w:t>
      </w:r>
    </w:p>
    <w:p w14:paraId="0F6CDD79" w14:textId="7C12A663" w:rsidR="00B616D9" w:rsidRPr="00B92567" w:rsidRDefault="00B616D9" w:rsidP="00B92567">
      <w:pPr>
        <w:pStyle w:val="GPSL3numberedclause"/>
        <w:numPr>
          <w:ilvl w:val="0"/>
          <w:numId w:val="0"/>
        </w:numPr>
        <w:spacing w:after="120"/>
        <w:ind w:left="1287" w:hanging="720"/>
        <w:rPr>
          <w:rFonts w:ascii="Arial" w:hAnsi="Arial" w:cs="Arial"/>
          <w:b/>
          <w:sz w:val="22"/>
          <w:szCs w:val="22"/>
          <w:lang w:eastAsia="en-US"/>
        </w:rPr>
      </w:pPr>
      <w:r w:rsidRPr="00B92567">
        <w:rPr>
          <w:rFonts w:ascii="Arial" w:hAnsi="Arial" w:cs="Arial"/>
          <w:b/>
          <w:sz w:val="22"/>
          <w:szCs w:val="22"/>
          <w:lang w:eastAsia="en-US"/>
        </w:rPr>
        <w:t>Information in respect of previous Service Periods</w:t>
      </w:r>
    </w:p>
    <w:p w14:paraId="21C83417" w14:textId="4AE32519" w:rsidR="00B616D9" w:rsidRPr="00B92567" w:rsidRDefault="00B616D9"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a rolling total of the number of Performance Failures that have occurred over the past six Service Periods;</w:t>
      </w:r>
    </w:p>
    <w:p w14:paraId="07130A39" w14:textId="1136F662" w:rsidR="00B616D9" w:rsidRPr="00B92567" w:rsidRDefault="00B616D9"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the amount of Service Credits that have been incurred by the Supplier over the past six Service Periods;</w:t>
      </w:r>
    </w:p>
    <w:p w14:paraId="0496D1DE" w14:textId="54FA6D3A" w:rsidR="00B616D9" w:rsidRPr="00B92567" w:rsidRDefault="00B616D9"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the conduct and performance of any agreed periodic tests that have occurred in such Service Period; and</w:t>
      </w:r>
    </w:p>
    <w:p w14:paraId="45470F57" w14:textId="5BA5DD67" w:rsidR="00B616D9" w:rsidRPr="00B92567" w:rsidRDefault="00B616D9" w:rsidP="00B92567">
      <w:pPr>
        <w:pStyle w:val="GPSL3numberedclause"/>
        <w:numPr>
          <w:ilvl w:val="0"/>
          <w:numId w:val="0"/>
        </w:numPr>
        <w:spacing w:after="120"/>
        <w:ind w:left="1287" w:hanging="720"/>
        <w:rPr>
          <w:rFonts w:ascii="Arial" w:hAnsi="Arial" w:cs="Arial"/>
          <w:b/>
          <w:sz w:val="22"/>
          <w:szCs w:val="22"/>
          <w:lang w:eastAsia="en-US"/>
        </w:rPr>
      </w:pPr>
      <w:r w:rsidRPr="00B92567">
        <w:rPr>
          <w:rFonts w:ascii="Arial" w:hAnsi="Arial" w:cs="Arial"/>
          <w:b/>
          <w:sz w:val="22"/>
          <w:szCs w:val="22"/>
          <w:lang w:eastAsia="en-US"/>
        </w:rPr>
        <w:t>Information in respect of the next Quarter</w:t>
      </w:r>
    </w:p>
    <w:p w14:paraId="388408E9" w14:textId="46CECE93" w:rsidR="00B616D9" w:rsidRPr="00B92567" w:rsidRDefault="00B616D9" w:rsidP="00B92567">
      <w:pPr>
        <w:pStyle w:val="GPSL3numberedclause"/>
        <w:numPr>
          <w:ilvl w:val="6"/>
          <w:numId w:val="20"/>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 xml:space="preserve">any scheduled Service Downtime that has been agreed between the </w:t>
      </w:r>
      <w:r w:rsidR="006352E5">
        <w:rPr>
          <w:rFonts w:ascii="Arial" w:hAnsi="Arial" w:cs="Arial"/>
          <w:sz w:val="22"/>
          <w:szCs w:val="22"/>
          <w:lang w:eastAsia="en-US"/>
        </w:rPr>
        <w:t>Customer</w:t>
      </w:r>
      <w:r w:rsidRPr="00B92567">
        <w:rPr>
          <w:rFonts w:ascii="Arial" w:hAnsi="Arial" w:cs="Arial"/>
          <w:sz w:val="22"/>
          <w:szCs w:val="22"/>
          <w:lang w:eastAsia="en-US"/>
        </w:rPr>
        <w:t xml:space="preserve"> and the Supplier for the next Quarter.</w:t>
      </w:r>
    </w:p>
    <w:p w14:paraId="78222A71" w14:textId="2FB29968" w:rsidR="00B616D9" w:rsidRPr="00B92567" w:rsidRDefault="00B616D9" w:rsidP="00B92567">
      <w:pPr>
        <w:pStyle w:val="GPSL2numberedclause"/>
        <w:numPr>
          <w:ilvl w:val="1"/>
          <w:numId w:val="19"/>
        </w:numPr>
        <w:spacing w:after="120"/>
        <w:rPr>
          <w:rFonts w:ascii="Arial" w:hAnsi="Arial" w:cs="Arial"/>
          <w:sz w:val="22"/>
          <w:szCs w:val="22"/>
          <w:lang w:eastAsia="en-US"/>
        </w:rPr>
      </w:pPr>
      <w:r w:rsidRPr="00B92567">
        <w:rPr>
          <w:rFonts w:ascii="Arial" w:hAnsi="Arial" w:cs="Arial"/>
          <w:sz w:val="22"/>
          <w:szCs w:val="22"/>
        </w:rPr>
        <w:t xml:space="preserve">The Performance Monitoring Report and the Balanced Scorecard Report shall be reviewed and their contents agreed by the Parties at the next Performance Review Meeting held in accordance with Paragraph </w:t>
      </w:r>
      <w:r w:rsidRPr="008A1F3B">
        <w:rPr>
          <w:rFonts w:ascii="Arial" w:hAnsi="Arial" w:cs="Arial"/>
          <w:sz w:val="22"/>
          <w:szCs w:val="22"/>
        </w:rPr>
        <w:t>1.5</w:t>
      </w:r>
      <w:r w:rsidRPr="00B92567">
        <w:rPr>
          <w:rFonts w:ascii="Arial" w:hAnsi="Arial" w:cs="Arial"/>
          <w:sz w:val="22"/>
          <w:szCs w:val="22"/>
        </w:rPr>
        <w:t>.</w:t>
      </w:r>
    </w:p>
    <w:p w14:paraId="71B3FDB9" w14:textId="25618AF7" w:rsidR="00B616D9" w:rsidRPr="00B92567" w:rsidRDefault="00B616D9" w:rsidP="00B92567">
      <w:pPr>
        <w:pStyle w:val="GPSL2numberedclause"/>
        <w:numPr>
          <w:ilvl w:val="1"/>
          <w:numId w:val="19"/>
        </w:numPr>
        <w:spacing w:after="120"/>
        <w:rPr>
          <w:rFonts w:ascii="Arial" w:hAnsi="Arial" w:cs="Arial"/>
          <w:sz w:val="22"/>
          <w:szCs w:val="22"/>
          <w:lang w:eastAsia="en-US"/>
        </w:rPr>
      </w:pPr>
      <w:r w:rsidRPr="00B92567">
        <w:rPr>
          <w:rFonts w:ascii="Arial" w:hAnsi="Arial" w:cs="Arial"/>
          <w:sz w:val="22"/>
          <w:szCs w:val="22"/>
        </w:rPr>
        <w:t>The Parties shall attend meetings on a monthly basis (unless otherwise agreed) to review the Performance Monitoring Reports and the Balanced Scorecard Reports. The Performance Review Meetings shall (unless otherwise agreed):</w:t>
      </w:r>
    </w:p>
    <w:p w14:paraId="2AD9D39C" w14:textId="335C7629" w:rsidR="00B616D9" w:rsidRPr="00B92567" w:rsidRDefault="00B616D9" w:rsidP="00B92567">
      <w:pPr>
        <w:pStyle w:val="GPSL3numberedclause"/>
        <w:numPr>
          <w:ilvl w:val="6"/>
          <w:numId w:val="21"/>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take place within 5 working days of the Performance Monitoring Report being issued by the Supplier;</w:t>
      </w:r>
    </w:p>
    <w:p w14:paraId="7D2DCBDF" w14:textId="1D59878E" w:rsidR="00B616D9" w:rsidRPr="00B92567" w:rsidRDefault="00B616D9" w:rsidP="00B92567">
      <w:pPr>
        <w:pStyle w:val="GPSL3numberedclause"/>
        <w:numPr>
          <w:ilvl w:val="6"/>
          <w:numId w:val="21"/>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 xml:space="preserve">take place as such location and time (within normal business hours) as the </w:t>
      </w:r>
      <w:r w:rsidR="006352E5">
        <w:rPr>
          <w:rFonts w:ascii="Arial" w:hAnsi="Arial" w:cs="Arial"/>
          <w:sz w:val="22"/>
          <w:szCs w:val="22"/>
          <w:lang w:eastAsia="en-US"/>
        </w:rPr>
        <w:t>Customer</w:t>
      </w:r>
      <w:r w:rsidRPr="00B92567">
        <w:rPr>
          <w:rFonts w:ascii="Arial" w:hAnsi="Arial" w:cs="Arial"/>
          <w:sz w:val="22"/>
          <w:szCs w:val="22"/>
          <w:lang w:eastAsia="en-US"/>
        </w:rPr>
        <w:t xml:space="preserve"> shall reasonably require (unless otherwise agreed in advance); and</w:t>
      </w:r>
    </w:p>
    <w:p w14:paraId="293A4E58" w14:textId="6BCA565F" w:rsidR="00B616D9" w:rsidRPr="00B92567" w:rsidRDefault="00B616D9" w:rsidP="00B92567">
      <w:pPr>
        <w:pStyle w:val="GPSL3numberedclause"/>
        <w:numPr>
          <w:ilvl w:val="6"/>
          <w:numId w:val="21"/>
        </w:numPr>
        <w:tabs>
          <w:tab w:val="clear" w:pos="4252"/>
        </w:tabs>
        <w:spacing w:after="120"/>
        <w:ind w:left="993" w:hanging="426"/>
        <w:rPr>
          <w:rFonts w:ascii="Arial" w:hAnsi="Arial" w:cs="Arial"/>
          <w:sz w:val="22"/>
          <w:szCs w:val="22"/>
          <w:lang w:eastAsia="en-US"/>
        </w:rPr>
      </w:pPr>
      <w:r w:rsidRPr="00B92567">
        <w:rPr>
          <w:rFonts w:ascii="Arial" w:hAnsi="Arial" w:cs="Arial"/>
          <w:sz w:val="22"/>
          <w:szCs w:val="22"/>
          <w:lang w:eastAsia="en-US"/>
        </w:rPr>
        <w:t xml:space="preserve">be attended by the Supplier Representative and the </w:t>
      </w:r>
      <w:r w:rsidR="006352E5">
        <w:rPr>
          <w:rFonts w:ascii="Arial" w:hAnsi="Arial" w:cs="Arial"/>
          <w:sz w:val="22"/>
          <w:szCs w:val="22"/>
          <w:lang w:eastAsia="en-US"/>
        </w:rPr>
        <w:t>Customer</w:t>
      </w:r>
      <w:r w:rsidRPr="00B92567">
        <w:rPr>
          <w:rFonts w:ascii="Arial" w:hAnsi="Arial" w:cs="Arial"/>
          <w:sz w:val="22"/>
          <w:szCs w:val="22"/>
          <w:lang w:eastAsia="en-US"/>
        </w:rPr>
        <w:t xml:space="preserve"> Representative.</w:t>
      </w:r>
    </w:p>
    <w:p w14:paraId="13BE8571" w14:textId="5DAE9CA6" w:rsidR="00B616D9" w:rsidRPr="00B92567" w:rsidRDefault="00B616D9" w:rsidP="00B92567">
      <w:pPr>
        <w:pStyle w:val="GPSL2numberedclause"/>
        <w:numPr>
          <w:ilvl w:val="1"/>
          <w:numId w:val="19"/>
        </w:numPr>
        <w:spacing w:after="120"/>
        <w:rPr>
          <w:rFonts w:ascii="Arial" w:hAnsi="Arial" w:cs="Arial"/>
          <w:sz w:val="22"/>
          <w:szCs w:val="22"/>
          <w:lang w:eastAsia="en-US"/>
        </w:rPr>
      </w:pPr>
      <w:r w:rsidRPr="00B92567">
        <w:rPr>
          <w:rFonts w:ascii="Arial" w:hAnsi="Arial" w:cs="Arial"/>
          <w:sz w:val="22"/>
          <w:szCs w:val="22"/>
        </w:rPr>
        <w:t xml:space="preserve">The </w:t>
      </w:r>
      <w:r w:rsidR="006352E5">
        <w:rPr>
          <w:rFonts w:ascii="Arial" w:hAnsi="Arial" w:cs="Arial"/>
          <w:sz w:val="22"/>
          <w:szCs w:val="22"/>
        </w:rPr>
        <w:t>Customer</w:t>
      </w:r>
      <w:r w:rsidRPr="00B92567">
        <w:rPr>
          <w:rFonts w:ascii="Arial" w:hAnsi="Arial" w:cs="Arial"/>
          <w:sz w:val="22"/>
          <w:szCs w:val="22"/>
        </w:rPr>
        <w:t xml:space="preserve"> shall be entitled to raise any additional questions and/or request any further information from the Supplier regarding any KPI Failure and/or PI Failure.</w:t>
      </w:r>
    </w:p>
    <w:p w14:paraId="7C9E02E5" w14:textId="4DCE271E" w:rsidR="00B616D9" w:rsidRPr="00B92567" w:rsidRDefault="00B616D9" w:rsidP="00B92567">
      <w:pPr>
        <w:pStyle w:val="GPSL1CLAUSEHEADING"/>
        <w:numPr>
          <w:ilvl w:val="0"/>
          <w:numId w:val="19"/>
        </w:numPr>
        <w:spacing w:after="120"/>
        <w:rPr>
          <w:rFonts w:ascii="Arial" w:hAnsi="Arial" w:cs="Arial"/>
          <w:b/>
          <w:sz w:val="22"/>
          <w:szCs w:val="22"/>
          <w:lang w:eastAsia="en-US"/>
        </w:rPr>
      </w:pPr>
      <w:r w:rsidRPr="00B92567">
        <w:rPr>
          <w:rFonts w:ascii="Arial" w:hAnsi="Arial" w:cs="Arial"/>
          <w:b/>
          <w:sz w:val="22"/>
          <w:szCs w:val="22"/>
          <w:lang w:eastAsia="en-US"/>
        </w:rPr>
        <w:t>PERFORMANCE RECORDS</w:t>
      </w:r>
    </w:p>
    <w:p w14:paraId="78BF883B" w14:textId="7837B1C4" w:rsidR="00B616D9" w:rsidRPr="00B92567" w:rsidRDefault="00B616D9" w:rsidP="00B92567">
      <w:pPr>
        <w:pStyle w:val="GPSL2numberedclause"/>
        <w:numPr>
          <w:ilvl w:val="1"/>
          <w:numId w:val="19"/>
        </w:numPr>
        <w:spacing w:after="120"/>
        <w:rPr>
          <w:rFonts w:ascii="Arial" w:hAnsi="Arial" w:cs="Arial"/>
          <w:sz w:val="22"/>
          <w:szCs w:val="22"/>
          <w:lang w:eastAsia="en-US"/>
        </w:rPr>
      </w:pPr>
      <w:r w:rsidRPr="00B92567">
        <w:rPr>
          <w:rFonts w:ascii="Arial" w:hAnsi="Arial" w:cs="Arial"/>
          <w:sz w:val="22"/>
          <w:szCs w:val="22"/>
        </w:rPr>
        <w:t>The Supplier shall keep appropriate documents and records (including Help Desk records, staff records, timesheets, training programmes, staff training records, goods received documentation, supplier accreditation records, complaints received etc</w:t>
      </w:r>
      <w:r w:rsidR="008A1F3B">
        <w:rPr>
          <w:rFonts w:ascii="Arial" w:hAnsi="Arial" w:cs="Arial"/>
          <w:sz w:val="22"/>
          <w:szCs w:val="22"/>
        </w:rPr>
        <w:t>.</w:t>
      </w:r>
      <w:r w:rsidRPr="00B92567">
        <w:rPr>
          <w:rFonts w:ascii="Arial" w:hAnsi="Arial" w:cs="Arial"/>
          <w:sz w:val="22"/>
          <w:szCs w:val="22"/>
        </w:rPr>
        <w:t xml:space="preserve">) in relation to the Services being delivered. Without prejudice to the generality of the foregoing, the Supplier shall maintain accurate records of call histories for a minimum of 12 months and provide prompt access to such records to the </w:t>
      </w:r>
      <w:r w:rsidR="006352E5">
        <w:rPr>
          <w:rFonts w:ascii="Arial" w:hAnsi="Arial" w:cs="Arial"/>
          <w:sz w:val="22"/>
          <w:szCs w:val="22"/>
        </w:rPr>
        <w:t>Customer</w:t>
      </w:r>
      <w:r w:rsidRPr="00B92567">
        <w:rPr>
          <w:rFonts w:ascii="Arial" w:hAnsi="Arial" w:cs="Arial"/>
          <w:sz w:val="22"/>
          <w:szCs w:val="22"/>
        </w:rPr>
        <w:t xml:space="preserve"> upon the </w:t>
      </w:r>
      <w:r w:rsidR="006352E5">
        <w:rPr>
          <w:rFonts w:ascii="Arial" w:hAnsi="Arial" w:cs="Arial"/>
          <w:sz w:val="22"/>
          <w:szCs w:val="22"/>
        </w:rPr>
        <w:t>Customer</w:t>
      </w:r>
      <w:r w:rsidRPr="00B92567">
        <w:rPr>
          <w:rFonts w:ascii="Arial" w:hAnsi="Arial" w:cs="Arial"/>
          <w:sz w:val="22"/>
          <w:szCs w:val="22"/>
        </w:rPr>
        <w:t xml:space="preserve">'s request. The records and documents of the Supplier shall be available for inspection by the </w:t>
      </w:r>
      <w:r w:rsidR="006352E5">
        <w:rPr>
          <w:rFonts w:ascii="Arial" w:hAnsi="Arial" w:cs="Arial"/>
          <w:sz w:val="22"/>
          <w:szCs w:val="22"/>
        </w:rPr>
        <w:t>Customer</w:t>
      </w:r>
      <w:r w:rsidRPr="00B92567">
        <w:rPr>
          <w:rFonts w:ascii="Arial" w:hAnsi="Arial" w:cs="Arial"/>
          <w:sz w:val="22"/>
          <w:szCs w:val="22"/>
        </w:rPr>
        <w:t xml:space="preserve"> and/or its nominee at any time and the </w:t>
      </w:r>
      <w:r w:rsidR="006352E5">
        <w:rPr>
          <w:rFonts w:ascii="Arial" w:hAnsi="Arial" w:cs="Arial"/>
          <w:sz w:val="22"/>
          <w:szCs w:val="22"/>
        </w:rPr>
        <w:t>Customer</w:t>
      </w:r>
      <w:r w:rsidRPr="00B92567">
        <w:rPr>
          <w:rFonts w:ascii="Arial" w:hAnsi="Arial" w:cs="Arial"/>
          <w:sz w:val="22"/>
          <w:szCs w:val="22"/>
        </w:rPr>
        <w:t xml:space="preserve"> and/or its nominee may make copies of any such records and documents.</w:t>
      </w:r>
    </w:p>
    <w:p w14:paraId="6FC6B9B4" w14:textId="5FDF0BA6" w:rsidR="00B616D9" w:rsidRPr="00B92567" w:rsidRDefault="00B92567" w:rsidP="00B92567">
      <w:pPr>
        <w:pStyle w:val="GPSL2numberedclause"/>
        <w:numPr>
          <w:ilvl w:val="1"/>
          <w:numId w:val="19"/>
        </w:numPr>
        <w:spacing w:after="120"/>
        <w:rPr>
          <w:rFonts w:ascii="Arial" w:hAnsi="Arial" w:cs="Arial"/>
          <w:sz w:val="22"/>
          <w:szCs w:val="22"/>
          <w:lang w:eastAsia="en-US"/>
        </w:rPr>
      </w:pPr>
      <w:r w:rsidRPr="00B92567">
        <w:rPr>
          <w:rFonts w:ascii="Arial" w:hAnsi="Arial" w:cs="Arial"/>
          <w:sz w:val="22"/>
          <w:szCs w:val="22"/>
        </w:rPr>
        <w:t xml:space="preserve">In addition to the requirement in Paragraph 2.1 to maintain appropriate documents and records, the Supplier shall provide to the </w:t>
      </w:r>
      <w:r w:rsidR="006352E5">
        <w:rPr>
          <w:rFonts w:ascii="Arial" w:hAnsi="Arial" w:cs="Arial"/>
          <w:sz w:val="22"/>
          <w:szCs w:val="22"/>
        </w:rPr>
        <w:t>Customer</w:t>
      </w:r>
      <w:r w:rsidRPr="00B92567">
        <w:rPr>
          <w:rFonts w:ascii="Arial" w:hAnsi="Arial" w:cs="Arial"/>
          <w:sz w:val="22"/>
          <w:szCs w:val="22"/>
        </w:rPr>
        <w:t xml:space="preserve"> such supporting documentation as the </w:t>
      </w:r>
      <w:r w:rsidR="006352E5">
        <w:rPr>
          <w:rFonts w:ascii="Arial" w:hAnsi="Arial" w:cs="Arial"/>
          <w:sz w:val="22"/>
          <w:szCs w:val="22"/>
        </w:rPr>
        <w:t>Customer</w:t>
      </w:r>
      <w:r w:rsidRPr="00B92567">
        <w:rPr>
          <w:rFonts w:ascii="Arial" w:hAnsi="Arial" w:cs="Arial"/>
          <w:sz w:val="22"/>
          <w:szCs w:val="22"/>
        </w:rPr>
        <w:t xml:space="preserve"> may reasonably require in order to verify the level of the performance of the Supplier both before and after each Operational Service Commencement Date and the calculations of the amount of Service Credits for any specified period.</w:t>
      </w:r>
    </w:p>
    <w:p w14:paraId="6C0FB330" w14:textId="102EF672" w:rsidR="00B92567" w:rsidRPr="00B92567" w:rsidRDefault="00B92567" w:rsidP="00B92567">
      <w:pPr>
        <w:pStyle w:val="GPSL2numberedclause"/>
        <w:numPr>
          <w:ilvl w:val="1"/>
          <w:numId w:val="19"/>
        </w:numPr>
        <w:spacing w:after="120"/>
        <w:rPr>
          <w:rFonts w:ascii="Arial" w:hAnsi="Arial" w:cs="Arial"/>
          <w:sz w:val="22"/>
          <w:szCs w:val="22"/>
          <w:lang w:eastAsia="en-US"/>
        </w:rPr>
      </w:pPr>
      <w:r w:rsidRPr="00B92567">
        <w:rPr>
          <w:rFonts w:ascii="Arial" w:hAnsi="Arial" w:cs="Arial"/>
          <w:sz w:val="22"/>
          <w:szCs w:val="22"/>
        </w:rPr>
        <w:t xml:space="preserve">The Supplier shall ensure that the Performance Monitoring Report and any variations or amendments thereto, any reports and summaries produced in accordance with this Schedule and any other document or record reasonably required by the </w:t>
      </w:r>
      <w:r w:rsidR="006352E5">
        <w:rPr>
          <w:rFonts w:ascii="Arial" w:hAnsi="Arial" w:cs="Arial"/>
          <w:sz w:val="22"/>
          <w:szCs w:val="22"/>
        </w:rPr>
        <w:t>Customer</w:t>
      </w:r>
      <w:r w:rsidRPr="00B92567">
        <w:rPr>
          <w:rFonts w:ascii="Arial" w:hAnsi="Arial" w:cs="Arial"/>
          <w:sz w:val="22"/>
          <w:szCs w:val="22"/>
        </w:rPr>
        <w:t xml:space="preserve"> are available to the </w:t>
      </w:r>
      <w:r w:rsidR="006352E5">
        <w:rPr>
          <w:rFonts w:ascii="Arial" w:hAnsi="Arial" w:cs="Arial"/>
          <w:sz w:val="22"/>
          <w:szCs w:val="22"/>
        </w:rPr>
        <w:t>Customer</w:t>
      </w:r>
      <w:r w:rsidRPr="00B92567">
        <w:rPr>
          <w:rFonts w:ascii="Arial" w:hAnsi="Arial" w:cs="Arial"/>
          <w:sz w:val="22"/>
          <w:szCs w:val="22"/>
        </w:rPr>
        <w:t xml:space="preserve"> on-line and are capable of being printed.</w:t>
      </w:r>
    </w:p>
    <w:p w14:paraId="2A83997A" w14:textId="542DCBCF" w:rsidR="00B92567" w:rsidRPr="00B92567" w:rsidRDefault="00B92567" w:rsidP="00B92567">
      <w:pPr>
        <w:pStyle w:val="GPSL1CLAUSEHEADING"/>
        <w:numPr>
          <w:ilvl w:val="0"/>
          <w:numId w:val="19"/>
        </w:numPr>
        <w:spacing w:after="120"/>
        <w:rPr>
          <w:rFonts w:ascii="Arial" w:hAnsi="Arial" w:cs="Arial"/>
          <w:b/>
          <w:sz w:val="22"/>
          <w:szCs w:val="22"/>
          <w:lang w:eastAsia="en-US"/>
        </w:rPr>
      </w:pPr>
      <w:r w:rsidRPr="00B92567">
        <w:rPr>
          <w:rFonts w:ascii="Arial" w:hAnsi="Arial" w:cs="Arial"/>
          <w:b/>
          <w:sz w:val="22"/>
          <w:szCs w:val="22"/>
          <w:lang w:eastAsia="en-US"/>
        </w:rPr>
        <w:t>PERFORMANCE VERIFICATION</w:t>
      </w:r>
    </w:p>
    <w:p w14:paraId="7BF0B689" w14:textId="42997D2D" w:rsidR="00B92567" w:rsidRPr="00B92567" w:rsidRDefault="00B92567" w:rsidP="00B92567">
      <w:pPr>
        <w:pStyle w:val="GPSL2numberedclause"/>
        <w:numPr>
          <w:ilvl w:val="0"/>
          <w:numId w:val="0"/>
        </w:numPr>
        <w:spacing w:after="120"/>
        <w:ind w:left="928"/>
        <w:rPr>
          <w:rFonts w:ascii="Arial" w:hAnsi="Arial" w:cs="Arial"/>
          <w:sz w:val="22"/>
          <w:szCs w:val="22"/>
          <w:lang w:eastAsia="en-US"/>
        </w:rPr>
      </w:pPr>
      <w:r w:rsidRPr="00B92567">
        <w:rPr>
          <w:rFonts w:ascii="Arial" w:hAnsi="Arial" w:cs="Arial"/>
          <w:sz w:val="22"/>
          <w:szCs w:val="22"/>
        </w:rPr>
        <w:t xml:space="preserve">The </w:t>
      </w:r>
      <w:r w:rsidR="006352E5">
        <w:rPr>
          <w:rFonts w:ascii="Arial" w:hAnsi="Arial" w:cs="Arial"/>
          <w:sz w:val="22"/>
          <w:szCs w:val="22"/>
        </w:rPr>
        <w:t>Customer</w:t>
      </w:r>
      <w:r w:rsidRPr="00B92567">
        <w:rPr>
          <w:rFonts w:ascii="Arial" w:hAnsi="Arial" w:cs="Arial"/>
          <w:sz w:val="22"/>
          <w:szCs w:val="22"/>
        </w:rPr>
        <w:t xml:space="preserve"> reserves the right to verify the Availability of the Services and the Supplier’s performance under this Agreement against the Performance Indicators including by sending test transactions or otherwise.</w:t>
      </w:r>
    </w:p>
    <w:p w14:paraId="283F20F3" w14:textId="77777777" w:rsidR="00FD0170" w:rsidRPr="00B92567" w:rsidRDefault="00FD0170" w:rsidP="00FD0170">
      <w:pPr>
        <w:pStyle w:val="GPSL1CLAUSEHEADING"/>
        <w:numPr>
          <w:ilvl w:val="0"/>
          <w:numId w:val="0"/>
        </w:numPr>
        <w:ind w:left="1288" w:hanging="360"/>
        <w:rPr>
          <w:rFonts w:ascii="Arial" w:hAnsi="Arial" w:cs="Arial"/>
          <w:sz w:val="22"/>
          <w:szCs w:val="22"/>
          <w:lang w:eastAsia="en-US"/>
        </w:rPr>
      </w:pPr>
    </w:p>
    <w:p w14:paraId="33688DB0" w14:textId="2158B2E5" w:rsidR="006352E5" w:rsidRDefault="006352E5" w:rsidP="00B92567">
      <w:pPr>
        <w:pStyle w:val="GPSL1CLAUSEHEADING"/>
        <w:numPr>
          <w:ilvl w:val="0"/>
          <w:numId w:val="0"/>
        </w:numPr>
        <w:rPr>
          <w:rFonts w:ascii="Arial" w:hAnsi="Arial" w:cs="Arial"/>
          <w:sz w:val="22"/>
          <w:szCs w:val="22"/>
          <w:lang w:eastAsia="en-US"/>
        </w:rPr>
      </w:pPr>
    </w:p>
    <w:p w14:paraId="62D3AFB7" w14:textId="77777777" w:rsidR="006352E5" w:rsidRDefault="006352E5">
      <w:pPr>
        <w:rPr>
          <w:rFonts w:ascii="Arial" w:hAnsi="Arial" w:cs="Arial"/>
          <w:sz w:val="22"/>
          <w:szCs w:val="22"/>
          <w:lang w:eastAsia="en-US"/>
        </w:rPr>
      </w:pPr>
      <w:r>
        <w:rPr>
          <w:rFonts w:ascii="Arial" w:hAnsi="Arial" w:cs="Arial"/>
          <w:sz w:val="22"/>
          <w:szCs w:val="22"/>
          <w:lang w:eastAsia="en-US"/>
        </w:rPr>
        <w:br w:type="page"/>
      </w:r>
    </w:p>
    <w:p w14:paraId="618AB543" w14:textId="516A8C3D" w:rsidR="00106B93" w:rsidRDefault="006352E5" w:rsidP="00B92567">
      <w:pPr>
        <w:pStyle w:val="GPSL1CLAUSEHEADING"/>
        <w:numPr>
          <w:ilvl w:val="0"/>
          <w:numId w:val="0"/>
        </w:numPr>
        <w:rPr>
          <w:rFonts w:ascii="Arial" w:hAnsi="Arial" w:cs="Arial"/>
          <w:b/>
          <w:sz w:val="22"/>
          <w:szCs w:val="22"/>
          <w:lang w:eastAsia="en-US"/>
        </w:rPr>
      </w:pPr>
      <w:r>
        <w:rPr>
          <w:rFonts w:ascii="Arial" w:hAnsi="Arial" w:cs="Arial"/>
          <w:b/>
          <w:sz w:val="22"/>
          <w:szCs w:val="22"/>
          <w:lang w:eastAsia="en-US"/>
        </w:rPr>
        <w:t>Annex 1 – KEY PERFORMANCE INDICATORS</w:t>
      </w:r>
    </w:p>
    <w:p w14:paraId="7F92DE44" w14:textId="1B1B1449" w:rsidR="006352E5" w:rsidRDefault="006352E5" w:rsidP="00B92567">
      <w:pPr>
        <w:pStyle w:val="GPSL1CLAUSEHEADING"/>
        <w:numPr>
          <w:ilvl w:val="0"/>
          <w:numId w:val="0"/>
        </w:numPr>
        <w:rPr>
          <w:rFonts w:ascii="Arial" w:hAnsi="Arial" w:cs="Arial"/>
          <w:b/>
          <w:sz w:val="22"/>
          <w:szCs w:val="22"/>
          <w:lang w:eastAsia="en-US"/>
        </w:rPr>
      </w:pPr>
    </w:p>
    <w:tbl>
      <w:tblPr>
        <w:tblStyle w:val="TableGrid"/>
        <w:tblW w:w="9786" w:type="dxa"/>
        <w:tblInd w:w="-431" w:type="dxa"/>
        <w:tblLayout w:type="fixed"/>
        <w:tblLook w:val="04A0" w:firstRow="1" w:lastRow="0" w:firstColumn="1" w:lastColumn="0" w:noHBand="0" w:noVBand="1"/>
      </w:tblPr>
      <w:tblGrid>
        <w:gridCol w:w="710"/>
        <w:gridCol w:w="1844"/>
        <w:gridCol w:w="3546"/>
        <w:gridCol w:w="992"/>
        <w:gridCol w:w="2694"/>
      </w:tblGrid>
      <w:tr w:rsidR="00864DF7" w14:paraId="4DC0A046" w14:textId="77777777" w:rsidTr="00864DF7">
        <w:trPr>
          <w:tblHeader/>
        </w:trPr>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C9C5E4" w14:textId="77777777" w:rsidR="00864DF7" w:rsidRDefault="00864DF7">
            <w:pPr>
              <w:pStyle w:val="Heading2"/>
              <w:tabs>
                <w:tab w:val="clear" w:pos="709"/>
                <w:tab w:val="left" w:pos="720"/>
              </w:tabs>
              <w:ind w:left="0" w:firstLine="0"/>
              <w:jc w:val="center"/>
              <w:textAlignment w:val="baseline"/>
              <w:rPr>
                <w:sz w:val="22"/>
                <w:szCs w:val="20"/>
              </w:rPr>
            </w:pPr>
            <w:r>
              <w:t>KPI/ SLA</w:t>
            </w:r>
          </w:p>
        </w:tc>
        <w:tc>
          <w:tcPr>
            <w:tcW w:w="18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2B9AB52" w14:textId="77777777" w:rsidR="00864DF7" w:rsidRDefault="00864DF7">
            <w:pPr>
              <w:pStyle w:val="Heading2"/>
              <w:tabs>
                <w:tab w:val="clear" w:pos="709"/>
                <w:tab w:val="left" w:pos="720"/>
              </w:tabs>
              <w:ind w:left="0" w:firstLine="0"/>
              <w:jc w:val="center"/>
              <w:textAlignment w:val="baseline"/>
            </w:pPr>
            <w:r>
              <w:t>Service Area</w:t>
            </w:r>
          </w:p>
        </w:tc>
        <w:tc>
          <w:tcPr>
            <w:tcW w:w="35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EE4D6A" w14:textId="77777777" w:rsidR="00864DF7" w:rsidRDefault="00864DF7">
            <w:pPr>
              <w:pStyle w:val="Heading2"/>
              <w:tabs>
                <w:tab w:val="clear" w:pos="709"/>
                <w:tab w:val="left" w:pos="720"/>
              </w:tabs>
              <w:ind w:left="0" w:firstLine="0"/>
              <w:jc w:val="center"/>
              <w:textAlignment w:val="baseline"/>
            </w:pPr>
            <w:r>
              <w:t>KPI/SLA description</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C1CD98A" w14:textId="77777777" w:rsidR="00864DF7" w:rsidRDefault="00864DF7">
            <w:pPr>
              <w:pStyle w:val="Heading2"/>
              <w:tabs>
                <w:tab w:val="clear" w:pos="709"/>
                <w:tab w:val="left" w:pos="720"/>
              </w:tabs>
              <w:ind w:left="0" w:firstLine="0"/>
              <w:jc w:val="center"/>
              <w:textAlignment w:val="baseline"/>
            </w:pPr>
            <w:r>
              <w:t>Target</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9D24A8A" w14:textId="77777777" w:rsidR="00864DF7" w:rsidRDefault="00864DF7">
            <w:pPr>
              <w:pStyle w:val="Heading2"/>
              <w:tabs>
                <w:tab w:val="clear" w:pos="709"/>
                <w:tab w:val="left" w:pos="720"/>
              </w:tabs>
              <w:ind w:left="0" w:firstLine="0"/>
              <w:jc w:val="center"/>
              <w:textAlignment w:val="baseline"/>
            </w:pPr>
            <w:r>
              <w:t>Outcome</w:t>
            </w:r>
          </w:p>
        </w:tc>
      </w:tr>
      <w:tr w:rsidR="00864DF7" w14:paraId="0CE6ECAE" w14:textId="77777777" w:rsidTr="00864DF7">
        <w:tc>
          <w:tcPr>
            <w:tcW w:w="710" w:type="dxa"/>
            <w:tcBorders>
              <w:top w:val="single" w:sz="4" w:space="0" w:color="auto"/>
              <w:left w:val="single" w:sz="4" w:space="0" w:color="auto"/>
              <w:bottom w:val="single" w:sz="4" w:space="0" w:color="auto"/>
              <w:right w:val="single" w:sz="4" w:space="0" w:color="auto"/>
            </w:tcBorders>
            <w:hideMark/>
          </w:tcPr>
          <w:p w14:paraId="71D18295" w14:textId="77777777" w:rsidR="00864DF7" w:rsidRDefault="00864DF7">
            <w:pPr>
              <w:pStyle w:val="Heading2"/>
              <w:tabs>
                <w:tab w:val="clear" w:pos="709"/>
                <w:tab w:val="left" w:pos="720"/>
              </w:tabs>
              <w:ind w:left="0" w:firstLine="0"/>
              <w:jc w:val="center"/>
              <w:textAlignment w:val="baseline"/>
            </w:pPr>
            <w:r>
              <w:t>#1</w:t>
            </w:r>
          </w:p>
        </w:tc>
        <w:tc>
          <w:tcPr>
            <w:tcW w:w="1844" w:type="dxa"/>
            <w:tcBorders>
              <w:top w:val="single" w:sz="4" w:space="0" w:color="auto"/>
              <w:left w:val="single" w:sz="4" w:space="0" w:color="auto"/>
              <w:bottom w:val="single" w:sz="4" w:space="0" w:color="auto"/>
              <w:right w:val="single" w:sz="4" w:space="0" w:color="auto"/>
            </w:tcBorders>
            <w:hideMark/>
          </w:tcPr>
          <w:p w14:paraId="0D8B7037" w14:textId="77777777" w:rsidR="00864DF7" w:rsidRDefault="00864DF7">
            <w:pPr>
              <w:pStyle w:val="Heading2"/>
              <w:tabs>
                <w:tab w:val="clear" w:pos="709"/>
                <w:tab w:val="left" w:pos="720"/>
              </w:tabs>
              <w:ind w:left="0" w:firstLine="0"/>
              <w:jc w:val="left"/>
              <w:textAlignment w:val="baseline"/>
            </w:pPr>
            <w:r>
              <w:t>Recruitment of candidates.</w:t>
            </w:r>
          </w:p>
        </w:tc>
        <w:tc>
          <w:tcPr>
            <w:tcW w:w="3546" w:type="dxa"/>
            <w:tcBorders>
              <w:top w:val="single" w:sz="4" w:space="0" w:color="auto"/>
              <w:left w:val="single" w:sz="4" w:space="0" w:color="auto"/>
              <w:bottom w:val="single" w:sz="4" w:space="0" w:color="auto"/>
              <w:right w:val="single" w:sz="4" w:space="0" w:color="auto"/>
            </w:tcBorders>
            <w:hideMark/>
          </w:tcPr>
          <w:p w14:paraId="395C989E" w14:textId="77777777" w:rsidR="00864DF7" w:rsidRDefault="00864DF7">
            <w:pPr>
              <w:pStyle w:val="Heading2"/>
              <w:tabs>
                <w:tab w:val="clear" w:pos="709"/>
                <w:tab w:val="left" w:pos="720"/>
              </w:tabs>
              <w:ind w:left="0" w:firstLine="0"/>
              <w:jc w:val="left"/>
              <w:textAlignment w:val="baseline"/>
            </w:pPr>
            <w:r>
              <w:t>Where requested, ther Supplier will provide an agreed recruitment strategy within two working days of request raised by the Authority.</w:t>
            </w:r>
          </w:p>
        </w:tc>
        <w:tc>
          <w:tcPr>
            <w:tcW w:w="992" w:type="dxa"/>
            <w:tcBorders>
              <w:top w:val="single" w:sz="4" w:space="0" w:color="auto"/>
              <w:left w:val="single" w:sz="4" w:space="0" w:color="auto"/>
              <w:bottom w:val="single" w:sz="4" w:space="0" w:color="auto"/>
              <w:right w:val="single" w:sz="4" w:space="0" w:color="auto"/>
            </w:tcBorders>
            <w:hideMark/>
          </w:tcPr>
          <w:p w14:paraId="3057A670" w14:textId="77777777" w:rsidR="00864DF7" w:rsidRDefault="00864DF7">
            <w:pPr>
              <w:pStyle w:val="Heading2"/>
              <w:tabs>
                <w:tab w:val="clear" w:pos="709"/>
                <w:tab w:val="left" w:pos="720"/>
              </w:tabs>
              <w:ind w:left="0" w:firstLine="0"/>
              <w:textAlignment w:val="baseline"/>
            </w:pPr>
            <w:r>
              <w:t>95%</w:t>
            </w:r>
          </w:p>
        </w:tc>
        <w:tc>
          <w:tcPr>
            <w:tcW w:w="2694" w:type="dxa"/>
            <w:tcBorders>
              <w:top w:val="single" w:sz="4" w:space="0" w:color="auto"/>
              <w:left w:val="single" w:sz="4" w:space="0" w:color="auto"/>
              <w:bottom w:val="single" w:sz="4" w:space="0" w:color="auto"/>
              <w:right w:val="single" w:sz="4" w:space="0" w:color="auto"/>
            </w:tcBorders>
            <w:hideMark/>
          </w:tcPr>
          <w:p w14:paraId="2D98E3A4" w14:textId="77777777" w:rsidR="00864DF7" w:rsidRDefault="00864DF7">
            <w:pPr>
              <w:pStyle w:val="Heading2"/>
              <w:tabs>
                <w:tab w:val="clear" w:pos="709"/>
                <w:tab w:val="left" w:pos="720"/>
              </w:tabs>
              <w:ind w:left="0" w:firstLine="0"/>
              <w:textAlignment w:val="baseline"/>
            </w:pPr>
            <w:r>
              <w:t>50% of non-EFSA fee for each percentage point below the target</w:t>
            </w:r>
          </w:p>
        </w:tc>
      </w:tr>
      <w:tr w:rsidR="00864DF7" w14:paraId="7D06A586" w14:textId="77777777" w:rsidTr="00864DF7">
        <w:tc>
          <w:tcPr>
            <w:tcW w:w="710" w:type="dxa"/>
            <w:tcBorders>
              <w:top w:val="single" w:sz="4" w:space="0" w:color="auto"/>
              <w:left w:val="single" w:sz="4" w:space="0" w:color="auto"/>
              <w:bottom w:val="single" w:sz="4" w:space="0" w:color="auto"/>
              <w:right w:val="single" w:sz="4" w:space="0" w:color="auto"/>
            </w:tcBorders>
            <w:hideMark/>
          </w:tcPr>
          <w:p w14:paraId="1212835D" w14:textId="77777777" w:rsidR="00864DF7" w:rsidRDefault="00864DF7">
            <w:pPr>
              <w:pStyle w:val="Heading2"/>
              <w:tabs>
                <w:tab w:val="clear" w:pos="709"/>
                <w:tab w:val="left" w:pos="720"/>
              </w:tabs>
              <w:ind w:left="0" w:firstLine="0"/>
              <w:jc w:val="center"/>
              <w:textAlignment w:val="baseline"/>
            </w:pPr>
            <w:r>
              <w:t>#2</w:t>
            </w:r>
          </w:p>
        </w:tc>
        <w:tc>
          <w:tcPr>
            <w:tcW w:w="1844" w:type="dxa"/>
            <w:tcBorders>
              <w:top w:val="single" w:sz="4" w:space="0" w:color="auto"/>
              <w:left w:val="single" w:sz="4" w:space="0" w:color="auto"/>
              <w:bottom w:val="single" w:sz="4" w:space="0" w:color="auto"/>
              <w:right w:val="single" w:sz="4" w:space="0" w:color="auto"/>
            </w:tcBorders>
            <w:hideMark/>
          </w:tcPr>
          <w:p w14:paraId="6B464A71" w14:textId="77777777" w:rsidR="00864DF7" w:rsidRDefault="00864DF7">
            <w:pPr>
              <w:pStyle w:val="Heading2"/>
              <w:tabs>
                <w:tab w:val="clear" w:pos="709"/>
                <w:tab w:val="left" w:pos="720"/>
              </w:tabs>
              <w:ind w:left="0" w:firstLine="0"/>
              <w:textAlignment w:val="baseline"/>
            </w:pPr>
            <w:r>
              <w:t>Commencement of training.</w:t>
            </w:r>
          </w:p>
        </w:tc>
        <w:tc>
          <w:tcPr>
            <w:tcW w:w="3546" w:type="dxa"/>
            <w:tcBorders>
              <w:top w:val="single" w:sz="4" w:space="0" w:color="auto"/>
              <w:left w:val="single" w:sz="4" w:space="0" w:color="auto"/>
              <w:bottom w:val="single" w:sz="4" w:space="0" w:color="auto"/>
              <w:right w:val="single" w:sz="4" w:space="0" w:color="auto"/>
            </w:tcBorders>
            <w:hideMark/>
          </w:tcPr>
          <w:p w14:paraId="02A2D215" w14:textId="77777777" w:rsidR="00864DF7" w:rsidRDefault="00864DF7">
            <w:pPr>
              <w:pStyle w:val="Heading2"/>
              <w:tabs>
                <w:tab w:val="clear" w:pos="709"/>
                <w:tab w:val="left" w:pos="720"/>
              </w:tabs>
              <w:ind w:left="0" w:firstLine="0"/>
              <w:textAlignment w:val="baseline"/>
            </w:pPr>
            <w:r>
              <w:t>The Supplier is to [commence engagement / hold kick-off meeting] with the apprentice within one week of their start date with the Authority.</w:t>
            </w:r>
          </w:p>
        </w:tc>
        <w:tc>
          <w:tcPr>
            <w:tcW w:w="992" w:type="dxa"/>
            <w:tcBorders>
              <w:top w:val="single" w:sz="4" w:space="0" w:color="auto"/>
              <w:left w:val="single" w:sz="4" w:space="0" w:color="auto"/>
              <w:bottom w:val="single" w:sz="4" w:space="0" w:color="auto"/>
              <w:right w:val="single" w:sz="4" w:space="0" w:color="auto"/>
            </w:tcBorders>
            <w:hideMark/>
          </w:tcPr>
          <w:p w14:paraId="3B621B03" w14:textId="77777777" w:rsidR="00864DF7" w:rsidRDefault="00864DF7">
            <w:pPr>
              <w:pStyle w:val="Heading2"/>
              <w:tabs>
                <w:tab w:val="clear" w:pos="709"/>
                <w:tab w:val="left" w:pos="720"/>
              </w:tabs>
              <w:ind w:left="0" w:firstLine="0"/>
              <w:textAlignment w:val="baseline"/>
            </w:pPr>
            <w:r>
              <w:t>95%</w:t>
            </w:r>
          </w:p>
        </w:tc>
        <w:tc>
          <w:tcPr>
            <w:tcW w:w="2694" w:type="dxa"/>
            <w:tcBorders>
              <w:top w:val="single" w:sz="4" w:space="0" w:color="auto"/>
              <w:left w:val="single" w:sz="4" w:space="0" w:color="auto"/>
              <w:bottom w:val="single" w:sz="4" w:space="0" w:color="auto"/>
              <w:right w:val="single" w:sz="4" w:space="0" w:color="auto"/>
            </w:tcBorders>
            <w:hideMark/>
          </w:tcPr>
          <w:p w14:paraId="3DB32273" w14:textId="77777777" w:rsidR="00864DF7" w:rsidRDefault="00864DF7">
            <w:pPr>
              <w:pStyle w:val="Heading2"/>
              <w:tabs>
                <w:tab w:val="clear" w:pos="709"/>
                <w:tab w:val="left" w:pos="720"/>
              </w:tabs>
              <w:ind w:left="0" w:firstLine="0"/>
              <w:textAlignment w:val="baseline"/>
            </w:pPr>
            <w:r>
              <w:t>20% of non-EFSA fee for each percentage point below the target</w:t>
            </w:r>
          </w:p>
        </w:tc>
      </w:tr>
      <w:tr w:rsidR="00864DF7" w14:paraId="1A15EF4B" w14:textId="77777777" w:rsidTr="00864DF7">
        <w:tc>
          <w:tcPr>
            <w:tcW w:w="710" w:type="dxa"/>
            <w:tcBorders>
              <w:top w:val="single" w:sz="4" w:space="0" w:color="auto"/>
              <w:left w:val="single" w:sz="4" w:space="0" w:color="auto"/>
              <w:bottom w:val="single" w:sz="4" w:space="0" w:color="auto"/>
              <w:right w:val="single" w:sz="4" w:space="0" w:color="auto"/>
            </w:tcBorders>
            <w:hideMark/>
          </w:tcPr>
          <w:p w14:paraId="0308F554" w14:textId="77777777" w:rsidR="00864DF7" w:rsidRDefault="00864DF7">
            <w:pPr>
              <w:pStyle w:val="Heading2"/>
              <w:tabs>
                <w:tab w:val="clear" w:pos="709"/>
                <w:tab w:val="left" w:pos="720"/>
              </w:tabs>
              <w:ind w:left="0" w:firstLine="0"/>
              <w:jc w:val="center"/>
              <w:textAlignment w:val="baseline"/>
            </w:pPr>
            <w:r>
              <w:t>#3</w:t>
            </w:r>
          </w:p>
        </w:tc>
        <w:tc>
          <w:tcPr>
            <w:tcW w:w="1844" w:type="dxa"/>
            <w:tcBorders>
              <w:top w:val="single" w:sz="4" w:space="0" w:color="auto"/>
              <w:left w:val="single" w:sz="4" w:space="0" w:color="auto"/>
              <w:bottom w:val="single" w:sz="4" w:space="0" w:color="auto"/>
              <w:right w:val="single" w:sz="4" w:space="0" w:color="auto"/>
            </w:tcBorders>
            <w:hideMark/>
          </w:tcPr>
          <w:p w14:paraId="09B83D82" w14:textId="77777777" w:rsidR="00864DF7" w:rsidRDefault="00864DF7">
            <w:pPr>
              <w:pStyle w:val="Heading2"/>
              <w:tabs>
                <w:tab w:val="clear" w:pos="709"/>
                <w:tab w:val="left" w:pos="720"/>
              </w:tabs>
              <w:ind w:left="0" w:firstLine="0"/>
              <w:textAlignment w:val="baseline"/>
            </w:pPr>
            <w:r>
              <w:t>Digital Apprenticeship Account</w:t>
            </w:r>
          </w:p>
        </w:tc>
        <w:tc>
          <w:tcPr>
            <w:tcW w:w="3546" w:type="dxa"/>
            <w:tcBorders>
              <w:top w:val="single" w:sz="4" w:space="0" w:color="auto"/>
              <w:left w:val="single" w:sz="4" w:space="0" w:color="auto"/>
              <w:bottom w:val="single" w:sz="4" w:space="0" w:color="auto"/>
              <w:right w:val="single" w:sz="4" w:space="0" w:color="auto"/>
            </w:tcBorders>
            <w:hideMark/>
          </w:tcPr>
          <w:p w14:paraId="7C1C5B39" w14:textId="77777777" w:rsidR="00864DF7" w:rsidRDefault="00864DF7">
            <w:pPr>
              <w:pStyle w:val="Heading2"/>
              <w:tabs>
                <w:tab w:val="clear" w:pos="709"/>
                <w:tab w:val="left" w:pos="720"/>
              </w:tabs>
              <w:ind w:left="0" w:firstLine="0"/>
              <w:textAlignment w:val="baseline"/>
            </w:pPr>
            <w:r>
              <w:t>The Supplier will ensure details of apprentices on the DAA are accurate and up to date, and that the account is updated within 5 working days of the Authority adding a new apprentice to the account.</w:t>
            </w:r>
          </w:p>
        </w:tc>
        <w:tc>
          <w:tcPr>
            <w:tcW w:w="992" w:type="dxa"/>
            <w:tcBorders>
              <w:top w:val="single" w:sz="4" w:space="0" w:color="auto"/>
              <w:left w:val="single" w:sz="4" w:space="0" w:color="auto"/>
              <w:bottom w:val="single" w:sz="4" w:space="0" w:color="auto"/>
              <w:right w:val="single" w:sz="4" w:space="0" w:color="auto"/>
            </w:tcBorders>
            <w:hideMark/>
          </w:tcPr>
          <w:p w14:paraId="66E496FA" w14:textId="77777777" w:rsidR="00864DF7" w:rsidRDefault="00864DF7">
            <w:pPr>
              <w:pStyle w:val="Heading2"/>
              <w:tabs>
                <w:tab w:val="clear" w:pos="709"/>
                <w:tab w:val="left" w:pos="720"/>
              </w:tabs>
              <w:ind w:left="0" w:firstLine="0"/>
              <w:textAlignment w:val="baseline"/>
            </w:pPr>
            <w:r>
              <w:t>95%</w:t>
            </w:r>
          </w:p>
        </w:tc>
        <w:tc>
          <w:tcPr>
            <w:tcW w:w="2694" w:type="dxa"/>
            <w:tcBorders>
              <w:top w:val="single" w:sz="4" w:space="0" w:color="auto"/>
              <w:left w:val="single" w:sz="4" w:space="0" w:color="auto"/>
              <w:bottom w:val="single" w:sz="4" w:space="0" w:color="auto"/>
              <w:right w:val="single" w:sz="4" w:space="0" w:color="auto"/>
            </w:tcBorders>
            <w:hideMark/>
          </w:tcPr>
          <w:p w14:paraId="6A80DA7F" w14:textId="77777777" w:rsidR="00864DF7" w:rsidRDefault="00864DF7">
            <w:pPr>
              <w:pStyle w:val="Heading2"/>
              <w:tabs>
                <w:tab w:val="clear" w:pos="709"/>
                <w:tab w:val="left" w:pos="720"/>
              </w:tabs>
              <w:ind w:left="0" w:firstLine="0"/>
              <w:textAlignment w:val="baseline"/>
            </w:pPr>
            <w:r>
              <w:t>10% of non-EFSA fee for each percentage point below the target</w:t>
            </w:r>
          </w:p>
        </w:tc>
      </w:tr>
      <w:tr w:rsidR="00864DF7" w14:paraId="565BEC6A" w14:textId="77777777" w:rsidTr="00864DF7">
        <w:tc>
          <w:tcPr>
            <w:tcW w:w="710" w:type="dxa"/>
            <w:tcBorders>
              <w:top w:val="single" w:sz="4" w:space="0" w:color="auto"/>
              <w:left w:val="single" w:sz="4" w:space="0" w:color="auto"/>
              <w:bottom w:val="single" w:sz="4" w:space="0" w:color="auto"/>
              <w:right w:val="single" w:sz="4" w:space="0" w:color="auto"/>
            </w:tcBorders>
            <w:hideMark/>
          </w:tcPr>
          <w:p w14:paraId="5689CD03" w14:textId="77777777" w:rsidR="00864DF7" w:rsidRDefault="00864DF7">
            <w:pPr>
              <w:pStyle w:val="Heading2"/>
              <w:tabs>
                <w:tab w:val="clear" w:pos="709"/>
                <w:tab w:val="left" w:pos="720"/>
              </w:tabs>
              <w:ind w:left="0" w:firstLine="0"/>
              <w:jc w:val="center"/>
              <w:textAlignment w:val="baseline"/>
            </w:pPr>
            <w:r>
              <w:t>#4</w:t>
            </w:r>
          </w:p>
        </w:tc>
        <w:tc>
          <w:tcPr>
            <w:tcW w:w="1844" w:type="dxa"/>
            <w:tcBorders>
              <w:top w:val="single" w:sz="4" w:space="0" w:color="auto"/>
              <w:left w:val="single" w:sz="4" w:space="0" w:color="auto"/>
              <w:bottom w:val="single" w:sz="4" w:space="0" w:color="auto"/>
              <w:right w:val="single" w:sz="4" w:space="0" w:color="auto"/>
            </w:tcBorders>
            <w:hideMark/>
          </w:tcPr>
          <w:p w14:paraId="7F8AD1D7" w14:textId="77777777" w:rsidR="00864DF7" w:rsidRDefault="00864DF7">
            <w:pPr>
              <w:pStyle w:val="Heading2"/>
              <w:tabs>
                <w:tab w:val="clear" w:pos="709"/>
                <w:tab w:val="left" w:pos="720"/>
              </w:tabs>
              <w:ind w:left="0" w:firstLine="0"/>
              <w:textAlignment w:val="baseline"/>
            </w:pPr>
            <w:r>
              <w:t>Quality of service</w:t>
            </w:r>
          </w:p>
        </w:tc>
        <w:tc>
          <w:tcPr>
            <w:tcW w:w="3546" w:type="dxa"/>
            <w:tcBorders>
              <w:top w:val="single" w:sz="4" w:space="0" w:color="auto"/>
              <w:left w:val="single" w:sz="4" w:space="0" w:color="auto"/>
              <w:bottom w:val="single" w:sz="4" w:space="0" w:color="auto"/>
              <w:right w:val="single" w:sz="4" w:space="0" w:color="auto"/>
            </w:tcBorders>
          </w:tcPr>
          <w:p w14:paraId="0BA11893" w14:textId="77777777" w:rsidR="00864DF7" w:rsidRDefault="00864DF7">
            <w:pPr>
              <w:pStyle w:val="Heading2"/>
              <w:tabs>
                <w:tab w:val="clear" w:pos="709"/>
                <w:tab w:val="left" w:pos="720"/>
              </w:tabs>
              <w:ind w:left="0" w:firstLine="0"/>
              <w:textAlignment w:val="baseline"/>
            </w:pPr>
            <w:r>
              <w:t>Rate of apprentices completing their qualification.</w:t>
            </w:r>
          </w:p>
          <w:p w14:paraId="3E386F6F" w14:textId="77777777" w:rsidR="00864DF7" w:rsidRDefault="00864DF7">
            <w:pPr>
              <w:pStyle w:val="Heading2"/>
              <w:tabs>
                <w:tab w:val="clear" w:pos="709"/>
                <w:tab w:val="left" w:pos="720"/>
              </w:tabs>
              <w:overflowPunct w:val="0"/>
              <w:autoSpaceDE w:val="0"/>
              <w:autoSpaceDN w:val="0"/>
              <w:ind w:left="0" w:firstLine="0"/>
              <w:textAlignment w:val="baseline"/>
            </w:pPr>
          </w:p>
        </w:tc>
        <w:tc>
          <w:tcPr>
            <w:tcW w:w="992" w:type="dxa"/>
            <w:tcBorders>
              <w:top w:val="single" w:sz="4" w:space="0" w:color="auto"/>
              <w:left w:val="single" w:sz="4" w:space="0" w:color="auto"/>
              <w:bottom w:val="single" w:sz="4" w:space="0" w:color="auto"/>
              <w:right w:val="single" w:sz="4" w:space="0" w:color="auto"/>
            </w:tcBorders>
            <w:hideMark/>
          </w:tcPr>
          <w:p w14:paraId="1617B95D" w14:textId="77777777" w:rsidR="00864DF7" w:rsidRDefault="00864DF7">
            <w:pPr>
              <w:pStyle w:val="Heading2"/>
              <w:tabs>
                <w:tab w:val="clear" w:pos="709"/>
                <w:tab w:val="left" w:pos="720"/>
              </w:tabs>
              <w:ind w:left="0" w:firstLine="0"/>
              <w:textAlignment w:val="baseline"/>
            </w:pPr>
            <w:r>
              <w:t>65%</w:t>
            </w:r>
          </w:p>
        </w:tc>
        <w:tc>
          <w:tcPr>
            <w:tcW w:w="2694" w:type="dxa"/>
            <w:tcBorders>
              <w:top w:val="single" w:sz="4" w:space="0" w:color="auto"/>
              <w:left w:val="single" w:sz="4" w:space="0" w:color="auto"/>
              <w:bottom w:val="single" w:sz="4" w:space="0" w:color="auto"/>
              <w:right w:val="single" w:sz="4" w:space="0" w:color="auto"/>
            </w:tcBorders>
            <w:hideMark/>
          </w:tcPr>
          <w:p w14:paraId="272ED591" w14:textId="77777777" w:rsidR="00864DF7" w:rsidRDefault="00864DF7">
            <w:pPr>
              <w:pStyle w:val="Heading2"/>
              <w:tabs>
                <w:tab w:val="clear" w:pos="709"/>
                <w:tab w:val="left" w:pos="720"/>
              </w:tabs>
              <w:ind w:left="0" w:firstLine="0"/>
              <w:textAlignment w:val="baseline"/>
            </w:pPr>
            <w:r>
              <w:t>20% of non-EFSA fee for each percentage point below the target</w:t>
            </w:r>
          </w:p>
        </w:tc>
      </w:tr>
      <w:tr w:rsidR="00864DF7" w14:paraId="043C546D" w14:textId="77777777" w:rsidTr="00864DF7">
        <w:tc>
          <w:tcPr>
            <w:tcW w:w="710" w:type="dxa"/>
            <w:tcBorders>
              <w:top w:val="single" w:sz="4" w:space="0" w:color="auto"/>
              <w:left w:val="single" w:sz="4" w:space="0" w:color="auto"/>
              <w:bottom w:val="single" w:sz="4" w:space="0" w:color="auto"/>
              <w:right w:val="single" w:sz="4" w:space="0" w:color="auto"/>
            </w:tcBorders>
            <w:hideMark/>
          </w:tcPr>
          <w:p w14:paraId="1F89859D" w14:textId="77777777" w:rsidR="00864DF7" w:rsidRDefault="00864DF7">
            <w:pPr>
              <w:pStyle w:val="Heading2"/>
              <w:tabs>
                <w:tab w:val="clear" w:pos="709"/>
                <w:tab w:val="left" w:pos="720"/>
              </w:tabs>
              <w:ind w:left="0" w:firstLine="0"/>
              <w:jc w:val="center"/>
              <w:textAlignment w:val="baseline"/>
            </w:pPr>
            <w:r>
              <w:t>#5</w:t>
            </w:r>
          </w:p>
        </w:tc>
        <w:tc>
          <w:tcPr>
            <w:tcW w:w="1844" w:type="dxa"/>
            <w:tcBorders>
              <w:top w:val="single" w:sz="4" w:space="0" w:color="auto"/>
              <w:left w:val="single" w:sz="4" w:space="0" w:color="auto"/>
              <w:bottom w:val="single" w:sz="4" w:space="0" w:color="auto"/>
              <w:right w:val="single" w:sz="4" w:space="0" w:color="auto"/>
            </w:tcBorders>
            <w:hideMark/>
          </w:tcPr>
          <w:p w14:paraId="79D7891C" w14:textId="77777777" w:rsidR="00864DF7" w:rsidRDefault="00864DF7">
            <w:pPr>
              <w:pStyle w:val="Heading2"/>
              <w:tabs>
                <w:tab w:val="clear" w:pos="709"/>
                <w:tab w:val="left" w:pos="720"/>
              </w:tabs>
              <w:ind w:left="0" w:firstLine="0"/>
              <w:textAlignment w:val="baseline"/>
            </w:pPr>
            <w:r>
              <w:t>Quality of Service</w:t>
            </w:r>
          </w:p>
        </w:tc>
        <w:tc>
          <w:tcPr>
            <w:tcW w:w="3546" w:type="dxa"/>
            <w:tcBorders>
              <w:top w:val="single" w:sz="4" w:space="0" w:color="auto"/>
              <w:left w:val="single" w:sz="4" w:space="0" w:color="auto"/>
              <w:bottom w:val="single" w:sz="4" w:space="0" w:color="auto"/>
              <w:right w:val="single" w:sz="4" w:space="0" w:color="auto"/>
            </w:tcBorders>
            <w:hideMark/>
          </w:tcPr>
          <w:p w14:paraId="5CB3F666" w14:textId="77777777" w:rsidR="00864DF7" w:rsidRDefault="00864DF7">
            <w:pPr>
              <w:pStyle w:val="Heading2"/>
              <w:tabs>
                <w:tab w:val="clear" w:pos="709"/>
                <w:tab w:val="left" w:pos="720"/>
              </w:tabs>
              <w:ind w:left="0" w:firstLine="0"/>
              <w:textAlignment w:val="baseline"/>
            </w:pPr>
            <w:r>
              <w:t>Supplier undertakes to collect, analyse and provide readout to Authority on feedback from apprentices undertaking training, on a regular (as agreed with the Authority) basis.</w:t>
            </w:r>
          </w:p>
        </w:tc>
        <w:tc>
          <w:tcPr>
            <w:tcW w:w="992" w:type="dxa"/>
            <w:tcBorders>
              <w:top w:val="single" w:sz="4" w:space="0" w:color="auto"/>
              <w:left w:val="single" w:sz="4" w:space="0" w:color="auto"/>
              <w:bottom w:val="single" w:sz="4" w:space="0" w:color="auto"/>
              <w:right w:val="single" w:sz="4" w:space="0" w:color="auto"/>
            </w:tcBorders>
            <w:hideMark/>
          </w:tcPr>
          <w:p w14:paraId="7F009160" w14:textId="77777777" w:rsidR="00864DF7" w:rsidRDefault="00864DF7">
            <w:pPr>
              <w:pStyle w:val="Heading2"/>
              <w:tabs>
                <w:tab w:val="clear" w:pos="709"/>
                <w:tab w:val="left" w:pos="720"/>
              </w:tabs>
              <w:ind w:left="0" w:firstLine="0"/>
              <w:textAlignment w:val="baseline"/>
            </w:pPr>
            <w:r>
              <w:t>90%</w:t>
            </w:r>
          </w:p>
        </w:tc>
        <w:tc>
          <w:tcPr>
            <w:tcW w:w="2694" w:type="dxa"/>
            <w:tcBorders>
              <w:top w:val="single" w:sz="4" w:space="0" w:color="auto"/>
              <w:left w:val="single" w:sz="4" w:space="0" w:color="auto"/>
              <w:bottom w:val="single" w:sz="4" w:space="0" w:color="auto"/>
              <w:right w:val="single" w:sz="4" w:space="0" w:color="auto"/>
            </w:tcBorders>
            <w:hideMark/>
          </w:tcPr>
          <w:p w14:paraId="53D60669" w14:textId="77777777" w:rsidR="00864DF7" w:rsidRDefault="00864DF7">
            <w:pPr>
              <w:pStyle w:val="Heading2"/>
              <w:tabs>
                <w:tab w:val="clear" w:pos="709"/>
                <w:tab w:val="left" w:pos="720"/>
              </w:tabs>
              <w:ind w:left="0" w:firstLine="0"/>
              <w:textAlignment w:val="baseline"/>
            </w:pPr>
            <w:r>
              <w:t>10% of non-EFSA fee for each percentage point below the target</w:t>
            </w:r>
          </w:p>
        </w:tc>
      </w:tr>
    </w:tbl>
    <w:p w14:paraId="78E5F4F4" w14:textId="77777777" w:rsidR="00864DF7" w:rsidRDefault="00864DF7" w:rsidP="00B92567">
      <w:pPr>
        <w:pStyle w:val="GPSL1CLAUSEHEADING"/>
        <w:numPr>
          <w:ilvl w:val="0"/>
          <w:numId w:val="0"/>
        </w:numPr>
        <w:rPr>
          <w:rFonts w:ascii="Arial" w:hAnsi="Arial" w:cs="Arial"/>
          <w:b/>
          <w:sz w:val="22"/>
          <w:szCs w:val="22"/>
          <w:lang w:eastAsia="en-US"/>
        </w:rPr>
      </w:pPr>
    </w:p>
    <w:sectPr w:rsidR="00864DF7"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82D03" w14:textId="77777777" w:rsidR="008349BF" w:rsidRDefault="008349BF">
      <w:r>
        <w:separator/>
      </w:r>
    </w:p>
  </w:endnote>
  <w:endnote w:type="continuationSeparator" w:id="0">
    <w:p w14:paraId="58B1B399" w14:textId="77777777" w:rsidR="008349BF" w:rsidRDefault="008349BF">
      <w:r>
        <w:continuationSeparator/>
      </w:r>
    </w:p>
  </w:endnote>
  <w:endnote w:type="continuationNotice" w:id="1">
    <w:p w14:paraId="2A63BF1D" w14:textId="77777777" w:rsidR="008349BF" w:rsidRDefault="00834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6FB00CBA" w:rsidR="008349BF" w:rsidRDefault="008349BF"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65E3B768" w14:textId="77777777" w:rsidR="008349BF" w:rsidRDefault="008349BF"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8349BF" w:rsidRDefault="008349BF"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8349BF" w:rsidRDefault="008349BF" w:rsidP="00F52803">
    <w:pPr>
      <w:pStyle w:val="Footer"/>
      <w:framePr w:wrap="around" w:vAnchor="text" w:hAnchor="page" w:x="1057" w:y="-429"/>
      <w:jc w:val="center"/>
      <w:rPr>
        <w:rStyle w:val="PageNumber"/>
        <w:rFonts w:ascii="Arial" w:hAnsi="Arial" w:cs="Arial"/>
        <w:sz w:val="20"/>
        <w:szCs w:val="20"/>
      </w:rPr>
    </w:pPr>
  </w:p>
  <w:p w14:paraId="2F96F6FA" w14:textId="77777777" w:rsidR="008349BF" w:rsidRDefault="008349BF" w:rsidP="00F52803">
    <w:pPr>
      <w:pStyle w:val="Footer"/>
      <w:framePr w:wrap="around" w:vAnchor="text" w:hAnchor="page" w:x="1057" w:y="-429"/>
      <w:jc w:val="center"/>
      <w:rPr>
        <w:rStyle w:val="PageNumber"/>
        <w:rFonts w:ascii="Arial" w:hAnsi="Arial" w:cs="Arial"/>
        <w:sz w:val="20"/>
        <w:szCs w:val="20"/>
      </w:rPr>
    </w:pPr>
  </w:p>
  <w:p w14:paraId="4D8D9017" w14:textId="77777777" w:rsidR="008349BF" w:rsidRDefault="008349BF"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8349BF" w:rsidRDefault="008349BF"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70F4F70F" w:rsidR="008349BF" w:rsidRDefault="008349BF" w:rsidP="00F52803">
    <w:pPr>
      <w:pStyle w:val="Footer"/>
      <w:framePr w:wrap="around" w:vAnchor="text" w:hAnchor="page" w:x="1057" w:y="-429"/>
      <w:rPr>
        <w:rStyle w:val="PageNumber"/>
        <w:rFonts w:ascii="Arial" w:hAnsi="Arial" w:cs="Arial"/>
        <w:sz w:val="20"/>
        <w:szCs w:val="20"/>
      </w:rPr>
    </w:pPr>
    <w:r w:rsidRPr="00E47FA0">
      <w:rPr>
        <w:rStyle w:val="PageNumber"/>
        <w:rFonts w:ascii="Arial" w:hAnsi="Arial" w:cs="Arial"/>
        <w:sz w:val="20"/>
        <w:szCs w:val="20"/>
      </w:rPr>
      <w:t>Chris Grant</w:t>
    </w:r>
  </w:p>
  <w:p w14:paraId="36982DFE" w14:textId="3C18F025" w:rsidR="008349BF" w:rsidRDefault="008349BF"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1BE25B0A" w:rsidR="008349BF" w:rsidRDefault="008349BF"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824205">
      <w:rPr>
        <w:rStyle w:val="PageNumber"/>
        <w:rFonts w:ascii="Arial" w:hAnsi="Arial" w:cs="Arial"/>
        <w:sz w:val="20"/>
        <w:szCs w:val="20"/>
      </w:rPr>
      <w:t>0</w:t>
    </w:r>
    <w:r>
      <w:rPr>
        <w:rStyle w:val="PageNumber"/>
        <w:rFonts w:ascii="Arial" w:hAnsi="Arial" w:cs="Arial"/>
        <w:sz w:val="20"/>
        <w:szCs w:val="20"/>
      </w:rPr>
      <w:t xml:space="preserve"> 13/10/2017</w:t>
    </w:r>
    <w:r w:rsidRPr="00824205">
      <w:rPr>
        <w:rStyle w:val="PageNumber"/>
        <w:rFonts w:ascii="Arial" w:hAnsi="Arial" w:cs="Arial"/>
        <w:sz w:val="20"/>
        <w:szCs w:val="20"/>
      </w:rPr>
      <w:t xml:space="preserve"> </w:t>
    </w:r>
  </w:p>
  <w:p w14:paraId="638EA71E" w14:textId="057B8797" w:rsidR="008349BF" w:rsidRPr="008C7C09" w:rsidRDefault="008349BF"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DC2FD1">
      <w:rPr>
        <w:rStyle w:val="PageNumber"/>
        <w:rFonts w:ascii="Arial" w:hAnsi="Arial" w:cs="Arial"/>
        <w:noProof/>
        <w:sz w:val="20"/>
        <w:szCs w:val="20"/>
      </w:rPr>
      <w:t>4</w:t>
    </w:r>
    <w:r w:rsidRPr="008C7C09">
      <w:rPr>
        <w:rStyle w:val="PageNumber"/>
        <w:rFonts w:ascii="Arial" w:hAnsi="Arial" w:cs="Arial"/>
        <w:sz w:val="20"/>
        <w:szCs w:val="20"/>
      </w:rPr>
      <w:fldChar w:fldCharType="end"/>
    </w:r>
  </w:p>
  <w:p w14:paraId="72AE21A2" w14:textId="77777777" w:rsidR="008349BF" w:rsidRDefault="008349BF"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C706B"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8349BF" w:rsidRPr="004A64FD" w:rsidRDefault="008349BF"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8349BF" w:rsidRPr="00942186" w:rsidRDefault="008349BF"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7317B" w14:textId="77777777" w:rsidR="008349BF" w:rsidRDefault="008349BF">
      <w:r>
        <w:separator/>
      </w:r>
    </w:p>
  </w:footnote>
  <w:footnote w:type="continuationSeparator" w:id="0">
    <w:p w14:paraId="0FE5AFC3" w14:textId="77777777" w:rsidR="008349BF" w:rsidRDefault="008349BF">
      <w:r>
        <w:continuationSeparator/>
      </w:r>
    </w:p>
  </w:footnote>
  <w:footnote w:type="continuationNotice" w:id="1">
    <w:p w14:paraId="50B9FA09" w14:textId="77777777" w:rsidR="008349BF" w:rsidRDefault="008349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47EE141D" w:rsidR="008349BF" w:rsidRDefault="008349BF"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8349BF" w:rsidRDefault="008349BF"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5"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8349BF" w:rsidRDefault="008349BF"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41B33281" w14:textId="77777777" w:rsidR="008349BF" w:rsidRDefault="008349BF" w:rsidP="000671F2">
    <w:pPr>
      <w:tabs>
        <w:tab w:val="center" w:pos="4153"/>
        <w:tab w:val="right" w:pos="8306"/>
      </w:tabs>
      <w:ind w:left="720"/>
      <w:jc w:val="center"/>
      <w:rPr>
        <w:rFonts w:ascii="Arial" w:hAnsi="Arial" w:cs="Arial"/>
        <w:sz w:val="20"/>
        <w:szCs w:val="20"/>
      </w:rPr>
    </w:pPr>
    <w:r w:rsidRPr="000671F2">
      <w:rPr>
        <w:rFonts w:ascii="Arial" w:hAnsi="Arial" w:cs="Arial"/>
        <w:sz w:val="20"/>
        <w:szCs w:val="20"/>
      </w:rPr>
      <w:t xml:space="preserve">The provision of Recruitment, Training and administration Service of Apprentices for </w:t>
    </w:r>
  </w:p>
  <w:p w14:paraId="198374A2" w14:textId="12A55868" w:rsidR="008349BF" w:rsidRPr="000671F2" w:rsidRDefault="008349BF" w:rsidP="000671F2">
    <w:pPr>
      <w:tabs>
        <w:tab w:val="center" w:pos="4153"/>
        <w:tab w:val="right" w:pos="8306"/>
      </w:tabs>
      <w:jc w:val="center"/>
      <w:rPr>
        <w:rFonts w:ascii="Arial" w:hAnsi="Arial" w:cs="Arial"/>
        <w:sz w:val="20"/>
        <w:szCs w:val="20"/>
      </w:rPr>
    </w:pPr>
    <w:r w:rsidRPr="000671F2">
      <w:rPr>
        <w:rFonts w:ascii="Arial" w:hAnsi="Arial" w:cs="Arial"/>
        <w:sz w:val="20"/>
        <w:szCs w:val="20"/>
      </w:rPr>
      <w:t>HM Treasury</w:t>
    </w:r>
  </w:p>
  <w:p w14:paraId="7619F7A6" w14:textId="77777777" w:rsidR="008349BF" w:rsidRPr="00A63B3D" w:rsidRDefault="008349BF" w:rsidP="00A63B3D">
    <w:pPr>
      <w:tabs>
        <w:tab w:val="center" w:pos="4153"/>
        <w:tab w:val="right" w:pos="8306"/>
      </w:tabs>
      <w:jc w:val="center"/>
      <w:rPr>
        <w:rFonts w:ascii="Arial" w:hAnsi="Arial" w:cs="Arial"/>
        <w:sz w:val="20"/>
        <w:szCs w:val="20"/>
      </w:rPr>
    </w:pPr>
    <w:r w:rsidRPr="00A63B3D">
      <w:rPr>
        <w:rFonts w:ascii="Arial" w:hAnsi="Arial" w:cs="Arial"/>
        <w:sz w:val="20"/>
        <w:szCs w:val="20"/>
      </w:rPr>
      <w:t>CCDE17A05</w:t>
    </w:r>
  </w:p>
  <w:p w14:paraId="225482B1" w14:textId="77777777" w:rsidR="008349BF" w:rsidRPr="008C7C09" w:rsidRDefault="008349BF" w:rsidP="00A55D61">
    <w:pPr>
      <w:pStyle w:val="Header"/>
      <w:jc w:val="center"/>
      <w:rPr>
        <w:rFonts w:ascii="Arial" w:hAnsi="Arial" w:cs="Arial"/>
        <w:sz w:val="20"/>
        <w:szCs w:val="20"/>
        <w:highlight w:val="yellow"/>
      </w:rPr>
    </w:pPr>
  </w:p>
  <w:p w14:paraId="1F269798" w14:textId="77777777" w:rsidR="008349BF" w:rsidRDefault="008349BF">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68E85"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29863858"/>
    <w:multiLevelType w:val="multilevel"/>
    <w:tmpl w:val="219CC62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4AE0367C"/>
    <w:multiLevelType w:val="hybridMultilevel"/>
    <w:tmpl w:val="C5304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F65E1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4"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5"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6" w15:restartNumberingAfterBreak="0">
    <w:nsid w:val="72A45F98"/>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7"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8"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3"/>
  </w:num>
  <w:num w:numId="2">
    <w:abstractNumId w:val="11"/>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8"/>
  </w:num>
  <w:num w:numId="5">
    <w:abstractNumId w:val="4"/>
  </w:num>
  <w:num w:numId="6">
    <w:abstractNumId w:val="17"/>
  </w:num>
  <w:num w:numId="7">
    <w:abstractNumId w:val="14"/>
  </w:num>
  <w:num w:numId="8">
    <w:abstractNumId w:val="18"/>
  </w:num>
  <w:num w:numId="9">
    <w:abstractNumId w:val="7"/>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
  </w:num>
  <w:num w:numId="15">
    <w:abstractNumId w:val="0"/>
  </w:num>
  <w:num w:numId="16">
    <w:abstractNumId w:val="3"/>
  </w:num>
  <w:num w:numId="17">
    <w:abstractNumId w:val="9"/>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1F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06B93"/>
    <w:rsid w:val="00107810"/>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8E5"/>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52E5"/>
    <w:rsid w:val="006464F4"/>
    <w:rsid w:val="00652B3A"/>
    <w:rsid w:val="0065398E"/>
    <w:rsid w:val="00653E80"/>
    <w:rsid w:val="0065438F"/>
    <w:rsid w:val="00654CB2"/>
    <w:rsid w:val="00660839"/>
    <w:rsid w:val="00663CC4"/>
    <w:rsid w:val="00664325"/>
    <w:rsid w:val="006648C7"/>
    <w:rsid w:val="00675844"/>
    <w:rsid w:val="00682DE5"/>
    <w:rsid w:val="0068484A"/>
    <w:rsid w:val="006924EB"/>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2F92"/>
    <w:rsid w:val="0073642A"/>
    <w:rsid w:val="00736C8C"/>
    <w:rsid w:val="00743394"/>
    <w:rsid w:val="00744BF1"/>
    <w:rsid w:val="00752218"/>
    <w:rsid w:val="0075262B"/>
    <w:rsid w:val="00753999"/>
    <w:rsid w:val="00755068"/>
    <w:rsid w:val="0075595A"/>
    <w:rsid w:val="00756208"/>
    <w:rsid w:val="007629AB"/>
    <w:rsid w:val="00763502"/>
    <w:rsid w:val="00763A40"/>
    <w:rsid w:val="00765186"/>
    <w:rsid w:val="00770A1C"/>
    <w:rsid w:val="00775F0A"/>
    <w:rsid w:val="0079036D"/>
    <w:rsid w:val="0079370E"/>
    <w:rsid w:val="007A0467"/>
    <w:rsid w:val="007A3C18"/>
    <w:rsid w:val="007A3CC1"/>
    <w:rsid w:val="007B122F"/>
    <w:rsid w:val="007B75BB"/>
    <w:rsid w:val="007C0048"/>
    <w:rsid w:val="007C1D45"/>
    <w:rsid w:val="007D29FE"/>
    <w:rsid w:val="007D7D7E"/>
    <w:rsid w:val="007F04C6"/>
    <w:rsid w:val="007F5EED"/>
    <w:rsid w:val="008025FE"/>
    <w:rsid w:val="0081190A"/>
    <w:rsid w:val="008156D2"/>
    <w:rsid w:val="00820649"/>
    <w:rsid w:val="008207A1"/>
    <w:rsid w:val="00820C75"/>
    <w:rsid w:val="00821A7B"/>
    <w:rsid w:val="00823A40"/>
    <w:rsid w:val="00824205"/>
    <w:rsid w:val="00825404"/>
    <w:rsid w:val="008349BF"/>
    <w:rsid w:val="00834DF6"/>
    <w:rsid w:val="00842B49"/>
    <w:rsid w:val="00846F7D"/>
    <w:rsid w:val="0085155A"/>
    <w:rsid w:val="008538C1"/>
    <w:rsid w:val="008606EE"/>
    <w:rsid w:val="00862236"/>
    <w:rsid w:val="00864DF7"/>
    <w:rsid w:val="0087367A"/>
    <w:rsid w:val="00893F34"/>
    <w:rsid w:val="00895B85"/>
    <w:rsid w:val="008A1F3B"/>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3B3D"/>
    <w:rsid w:val="00A65C97"/>
    <w:rsid w:val="00A70DEA"/>
    <w:rsid w:val="00A80D94"/>
    <w:rsid w:val="00A82EFF"/>
    <w:rsid w:val="00A837C1"/>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E6F12"/>
    <w:rsid w:val="00AF0380"/>
    <w:rsid w:val="00AF5435"/>
    <w:rsid w:val="00AF683D"/>
    <w:rsid w:val="00B00AD6"/>
    <w:rsid w:val="00B038D9"/>
    <w:rsid w:val="00B12708"/>
    <w:rsid w:val="00B12A3D"/>
    <w:rsid w:val="00B211BD"/>
    <w:rsid w:val="00B221CB"/>
    <w:rsid w:val="00B31ED9"/>
    <w:rsid w:val="00B41195"/>
    <w:rsid w:val="00B439B3"/>
    <w:rsid w:val="00B51C9D"/>
    <w:rsid w:val="00B616D9"/>
    <w:rsid w:val="00B62823"/>
    <w:rsid w:val="00B672BD"/>
    <w:rsid w:val="00B67C31"/>
    <w:rsid w:val="00B715CE"/>
    <w:rsid w:val="00B777C0"/>
    <w:rsid w:val="00B8195A"/>
    <w:rsid w:val="00B83504"/>
    <w:rsid w:val="00B838C6"/>
    <w:rsid w:val="00B86B9C"/>
    <w:rsid w:val="00B92567"/>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399E"/>
    <w:rsid w:val="00D947D9"/>
    <w:rsid w:val="00D95219"/>
    <w:rsid w:val="00DB309A"/>
    <w:rsid w:val="00DC2FD1"/>
    <w:rsid w:val="00DD0B74"/>
    <w:rsid w:val="00DD2BED"/>
    <w:rsid w:val="00DD6FFB"/>
    <w:rsid w:val="00DE32A9"/>
    <w:rsid w:val="00DE34DB"/>
    <w:rsid w:val="00DE4C5D"/>
    <w:rsid w:val="00DE558B"/>
    <w:rsid w:val="00DE641F"/>
    <w:rsid w:val="00DE74AC"/>
    <w:rsid w:val="00DF07AD"/>
    <w:rsid w:val="00DF0DB9"/>
    <w:rsid w:val="00DF373A"/>
    <w:rsid w:val="00DF37DB"/>
    <w:rsid w:val="00DF3F37"/>
    <w:rsid w:val="00E15A11"/>
    <w:rsid w:val="00E169B7"/>
    <w:rsid w:val="00E21AF8"/>
    <w:rsid w:val="00E23C89"/>
    <w:rsid w:val="00E254B1"/>
    <w:rsid w:val="00E423AA"/>
    <w:rsid w:val="00E47FA0"/>
    <w:rsid w:val="00E51D33"/>
    <w:rsid w:val="00E53A24"/>
    <w:rsid w:val="00E64561"/>
    <w:rsid w:val="00E64A50"/>
    <w:rsid w:val="00E71EC8"/>
    <w:rsid w:val="00E75BB8"/>
    <w:rsid w:val="00E77453"/>
    <w:rsid w:val="00E8272D"/>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02AE"/>
    <w:rsid w:val="00F919A6"/>
    <w:rsid w:val="00FA31F0"/>
    <w:rsid w:val="00FA63A6"/>
    <w:rsid w:val="00FA69D7"/>
    <w:rsid w:val="00FA6B46"/>
    <w:rsid w:val="00FA6D51"/>
    <w:rsid w:val="00FA748F"/>
    <w:rsid w:val="00FB3033"/>
    <w:rsid w:val="00FC3997"/>
    <w:rsid w:val="00FC5C3F"/>
    <w:rsid w:val="00FC62DB"/>
    <w:rsid w:val="00FC6515"/>
    <w:rsid w:val="00FC7A08"/>
    <w:rsid w:val="00FD0170"/>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ListParagraph">
    <w:name w:val="List Paragraph"/>
    <w:basedOn w:val="Normal"/>
    <w:uiPriority w:val="99"/>
    <w:qFormat/>
    <w:rsid w:val="00732F92"/>
    <w:pPr>
      <w:ind w:left="720"/>
      <w:contextualSpacing/>
    </w:pPr>
  </w:style>
  <w:style w:type="paragraph" w:customStyle="1" w:styleId="GPSL1CLAUSEHEADING">
    <w:name w:val="GPS L1 CLAUSE HEADING"/>
    <w:basedOn w:val="Normal"/>
    <w:rsid w:val="00106B93"/>
    <w:pPr>
      <w:numPr>
        <w:numId w:val="18"/>
      </w:numPr>
    </w:pPr>
  </w:style>
  <w:style w:type="paragraph" w:customStyle="1" w:styleId="GPSL2numberedclause">
    <w:name w:val="GPS L2 numbered clause"/>
    <w:basedOn w:val="Normal"/>
    <w:rsid w:val="00106B93"/>
    <w:pPr>
      <w:numPr>
        <w:ilvl w:val="1"/>
        <w:numId w:val="18"/>
      </w:numPr>
    </w:pPr>
  </w:style>
  <w:style w:type="paragraph" w:customStyle="1" w:styleId="GPSL3numberedclause">
    <w:name w:val="GPS L3 numbered clause"/>
    <w:basedOn w:val="Normal"/>
    <w:rsid w:val="00106B93"/>
    <w:pPr>
      <w:numPr>
        <w:ilvl w:val="2"/>
        <w:numId w:val="18"/>
      </w:numPr>
    </w:pPr>
  </w:style>
  <w:style w:type="paragraph" w:customStyle="1" w:styleId="GPSL4numberedclause">
    <w:name w:val="GPS L4 numbered clause"/>
    <w:basedOn w:val="Normal"/>
    <w:rsid w:val="00106B93"/>
    <w:pPr>
      <w:numPr>
        <w:ilvl w:val="3"/>
        <w:numId w:val="18"/>
      </w:numPr>
    </w:pPr>
  </w:style>
  <w:style w:type="paragraph" w:customStyle="1" w:styleId="GPSL5numberedclause">
    <w:name w:val="GPS L5 numbered clause"/>
    <w:basedOn w:val="Normal"/>
    <w:rsid w:val="00106B93"/>
    <w:pPr>
      <w:numPr>
        <w:ilvl w:val="4"/>
        <w:numId w:val="18"/>
      </w:numPr>
    </w:pPr>
  </w:style>
  <w:style w:type="paragraph" w:customStyle="1" w:styleId="GPSL6numbered">
    <w:name w:val="GPS L6 numbered"/>
    <w:basedOn w:val="Normal"/>
    <w:rsid w:val="00106B93"/>
    <w:pPr>
      <w:numPr>
        <w:ilvl w:val="5"/>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47961">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F9E79455-50A1-4E3C-9C72-15311294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7358</Words>
  <Characters>41947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49207</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Walsh, Kieran - HMT</dc:creator>
  <cp:lastModifiedBy>Chris Grant</cp:lastModifiedBy>
  <cp:revision>3</cp:revision>
  <cp:lastPrinted>2017-10-03T10:14:00Z</cp:lastPrinted>
  <dcterms:created xsi:type="dcterms:W3CDTF">2017-10-10T08:56:00Z</dcterms:created>
  <dcterms:modified xsi:type="dcterms:W3CDTF">2017-10-12T10:22:00Z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