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34B77A31"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 xml:space="preserve">20 381 </w:t>
            </w:r>
            <w:r w:rsidR="00E516A8">
              <w:rPr>
                <w:rFonts w:cs="Arial"/>
                <w:b/>
                <w:sz w:val="16"/>
                <w:szCs w:val="16"/>
              </w:rPr>
              <w:t>72476</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3AFC3C35"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w:t>
            </w:r>
            <w:r w:rsidR="008F6D51">
              <w:rPr>
                <w:rFonts w:cs="Arial"/>
                <w:b/>
                <w:sz w:val="20"/>
              </w:rPr>
              <w:t>112</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69338C04" w:rsidR="00AA65D3" w:rsidRDefault="00B242B7" w:rsidP="00AC4BE2">
            <w:pPr>
              <w:tabs>
                <w:tab w:val="left" w:pos="-720"/>
              </w:tabs>
              <w:suppressAutoHyphens/>
              <w:rPr>
                <w:rFonts w:cs="Arial"/>
                <w:sz w:val="20"/>
              </w:rPr>
            </w:pPr>
            <w:r>
              <w:rPr>
                <w:rFonts w:cs="Arial"/>
                <w:sz w:val="20"/>
              </w:rPr>
              <w:t xml:space="preserve">First issued </w:t>
            </w:r>
            <w:r w:rsidR="008F6D51">
              <w:rPr>
                <w:rFonts w:cs="Arial"/>
                <w:sz w:val="20"/>
              </w:rPr>
              <w:t>18</w:t>
            </w:r>
            <w:r w:rsidR="008F6D51" w:rsidRPr="008F6D51">
              <w:rPr>
                <w:rFonts w:cs="Arial"/>
                <w:sz w:val="20"/>
                <w:vertAlign w:val="superscript"/>
              </w:rPr>
              <w:t>th</w:t>
            </w:r>
            <w:r w:rsidR="008F6D51">
              <w:rPr>
                <w:rFonts w:cs="Arial"/>
                <w:sz w:val="20"/>
              </w:rPr>
              <w:t xml:space="preserve"> July </w:t>
            </w:r>
            <w:r w:rsidR="007E1EC2">
              <w:rPr>
                <w:rFonts w:cs="Arial"/>
                <w:sz w:val="20"/>
              </w:rPr>
              <w:t>201</w:t>
            </w:r>
            <w:r w:rsidR="008F6D51">
              <w:rPr>
                <w:rFonts w:cs="Arial"/>
                <w:sz w:val="20"/>
              </w:rPr>
              <w:t>9</w:t>
            </w:r>
          </w:p>
          <w:p w14:paraId="798F6B2A" w14:textId="586A6BA4" w:rsidR="00AE0D71" w:rsidRDefault="00AE0D71" w:rsidP="00AC4BE2">
            <w:pPr>
              <w:tabs>
                <w:tab w:val="left" w:pos="-720"/>
              </w:tabs>
              <w:suppressAutoHyphens/>
              <w:rPr>
                <w:rFonts w:cs="Arial"/>
                <w:sz w:val="20"/>
              </w:rPr>
            </w:pPr>
            <w:r>
              <w:rPr>
                <w:rFonts w:cs="Arial"/>
                <w:sz w:val="20"/>
              </w:rPr>
              <w:t xml:space="preserve">Last updated </w:t>
            </w:r>
            <w:r w:rsidR="00936B7B">
              <w:rPr>
                <w:rFonts w:cs="Arial"/>
                <w:sz w:val="20"/>
              </w:rPr>
              <w:t>5</w:t>
            </w:r>
            <w:r w:rsidR="00936B7B" w:rsidRPr="00936B7B">
              <w:rPr>
                <w:rFonts w:cs="Arial"/>
                <w:sz w:val="20"/>
                <w:vertAlign w:val="superscript"/>
              </w:rPr>
              <w:t>th</w:t>
            </w:r>
            <w:r w:rsidR="00936B7B">
              <w:rPr>
                <w:rFonts w:cs="Arial"/>
                <w:sz w:val="20"/>
              </w:rPr>
              <w:t xml:space="preserve"> August 2019</w:t>
            </w:r>
            <w:r>
              <w:rPr>
                <w:rFonts w:cs="Arial"/>
                <w:sz w:val="20"/>
              </w:rPr>
              <w:t xml:space="preserve"> </w:t>
            </w:r>
          </w:p>
          <w:p w14:paraId="41C6333A" w14:textId="72732E07" w:rsidR="00B242B7" w:rsidRPr="00205E74" w:rsidRDefault="00B242B7" w:rsidP="00AC4BE2">
            <w:pPr>
              <w:tabs>
                <w:tab w:val="left" w:pos="-720"/>
              </w:tabs>
              <w:suppressAutoHyphens/>
              <w:rPr>
                <w:rFonts w:cs="Arial"/>
                <w:sz w:val="20"/>
              </w:rPr>
            </w:pP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5682D336" w14:textId="77777777" w:rsidR="008F6D51" w:rsidRDefault="008F6D51" w:rsidP="008F6D51">
      <w:pPr>
        <w:autoSpaceDE w:val="0"/>
        <w:autoSpaceDN w:val="0"/>
        <w:adjustRightInd w:val="0"/>
        <w:jc w:val="center"/>
        <w:rPr>
          <w:rFonts w:cs="Arial"/>
          <w:b/>
          <w:kern w:val="0"/>
          <w:szCs w:val="24"/>
          <w:lang w:val="en-US"/>
        </w:rPr>
      </w:pPr>
    </w:p>
    <w:p w14:paraId="01A88DDC" w14:textId="77777777" w:rsidR="008F6D51" w:rsidRDefault="008F6D51" w:rsidP="008F6D51">
      <w:pPr>
        <w:contextualSpacing/>
        <w:jc w:val="center"/>
        <w:rPr>
          <w:rFonts w:cs="Arial"/>
          <w:b/>
          <w:szCs w:val="24"/>
        </w:rPr>
      </w:pPr>
      <w:r w:rsidRPr="00AF2E7D">
        <w:rPr>
          <w:rFonts w:cs="Arial"/>
          <w:b/>
          <w:szCs w:val="24"/>
        </w:rPr>
        <w:t xml:space="preserve">REVIEW </w:t>
      </w:r>
      <w:r>
        <w:rPr>
          <w:rFonts w:cs="Arial"/>
          <w:b/>
          <w:szCs w:val="24"/>
        </w:rPr>
        <w:t xml:space="preserve">OF </w:t>
      </w:r>
      <w:r w:rsidRPr="00AF2E7D">
        <w:rPr>
          <w:rFonts w:cs="Arial"/>
          <w:b/>
          <w:szCs w:val="24"/>
        </w:rPr>
        <w:t>THE RISK</w:t>
      </w:r>
      <w:r>
        <w:rPr>
          <w:rFonts w:cs="Arial"/>
          <w:b/>
          <w:szCs w:val="24"/>
        </w:rPr>
        <w:t xml:space="preserve"> TO THE UK FROM MARINE OIL POLLUTION</w:t>
      </w:r>
    </w:p>
    <w:p w14:paraId="544B0310" w14:textId="4CB64670" w:rsidR="00662205" w:rsidRDefault="000A209F" w:rsidP="008F6D51">
      <w:pPr>
        <w:autoSpaceDE w:val="0"/>
        <w:autoSpaceDN w:val="0"/>
        <w:adjustRightInd w:val="0"/>
        <w:jc w:val="center"/>
        <w:rPr>
          <w:rFonts w:cs="Arial"/>
          <w:b/>
          <w:kern w:val="0"/>
          <w:szCs w:val="24"/>
          <w:lang w:val="en-US"/>
        </w:rPr>
      </w:pPr>
      <w:r>
        <w:rPr>
          <w:rFonts w:cs="Arial"/>
          <w:b/>
          <w:kern w:val="0"/>
          <w:szCs w:val="24"/>
          <w:lang w:val="en-US"/>
        </w:rPr>
        <w:t xml:space="preserve">QUESTIONS AND </w:t>
      </w:r>
      <w:r w:rsidR="006440FD">
        <w:rPr>
          <w:rFonts w:cs="Arial"/>
          <w:b/>
          <w:kern w:val="0"/>
          <w:szCs w:val="24"/>
          <w:lang w:val="en-US"/>
        </w:rPr>
        <w:t>ANSWERS -</w:t>
      </w:r>
      <w:r>
        <w:rPr>
          <w:rFonts w:cs="Arial"/>
          <w:b/>
          <w:kern w:val="0"/>
          <w:szCs w:val="24"/>
          <w:lang w:val="en-US"/>
        </w:rPr>
        <w:t xml:space="preserve"> </w:t>
      </w:r>
    </w:p>
    <w:p w14:paraId="007692B9" w14:textId="77777777" w:rsidR="008F6D51" w:rsidRDefault="008F6D51" w:rsidP="008F6D51">
      <w:pPr>
        <w:autoSpaceDE w:val="0"/>
        <w:autoSpaceDN w:val="0"/>
        <w:adjustRightInd w:val="0"/>
        <w:jc w:val="center"/>
        <w:rPr>
          <w:rFonts w:cs="Arial"/>
          <w:b/>
          <w:kern w:val="0"/>
          <w:szCs w:val="24"/>
          <w:lang w:val="en-US"/>
        </w:rPr>
      </w:pPr>
    </w:p>
    <w:p w14:paraId="6A352CD1" w14:textId="5CC158C0" w:rsidR="008F6D51" w:rsidRPr="00C8162A" w:rsidRDefault="008F6D51" w:rsidP="008F6D51">
      <w:pPr>
        <w:autoSpaceDE w:val="0"/>
        <w:autoSpaceDN w:val="0"/>
        <w:adjustRightInd w:val="0"/>
        <w:jc w:val="center"/>
        <w:sectPr w:rsidR="008F6D51"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1655C12E" w:rsidR="0007281E" w:rsidRPr="0007281E" w:rsidRDefault="0007281E" w:rsidP="0007281E">
      <w:pPr>
        <w:autoSpaceDE w:val="0"/>
        <w:autoSpaceDN w:val="0"/>
        <w:adjustRightInd w:val="0"/>
        <w:jc w:val="left"/>
        <w:rPr>
          <w:rFonts w:cs="Arial"/>
          <w:b/>
          <w:kern w:val="0"/>
          <w:szCs w:val="24"/>
          <w:lang w:val="en-US"/>
        </w:rPr>
      </w:pPr>
    </w:p>
    <w:p w14:paraId="04C131AD" w14:textId="099A6012" w:rsidR="008F6D51" w:rsidRDefault="008F6D51" w:rsidP="008F6D51">
      <w:pPr>
        <w:rPr>
          <w:rFonts w:cs="Arial"/>
          <w:kern w:val="0"/>
          <w:szCs w:val="24"/>
        </w:rPr>
      </w:pPr>
      <w:r>
        <w:rPr>
          <w:rFonts w:cs="Arial"/>
          <w:b/>
          <w:bCs/>
          <w:szCs w:val="24"/>
        </w:rPr>
        <w:t>Question 1:</w:t>
      </w:r>
      <w:r>
        <w:rPr>
          <w:rFonts w:cs="Arial"/>
          <w:szCs w:val="24"/>
        </w:rPr>
        <w:t xml:space="preserve"> </w:t>
      </w:r>
      <w:r>
        <w:rPr>
          <w:rFonts w:cs="Arial"/>
          <w:i/>
          <w:iCs/>
          <w:szCs w:val="24"/>
        </w:rPr>
        <w:t>Would it be possible to view a copy of past Risk Reviews? This would help us to understand what level of detail is required in deliverable.</w:t>
      </w:r>
    </w:p>
    <w:p w14:paraId="029B6563" w14:textId="77777777" w:rsidR="008F6D51" w:rsidRDefault="008F6D51" w:rsidP="008F6D51">
      <w:pPr>
        <w:rPr>
          <w:rFonts w:cs="Arial"/>
          <w:szCs w:val="24"/>
        </w:rPr>
      </w:pPr>
    </w:p>
    <w:p w14:paraId="1E8D2889" w14:textId="77777777" w:rsidR="008F6D51" w:rsidRDefault="008F6D51" w:rsidP="008F6D51">
      <w:pPr>
        <w:rPr>
          <w:rFonts w:cs="Arial"/>
          <w:szCs w:val="24"/>
        </w:rPr>
      </w:pPr>
    </w:p>
    <w:p w14:paraId="2858D1A3" w14:textId="72E0CFB5" w:rsidR="008F6D51" w:rsidRPr="008F6D51" w:rsidRDefault="008F6D51" w:rsidP="008F6D51">
      <w:pPr>
        <w:rPr>
          <w:rFonts w:cs="Arial"/>
          <w:szCs w:val="24"/>
        </w:rPr>
      </w:pPr>
      <w:r w:rsidRPr="008F6D51">
        <w:rPr>
          <w:rFonts w:cs="Arial"/>
          <w:b/>
          <w:bCs/>
          <w:szCs w:val="24"/>
        </w:rPr>
        <w:t>MCA response:</w:t>
      </w:r>
      <w:r w:rsidRPr="008F6D51">
        <w:rPr>
          <w:rFonts w:cs="Arial"/>
          <w:szCs w:val="24"/>
        </w:rPr>
        <w:t xml:space="preserve"> The Authority agrees to provide the executive summaries and contents pages for some of these previous risk reviews which will give an idea of the scope, scale and subject matter covered in these papers. The Authority also agrees to provide a link to the National Audit Office report Dealing with Pollution from Ships, which is already publicly available online:</w:t>
      </w:r>
    </w:p>
    <w:p w14:paraId="358D5654" w14:textId="0A35ACDC" w:rsidR="008F6D51" w:rsidRPr="008F6D51" w:rsidRDefault="008F6D51" w:rsidP="008F6D51">
      <w:pPr>
        <w:rPr>
          <w:rFonts w:cs="Arial"/>
          <w:szCs w:val="24"/>
        </w:rPr>
      </w:pPr>
    </w:p>
    <w:p w14:paraId="48352D51" w14:textId="4561E723" w:rsidR="008F6D51" w:rsidRPr="008F6D51" w:rsidRDefault="008F6D51" w:rsidP="008F6D51">
      <w:pPr>
        <w:rPr>
          <w:rFonts w:cs="Arial"/>
          <w:szCs w:val="24"/>
        </w:rPr>
      </w:pPr>
      <w:r w:rsidRPr="008F6D51">
        <w:object w:dxaOrig="1504" w:dyaOrig="982" w14:anchorId="541B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4" o:title=""/>
          </v:shape>
          <o:OLEObject Type="Embed" ProgID="AcroExch.Document.DC" ShapeID="_x0000_i1025" DrawAspect="Icon" ObjectID="_1626523662" r:id="rId15"/>
        </w:object>
      </w:r>
      <w:r w:rsidRPr="008F6D51">
        <w:object w:dxaOrig="1504" w:dyaOrig="982" w14:anchorId="3C3CDF8A">
          <v:shape id="_x0000_i1026" type="#_x0000_t75" style="width:75pt;height:48.75pt" o:ole="">
            <v:imagedata r:id="rId16" o:title=""/>
          </v:shape>
          <o:OLEObject Type="Embed" ProgID="AcroExch.Document.DC" ShapeID="_x0000_i1026" DrawAspect="Icon" ObjectID="_1626523663" r:id="rId17"/>
        </w:object>
      </w:r>
    </w:p>
    <w:p w14:paraId="726F17BA" w14:textId="77777777" w:rsidR="008F6D51" w:rsidRPr="008F6D51" w:rsidRDefault="008F6D51" w:rsidP="008F6D51">
      <w:pPr>
        <w:rPr>
          <w:rFonts w:cs="Arial"/>
          <w:szCs w:val="24"/>
        </w:rPr>
      </w:pPr>
    </w:p>
    <w:p w14:paraId="2AEE3FA5" w14:textId="77777777" w:rsidR="008F6D51" w:rsidRPr="008F6D51" w:rsidRDefault="00936B7B" w:rsidP="008F6D51">
      <w:pPr>
        <w:rPr>
          <w:rFonts w:cs="Arial"/>
          <w:szCs w:val="24"/>
        </w:rPr>
      </w:pPr>
      <w:hyperlink r:id="rId18" w:history="1">
        <w:r w:rsidR="008F6D51" w:rsidRPr="008F6D51">
          <w:rPr>
            <w:rStyle w:val="Hyperlink"/>
            <w:rFonts w:eastAsiaTheme="majorEastAsia" w:cs="Arial"/>
            <w:szCs w:val="24"/>
          </w:rPr>
          <w:t>https://www.nao.org.uk/report/dealing-with-pollution-from-ships/</w:t>
        </w:r>
      </w:hyperlink>
      <w:r w:rsidR="008F6D51" w:rsidRPr="008F6D51">
        <w:rPr>
          <w:rFonts w:cs="Arial"/>
          <w:szCs w:val="24"/>
        </w:rPr>
        <w:t xml:space="preserve"> </w:t>
      </w:r>
    </w:p>
    <w:p w14:paraId="110C6733" w14:textId="77777777" w:rsidR="008F6D51" w:rsidRPr="008F6D51" w:rsidRDefault="008F6D51" w:rsidP="008F6D51">
      <w:pPr>
        <w:rPr>
          <w:rFonts w:cs="Arial"/>
          <w:szCs w:val="24"/>
        </w:rPr>
      </w:pPr>
    </w:p>
    <w:p w14:paraId="23DFC33B" w14:textId="77777777" w:rsidR="008F6D51" w:rsidRDefault="008F6D51" w:rsidP="008F6D51">
      <w:pPr>
        <w:rPr>
          <w:rFonts w:cs="Arial"/>
          <w:i/>
          <w:iCs/>
          <w:szCs w:val="24"/>
        </w:rPr>
      </w:pPr>
      <w:r w:rsidRPr="008F6D51">
        <w:rPr>
          <w:rFonts w:cs="Arial"/>
          <w:szCs w:val="24"/>
        </w:rPr>
        <w:t>The rationale for not providing all of the papers in full is that the Authority wishes to avoid a situation where bidders interpret this provision as a desire on the part of the Authority for this risk review to replicate the methodologies used in previous risk reviews, thereby stifling the innovation we are looking for. It should also be noted that these reviews do in themselves vary in terms of approach and focus, depending on</w:t>
      </w:r>
      <w:r>
        <w:rPr>
          <w:rFonts w:cs="Arial"/>
          <w:i/>
          <w:iCs/>
          <w:szCs w:val="24"/>
        </w:rPr>
        <w:t xml:space="preserve"> </w:t>
      </w:r>
      <w:r>
        <w:rPr>
          <w:rFonts w:cs="Arial"/>
          <w:i/>
          <w:iCs/>
          <w:szCs w:val="24"/>
        </w:rPr>
        <w:lastRenderedPageBreak/>
        <w:t xml:space="preserve">the Authority’s stated requirement for those studies and on the analysis tools available at the time. </w:t>
      </w:r>
    </w:p>
    <w:p w14:paraId="5A516EA5" w14:textId="77777777" w:rsidR="008F6D51" w:rsidRDefault="008F6D51" w:rsidP="008F6D51">
      <w:pPr>
        <w:rPr>
          <w:rFonts w:cs="Arial"/>
          <w:i/>
          <w:iCs/>
          <w:szCs w:val="24"/>
        </w:rPr>
      </w:pPr>
    </w:p>
    <w:p w14:paraId="010EA356" w14:textId="77777777" w:rsidR="008F6D51" w:rsidRDefault="008F6D51" w:rsidP="008F6D51">
      <w:pPr>
        <w:rPr>
          <w:rFonts w:cs="Arial"/>
          <w:i/>
          <w:iCs/>
          <w:szCs w:val="24"/>
        </w:rPr>
      </w:pPr>
      <w:r>
        <w:rPr>
          <w:rFonts w:cs="Arial"/>
          <w:i/>
          <w:iCs/>
          <w:szCs w:val="24"/>
        </w:rPr>
        <w:t xml:space="preserve">In terms of level of detail, given the level of resource available and the timescale, the MCA understands that the data analysis carried out to inform this risk review will not be exhaustive. On the other hand, the level of detail and accuracy of the findings should be </w:t>
      </w:r>
      <w:proofErr w:type="gramStart"/>
      <w:r>
        <w:rPr>
          <w:rFonts w:cs="Arial"/>
          <w:i/>
          <w:iCs/>
          <w:szCs w:val="24"/>
        </w:rPr>
        <w:t>sufficient</w:t>
      </w:r>
      <w:proofErr w:type="gramEnd"/>
      <w:r>
        <w:rPr>
          <w:rFonts w:cs="Arial"/>
          <w:i/>
          <w:iCs/>
          <w:szCs w:val="24"/>
        </w:rPr>
        <w:t xml:space="preserve"> to inform the MCA’s resourcing for oil spill response, providing a reasonable basis for this planning. Striking this balance and providing a rationale for the chosen approach is the purview of the bidder and, again, the Authority encourages innovative approaches. To dictate or indicate the appropriate level of detail risks stifling any innovation.</w:t>
      </w:r>
    </w:p>
    <w:p w14:paraId="02BEB6D4" w14:textId="4B984FA6" w:rsidR="0007281E" w:rsidRDefault="0007281E" w:rsidP="0007281E">
      <w:pPr>
        <w:autoSpaceDE w:val="0"/>
        <w:autoSpaceDN w:val="0"/>
        <w:adjustRightInd w:val="0"/>
        <w:jc w:val="left"/>
        <w:rPr>
          <w:rFonts w:cs="Arial"/>
          <w:kern w:val="0"/>
          <w:szCs w:val="24"/>
          <w:lang w:val="en-US"/>
        </w:rPr>
      </w:pPr>
    </w:p>
    <w:p w14:paraId="69BF0130" w14:textId="605FFEB1" w:rsidR="00AE0D71" w:rsidRDefault="00AE0D71" w:rsidP="00936B7B">
      <w:pPr>
        <w:autoSpaceDE w:val="0"/>
        <w:autoSpaceDN w:val="0"/>
        <w:adjustRightInd w:val="0"/>
      </w:pPr>
      <w:r>
        <w:rPr>
          <w:rFonts w:cs="Arial"/>
          <w:b/>
          <w:bCs/>
          <w:szCs w:val="24"/>
        </w:rPr>
        <w:t xml:space="preserve">Question 2: </w:t>
      </w:r>
      <w:r w:rsidRPr="00AE0D71">
        <w:rPr>
          <w:rFonts w:cs="Arial"/>
          <w:szCs w:val="24"/>
        </w:rPr>
        <w:t xml:space="preserve">Would it be possible </w:t>
      </w:r>
      <w:r w:rsidRPr="00AE0D71">
        <w:t xml:space="preserve">if an extension to </w:t>
      </w:r>
      <w:r>
        <w:t xml:space="preserve">the </w:t>
      </w:r>
      <w:r w:rsidRPr="00AE0D71">
        <w:t xml:space="preserve">deadline </w:t>
      </w:r>
      <w:r>
        <w:t>for submission of tenders</w:t>
      </w:r>
      <w:r w:rsidR="00ED7504">
        <w:t>?</w:t>
      </w:r>
      <w:r>
        <w:t xml:space="preserve"> </w:t>
      </w:r>
    </w:p>
    <w:p w14:paraId="56BA280C" w14:textId="3E9F47D3" w:rsidR="00AE0D71" w:rsidRDefault="00AE0D71" w:rsidP="00936B7B">
      <w:pPr>
        <w:autoSpaceDE w:val="0"/>
        <w:autoSpaceDN w:val="0"/>
        <w:adjustRightInd w:val="0"/>
      </w:pPr>
    </w:p>
    <w:p w14:paraId="7F933FF7" w14:textId="530FCFF4" w:rsidR="00AE0D71" w:rsidRDefault="00AE0D71" w:rsidP="00936B7B">
      <w:pPr>
        <w:autoSpaceDE w:val="0"/>
        <w:autoSpaceDN w:val="0"/>
        <w:adjustRightInd w:val="0"/>
        <w:rPr>
          <w:rFonts w:cs="Arial"/>
          <w:szCs w:val="24"/>
        </w:rPr>
      </w:pPr>
      <w:r w:rsidRPr="00AE0D71">
        <w:rPr>
          <w:rFonts w:cs="Arial"/>
          <w:b/>
          <w:bCs/>
          <w:szCs w:val="24"/>
        </w:rPr>
        <w:t>MCA response:</w:t>
      </w:r>
      <w:r w:rsidRPr="00AE0D71">
        <w:rPr>
          <w:rFonts w:cs="Arial"/>
          <w:szCs w:val="24"/>
        </w:rPr>
        <w:t xml:space="preserve"> MCA has extended the deadline for</w:t>
      </w:r>
      <w:r>
        <w:rPr>
          <w:rFonts w:cs="Arial"/>
          <w:szCs w:val="24"/>
        </w:rPr>
        <w:t xml:space="preserve"> receipt of tenders until midday on the 30</w:t>
      </w:r>
      <w:r w:rsidRPr="00AE0D71">
        <w:rPr>
          <w:rFonts w:cs="Arial"/>
          <w:szCs w:val="24"/>
          <w:vertAlign w:val="superscript"/>
        </w:rPr>
        <w:t>th</w:t>
      </w:r>
      <w:r>
        <w:rPr>
          <w:rFonts w:cs="Arial"/>
          <w:szCs w:val="24"/>
        </w:rPr>
        <w:t xml:space="preserve"> August 2019. </w:t>
      </w:r>
    </w:p>
    <w:p w14:paraId="20A9B156" w14:textId="29050716" w:rsidR="0070543F" w:rsidRDefault="0070543F" w:rsidP="00936B7B">
      <w:pPr>
        <w:autoSpaceDE w:val="0"/>
        <w:autoSpaceDN w:val="0"/>
        <w:adjustRightInd w:val="0"/>
        <w:rPr>
          <w:rFonts w:cs="Arial"/>
          <w:szCs w:val="24"/>
        </w:rPr>
      </w:pPr>
    </w:p>
    <w:p w14:paraId="64AECCD5" w14:textId="69849F07"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3:</w:t>
      </w:r>
      <w:r>
        <w:rPr>
          <w:rFonts w:cs="Arial"/>
          <w:kern w:val="0"/>
          <w:szCs w:val="24"/>
          <w:lang w:val="en-US"/>
        </w:rPr>
        <w:t xml:space="preserve"> </w:t>
      </w:r>
      <w:r w:rsidR="0070543F" w:rsidRPr="0070543F">
        <w:rPr>
          <w:rFonts w:cs="Arial"/>
          <w:kern w:val="0"/>
          <w:szCs w:val="24"/>
          <w:lang w:val="en-US"/>
        </w:rPr>
        <w:t>Will the MCA provide any tabulated marine traffic and/or tabulated accident statistics data following contract award?  If so, what might this include please?</w:t>
      </w:r>
    </w:p>
    <w:p w14:paraId="20F4FE71" w14:textId="77777777" w:rsidR="0070543F" w:rsidRPr="0070543F" w:rsidRDefault="0070543F" w:rsidP="00936B7B">
      <w:pPr>
        <w:autoSpaceDE w:val="0"/>
        <w:autoSpaceDN w:val="0"/>
        <w:adjustRightInd w:val="0"/>
        <w:rPr>
          <w:rFonts w:cs="Arial"/>
          <w:kern w:val="0"/>
          <w:szCs w:val="24"/>
          <w:lang w:val="en-US"/>
        </w:rPr>
      </w:pPr>
    </w:p>
    <w:p w14:paraId="71D20093" w14:textId="7246DECD"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 xml:space="preserve">AIS data for the UK EEZ is available in a .csv format rendered down into individual days from 2013 up to the end of July 2018. The file sizes are </w:t>
      </w:r>
      <w:r w:rsidRPr="0070543F">
        <w:rPr>
          <w:rFonts w:cs="Arial"/>
          <w:kern w:val="0"/>
          <w:szCs w:val="24"/>
          <w:lang w:val="en-US"/>
        </w:rPr>
        <w:t>considerable,</w:t>
      </w:r>
      <w:r w:rsidR="0070543F" w:rsidRPr="0070543F">
        <w:rPr>
          <w:rFonts w:cs="Arial"/>
          <w:kern w:val="0"/>
          <w:szCs w:val="24"/>
          <w:lang w:val="en-US"/>
        </w:rPr>
        <w:t xml:space="preserve"> and an external drive will be the fastest method of transfer. This drive should be provided by the successful bidder.</w:t>
      </w:r>
    </w:p>
    <w:p w14:paraId="206D0B34" w14:textId="77777777" w:rsidR="0070543F" w:rsidRPr="0070543F" w:rsidRDefault="0070543F" w:rsidP="00936B7B">
      <w:pPr>
        <w:autoSpaceDE w:val="0"/>
        <w:autoSpaceDN w:val="0"/>
        <w:adjustRightInd w:val="0"/>
        <w:rPr>
          <w:rFonts w:cs="Arial"/>
          <w:kern w:val="0"/>
          <w:szCs w:val="24"/>
          <w:lang w:val="en-US"/>
        </w:rPr>
      </w:pPr>
    </w:p>
    <w:p w14:paraId="125390DA"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 xml:space="preserve">AIS data from August to December 2018 can be extracted, but at present the timescale for this is not known. </w:t>
      </w:r>
    </w:p>
    <w:p w14:paraId="2AE8AF32" w14:textId="77777777" w:rsidR="0070543F" w:rsidRPr="0070543F" w:rsidRDefault="0070543F" w:rsidP="00936B7B">
      <w:pPr>
        <w:autoSpaceDE w:val="0"/>
        <w:autoSpaceDN w:val="0"/>
        <w:adjustRightInd w:val="0"/>
        <w:rPr>
          <w:rFonts w:cs="Arial"/>
          <w:kern w:val="0"/>
          <w:szCs w:val="24"/>
          <w:lang w:val="en-US"/>
        </w:rPr>
      </w:pPr>
    </w:p>
    <w:p w14:paraId="3B95ED40"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Data on incidents/accidents is available in the weekly summaries of the MCA’s Counter Pollution and Salvage Officers. The successful bidder will have access to these. UK Annual Marine Pollution Surveys published by the Advisory Committee on the Protection of the Sea (ACOPS) are also available up to 2016.</w:t>
      </w:r>
    </w:p>
    <w:p w14:paraId="01BB9329" w14:textId="77777777" w:rsidR="0070543F" w:rsidRPr="0070543F" w:rsidRDefault="0070543F" w:rsidP="00936B7B">
      <w:pPr>
        <w:autoSpaceDE w:val="0"/>
        <w:autoSpaceDN w:val="0"/>
        <w:adjustRightInd w:val="0"/>
        <w:rPr>
          <w:rFonts w:cs="Arial"/>
          <w:kern w:val="0"/>
          <w:szCs w:val="24"/>
          <w:lang w:val="en-US"/>
        </w:rPr>
      </w:pPr>
    </w:p>
    <w:p w14:paraId="14093662" w14:textId="77777777" w:rsidR="0070543F" w:rsidRPr="0070543F" w:rsidRDefault="0070543F" w:rsidP="00936B7B">
      <w:pPr>
        <w:autoSpaceDE w:val="0"/>
        <w:autoSpaceDN w:val="0"/>
        <w:adjustRightInd w:val="0"/>
        <w:rPr>
          <w:rFonts w:cs="Arial"/>
          <w:kern w:val="0"/>
          <w:szCs w:val="24"/>
          <w:lang w:val="en-US"/>
        </w:rPr>
      </w:pPr>
      <w:r w:rsidRPr="0070543F">
        <w:rPr>
          <w:rFonts w:cs="Arial"/>
          <w:kern w:val="0"/>
          <w:szCs w:val="24"/>
          <w:lang w:val="en-US"/>
        </w:rPr>
        <w:t>No data held by the MCA will be released prior to contract award.</w:t>
      </w:r>
    </w:p>
    <w:p w14:paraId="407800B5" w14:textId="77777777" w:rsidR="0070543F" w:rsidRPr="0070543F" w:rsidRDefault="0070543F" w:rsidP="00936B7B">
      <w:pPr>
        <w:autoSpaceDE w:val="0"/>
        <w:autoSpaceDN w:val="0"/>
        <w:adjustRightInd w:val="0"/>
        <w:rPr>
          <w:rFonts w:cs="Arial"/>
          <w:kern w:val="0"/>
          <w:szCs w:val="24"/>
          <w:lang w:val="en-US"/>
        </w:rPr>
      </w:pPr>
    </w:p>
    <w:p w14:paraId="56BFE596" w14:textId="4084AD7E"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4:</w:t>
      </w:r>
      <w:r>
        <w:rPr>
          <w:rFonts w:cs="Arial"/>
          <w:kern w:val="0"/>
          <w:szCs w:val="24"/>
          <w:lang w:val="en-US"/>
        </w:rPr>
        <w:t xml:space="preserve"> </w:t>
      </w:r>
      <w:r w:rsidR="0070543F" w:rsidRPr="0070543F">
        <w:rPr>
          <w:rFonts w:cs="Arial"/>
          <w:kern w:val="0"/>
          <w:szCs w:val="24"/>
          <w:lang w:val="en-US"/>
        </w:rPr>
        <w:t>Stage 1 refers to oil cargo.  Will this include Hazardous and Noxious Substances?</w:t>
      </w:r>
    </w:p>
    <w:p w14:paraId="1AD7906C" w14:textId="77777777" w:rsidR="0070543F" w:rsidRPr="0070543F" w:rsidRDefault="0070543F" w:rsidP="00936B7B">
      <w:pPr>
        <w:autoSpaceDE w:val="0"/>
        <w:autoSpaceDN w:val="0"/>
        <w:adjustRightInd w:val="0"/>
        <w:rPr>
          <w:rFonts w:cs="Arial"/>
          <w:kern w:val="0"/>
          <w:szCs w:val="24"/>
          <w:lang w:val="en-US"/>
        </w:rPr>
      </w:pPr>
    </w:p>
    <w:p w14:paraId="5ACC4C69" w14:textId="3A83C5A3"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 xml:space="preserve">MCA </w:t>
      </w:r>
      <w:r>
        <w:rPr>
          <w:rFonts w:cs="Arial"/>
          <w:b/>
          <w:bCs/>
          <w:kern w:val="0"/>
          <w:szCs w:val="24"/>
          <w:lang w:val="en-US"/>
        </w:rPr>
        <w:t>r</w:t>
      </w:r>
      <w:r w:rsidRPr="00936B7B">
        <w:rPr>
          <w:rFonts w:cs="Arial"/>
          <w:b/>
          <w:bCs/>
          <w:kern w:val="0"/>
          <w:szCs w:val="24"/>
          <w:lang w:val="en-US"/>
        </w:rPr>
        <w:t>esponse:</w:t>
      </w:r>
      <w:r>
        <w:rPr>
          <w:rFonts w:cs="Arial"/>
          <w:kern w:val="0"/>
          <w:szCs w:val="24"/>
          <w:lang w:val="en-US"/>
        </w:rPr>
        <w:t xml:space="preserve"> </w:t>
      </w:r>
      <w:r w:rsidR="0070543F" w:rsidRPr="0070543F">
        <w:rPr>
          <w:rFonts w:cs="Arial"/>
          <w:kern w:val="0"/>
          <w:szCs w:val="24"/>
          <w:lang w:val="en-US"/>
        </w:rPr>
        <w:t>No, the Risk Review will not include hazardous and noxious substances unless the substance in question is also defined as oil under Annex I of the MARPOL Convention. The purpose of the Review is to inform the MCA’s resource planning for its response to marine oil spills and must be confined to this. If this is unclear, bidders should refer to the definition(s) of oil under Annex I of the MARPOL Convention and the examples laid out therein.</w:t>
      </w:r>
    </w:p>
    <w:p w14:paraId="6A9C356E" w14:textId="77777777" w:rsidR="0070543F" w:rsidRPr="0070543F" w:rsidRDefault="0070543F" w:rsidP="00936B7B">
      <w:pPr>
        <w:autoSpaceDE w:val="0"/>
        <w:autoSpaceDN w:val="0"/>
        <w:adjustRightInd w:val="0"/>
        <w:rPr>
          <w:rFonts w:cs="Arial"/>
          <w:kern w:val="0"/>
          <w:szCs w:val="24"/>
          <w:lang w:val="en-US"/>
        </w:rPr>
      </w:pPr>
    </w:p>
    <w:p w14:paraId="05BA9C46" w14:textId="77777777" w:rsidR="0070543F" w:rsidRPr="0070543F" w:rsidRDefault="0070543F" w:rsidP="00936B7B">
      <w:pPr>
        <w:autoSpaceDE w:val="0"/>
        <w:autoSpaceDN w:val="0"/>
        <w:adjustRightInd w:val="0"/>
        <w:rPr>
          <w:rFonts w:cs="Arial"/>
          <w:kern w:val="0"/>
          <w:szCs w:val="24"/>
          <w:lang w:val="en-US"/>
        </w:rPr>
      </w:pPr>
    </w:p>
    <w:p w14:paraId="6309DEB4" w14:textId="300F2E60"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lastRenderedPageBreak/>
        <w:t>Question 5:</w:t>
      </w:r>
      <w:r>
        <w:rPr>
          <w:rFonts w:cs="Arial"/>
          <w:kern w:val="0"/>
          <w:szCs w:val="24"/>
          <w:lang w:val="en-US"/>
        </w:rPr>
        <w:t xml:space="preserve"> </w:t>
      </w:r>
      <w:r w:rsidR="0070543F" w:rsidRPr="0070543F">
        <w:rPr>
          <w:rFonts w:cs="Arial"/>
          <w:kern w:val="0"/>
          <w:szCs w:val="24"/>
          <w:lang w:val="en-US"/>
        </w:rPr>
        <w:t xml:space="preserve">Annex 3 – Price Evaluation states that “the total project price shall be paid in accordance with Clause 2.4 in the form of contract (Annex 4)”.  Clause 2.4 is not in Annex 4 (form of contract).  Please clarify.   </w:t>
      </w:r>
    </w:p>
    <w:p w14:paraId="0CB17EDA" w14:textId="77777777" w:rsidR="0070543F" w:rsidRPr="0070543F" w:rsidRDefault="0070543F" w:rsidP="00936B7B">
      <w:pPr>
        <w:autoSpaceDE w:val="0"/>
        <w:autoSpaceDN w:val="0"/>
        <w:adjustRightInd w:val="0"/>
        <w:rPr>
          <w:rFonts w:cs="Arial"/>
          <w:kern w:val="0"/>
          <w:szCs w:val="24"/>
          <w:lang w:val="en-US"/>
        </w:rPr>
      </w:pPr>
    </w:p>
    <w:p w14:paraId="105C3469" w14:textId="369710E9"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This is a typo – it should refer to Clause 2.1 in the Form of Contract.</w:t>
      </w:r>
    </w:p>
    <w:p w14:paraId="3C535100" w14:textId="77777777" w:rsidR="0070543F" w:rsidRPr="0070543F" w:rsidRDefault="0070543F" w:rsidP="00936B7B">
      <w:pPr>
        <w:autoSpaceDE w:val="0"/>
        <w:autoSpaceDN w:val="0"/>
        <w:adjustRightInd w:val="0"/>
        <w:rPr>
          <w:rFonts w:cs="Arial"/>
          <w:kern w:val="0"/>
          <w:szCs w:val="24"/>
          <w:lang w:val="en-US"/>
        </w:rPr>
      </w:pPr>
    </w:p>
    <w:p w14:paraId="635730F5" w14:textId="77777777" w:rsidR="0070543F" w:rsidRPr="0070543F" w:rsidRDefault="0070543F" w:rsidP="00936B7B">
      <w:pPr>
        <w:autoSpaceDE w:val="0"/>
        <w:autoSpaceDN w:val="0"/>
        <w:adjustRightInd w:val="0"/>
        <w:rPr>
          <w:rFonts w:cs="Arial"/>
          <w:kern w:val="0"/>
          <w:szCs w:val="24"/>
          <w:lang w:val="en-US"/>
        </w:rPr>
      </w:pPr>
    </w:p>
    <w:p w14:paraId="22FE1D8B" w14:textId="245BCC53"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Question 6:</w:t>
      </w:r>
      <w:r>
        <w:rPr>
          <w:rFonts w:cs="Arial"/>
          <w:kern w:val="0"/>
          <w:szCs w:val="24"/>
          <w:lang w:val="en-US"/>
        </w:rPr>
        <w:t xml:space="preserve"> </w:t>
      </w:r>
      <w:r w:rsidR="0070543F" w:rsidRPr="0070543F">
        <w:rPr>
          <w:rFonts w:cs="Arial"/>
          <w:kern w:val="0"/>
          <w:szCs w:val="24"/>
          <w:lang w:val="en-US"/>
        </w:rPr>
        <w:t>The ITT refers to Annex 5 on page 8.  Annex 5 is not in the provided documentation.  Is this an additional document?  If so, can a copy please be made available?</w:t>
      </w:r>
    </w:p>
    <w:p w14:paraId="09C01E9D" w14:textId="77777777" w:rsidR="0070543F" w:rsidRPr="0070543F" w:rsidRDefault="0070543F" w:rsidP="00936B7B">
      <w:pPr>
        <w:autoSpaceDE w:val="0"/>
        <w:autoSpaceDN w:val="0"/>
        <w:adjustRightInd w:val="0"/>
        <w:rPr>
          <w:rFonts w:cs="Arial"/>
          <w:kern w:val="0"/>
          <w:szCs w:val="24"/>
          <w:lang w:val="en-US"/>
        </w:rPr>
      </w:pPr>
    </w:p>
    <w:p w14:paraId="2A631A98" w14:textId="66EE9FDA" w:rsidR="0070543F" w:rsidRPr="0070543F" w:rsidRDefault="00936B7B" w:rsidP="00936B7B">
      <w:pPr>
        <w:autoSpaceDE w:val="0"/>
        <w:autoSpaceDN w:val="0"/>
        <w:adjustRightInd w:val="0"/>
        <w:rPr>
          <w:rFonts w:cs="Arial"/>
          <w:kern w:val="0"/>
          <w:szCs w:val="24"/>
          <w:lang w:val="en-US"/>
        </w:rPr>
      </w:pPr>
      <w:r w:rsidRPr="00936B7B">
        <w:rPr>
          <w:rFonts w:cs="Arial"/>
          <w:b/>
          <w:bCs/>
          <w:kern w:val="0"/>
          <w:szCs w:val="24"/>
          <w:lang w:val="en-US"/>
        </w:rPr>
        <w:t>MCA response:</w:t>
      </w:r>
      <w:r>
        <w:rPr>
          <w:rFonts w:cs="Arial"/>
          <w:kern w:val="0"/>
          <w:szCs w:val="24"/>
          <w:lang w:val="en-US"/>
        </w:rPr>
        <w:t xml:space="preserve"> </w:t>
      </w:r>
      <w:r w:rsidR="0070543F" w:rsidRPr="0070543F">
        <w:rPr>
          <w:rFonts w:cs="Arial"/>
          <w:kern w:val="0"/>
          <w:szCs w:val="24"/>
          <w:lang w:val="en-US"/>
        </w:rPr>
        <w:t>This is a typo and should refer to the Form of Contract in Annex 4.</w:t>
      </w:r>
    </w:p>
    <w:p w14:paraId="40ED9E79" w14:textId="77777777" w:rsidR="0070543F" w:rsidRPr="00AE0D71" w:rsidRDefault="0070543F" w:rsidP="00936B7B">
      <w:pPr>
        <w:autoSpaceDE w:val="0"/>
        <w:autoSpaceDN w:val="0"/>
        <w:adjustRightInd w:val="0"/>
        <w:rPr>
          <w:rFonts w:cs="Arial"/>
          <w:kern w:val="0"/>
          <w:szCs w:val="24"/>
          <w:lang w:val="en-US"/>
        </w:rPr>
      </w:pPr>
    </w:p>
    <w:p w14:paraId="1A83899A" w14:textId="4342A4D9" w:rsidR="000A209F" w:rsidRDefault="000A209F" w:rsidP="0007281E">
      <w:pPr>
        <w:autoSpaceDE w:val="0"/>
        <w:autoSpaceDN w:val="0"/>
        <w:adjustRightInd w:val="0"/>
        <w:jc w:val="left"/>
        <w:rPr>
          <w:rFonts w:cs="Arial"/>
          <w:b/>
          <w:kern w:val="0"/>
          <w:szCs w:val="24"/>
          <w:lang w:val="en-US"/>
        </w:rPr>
      </w:pPr>
    </w:p>
    <w:p w14:paraId="0A4AB949" w14:textId="5703E0A3" w:rsidR="00F5753F" w:rsidRDefault="001F2F6A" w:rsidP="00C23ADD">
      <w:pPr>
        <w:tabs>
          <w:tab w:val="left" w:pos="-720"/>
        </w:tabs>
        <w:suppressAutoHyphens/>
        <w:rPr>
          <w:rFonts w:cs="Arial"/>
          <w:spacing w:val="-3"/>
          <w:szCs w:val="24"/>
        </w:rPr>
      </w:pPr>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Pr="008F6D51" w:rsidRDefault="00C23ADD" w:rsidP="00C23ADD">
      <w:pPr>
        <w:tabs>
          <w:tab w:val="left" w:pos="-720"/>
        </w:tabs>
        <w:suppressAutoHyphens/>
        <w:rPr>
          <w:sz w:val="28"/>
          <w:szCs w:val="28"/>
        </w:rPr>
      </w:pPr>
    </w:p>
    <w:p w14:paraId="3E381DE9" w14:textId="08EE0490" w:rsidR="00AA72EE" w:rsidRPr="008F6D51" w:rsidRDefault="00AA72EE" w:rsidP="00BE2D1E">
      <w:pPr>
        <w:jc w:val="left"/>
        <w:rPr>
          <w:sz w:val="28"/>
          <w:szCs w:val="28"/>
        </w:rPr>
      </w:pPr>
    </w:p>
    <w:p w14:paraId="79AB0683" w14:textId="0508846C" w:rsidR="007600BB" w:rsidRPr="00205E74" w:rsidRDefault="00936B7B" w:rsidP="00BE2D1E">
      <w:pPr>
        <w:jc w:val="left"/>
      </w:pPr>
      <w:r>
        <w:t>Kathy Monk</w:t>
      </w:r>
      <w:bookmarkStart w:id="0" w:name="_GoBack"/>
      <w:bookmarkEnd w:id="0"/>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B514" w14:textId="77777777" w:rsidR="000F10AD" w:rsidRDefault="000F10AD">
      <w:pPr>
        <w:spacing w:line="20" w:lineRule="exact"/>
      </w:pPr>
    </w:p>
  </w:endnote>
  <w:endnote w:type="continuationSeparator" w:id="0">
    <w:p w14:paraId="359C69EC" w14:textId="77777777" w:rsidR="000F10AD" w:rsidRDefault="000F10AD">
      <w:r>
        <w:t xml:space="preserve"> </w:t>
      </w:r>
    </w:p>
  </w:endnote>
  <w:endnote w:type="continuationNotice" w:id="1">
    <w:p w14:paraId="0883CEDA" w14:textId="77777777" w:rsidR="000F10AD" w:rsidRDefault="000F10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C3B8" w14:textId="77777777" w:rsidR="000F10AD" w:rsidRDefault="000F10AD">
      <w:r>
        <w:separator/>
      </w:r>
    </w:p>
  </w:footnote>
  <w:footnote w:type="continuationSeparator" w:id="0">
    <w:p w14:paraId="70CF5A06" w14:textId="77777777" w:rsidR="000F10AD" w:rsidRDefault="000F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9"/>
  </w:num>
  <w:num w:numId="38">
    <w:abstractNumId w:val="5"/>
  </w:num>
  <w:num w:numId="39">
    <w:abstractNumId w:val="4"/>
  </w:num>
  <w:num w:numId="40">
    <w:abstractNumId w:val="7"/>
  </w:num>
  <w:num w:numId="41">
    <w:abstractNumId w:val="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0F10AD"/>
    <w:rsid w:val="00140B99"/>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B35EE"/>
    <w:rsid w:val="005D1822"/>
    <w:rsid w:val="005D760E"/>
    <w:rsid w:val="005E3A2F"/>
    <w:rsid w:val="005E6EB0"/>
    <w:rsid w:val="0060184C"/>
    <w:rsid w:val="006264AB"/>
    <w:rsid w:val="00627393"/>
    <w:rsid w:val="00627571"/>
    <w:rsid w:val="006300A9"/>
    <w:rsid w:val="00634D50"/>
    <w:rsid w:val="00637A2B"/>
    <w:rsid w:val="006440FD"/>
    <w:rsid w:val="00652133"/>
    <w:rsid w:val="006571E9"/>
    <w:rsid w:val="00662205"/>
    <w:rsid w:val="006672C2"/>
    <w:rsid w:val="00677152"/>
    <w:rsid w:val="00686507"/>
    <w:rsid w:val="00686F3F"/>
    <w:rsid w:val="006A076F"/>
    <w:rsid w:val="006A22CC"/>
    <w:rsid w:val="006B78AD"/>
    <w:rsid w:val="006C4A73"/>
    <w:rsid w:val="006D5899"/>
    <w:rsid w:val="006E17F1"/>
    <w:rsid w:val="006E7D25"/>
    <w:rsid w:val="006F3422"/>
    <w:rsid w:val="006F7BDE"/>
    <w:rsid w:val="0070543F"/>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D3B38"/>
    <w:rsid w:val="008E160E"/>
    <w:rsid w:val="008F0DA8"/>
    <w:rsid w:val="008F120F"/>
    <w:rsid w:val="008F6D51"/>
    <w:rsid w:val="009044A6"/>
    <w:rsid w:val="009106F4"/>
    <w:rsid w:val="00936B7B"/>
    <w:rsid w:val="00940181"/>
    <w:rsid w:val="00941268"/>
    <w:rsid w:val="009529CE"/>
    <w:rsid w:val="009624BD"/>
    <w:rsid w:val="00975A7E"/>
    <w:rsid w:val="009772B7"/>
    <w:rsid w:val="00982245"/>
    <w:rsid w:val="009924A6"/>
    <w:rsid w:val="0099652C"/>
    <w:rsid w:val="009C3784"/>
    <w:rsid w:val="009C5E12"/>
    <w:rsid w:val="009D0F80"/>
    <w:rsid w:val="009E697B"/>
    <w:rsid w:val="009E71F1"/>
    <w:rsid w:val="00A032EF"/>
    <w:rsid w:val="00A11727"/>
    <w:rsid w:val="00A50D7C"/>
    <w:rsid w:val="00A646F5"/>
    <w:rsid w:val="00A936FE"/>
    <w:rsid w:val="00AA3142"/>
    <w:rsid w:val="00AA65D3"/>
    <w:rsid w:val="00AA72EE"/>
    <w:rsid w:val="00AB1C65"/>
    <w:rsid w:val="00AB439A"/>
    <w:rsid w:val="00AB50CC"/>
    <w:rsid w:val="00AC4BE2"/>
    <w:rsid w:val="00AD7BC2"/>
    <w:rsid w:val="00AE0D71"/>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A56AF"/>
    <w:rsid w:val="00BB0F7F"/>
    <w:rsid w:val="00BE2D1E"/>
    <w:rsid w:val="00BF0020"/>
    <w:rsid w:val="00BF0783"/>
    <w:rsid w:val="00BF38F1"/>
    <w:rsid w:val="00C02C83"/>
    <w:rsid w:val="00C12FC7"/>
    <w:rsid w:val="00C1457D"/>
    <w:rsid w:val="00C20AA0"/>
    <w:rsid w:val="00C23ADD"/>
    <w:rsid w:val="00C35EEE"/>
    <w:rsid w:val="00C50E5C"/>
    <w:rsid w:val="00C603B7"/>
    <w:rsid w:val="00C8162A"/>
    <w:rsid w:val="00CB3FB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0226"/>
    <w:rsid w:val="00DB7F7F"/>
    <w:rsid w:val="00DC44DC"/>
    <w:rsid w:val="00DD3DE5"/>
    <w:rsid w:val="00DF1D24"/>
    <w:rsid w:val="00E05E2E"/>
    <w:rsid w:val="00E1065C"/>
    <w:rsid w:val="00E23742"/>
    <w:rsid w:val="00E313AD"/>
    <w:rsid w:val="00E32B04"/>
    <w:rsid w:val="00E33D90"/>
    <w:rsid w:val="00E43BF7"/>
    <w:rsid w:val="00E516A8"/>
    <w:rsid w:val="00E553EB"/>
    <w:rsid w:val="00E746DD"/>
    <w:rsid w:val="00E74EAA"/>
    <w:rsid w:val="00E8052C"/>
    <w:rsid w:val="00E85397"/>
    <w:rsid w:val="00E86088"/>
    <w:rsid w:val="00E96439"/>
    <w:rsid w:val="00EA085E"/>
    <w:rsid w:val="00ED05F4"/>
    <w:rsid w:val="00ED301E"/>
    <w:rsid w:val="00ED7504"/>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ockticker"/>
  <w:shapeDefaults>
    <o:shapedefaults v:ext="edit" spidmax="1028"/>
    <o:shapelayout v:ext="edit">
      <o:idmap v:ext="edit" data="1"/>
    </o:shapelayout>
  </w:shapeDefaults>
  <w:decimalSymbol w:val="."/>
  <w:listSeparator w:val=","/>
  <w14:docId w14:val="2EDA813E"/>
  <w14:defaultImageDpi w14:val="0"/>
  <w15:docId w15:val="{40D96DDA-9D80-4964-B640-A9DA766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1F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2579029">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79304239">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ao.org.uk/report/dealing-with-pollution-from-ship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
  <cp:lastModifiedBy>Kathleen Monk</cp:lastModifiedBy>
  <cp:revision>3</cp:revision>
  <cp:lastPrinted>2010-09-17T09:45:00Z</cp:lastPrinted>
  <dcterms:created xsi:type="dcterms:W3CDTF">2019-08-05T14:12:00Z</dcterms:created>
  <dcterms:modified xsi:type="dcterms:W3CDTF">2019-08-05T14:21:00Z</dcterms:modified>
</cp:coreProperties>
</file>