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B975" w14:textId="67542F7C" w:rsidR="000272C1" w:rsidRDefault="008D76E7" w:rsidP="00912D66">
      <w:pPr>
        <w:pStyle w:val="Title"/>
      </w:pPr>
      <w:r>
        <w:t xml:space="preserve">Digital </w:t>
      </w:r>
      <w:r w:rsidR="001B4989">
        <w:t>E</w:t>
      </w:r>
      <w:r>
        <w:t xml:space="preserve">nablement of </w:t>
      </w:r>
      <w:r w:rsidR="001B4989">
        <w:t>R</w:t>
      </w:r>
      <w:r>
        <w:t xml:space="preserve">eferral </w:t>
      </w:r>
      <w:r w:rsidR="001B4989">
        <w:t>P</w:t>
      </w:r>
      <w:r>
        <w:t xml:space="preserve">athway </w:t>
      </w:r>
      <w:r w:rsidR="00B66674">
        <w:t xml:space="preserve">Solution </w:t>
      </w:r>
      <w:r w:rsidR="001B4989">
        <w:t>–</w:t>
      </w:r>
      <w:r>
        <w:t xml:space="preserve"> </w:t>
      </w:r>
      <w:r w:rsidR="00B66674">
        <w:t>Request for Information</w:t>
      </w:r>
    </w:p>
    <w:p w14:paraId="18CED9C9" w14:textId="5ABCEF72" w:rsidR="00751DF4" w:rsidRDefault="00751DF4" w:rsidP="00751DF4">
      <w:pPr>
        <w:pStyle w:val="Heading2"/>
      </w:pPr>
      <w:r>
        <w:t>Background to the requirement</w:t>
      </w:r>
    </w:p>
    <w:p w14:paraId="210C98A1" w14:textId="32C78ED8" w:rsidR="00751DF4" w:rsidRDefault="00B66674" w:rsidP="001B4989">
      <w:r>
        <w:t>North London NHS Foundation Trust (NLFT) are looking for a solution that enables their strategy for creating a single point of access whilst providing enhanced assessment capabilities via an AI model to reduce assessments and increase time spent on interventions. The purpose of this RFI is to</w:t>
      </w:r>
      <w:r w:rsidR="00751DF4">
        <w:t xml:space="preserve"> establish:</w:t>
      </w:r>
    </w:p>
    <w:p w14:paraId="177081C4" w14:textId="4A9205AA" w:rsidR="00751DF4" w:rsidRPr="00751DF4" w:rsidRDefault="00751DF4" w:rsidP="00751DF4">
      <w:pPr>
        <w:pStyle w:val="ListParagraph"/>
        <w:numPr>
          <w:ilvl w:val="0"/>
          <w:numId w:val="12"/>
        </w:numPr>
      </w:pPr>
      <w:r w:rsidRPr="00751DF4">
        <w:t>An understanding of the different solutions and models available</w:t>
      </w:r>
      <w:r>
        <w:t>, with existing contracts within the Healthcare sector.</w:t>
      </w:r>
    </w:p>
    <w:p w14:paraId="4FF43639" w14:textId="0726BDAC" w:rsidR="00751DF4" w:rsidRPr="00751DF4" w:rsidRDefault="00751DF4" w:rsidP="00751DF4">
      <w:pPr>
        <w:pStyle w:val="ListParagraph"/>
        <w:numPr>
          <w:ilvl w:val="0"/>
          <w:numId w:val="12"/>
        </w:numPr>
      </w:pPr>
      <w:r w:rsidRPr="00751DF4">
        <w:t xml:space="preserve">A benchmark of the costs associated with </w:t>
      </w:r>
      <w:r w:rsidR="00F13815">
        <w:t xml:space="preserve">the platform covering </w:t>
      </w:r>
      <w:r>
        <w:t xml:space="preserve">development, </w:t>
      </w:r>
      <w:r w:rsidRPr="00751DF4">
        <w:t xml:space="preserve">implementation, </w:t>
      </w:r>
      <w:r w:rsidR="00F13815">
        <w:t>support &amp; maintenance, hosting</w:t>
      </w:r>
      <w:r w:rsidR="008940DE">
        <w:t>, correspondence, change &amp; release management, ongoing development</w:t>
      </w:r>
    </w:p>
    <w:p w14:paraId="2CAC7A1C" w14:textId="77777777" w:rsidR="00751DF4" w:rsidRPr="00751DF4" w:rsidRDefault="00751DF4" w:rsidP="00751DF4">
      <w:pPr>
        <w:pStyle w:val="ListParagraph"/>
        <w:numPr>
          <w:ilvl w:val="0"/>
          <w:numId w:val="12"/>
        </w:numPr>
      </w:pPr>
      <w:r w:rsidRPr="00751DF4">
        <w:t xml:space="preserve">Information on what is realistic, practical, and achievable in challenging timescales </w:t>
      </w:r>
    </w:p>
    <w:p w14:paraId="156F22D6" w14:textId="77777777" w:rsidR="00751DF4" w:rsidRPr="00751DF4" w:rsidRDefault="00751DF4" w:rsidP="00751DF4">
      <w:pPr>
        <w:pStyle w:val="ListParagraph"/>
        <w:numPr>
          <w:ilvl w:val="0"/>
          <w:numId w:val="12"/>
        </w:numPr>
      </w:pPr>
      <w:r w:rsidRPr="00751DF4">
        <w:t>Options on the best route to market</w:t>
      </w:r>
    </w:p>
    <w:p w14:paraId="3443E0B2" w14:textId="49B8E490" w:rsidR="00751DF4" w:rsidRDefault="00B66674" w:rsidP="001B4989">
      <w:r>
        <w:t>Capital has been allocated for this investment and therefore it is compulsory for the system to meet the mandatory criteria due to limited timescales. Due to the tool recommending clinician decisions it is considered a medical device and we require Class I</w:t>
      </w:r>
      <w:r w:rsidR="00BA4DEB">
        <w:t>I</w:t>
      </w:r>
      <w:r>
        <w:t xml:space="preserve"> compliance</w:t>
      </w:r>
      <w:r w:rsidR="00BA4DEB">
        <w:t>.</w:t>
      </w:r>
    </w:p>
    <w:p w14:paraId="48B7F291" w14:textId="7BB7937B" w:rsidR="00751DF4" w:rsidRDefault="00F13815" w:rsidP="00751DF4">
      <w:pPr>
        <w:pStyle w:val="Heading2"/>
      </w:pPr>
      <w:r>
        <w:t xml:space="preserve">Specification and </w:t>
      </w:r>
      <w:r w:rsidR="00BA4DEB">
        <w:t>Responding to this RF</w:t>
      </w:r>
      <w:r w:rsidR="00751DF4">
        <w:t>I</w:t>
      </w:r>
    </w:p>
    <w:p w14:paraId="3178B977" w14:textId="056DEDB7" w:rsidR="00A82F28" w:rsidRDefault="00751DF4" w:rsidP="00751DF4">
      <w:pPr>
        <w:pStyle w:val="ListParagraph"/>
        <w:numPr>
          <w:ilvl w:val="0"/>
          <w:numId w:val="11"/>
        </w:numPr>
      </w:pPr>
      <w:r>
        <w:t>Suppliers</w:t>
      </w:r>
      <w:r w:rsidR="001B4989">
        <w:t xml:space="preserve"> are asked to provide a description of the solution that they provide (or via subcontracting parties) that meets the below deliverables</w:t>
      </w:r>
      <w:r w:rsidR="00C4461A">
        <w:t>:</w:t>
      </w:r>
    </w:p>
    <w:p w14:paraId="0E94F46D" w14:textId="77777777" w:rsidR="003D618E" w:rsidRDefault="003D618E" w:rsidP="003D618E">
      <w:pPr>
        <w:pStyle w:val="ListParagraph"/>
        <w:numPr>
          <w:ilvl w:val="0"/>
          <w:numId w:val="9"/>
        </w:numPr>
        <w:spacing w:after="160"/>
      </w:pPr>
      <w:r>
        <w:t>One of the most challenging and effort intensive components of the referral-to-treatment pathway for planned care is conducting holistic ‘Assessments’ to inform triage and treatment choices, which is critical to the success of our ongoing efforts to improve our access-to-assessment for our service users and progress the implementation of a Single Point of Access across NLFT.</w:t>
      </w:r>
    </w:p>
    <w:p w14:paraId="79F0CC0C" w14:textId="0292658E" w:rsidR="00084785" w:rsidRDefault="003D618E" w:rsidP="00F4524E">
      <w:pPr>
        <w:pStyle w:val="ListParagraph"/>
        <w:numPr>
          <w:ilvl w:val="0"/>
          <w:numId w:val="9"/>
        </w:numPr>
        <w:spacing w:after="160"/>
      </w:pPr>
      <w:r>
        <w:t xml:space="preserve">We </w:t>
      </w:r>
      <w:r w:rsidR="00084785">
        <w:t>are exploring the opportunity to</w:t>
      </w:r>
      <w:r>
        <w:t xml:space="preserve"> digitally enable our </w:t>
      </w:r>
      <w:r w:rsidR="00084785">
        <w:t>referral-to-</w:t>
      </w:r>
      <w:r>
        <w:t xml:space="preserve">assessment processes with a purpose-built AI-informed digital assessment solution </w:t>
      </w:r>
      <w:r w:rsidR="00084785">
        <w:t>t</w:t>
      </w:r>
      <w:r>
        <w:t>hat has proven potential for reducing administrative and clinical burden</w:t>
      </w:r>
      <w:r w:rsidR="00EC0CD4">
        <w:t>s</w:t>
      </w:r>
      <w:r>
        <w:t>, reducing referral to treatment times amongst other benefits that several other mental health Trusts have started to realise</w:t>
      </w:r>
      <w:r w:rsidR="00084785">
        <w:t xml:space="preserve">. </w:t>
      </w:r>
    </w:p>
    <w:p w14:paraId="7F12A446" w14:textId="5F47B53B" w:rsidR="00C4461A" w:rsidRDefault="00EC0CD4" w:rsidP="00C4461A">
      <w:pPr>
        <w:pStyle w:val="ListParagraph"/>
        <w:numPr>
          <w:ilvl w:val="0"/>
          <w:numId w:val="9"/>
        </w:numPr>
        <w:spacing w:after="160"/>
      </w:pPr>
      <w:r>
        <w:t xml:space="preserve">The solution may </w:t>
      </w:r>
      <w:r w:rsidR="006D1837">
        <w:t>act as</w:t>
      </w:r>
      <w:r w:rsidR="00A147BF">
        <w:t xml:space="preserve"> a</w:t>
      </w:r>
      <w:r>
        <w:t xml:space="preserve"> </w:t>
      </w:r>
      <w:r w:rsidR="006D1837">
        <w:t>digital route for service users to provide self</w:t>
      </w:r>
      <w:r w:rsidR="001B4989">
        <w:t>-</w:t>
      </w:r>
      <w:r w:rsidR="006D1837">
        <w:t xml:space="preserve">reported information </w:t>
      </w:r>
      <w:r w:rsidR="001872F9">
        <w:t xml:space="preserve">which through the implementation of a clinically validated digital model provide a holistic </w:t>
      </w:r>
      <w:r>
        <w:t>pre-assessment to support the intake, triage, and assessment</w:t>
      </w:r>
      <w:r w:rsidR="001872F9">
        <w:t xml:space="preserve"> stages</w:t>
      </w:r>
      <w:r w:rsidR="00890C28">
        <w:t xml:space="preserve"> by surfacing level of need, triage priority and symptom profile in a standardised manner. </w:t>
      </w:r>
    </w:p>
    <w:p w14:paraId="6FD10B76" w14:textId="111F0030" w:rsidR="00DF4D81" w:rsidRDefault="005F44D1" w:rsidP="00DF4D81">
      <w:pPr>
        <w:pStyle w:val="ListParagraph"/>
        <w:numPr>
          <w:ilvl w:val="0"/>
          <w:numId w:val="9"/>
        </w:numPr>
        <w:spacing w:after="160"/>
      </w:pPr>
      <w:r>
        <w:t xml:space="preserve">This solution is expected to augment the range of routine referral routes (via GPs, Social Care, VCS and other statutory bodies) </w:t>
      </w:r>
      <w:r w:rsidR="0090116B">
        <w:t xml:space="preserve">to secondary care in </w:t>
      </w:r>
      <w:r w:rsidR="001B4989">
        <w:t>the</w:t>
      </w:r>
      <w:r w:rsidR="0090116B">
        <w:t xml:space="preserve"> </w:t>
      </w:r>
      <w:r w:rsidR="00DF4D81">
        <w:t xml:space="preserve">development of a Trust-wide single point of access </w:t>
      </w:r>
    </w:p>
    <w:p w14:paraId="52B5D7F9" w14:textId="3F871316" w:rsidR="00DF4D81" w:rsidRDefault="006405C2" w:rsidP="00DF4D81">
      <w:pPr>
        <w:pStyle w:val="ListParagraph"/>
        <w:numPr>
          <w:ilvl w:val="0"/>
          <w:numId w:val="9"/>
        </w:numPr>
        <w:spacing w:after="160"/>
      </w:pPr>
      <w:r>
        <w:lastRenderedPageBreak/>
        <w:t>Starting with working age adults,</w:t>
      </w:r>
      <w:r w:rsidR="00DF4D81">
        <w:t xml:space="preserve"> the solution will be able to scale </w:t>
      </w:r>
      <w:r w:rsidR="008E3F73">
        <w:t xml:space="preserve">to all segments of our </w:t>
      </w:r>
      <w:r w:rsidR="00AC1333">
        <w:t xml:space="preserve">secondary </w:t>
      </w:r>
      <w:r w:rsidR="008E3F73">
        <w:t xml:space="preserve">care cohorts (including: Older adults, CYP, </w:t>
      </w:r>
      <w:r w:rsidR="00AC1333">
        <w:t xml:space="preserve">Neurodiverse populations) as well as Talking Therapies (primary care) </w:t>
      </w:r>
    </w:p>
    <w:p w14:paraId="41002BF1" w14:textId="26A3B597" w:rsidR="00AC1333" w:rsidRDefault="006405C2" w:rsidP="00DF4D81">
      <w:pPr>
        <w:pStyle w:val="ListParagraph"/>
        <w:numPr>
          <w:ilvl w:val="0"/>
          <w:numId w:val="9"/>
        </w:numPr>
        <w:spacing w:after="160"/>
      </w:pPr>
      <w:r>
        <w:t xml:space="preserve">Finally, it will be </w:t>
      </w:r>
      <w:r w:rsidR="001B4989">
        <w:t>desired</w:t>
      </w:r>
      <w:r>
        <w:t xml:space="preserve"> for the solution to serve the administrative workflow </w:t>
      </w:r>
      <w:r w:rsidR="00E934FA">
        <w:t xml:space="preserve">digital enablement </w:t>
      </w:r>
      <w:r>
        <w:t>needs of referral</w:t>
      </w:r>
      <w:r w:rsidR="00E934FA">
        <w:t xml:space="preserve"> </w:t>
      </w:r>
      <w:r>
        <w:t>handling</w:t>
      </w:r>
      <w:r w:rsidR="00E934FA">
        <w:t xml:space="preserve"> (including queueing, workload allocation, </w:t>
      </w:r>
      <w:r w:rsidR="00B670F8">
        <w:t>EPR entry and pass through</w:t>
      </w:r>
      <w:r w:rsidR="00E934FA">
        <w:t xml:space="preserve">) to </w:t>
      </w:r>
      <w:r w:rsidR="005C37C2">
        <w:t xml:space="preserve">set up a centralised referral point of access. </w:t>
      </w:r>
    </w:p>
    <w:p w14:paraId="103850D5" w14:textId="6712E2A7" w:rsidR="00F13815" w:rsidRDefault="00751DF4" w:rsidP="00751DF4">
      <w:pPr>
        <w:pStyle w:val="ListParagraph"/>
        <w:numPr>
          <w:ilvl w:val="0"/>
          <w:numId w:val="11"/>
        </w:numPr>
      </w:pPr>
      <w:r>
        <w:t>Suppliers</w:t>
      </w:r>
      <w:r w:rsidR="00F13815">
        <w:t xml:space="preserve"> are asked to provide</w:t>
      </w:r>
      <w:r w:rsidR="008940DE">
        <w:t>r appropriate commercial indicators</w:t>
      </w:r>
      <w:r w:rsidR="00F13815">
        <w:t>:</w:t>
      </w:r>
    </w:p>
    <w:p w14:paraId="3479C328" w14:textId="3C4903C4" w:rsidR="00751DF4" w:rsidRDefault="00F13815" w:rsidP="008940DE">
      <w:pPr>
        <w:pStyle w:val="ListParagraph"/>
        <w:numPr>
          <w:ilvl w:val="1"/>
          <w:numId w:val="11"/>
        </w:numPr>
      </w:pPr>
      <w:r>
        <w:t xml:space="preserve">a benchmark of the costs associated with </w:t>
      </w:r>
      <w:r w:rsidR="008940DE" w:rsidRPr="008940DE">
        <w:t>platform covering development, implementation, support &amp; maintenance, hosting, correspondence, change &amp; release management, ongoing development</w:t>
      </w:r>
      <w:r w:rsidR="008940DE">
        <w:t xml:space="preserve"> so that the Trust can evidence value for money with like-for-like solutions</w:t>
      </w:r>
      <w:r>
        <w:t xml:space="preserve"> </w:t>
      </w:r>
    </w:p>
    <w:p w14:paraId="60AE84C3" w14:textId="15FB4022" w:rsidR="00751DF4" w:rsidRDefault="00F13815" w:rsidP="00751DF4">
      <w:pPr>
        <w:pStyle w:val="ListParagraph"/>
        <w:numPr>
          <w:ilvl w:val="1"/>
          <w:numId w:val="11"/>
        </w:numPr>
      </w:pPr>
      <w:r>
        <w:t>provide a breakdown of how this may be split in order to differentiate capitalisation/revenue</w:t>
      </w:r>
    </w:p>
    <w:p w14:paraId="14B6148E" w14:textId="2A5BA7BD" w:rsidR="008940DE" w:rsidRDefault="00F52E08" w:rsidP="008940DE">
      <w:pPr>
        <w:pStyle w:val="ListParagraph"/>
        <w:numPr>
          <w:ilvl w:val="0"/>
          <w:numId w:val="11"/>
        </w:numPr>
      </w:pPr>
      <w:r>
        <w:t xml:space="preserve">Suppliers are asked to respond to the table below regarding compliance with the </w:t>
      </w:r>
      <w:r w:rsidR="008940DE">
        <w:t>DTAC</w:t>
      </w:r>
      <w:r>
        <w:t>.</w:t>
      </w:r>
    </w:p>
    <w:tbl>
      <w:tblPr>
        <w:tblStyle w:val="TableGrid"/>
        <w:tblW w:w="8794" w:type="dxa"/>
        <w:tblLook w:val="04A0" w:firstRow="1" w:lastRow="0" w:firstColumn="1" w:lastColumn="0" w:noHBand="0" w:noVBand="1"/>
      </w:tblPr>
      <w:tblGrid>
        <w:gridCol w:w="2554"/>
        <w:gridCol w:w="1973"/>
        <w:gridCol w:w="4267"/>
      </w:tblGrid>
      <w:tr w:rsidR="00F52E08" w:rsidRPr="00F52E08" w14:paraId="4908596D" w14:textId="77777777" w:rsidTr="00F52E08">
        <w:trPr>
          <w:trHeight w:val="300"/>
        </w:trPr>
        <w:tc>
          <w:tcPr>
            <w:tcW w:w="2554" w:type="dxa"/>
            <w:hideMark/>
          </w:tcPr>
          <w:p w14:paraId="61B94DDF" w14:textId="77777777" w:rsidR="00F52E08" w:rsidRPr="00F52E08" w:rsidRDefault="00F52E08">
            <w:pPr>
              <w:rPr>
                <w:b/>
                <w:bCs/>
              </w:rPr>
            </w:pPr>
            <w:r w:rsidRPr="00F52E08">
              <w:rPr>
                <w:b/>
                <w:bCs/>
              </w:rPr>
              <w:t>DTAC Components</w:t>
            </w:r>
          </w:p>
        </w:tc>
        <w:tc>
          <w:tcPr>
            <w:tcW w:w="1973" w:type="dxa"/>
            <w:hideMark/>
          </w:tcPr>
          <w:p w14:paraId="1CED57A1" w14:textId="77777777" w:rsidR="00F52E08" w:rsidRPr="00F52E08" w:rsidRDefault="00F52E08">
            <w:pPr>
              <w:rPr>
                <w:b/>
                <w:bCs/>
              </w:rPr>
            </w:pPr>
            <w:r w:rsidRPr="00F52E08">
              <w:rPr>
                <w:b/>
                <w:bCs/>
              </w:rPr>
              <w:t>Have Completed and Up to Date</w:t>
            </w:r>
          </w:p>
        </w:tc>
        <w:tc>
          <w:tcPr>
            <w:tcW w:w="4267" w:type="dxa"/>
            <w:hideMark/>
          </w:tcPr>
          <w:p w14:paraId="58477961" w14:textId="77777777" w:rsidR="00F52E08" w:rsidRPr="00F52E08" w:rsidRDefault="00F52E08">
            <w:pPr>
              <w:rPr>
                <w:b/>
                <w:bCs/>
              </w:rPr>
            </w:pPr>
            <w:r w:rsidRPr="00F52E08">
              <w:rPr>
                <w:b/>
                <w:bCs/>
              </w:rPr>
              <w:t>Are in Process of Attaining, with possible completion Date</w:t>
            </w:r>
          </w:p>
        </w:tc>
      </w:tr>
      <w:tr w:rsidR="00F52E08" w:rsidRPr="00F52E08" w14:paraId="7F6367AA" w14:textId="77777777" w:rsidTr="00F52E08">
        <w:trPr>
          <w:trHeight w:val="509"/>
        </w:trPr>
        <w:tc>
          <w:tcPr>
            <w:tcW w:w="2554" w:type="dxa"/>
            <w:vMerge w:val="restart"/>
            <w:hideMark/>
          </w:tcPr>
          <w:p w14:paraId="605B869C" w14:textId="77777777" w:rsidR="00F52E08" w:rsidRPr="00F52E08" w:rsidRDefault="00F52E08" w:rsidP="00F52E08">
            <w:r w:rsidRPr="00F52E08">
              <w:t>Cyber Essentials Certification</w:t>
            </w:r>
          </w:p>
        </w:tc>
        <w:tc>
          <w:tcPr>
            <w:tcW w:w="1973" w:type="dxa"/>
            <w:vMerge w:val="restart"/>
            <w:hideMark/>
          </w:tcPr>
          <w:p w14:paraId="3247EA9C" w14:textId="77777777" w:rsidR="00F52E08" w:rsidRPr="00F52E08" w:rsidRDefault="00F52E08">
            <w:r w:rsidRPr="00F52E08">
              <w:t>Yes/No (Add Details)</w:t>
            </w:r>
          </w:p>
        </w:tc>
        <w:tc>
          <w:tcPr>
            <w:tcW w:w="4267" w:type="dxa"/>
            <w:vMerge w:val="restart"/>
            <w:hideMark/>
          </w:tcPr>
          <w:p w14:paraId="0C0037A5" w14:textId="25D25920" w:rsidR="00F52E08" w:rsidRPr="00F52E08" w:rsidRDefault="00F52E08">
            <w:r>
              <w:t>Yes/No (Add estimated completion date)</w:t>
            </w:r>
          </w:p>
        </w:tc>
      </w:tr>
      <w:tr w:rsidR="00F52E08" w:rsidRPr="00F52E08" w14:paraId="1CD356D1" w14:textId="77777777" w:rsidTr="00F52E08">
        <w:trPr>
          <w:trHeight w:val="509"/>
        </w:trPr>
        <w:tc>
          <w:tcPr>
            <w:tcW w:w="2554" w:type="dxa"/>
            <w:vMerge/>
            <w:hideMark/>
          </w:tcPr>
          <w:p w14:paraId="238CE3D7" w14:textId="77777777" w:rsidR="00F52E08" w:rsidRPr="00F52E08" w:rsidRDefault="00F52E08"/>
        </w:tc>
        <w:tc>
          <w:tcPr>
            <w:tcW w:w="1973" w:type="dxa"/>
            <w:vMerge/>
            <w:hideMark/>
          </w:tcPr>
          <w:p w14:paraId="6F0D64FA" w14:textId="77777777" w:rsidR="00F52E08" w:rsidRPr="00F52E08" w:rsidRDefault="00F52E08"/>
        </w:tc>
        <w:tc>
          <w:tcPr>
            <w:tcW w:w="4267" w:type="dxa"/>
            <w:vMerge/>
            <w:hideMark/>
          </w:tcPr>
          <w:p w14:paraId="6FE7BBA9" w14:textId="77777777" w:rsidR="00F52E08" w:rsidRPr="00F52E08" w:rsidRDefault="00F52E08"/>
        </w:tc>
      </w:tr>
      <w:tr w:rsidR="00F52E08" w:rsidRPr="00F52E08" w14:paraId="19E362C5" w14:textId="77777777" w:rsidTr="00F52E08">
        <w:trPr>
          <w:trHeight w:val="509"/>
        </w:trPr>
        <w:tc>
          <w:tcPr>
            <w:tcW w:w="2554" w:type="dxa"/>
            <w:vMerge w:val="restart"/>
            <w:hideMark/>
          </w:tcPr>
          <w:p w14:paraId="72B65CCD" w14:textId="77777777" w:rsidR="00F52E08" w:rsidRPr="00F52E08" w:rsidRDefault="00F52E08" w:rsidP="00F52E08">
            <w:r w:rsidRPr="00F52E08">
              <w:t>External Penetration Test Summary Report</w:t>
            </w:r>
          </w:p>
        </w:tc>
        <w:tc>
          <w:tcPr>
            <w:tcW w:w="1973" w:type="dxa"/>
            <w:vMerge w:val="restart"/>
            <w:hideMark/>
          </w:tcPr>
          <w:p w14:paraId="59130C3F" w14:textId="77777777" w:rsidR="00F52E08" w:rsidRPr="00F52E08" w:rsidRDefault="00F52E08" w:rsidP="00F52E08">
            <w:r w:rsidRPr="00F52E08">
              <w:t>Yes/No (Add Details)</w:t>
            </w:r>
          </w:p>
        </w:tc>
        <w:tc>
          <w:tcPr>
            <w:tcW w:w="4267" w:type="dxa"/>
            <w:vMerge w:val="restart"/>
            <w:hideMark/>
          </w:tcPr>
          <w:p w14:paraId="4AC9BCC1" w14:textId="34682249" w:rsidR="00F52E08" w:rsidRPr="00F52E08" w:rsidRDefault="00F52E08" w:rsidP="00F52E08">
            <w:r w:rsidRPr="008F335C">
              <w:t>Yes/No (Add estimated completion date)</w:t>
            </w:r>
          </w:p>
        </w:tc>
      </w:tr>
      <w:tr w:rsidR="00F52E08" w:rsidRPr="00F52E08" w14:paraId="11EED80F" w14:textId="77777777" w:rsidTr="00F52E08">
        <w:trPr>
          <w:trHeight w:val="509"/>
        </w:trPr>
        <w:tc>
          <w:tcPr>
            <w:tcW w:w="2554" w:type="dxa"/>
            <w:vMerge/>
            <w:hideMark/>
          </w:tcPr>
          <w:p w14:paraId="4350E8D9" w14:textId="77777777" w:rsidR="00F52E08" w:rsidRPr="00F52E08" w:rsidRDefault="00F52E08" w:rsidP="00F52E08"/>
        </w:tc>
        <w:tc>
          <w:tcPr>
            <w:tcW w:w="1973" w:type="dxa"/>
            <w:vMerge/>
            <w:hideMark/>
          </w:tcPr>
          <w:p w14:paraId="1201990A" w14:textId="77777777" w:rsidR="00F52E08" w:rsidRPr="00F52E08" w:rsidRDefault="00F52E08" w:rsidP="00F52E08"/>
        </w:tc>
        <w:tc>
          <w:tcPr>
            <w:tcW w:w="4267" w:type="dxa"/>
            <w:vMerge/>
            <w:hideMark/>
          </w:tcPr>
          <w:p w14:paraId="6258BDB1" w14:textId="77777777" w:rsidR="00F52E08" w:rsidRPr="00F52E08" w:rsidRDefault="00F52E08" w:rsidP="00F52E08"/>
        </w:tc>
      </w:tr>
      <w:tr w:rsidR="00F52E08" w:rsidRPr="00F52E08" w14:paraId="53B9DE73" w14:textId="77777777" w:rsidTr="00F52E08">
        <w:trPr>
          <w:trHeight w:val="509"/>
        </w:trPr>
        <w:tc>
          <w:tcPr>
            <w:tcW w:w="2554" w:type="dxa"/>
            <w:vMerge w:val="restart"/>
            <w:hideMark/>
          </w:tcPr>
          <w:p w14:paraId="12E377F7" w14:textId="77777777" w:rsidR="00F52E08" w:rsidRPr="00F52E08" w:rsidRDefault="00F52E08" w:rsidP="00F52E08">
            <w:r w:rsidRPr="00F52E08">
              <w:t>ISO27001 Certificate</w:t>
            </w:r>
          </w:p>
        </w:tc>
        <w:tc>
          <w:tcPr>
            <w:tcW w:w="1973" w:type="dxa"/>
            <w:vMerge w:val="restart"/>
            <w:hideMark/>
          </w:tcPr>
          <w:p w14:paraId="3B7E0CC5" w14:textId="77777777" w:rsidR="00F52E08" w:rsidRPr="00F52E08" w:rsidRDefault="00F52E08" w:rsidP="00F52E08">
            <w:r w:rsidRPr="00F52E08">
              <w:t>Yes/No (Add Details)</w:t>
            </w:r>
          </w:p>
        </w:tc>
        <w:tc>
          <w:tcPr>
            <w:tcW w:w="4267" w:type="dxa"/>
            <w:vMerge w:val="restart"/>
            <w:hideMark/>
          </w:tcPr>
          <w:p w14:paraId="6DBCAF14" w14:textId="5DE8827E" w:rsidR="00F52E08" w:rsidRPr="00F52E08" w:rsidRDefault="00F52E08" w:rsidP="00F52E08">
            <w:r w:rsidRPr="008F335C">
              <w:t>Yes/No (Add estimated completion date)</w:t>
            </w:r>
          </w:p>
        </w:tc>
      </w:tr>
      <w:tr w:rsidR="00F52E08" w:rsidRPr="00F52E08" w14:paraId="3CD93E89" w14:textId="77777777" w:rsidTr="00F52E08">
        <w:trPr>
          <w:trHeight w:val="509"/>
        </w:trPr>
        <w:tc>
          <w:tcPr>
            <w:tcW w:w="2554" w:type="dxa"/>
            <w:vMerge/>
            <w:hideMark/>
          </w:tcPr>
          <w:p w14:paraId="1C97D04D" w14:textId="77777777" w:rsidR="00F52E08" w:rsidRPr="00F52E08" w:rsidRDefault="00F52E08" w:rsidP="00F52E08"/>
        </w:tc>
        <w:tc>
          <w:tcPr>
            <w:tcW w:w="1973" w:type="dxa"/>
            <w:vMerge/>
            <w:hideMark/>
          </w:tcPr>
          <w:p w14:paraId="071ECA61" w14:textId="77777777" w:rsidR="00F52E08" w:rsidRPr="00F52E08" w:rsidRDefault="00F52E08" w:rsidP="00F52E08"/>
        </w:tc>
        <w:tc>
          <w:tcPr>
            <w:tcW w:w="4267" w:type="dxa"/>
            <w:vMerge/>
            <w:hideMark/>
          </w:tcPr>
          <w:p w14:paraId="4346ABC0" w14:textId="77777777" w:rsidR="00F52E08" w:rsidRPr="00F52E08" w:rsidRDefault="00F52E08" w:rsidP="00F52E08"/>
        </w:tc>
      </w:tr>
      <w:tr w:rsidR="00F52E08" w:rsidRPr="00F52E08" w14:paraId="47239DEE" w14:textId="77777777" w:rsidTr="00F52E08">
        <w:trPr>
          <w:trHeight w:val="509"/>
        </w:trPr>
        <w:tc>
          <w:tcPr>
            <w:tcW w:w="2554" w:type="dxa"/>
            <w:vMerge w:val="restart"/>
            <w:hideMark/>
          </w:tcPr>
          <w:p w14:paraId="7540D074" w14:textId="77777777" w:rsidR="00F52E08" w:rsidRPr="00F52E08" w:rsidRDefault="00F52E08" w:rsidP="00F52E08">
            <w:r w:rsidRPr="00F52E08">
              <w:t>Clinical Risk Management System Report</w:t>
            </w:r>
          </w:p>
        </w:tc>
        <w:tc>
          <w:tcPr>
            <w:tcW w:w="1973" w:type="dxa"/>
            <w:vMerge w:val="restart"/>
            <w:hideMark/>
          </w:tcPr>
          <w:p w14:paraId="5289E54E" w14:textId="77777777" w:rsidR="00F52E08" w:rsidRPr="00F52E08" w:rsidRDefault="00F52E08" w:rsidP="00F52E08">
            <w:r w:rsidRPr="00F52E08">
              <w:t>Yes/No (Add Details)</w:t>
            </w:r>
          </w:p>
        </w:tc>
        <w:tc>
          <w:tcPr>
            <w:tcW w:w="4267" w:type="dxa"/>
            <w:vMerge w:val="restart"/>
            <w:hideMark/>
          </w:tcPr>
          <w:p w14:paraId="0F2EC239" w14:textId="0D8AD2FC" w:rsidR="00F52E08" w:rsidRPr="00F52E08" w:rsidRDefault="00F52E08" w:rsidP="00F52E08">
            <w:r w:rsidRPr="008F335C">
              <w:t>Yes/No (Add estimated completion date)</w:t>
            </w:r>
          </w:p>
        </w:tc>
      </w:tr>
      <w:tr w:rsidR="00F52E08" w:rsidRPr="00F52E08" w14:paraId="5FC9E9F1" w14:textId="77777777" w:rsidTr="00F52E08">
        <w:trPr>
          <w:trHeight w:val="509"/>
        </w:trPr>
        <w:tc>
          <w:tcPr>
            <w:tcW w:w="2554" w:type="dxa"/>
            <w:vMerge/>
            <w:hideMark/>
          </w:tcPr>
          <w:p w14:paraId="3C6E7E8A" w14:textId="77777777" w:rsidR="00F52E08" w:rsidRPr="00F52E08" w:rsidRDefault="00F52E08" w:rsidP="00F52E08"/>
        </w:tc>
        <w:tc>
          <w:tcPr>
            <w:tcW w:w="1973" w:type="dxa"/>
            <w:vMerge/>
            <w:hideMark/>
          </w:tcPr>
          <w:p w14:paraId="75F94E1E" w14:textId="77777777" w:rsidR="00F52E08" w:rsidRPr="00F52E08" w:rsidRDefault="00F52E08" w:rsidP="00F52E08"/>
        </w:tc>
        <w:tc>
          <w:tcPr>
            <w:tcW w:w="4267" w:type="dxa"/>
            <w:vMerge/>
            <w:hideMark/>
          </w:tcPr>
          <w:p w14:paraId="7836DADE" w14:textId="77777777" w:rsidR="00F52E08" w:rsidRPr="00F52E08" w:rsidRDefault="00F52E08" w:rsidP="00F52E08"/>
        </w:tc>
      </w:tr>
      <w:tr w:rsidR="00F52E08" w:rsidRPr="00F52E08" w14:paraId="3BF0CBE5" w14:textId="77777777" w:rsidTr="00F52E08">
        <w:trPr>
          <w:trHeight w:val="509"/>
        </w:trPr>
        <w:tc>
          <w:tcPr>
            <w:tcW w:w="2554" w:type="dxa"/>
            <w:vMerge w:val="restart"/>
            <w:hideMark/>
          </w:tcPr>
          <w:p w14:paraId="6020B4AA" w14:textId="77777777" w:rsidR="00F52E08" w:rsidRPr="00F52E08" w:rsidRDefault="00F52E08" w:rsidP="00F52E08">
            <w:r w:rsidRPr="00F52E08">
              <w:t>Clinical Safety Case Report</w:t>
            </w:r>
          </w:p>
        </w:tc>
        <w:tc>
          <w:tcPr>
            <w:tcW w:w="1973" w:type="dxa"/>
            <w:vMerge w:val="restart"/>
            <w:hideMark/>
          </w:tcPr>
          <w:p w14:paraId="61BFD019" w14:textId="77777777" w:rsidR="00F52E08" w:rsidRPr="00F52E08" w:rsidRDefault="00F52E08" w:rsidP="00F52E08">
            <w:r w:rsidRPr="00F52E08">
              <w:t>Yes/No (Add Details)</w:t>
            </w:r>
          </w:p>
        </w:tc>
        <w:tc>
          <w:tcPr>
            <w:tcW w:w="4267" w:type="dxa"/>
            <w:vMerge w:val="restart"/>
            <w:hideMark/>
          </w:tcPr>
          <w:p w14:paraId="169F2FF8" w14:textId="4965FA36" w:rsidR="00F52E08" w:rsidRPr="00F52E08" w:rsidRDefault="00F52E08" w:rsidP="00F52E08">
            <w:r w:rsidRPr="008F335C">
              <w:t>Yes/No (Add estimated completion date)</w:t>
            </w:r>
          </w:p>
        </w:tc>
      </w:tr>
      <w:tr w:rsidR="00F52E08" w:rsidRPr="00F52E08" w14:paraId="2B01B2E8" w14:textId="77777777" w:rsidTr="00F52E08">
        <w:trPr>
          <w:trHeight w:val="509"/>
        </w:trPr>
        <w:tc>
          <w:tcPr>
            <w:tcW w:w="2554" w:type="dxa"/>
            <w:vMerge/>
            <w:hideMark/>
          </w:tcPr>
          <w:p w14:paraId="1FCADB59" w14:textId="77777777" w:rsidR="00F52E08" w:rsidRPr="00F52E08" w:rsidRDefault="00F52E08" w:rsidP="00F52E08"/>
        </w:tc>
        <w:tc>
          <w:tcPr>
            <w:tcW w:w="1973" w:type="dxa"/>
            <w:vMerge/>
            <w:hideMark/>
          </w:tcPr>
          <w:p w14:paraId="444D9FED" w14:textId="77777777" w:rsidR="00F52E08" w:rsidRPr="00F52E08" w:rsidRDefault="00F52E08" w:rsidP="00F52E08"/>
        </w:tc>
        <w:tc>
          <w:tcPr>
            <w:tcW w:w="4267" w:type="dxa"/>
            <w:vMerge/>
            <w:hideMark/>
          </w:tcPr>
          <w:p w14:paraId="70FD2295" w14:textId="77777777" w:rsidR="00F52E08" w:rsidRPr="00F52E08" w:rsidRDefault="00F52E08" w:rsidP="00F52E08"/>
        </w:tc>
      </w:tr>
      <w:tr w:rsidR="00F52E08" w:rsidRPr="00F52E08" w14:paraId="057D374C" w14:textId="77777777" w:rsidTr="00F52E08">
        <w:trPr>
          <w:trHeight w:val="509"/>
        </w:trPr>
        <w:tc>
          <w:tcPr>
            <w:tcW w:w="2554" w:type="dxa"/>
            <w:vMerge w:val="restart"/>
            <w:hideMark/>
          </w:tcPr>
          <w:p w14:paraId="7B3944BF" w14:textId="77777777" w:rsidR="00F52E08" w:rsidRPr="00F52E08" w:rsidRDefault="00F52E08" w:rsidP="00F52E08">
            <w:r w:rsidRPr="00F52E08">
              <w:t>Business Continuity Plan</w:t>
            </w:r>
          </w:p>
        </w:tc>
        <w:tc>
          <w:tcPr>
            <w:tcW w:w="1973" w:type="dxa"/>
            <w:vMerge w:val="restart"/>
            <w:hideMark/>
          </w:tcPr>
          <w:p w14:paraId="5F0F44C0" w14:textId="77777777" w:rsidR="00F52E08" w:rsidRPr="00F52E08" w:rsidRDefault="00F52E08" w:rsidP="00F52E08">
            <w:r w:rsidRPr="00F52E08">
              <w:t>Yes/No (Add Details)</w:t>
            </w:r>
          </w:p>
        </w:tc>
        <w:tc>
          <w:tcPr>
            <w:tcW w:w="4267" w:type="dxa"/>
            <w:vMerge w:val="restart"/>
            <w:hideMark/>
          </w:tcPr>
          <w:p w14:paraId="67CD7335" w14:textId="7D543A7C" w:rsidR="00F52E08" w:rsidRPr="00F52E08" w:rsidRDefault="00F52E08" w:rsidP="00F52E08">
            <w:r w:rsidRPr="008F335C">
              <w:t>Yes/No (Add estimated completion date)</w:t>
            </w:r>
          </w:p>
        </w:tc>
      </w:tr>
      <w:tr w:rsidR="00F52E08" w:rsidRPr="00F52E08" w14:paraId="70EAAF57" w14:textId="77777777" w:rsidTr="00F52E08">
        <w:trPr>
          <w:trHeight w:val="509"/>
        </w:trPr>
        <w:tc>
          <w:tcPr>
            <w:tcW w:w="2554" w:type="dxa"/>
            <w:vMerge/>
            <w:hideMark/>
          </w:tcPr>
          <w:p w14:paraId="2FBF0B1E" w14:textId="77777777" w:rsidR="00F52E08" w:rsidRPr="00F52E08" w:rsidRDefault="00F52E08">
            <w:pPr>
              <w:rPr>
                <w:b/>
                <w:bCs/>
              </w:rPr>
            </w:pPr>
          </w:p>
        </w:tc>
        <w:tc>
          <w:tcPr>
            <w:tcW w:w="1973" w:type="dxa"/>
            <w:vMerge/>
            <w:hideMark/>
          </w:tcPr>
          <w:p w14:paraId="4F1A53B1" w14:textId="77777777" w:rsidR="00F52E08" w:rsidRPr="00F52E08" w:rsidRDefault="00F52E08"/>
        </w:tc>
        <w:tc>
          <w:tcPr>
            <w:tcW w:w="4267" w:type="dxa"/>
            <w:vMerge/>
            <w:hideMark/>
          </w:tcPr>
          <w:p w14:paraId="40098651" w14:textId="77777777" w:rsidR="00F52E08" w:rsidRPr="00F52E08" w:rsidRDefault="00F52E08"/>
        </w:tc>
      </w:tr>
    </w:tbl>
    <w:p w14:paraId="40ABAB37" w14:textId="77777777" w:rsidR="008940DE" w:rsidRDefault="008940DE" w:rsidP="008940DE"/>
    <w:p w14:paraId="4D5D411D" w14:textId="1A5B7D0E" w:rsidR="00F52E08" w:rsidRPr="00A62644" w:rsidRDefault="00F52E08" w:rsidP="00F52E08">
      <w:pPr>
        <w:pStyle w:val="ListParagraph"/>
        <w:numPr>
          <w:ilvl w:val="0"/>
          <w:numId w:val="11"/>
        </w:numPr>
        <w:spacing w:after="0" w:line="240" w:lineRule="auto"/>
        <w:jc w:val="both"/>
        <w:rPr>
          <w:shd w:val="clear" w:color="auto" w:fill="FFFFFF"/>
        </w:rPr>
      </w:pPr>
      <w:r w:rsidRPr="00A62644">
        <w:t>In addition, respond to the following DTAC related questions:</w:t>
      </w:r>
    </w:p>
    <w:p w14:paraId="055F3EC5" w14:textId="77777777" w:rsidR="00F52E08" w:rsidRPr="00A62644" w:rsidRDefault="00F13815" w:rsidP="00F52E08">
      <w:pPr>
        <w:pStyle w:val="ListParagraph"/>
        <w:numPr>
          <w:ilvl w:val="1"/>
          <w:numId w:val="5"/>
        </w:numPr>
        <w:spacing w:after="0" w:line="240" w:lineRule="auto"/>
        <w:jc w:val="both"/>
        <w:rPr>
          <w:shd w:val="clear" w:color="auto" w:fill="FFFFFF"/>
        </w:rPr>
      </w:pPr>
      <w:r w:rsidRPr="00A62644">
        <w:rPr>
          <w:shd w:val="clear" w:color="auto" w:fill="FFFFFF"/>
        </w:rPr>
        <w:t>How does the system support GDPR requirements?</w:t>
      </w:r>
    </w:p>
    <w:p w14:paraId="5EC361ED" w14:textId="77777777" w:rsidR="00F52E08" w:rsidRPr="00A62644" w:rsidRDefault="00F13815" w:rsidP="00F52E08">
      <w:pPr>
        <w:pStyle w:val="ListParagraph"/>
        <w:numPr>
          <w:ilvl w:val="1"/>
          <w:numId w:val="5"/>
        </w:numPr>
        <w:spacing w:after="0" w:line="240" w:lineRule="auto"/>
        <w:jc w:val="both"/>
        <w:rPr>
          <w:shd w:val="clear" w:color="auto" w:fill="FFFFFF"/>
        </w:rPr>
      </w:pPr>
      <w:r w:rsidRPr="00A62644">
        <w:rPr>
          <w:shd w:val="clear" w:color="auto" w:fill="FFFFFF"/>
        </w:rPr>
        <w:t>Where will the data be stored? Where is your server located?</w:t>
      </w:r>
    </w:p>
    <w:p w14:paraId="58E15AD2" w14:textId="77777777" w:rsidR="00F52E08" w:rsidRPr="00A62644" w:rsidRDefault="00F13815" w:rsidP="00F52E08">
      <w:pPr>
        <w:pStyle w:val="ListParagraph"/>
        <w:numPr>
          <w:ilvl w:val="1"/>
          <w:numId w:val="5"/>
        </w:numPr>
        <w:spacing w:after="0" w:line="240" w:lineRule="auto"/>
        <w:jc w:val="both"/>
        <w:rPr>
          <w:shd w:val="clear" w:color="auto" w:fill="FFFFFF"/>
        </w:rPr>
      </w:pPr>
      <w:r w:rsidRPr="00A62644">
        <w:rPr>
          <w:shd w:val="clear" w:color="auto" w:fill="FFFFFF"/>
        </w:rPr>
        <w:t>Could you describe the security measures of your system, including antivirus measures and security measures to protect user data?</w:t>
      </w:r>
    </w:p>
    <w:p w14:paraId="2C5EDE25" w14:textId="77777777" w:rsidR="00F52E08" w:rsidRPr="00A62644" w:rsidRDefault="00F13815" w:rsidP="00F52E08">
      <w:pPr>
        <w:pStyle w:val="ListParagraph"/>
        <w:numPr>
          <w:ilvl w:val="1"/>
          <w:numId w:val="5"/>
        </w:numPr>
        <w:spacing w:after="0" w:line="240" w:lineRule="auto"/>
        <w:jc w:val="both"/>
        <w:rPr>
          <w:shd w:val="clear" w:color="auto" w:fill="FFFFFF"/>
        </w:rPr>
      </w:pPr>
      <w:r w:rsidRPr="00A62644">
        <w:rPr>
          <w:shd w:val="clear" w:color="auto" w:fill="FFFFFF"/>
        </w:rPr>
        <w:t>Does your system support audit processes, i.e. auditing access to data?</w:t>
      </w:r>
    </w:p>
    <w:p w14:paraId="29BC9CE2" w14:textId="13CBF9E8" w:rsidR="00F13815" w:rsidRDefault="00F13815" w:rsidP="00F13815">
      <w:pPr>
        <w:pStyle w:val="ListParagraph"/>
        <w:numPr>
          <w:ilvl w:val="1"/>
          <w:numId w:val="5"/>
        </w:numPr>
        <w:spacing w:after="0" w:line="240" w:lineRule="auto"/>
        <w:jc w:val="both"/>
        <w:rPr>
          <w:shd w:val="clear" w:color="auto" w:fill="FFFFFF"/>
        </w:rPr>
      </w:pPr>
      <w:r w:rsidRPr="00A62644">
        <w:rPr>
          <w:shd w:val="clear" w:color="auto" w:fill="FFFFFF"/>
        </w:rPr>
        <w:lastRenderedPageBreak/>
        <w:t>How will data be backed up and what contingencies are in place if your data repository fails?</w:t>
      </w:r>
    </w:p>
    <w:p w14:paraId="43DB4119" w14:textId="775AA99D" w:rsidR="00F13815" w:rsidRPr="00A62644" w:rsidRDefault="00A62644" w:rsidP="00FF5D61">
      <w:pPr>
        <w:pStyle w:val="ListParagraph"/>
        <w:numPr>
          <w:ilvl w:val="0"/>
          <w:numId w:val="11"/>
        </w:numPr>
        <w:spacing w:after="60" w:line="240" w:lineRule="auto"/>
        <w:jc w:val="both"/>
      </w:pPr>
      <w:r w:rsidRPr="00A62644">
        <w:t xml:space="preserve">Support - </w:t>
      </w:r>
      <w:r w:rsidR="00F13815" w:rsidRPr="00A62644">
        <w:t xml:space="preserve">Customer service and updates </w:t>
      </w:r>
    </w:p>
    <w:p w14:paraId="0420F5D9"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 xml:space="preserve">What customer service and support is available? </w:t>
      </w:r>
    </w:p>
    <w:p w14:paraId="15A7C424"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Can the users request changes or additions to the system? If the system can be tailored for a client, when can this be done and are there any additional costs associated with it?</w:t>
      </w:r>
    </w:p>
    <w:p w14:paraId="249CD565"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What is the response time for addressing bugs in the system?</w:t>
      </w:r>
    </w:p>
    <w:p w14:paraId="61DA4EE3"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What system is in place for communicating with users about known issues or errors?</w:t>
      </w:r>
    </w:p>
    <w:p w14:paraId="6A2BA3F9"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What system is in place for ensuring that known issues or errors are resolved in a timely manner?</w:t>
      </w:r>
    </w:p>
    <w:p w14:paraId="2E8CF5A2" w14:textId="77777777" w:rsidR="00A62644" w:rsidRPr="00A62644" w:rsidRDefault="00F13815" w:rsidP="00A62644">
      <w:pPr>
        <w:pStyle w:val="ListParagraph"/>
        <w:numPr>
          <w:ilvl w:val="1"/>
          <w:numId w:val="11"/>
        </w:numPr>
        <w:spacing w:after="0" w:line="240" w:lineRule="auto"/>
        <w:jc w:val="both"/>
        <w:rPr>
          <w:shd w:val="clear" w:color="auto" w:fill="FFFFFF"/>
        </w:rPr>
      </w:pPr>
      <w:r w:rsidRPr="00A62644">
        <w:rPr>
          <w:shd w:val="clear" w:color="auto" w:fill="FFFFFF"/>
        </w:rPr>
        <w:t>How often is the system updated?</w:t>
      </w:r>
    </w:p>
    <w:p w14:paraId="64638F13" w14:textId="36F25E38" w:rsidR="00F13815" w:rsidRPr="00A62644" w:rsidRDefault="00F13815" w:rsidP="00F13815">
      <w:pPr>
        <w:pStyle w:val="ListParagraph"/>
        <w:numPr>
          <w:ilvl w:val="1"/>
          <w:numId w:val="11"/>
        </w:numPr>
        <w:spacing w:after="0" w:line="240" w:lineRule="auto"/>
        <w:jc w:val="both"/>
        <w:rPr>
          <w:shd w:val="clear" w:color="auto" w:fill="FFFFFF"/>
        </w:rPr>
      </w:pPr>
      <w:r w:rsidRPr="00A62644">
        <w:rPr>
          <w:shd w:val="clear" w:color="auto" w:fill="FFFFFF"/>
        </w:rPr>
        <w:t>How are updates cascaded through the system?</w:t>
      </w:r>
    </w:p>
    <w:p w14:paraId="60B97B84" w14:textId="77777777" w:rsidR="00A62644" w:rsidRDefault="00F13815" w:rsidP="00A62644">
      <w:pPr>
        <w:pStyle w:val="ListParagraph"/>
        <w:numPr>
          <w:ilvl w:val="0"/>
          <w:numId w:val="11"/>
        </w:numPr>
        <w:spacing w:after="60" w:line="240" w:lineRule="auto"/>
        <w:jc w:val="both"/>
      </w:pPr>
      <w:r w:rsidRPr="00A62644">
        <w:t xml:space="preserve">Support – training </w:t>
      </w:r>
    </w:p>
    <w:p w14:paraId="7235FEC3" w14:textId="4EADB366" w:rsidR="00F13815" w:rsidRDefault="00F13815" w:rsidP="00F13815">
      <w:pPr>
        <w:pStyle w:val="ListParagraph"/>
        <w:numPr>
          <w:ilvl w:val="1"/>
          <w:numId w:val="11"/>
        </w:numPr>
        <w:spacing w:after="60" w:line="240" w:lineRule="auto"/>
        <w:jc w:val="both"/>
      </w:pPr>
      <w:r w:rsidRPr="00A62644">
        <w:rPr>
          <w:shd w:val="clear" w:color="auto" w:fill="FFFFFF"/>
        </w:rPr>
        <w:t>What training support is offered? Please provide details of training options, including handbooks or guides, e-learning, telephone training, and in-person training.</w:t>
      </w:r>
    </w:p>
    <w:p w14:paraId="02ABDF9F" w14:textId="77777777" w:rsidR="00A62644" w:rsidRDefault="00A62644" w:rsidP="00A62644">
      <w:pPr>
        <w:pStyle w:val="Heading2"/>
      </w:pPr>
      <w:bookmarkStart w:id="0" w:name="_Toc93304438"/>
      <w:r>
        <w:t>Route to market</w:t>
      </w:r>
      <w:bookmarkEnd w:id="0"/>
    </w:p>
    <w:p w14:paraId="62772CFE" w14:textId="0AA88413" w:rsidR="00F13815" w:rsidRPr="00A62644" w:rsidRDefault="00A62644" w:rsidP="00F13815">
      <w:pPr>
        <w:rPr>
          <w:rFonts w:ascii="Calibri" w:hAnsi="Calibri" w:cs="Calibri"/>
        </w:rPr>
      </w:pPr>
      <w:r w:rsidRPr="00262A4E">
        <w:rPr>
          <w:rFonts w:ascii="Calibri" w:hAnsi="Calibri" w:cs="Calibri"/>
        </w:rPr>
        <w:t xml:space="preserve">This invitation to participate in the market scoping exercise does not constitute a formal procurement process. The purpose is to establish the interest and capability in the market and to confirm that this is aligned with NLFT requirements. As part of this engagement process, we are also seeking to identify the most appropriate route to market, on the assumption that there is alignment. Given the increased urgency, created primarily </w:t>
      </w:r>
      <w:r>
        <w:rPr>
          <w:rFonts w:ascii="Calibri" w:hAnsi="Calibri" w:cs="Calibri"/>
        </w:rPr>
        <w:t>due to funding opportunities</w:t>
      </w:r>
      <w:r w:rsidRPr="00262A4E">
        <w:rPr>
          <w:rFonts w:ascii="Calibri" w:hAnsi="Calibri" w:cs="Calibri"/>
        </w:rPr>
        <w:t>, to have a contract and solution in place within the next 3 months, NL</w:t>
      </w:r>
      <w:r>
        <w:rPr>
          <w:rFonts w:ascii="Calibri" w:hAnsi="Calibri" w:cs="Calibri"/>
        </w:rPr>
        <w:t>F</w:t>
      </w:r>
      <w:r w:rsidRPr="00262A4E">
        <w:rPr>
          <w:rFonts w:ascii="Calibri" w:hAnsi="Calibri" w:cs="Calibri"/>
        </w:rPr>
        <w:t xml:space="preserve">T will call </w:t>
      </w:r>
      <w:r>
        <w:rPr>
          <w:rFonts w:ascii="Calibri" w:hAnsi="Calibri" w:cs="Calibri"/>
        </w:rPr>
        <w:t xml:space="preserve">off </w:t>
      </w:r>
      <w:r w:rsidRPr="00262A4E">
        <w:rPr>
          <w:rFonts w:ascii="Calibri" w:hAnsi="Calibri" w:cs="Calibri"/>
        </w:rPr>
        <w:t>from a framework. It is yet to be determined i</w:t>
      </w:r>
      <w:r>
        <w:rPr>
          <w:rFonts w:ascii="Calibri" w:hAnsi="Calibri" w:cs="Calibri"/>
        </w:rPr>
        <w:t>f</w:t>
      </w:r>
      <w:r w:rsidRPr="00262A4E">
        <w:rPr>
          <w:rFonts w:ascii="Calibri" w:hAnsi="Calibri" w:cs="Calibri"/>
        </w:rPr>
        <w:t xml:space="preserve"> this will involve a further competition, or a direct award and this market consultation process will inform that</w:t>
      </w:r>
      <w:r>
        <w:rPr>
          <w:rFonts w:ascii="Calibri" w:hAnsi="Calibri" w:cs="Calibri"/>
        </w:rPr>
        <w:t xml:space="preserve"> decision. </w:t>
      </w:r>
      <w:r w:rsidRPr="00262A4E">
        <w:rPr>
          <w:rFonts w:ascii="Calibri" w:hAnsi="Calibri" w:cs="Calibri"/>
        </w:rPr>
        <w:t>NLFT reserve the right to choose most acceptable route to market, in addition to the option not to progress with the procurement in any form.</w:t>
      </w:r>
    </w:p>
    <w:p w14:paraId="528AA1AF" w14:textId="7DDF902F" w:rsidR="00751DF4" w:rsidRDefault="00751DF4" w:rsidP="00A62644">
      <w:pPr>
        <w:pStyle w:val="Heading2"/>
      </w:pPr>
      <w:r>
        <w:t>Timeline</w:t>
      </w:r>
    </w:p>
    <w:tbl>
      <w:tblPr>
        <w:tblStyle w:val="TableGrid"/>
        <w:tblW w:w="0" w:type="auto"/>
        <w:tblInd w:w="1605" w:type="dxa"/>
        <w:tblLook w:val="04A0" w:firstRow="1" w:lastRow="0" w:firstColumn="1" w:lastColumn="0" w:noHBand="0" w:noVBand="1"/>
      </w:tblPr>
      <w:tblGrid>
        <w:gridCol w:w="2830"/>
        <w:gridCol w:w="2977"/>
      </w:tblGrid>
      <w:tr w:rsidR="00F13815" w14:paraId="4B519D65" w14:textId="77777777" w:rsidTr="00A62644">
        <w:tc>
          <w:tcPr>
            <w:tcW w:w="2830" w:type="dxa"/>
          </w:tcPr>
          <w:p w14:paraId="43AF85D8" w14:textId="374F055D" w:rsidR="00F13815" w:rsidRPr="00F13815" w:rsidRDefault="00F13815" w:rsidP="00F13815">
            <w:pPr>
              <w:jc w:val="center"/>
              <w:rPr>
                <w:b/>
                <w:bCs/>
              </w:rPr>
            </w:pPr>
            <w:r w:rsidRPr="00F13815">
              <w:rPr>
                <w:b/>
                <w:bCs/>
              </w:rPr>
              <w:t>Activity</w:t>
            </w:r>
          </w:p>
        </w:tc>
        <w:tc>
          <w:tcPr>
            <w:tcW w:w="2977" w:type="dxa"/>
          </w:tcPr>
          <w:p w14:paraId="3FAE996B" w14:textId="0129B54C" w:rsidR="00F13815" w:rsidRPr="00F13815" w:rsidRDefault="00F13815" w:rsidP="00F13815">
            <w:pPr>
              <w:jc w:val="center"/>
              <w:rPr>
                <w:b/>
                <w:bCs/>
              </w:rPr>
            </w:pPr>
            <w:r w:rsidRPr="00F13815">
              <w:rPr>
                <w:b/>
                <w:bCs/>
              </w:rPr>
              <w:t>Indicative Date</w:t>
            </w:r>
          </w:p>
        </w:tc>
      </w:tr>
      <w:tr w:rsidR="00F13815" w14:paraId="5BE7022B" w14:textId="77777777" w:rsidTr="00A62644">
        <w:tc>
          <w:tcPr>
            <w:tcW w:w="2830" w:type="dxa"/>
          </w:tcPr>
          <w:p w14:paraId="150FFDBE" w14:textId="65F65616" w:rsidR="00F13815" w:rsidRPr="00F13815" w:rsidRDefault="00F13815" w:rsidP="00F13815">
            <w:pPr>
              <w:jc w:val="right"/>
            </w:pPr>
            <w:r>
              <w:t>Publication of RFI</w:t>
            </w:r>
          </w:p>
        </w:tc>
        <w:tc>
          <w:tcPr>
            <w:tcW w:w="2977" w:type="dxa"/>
          </w:tcPr>
          <w:p w14:paraId="21861188" w14:textId="36CE4D4E" w:rsidR="00F13815" w:rsidRPr="00F13815" w:rsidRDefault="00F13815" w:rsidP="00F13815">
            <w:pPr>
              <w:jc w:val="center"/>
            </w:pPr>
            <w:r>
              <w:t>2</w:t>
            </w:r>
            <w:r w:rsidR="006F5E52">
              <w:t>9</w:t>
            </w:r>
            <w:r>
              <w:t>/01/2025</w:t>
            </w:r>
          </w:p>
        </w:tc>
      </w:tr>
      <w:tr w:rsidR="00F13815" w14:paraId="13975991" w14:textId="77777777" w:rsidTr="00A62644">
        <w:tc>
          <w:tcPr>
            <w:tcW w:w="2830" w:type="dxa"/>
          </w:tcPr>
          <w:p w14:paraId="484B0C5A" w14:textId="695478C8" w:rsidR="00F13815" w:rsidRPr="00F13815" w:rsidRDefault="00F13815" w:rsidP="00F13815">
            <w:pPr>
              <w:jc w:val="right"/>
            </w:pPr>
            <w:r>
              <w:t>Deadline for RFI submissions</w:t>
            </w:r>
          </w:p>
        </w:tc>
        <w:tc>
          <w:tcPr>
            <w:tcW w:w="2977" w:type="dxa"/>
          </w:tcPr>
          <w:p w14:paraId="0225C5A5" w14:textId="6027F436" w:rsidR="00F13815" w:rsidRPr="00F13815" w:rsidRDefault="00F13815" w:rsidP="00F13815">
            <w:pPr>
              <w:jc w:val="center"/>
            </w:pPr>
            <w:r>
              <w:t>0</w:t>
            </w:r>
            <w:r w:rsidR="006F5E52">
              <w:t>6</w:t>
            </w:r>
            <w:r>
              <w:t>/02/2025</w:t>
            </w:r>
          </w:p>
        </w:tc>
      </w:tr>
      <w:tr w:rsidR="00F13815" w14:paraId="0139AD78" w14:textId="77777777" w:rsidTr="00A62644">
        <w:tc>
          <w:tcPr>
            <w:tcW w:w="2830" w:type="dxa"/>
          </w:tcPr>
          <w:p w14:paraId="3053BB10" w14:textId="62283D76" w:rsidR="00F13815" w:rsidRPr="00F13815" w:rsidRDefault="00F13815" w:rsidP="00F13815">
            <w:pPr>
              <w:jc w:val="right"/>
            </w:pPr>
            <w:r>
              <w:t>Completion of evaluation of responses to RFI</w:t>
            </w:r>
          </w:p>
        </w:tc>
        <w:tc>
          <w:tcPr>
            <w:tcW w:w="2977" w:type="dxa"/>
          </w:tcPr>
          <w:p w14:paraId="173C0ECF" w14:textId="25D4A077" w:rsidR="00F13815" w:rsidRPr="00F13815" w:rsidRDefault="006F5E52" w:rsidP="00F13815">
            <w:pPr>
              <w:jc w:val="center"/>
            </w:pPr>
            <w:r>
              <w:t>13</w:t>
            </w:r>
            <w:r w:rsidR="00F13815">
              <w:t>/0</w:t>
            </w:r>
            <w:r w:rsidR="007B211D">
              <w:t>2</w:t>
            </w:r>
            <w:r w:rsidR="00F13815">
              <w:t>/2025</w:t>
            </w:r>
          </w:p>
        </w:tc>
      </w:tr>
      <w:tr w:rsidR="00F13815" w14:paraId="53A4810F" w14:textId="77777777" w:rsidTr="00A62644">
        <w:tc>
          <w:tcPr>
            <w:tcW w:w="2830" w:type="dxa"/>
          </w:tcPr>
          <w:p w14:paraId="1CC076B0" w14:textId="3DB936DD" w:rsidR="00F13815" w:rsidRPr="00F13815" w:rsidRDefault="00F13815" w:rsidP="00F13815">
            <w:pPr>
              <w:jc w:val="right"/>
            </w:pPr>
            <w:r>
              <w:t>Confirmation of next steps shared with appropriate market players</w:t>
            </w:r>
          </w:p>
        </w:tc>
        <w:tc>
          <w:tcPr>
            <w:tcW w:w="2977" w:type="dxa"/>
          </w:tcPr>
          <w:p w14:paraId="1E960A38" w14:textId="2610C710" w:rsidR="00F13815" w:rsidRPr="00F13815" w:rsidRDefault="006F5E52" w:rsidP="00F13815">
            <w:pPr>
              <w:jc w:val="center"/>
            </w:pPr>
            <w:r>
              <w:t>20</w:t>
            </w:r>
            <w:r w:rsidR="00F13815">
              <w:t>/0</w:t>
            </w:r>
            <w:r w:rsidR="007B211D">
              <w:t>2</w:t>
            </w:r>
            <w:r w:rsidR="00F13815">
              <w:t>/2025</w:t>
            </w:r>
          </w:p>
        </w:tc>
      </w:tr>
      <w:tr w:rsidR="00F13815" w14:paraId="2F7B74F7" w14:textId="77777777" w:rsidTr="00A62644">
        <w:tc>
          <w:tcPr>
            <w:tcW w:w="2830" w:type="dxa"/>
          </w:tcPr>
          <w:p w14:paraId="68F7F40A" w14:textId="12BAA3F6" w:rsidR="00F13815" w:rsidRPr="00F13815" w:rsidRDefault="00F13815" w:rsidP="00F13815">
            <w:pPr>
              <w:jc w:val="right"/>
            </w:pPr>
            <w:r>
              <w:t>Desired award date</w:t>
            </w:r>
          </w:p>
        </w:tc>
        <w:tc>
          <w:tcPr>
            <w:tcW w:w="2977" w:type="dxa"/>
          </w:tcPr>
          <w:p w14:paraId="0B5A0A70" w14:textId="2B88430B" w:rsidR="00F13815" w:rsidRPr="00F13815" w:rsidRDefault="00F13815" w:rsidP="00F13815">
            <w:pPr>
              <w:jc w:val="center"/>
            </w:pPr>
            <w:r>
              <w:t>March 2025</w:t>
            </w:r>
          </w:p>
        </w:tc>
      </w:tr>
      <w:tr w:rsidR="00F13815" w14:paraId="595D76C7" w14:textId="77777777" w:rsidTr="00A62644">
        <w:tc>
          <w:tcPr>
            <w:tcW w:w="2830" w:type="dxa"/>
          </w:tcPr>
          <w:p w14:paraId="5669276C" w14:textId="07C05D47" w:rsidR="00F13815" w:rsidRDefault="00F13815" w:rsidP="00F13815">
            <w:pPr>
              <w:jc w:val="right"/>
            </w:pPr>
            <w:r>
              <w:t>Solution go-live</w:t>
            </w:r>
          </w:p>
        </w:tc>
        <w:tc>
          <w:tcPr>
            <w:tcW w:w="2977" w:type="dxa"/>
          </w:tcPr>
          <w:p w14:paraId="1B1A41DD" w14:textId="64FE797E" w:rsidR="00F13815" w:rsidRPr="00F13815" w:rsidRDefault="00F13815" w:rsidP="00F13815">
            <w:pPr>
              <w:jc w:val="center"/>
            </w:pPr>
            <w:r>
              <w:t>April 2025</w:t>
            </w:r>
          </w:p>
        </w:tc>
      </w:tr>
    </w:tbl>
    <w:p w14:paraId="2421CD61" w14:textId="77777777" w:rsidR="00F52E08" w:rsidRDefault="00F52E08" w:rsidP="00F13815">
      <w:pPr>
        <w:rPr>
          <w:highlight w:val="lightGray"/>
        </w:rPr>
      </w:pPr>
    </w:p>
    <w:p w14:paraId="02718B59" w14:textId="59E23C26" w:rsidR="00A62644" w:rsidRDefault="00A62644" w:rsidP="00A62644">
      <w:pPr>
        <w:rPr>
          <w:b/>
          <w:bCs/>
        </w:rPr>
      </w:pPr>
      <w:r w:rsidRPr="00A62644">
        <w:rPr>
          <w:b/>
          <w:bCs/>
        </w:rPr>
        <w:t>Responses should be submitted through HealthFamily Atamis/Salesforce e-Tendering portal and should be received by the close of business on Tuesday 04</w:t>
      </w:r>
      <w:r w:rsidRPr="00A62644">
        <w:rPr>
          <w:b/>
          <w:bCs/>
          <w:vertAlign w:val="superscript"/>
        </w:rPr>
        <w:t>th</w:t>
      </w:r>
      <w:r w:rsidRPr="00A62644">
        <w:rPr>
          <w:b/>
          <w:bCs/>
        </w:rPr>
        <w:t xml:space="preserve"> February 2025.</w:t>
      </w:r>
    </w:p>
    <w:p w14:paraId="43800D19" w14:textId="255F7397" w:rsidR="00A62644" w:rsidRPr="00A62644" w:rsidRDefault="00A62644" w:rsidP="00A62644">
      <w:pPr>
        <w:rPr>
          <w:b/>
          <w:bCs/>
        </w:rPr>
      </w:pPr>
      <w:r>
        <w:rPr>
          <w:b/>
          <w:bCs/>
        </w:rPr>
        <w:t>Clarifications should be raised through the portal.</w:t>
      </w:r>
    </w:p>
    <w:p w14:paraId="4B8530FE" w14:textId="370A01B4" w:rsidR="00A62644" w:rsidRDefault="00A62644" w:rsidP="00A62644">
      <w:r>
        <w:t>Question headings should be used in your response to aid identification.</w:t>
      </w:r>
    </w:p>
    <w:p w14:paraId="698639B7" w14:textId="77777777" w:rsidR="001A1CDD" w:rsidRDefault="001A1CDD">
      <w:pPr>
        <w:rPr>
          <w:rFonts w:asciiTheme="majorHAnsi" w:eastAsiaTheme="majorEastAsia" w:hAnsiTheme="majorHAnsi" w:cstheme="majorBidi"/>
          <w:b/>
          <w:bCs/>
          <w:color w:val="4F81BD" w:themeColor="accent1"/>
          <w:sz w:val="26"/>
          <w:szCs w:val="26"/>
          <w:highlight w:val="lightGray"/>
        </w:rPr>
      </w:pPr>
      <w:r>
        <w:rPr>
          <w:highlight w:val="lightGray"/>
        </w:rPr>
        <w:br w:type="page"/>
      </w:r>
    </w:p>
    <w:p w14:paraId="1F1293A8" w14:textId="5D611A0A" w:rsidR="00A62644" w:rsidRPr="001A1CDD" w:rsidRDefault="00A62644" w:rsidP="001A1CDD">
      <w:pPr>
        <w:pStyle w:val="Heading2"/>
      </w:pPr>
      <w:r w:rsidRPr="001A1CDD">
        <w:lastRenderedPageBreak/>
        <w:t>Contact Details:</w:t>
      </w:r>
    </w:p>
    <w:p w14:paraId="1A0984AA" w14:textId="77777777" w:rsidR="00A62644" w:rsidRDefault="00A62644" w:rsidP="00A62644">
      <w:pPr>
        <w:rPr>
          <w:b/>
          <w:bCs/>
        </w:rPr>
      </w:pPr>
      <w:r w:rsidRPr="00A62644">
        <w:rPr>
          <w:b/>
          <w:bCs/>
        </w:rPr>
        <w:t xml:space="preserve">Pelham Wickes </w:t>
      </w:r>
      <w:r w:rsidRPr="00A62644">
        <w:rPr>
          <w:b/>
          <w:bCs/>
        </w:rPr>
        <w:br/>
      </w:r>
      <w:r w:rsidRPr="00A62644">
        <w:t>NEL Digital Procurement Workstream Lead</w:t>
      </w:r>
      <w:r w:rsidRPr="00A62644">
        <w:rPr>
          <w:b/>
          <w:bCs/>
        </w:rPr>
        <w:br/>
        <w:t>NELFT and North London NHS Foundation Trust Procurement Shared Service</w:t>
      </w:r>
    </w:p>
    <w:p w14:paraId="35BC15BC" w14:textId="42AC6AA6" w:rsidR="00A62644" w:rsidRPr="00A62644" w:rsidRDefault="00A62644" w:rsidP="00A62644">
      <w:r w:rsidRPr="00A62644">
        <w:t xml:space="preserve">Email: </w:t>
      </w:r>
      <w:hyperlink r:id="rId10" w:history="1">
        <w:r w:rsidRPr="00A62644">
          <w:rPr>
            <w:rStyle w:val="Hyperlink"/>
          </w:rPr>
          <w:t>pelham.wickes@nelft.nhs.uk</w:t>
        </w:r>
      </w:hyperlink>
      <w:r>
        <w:t xml:space="preserve"> / </w:t>
      </w:r>
      <w:hyperlink r:id="rId11" w:history="1">
        <w:r w:rsidRPr="00CC7C3D">
          <w:rPr>
            <w:rStyle w:val="Hyperlink"/>
          </w:rPr>
          <w:t>procurement@nelft.nhs.uk</w:t>
        </w:r>
      </w:hyperlink>
      <w:r>
        <w:t xml:space="preserve"> </w:t>
      </w:r>
    </w:p>
    <w:p w14:paraId="7EED461A" w14:textId="77777777" w:rsidR="00A62644" w:rsidRPr="00A62644" w:rsidRDefault="00A62644" w:rsidP="00A62644"/>
    <w:sectPr w:rsidR="00A62644" w:rsidRPr="00A626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A524" w14:textId="77777777" w:rsidR="002974BB" w:rsidRDefault="002974BB" w:rsidP="00835263">
      <w:pPr>
        <w:spacing w:after="0" w:line="240" w:lineRule="auto"/>
      </w:pPr>
      <w:r>
        <w:separator/>
      </w:r>
    </w:p>
  </w:endnote>
  <w:endnote w:type="continuationSeparator" w:id="0">
    <w:p w14:paraId="2EFDED51" w14:textId="77777777" w:rsidR="002974BB" w:rsidRDefault="002974BB"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169C" w14:textId="77777777" w:rsidR="002974BB" w:rsidRDefault="002974BB" w:rsidP="00835263">
      <w:pPr>
        <w:spacing w:after="0" w:line="240" w:lineRule="auto"/>
      </w:pPr>
      <w:r>
        <w:separator/>
      </w:r>
    </w:p>
  </w:footnote>
  <w:footnote w:type="continuationSeparator" w:id="0">
    <w:p w14:paraId="22C945C3" w14:textId="77777777" w:rsidR="002974BB" w:rsidRDefault="002974BB" w:rsidP="00835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7E653D3"/>
    <w:multiLevelType w:val="hybridMultilevel"/>
    <w:tmpl w:val="0DD299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236E0A"/>
    <w:multiLevelType w:val="hybridMultilevel"/>
    <w:tmpl w:val="7D268E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6473D"/>
    <w:multiLevelType w:val="hybridMultilevel"/>
    <w:tmpl w:val="07C8FB0A"/>
    <w:lvl w:ilvl="0" w:tplc="26723916">
      <w:start w:val="1"/>
      <w:numFmt w:val="decimal"/>
      <w:lvlText w:val="%1."/>
      <w:lvlJc w:val="left"/>
      <w:pPr>
        <w:ind w:left="720" w:hanging="360"/>
      </w:pPr>
      <w:rPr>
        <w:b/>
        <w:i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1C1713B"/>
    <w:multiLevelType w:val="hybridMultilevel"/>
    <w:tmpl w:val="B6BA8E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6B4A66"/>
    <w:multiLevelType w:val="hybridMultilevel"/>
    <w:tmpl w:val="C4A0A192"/>
    <w:lvl w:ilvl="0" w:tplc="3B1869B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A530B"/>
    <w:multiLevelType w:val="hybridMultilevel"/>
    <w:tmpl w:val="2E12B3C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525507">
    <w:abstractNumId w:val="10"/>
  </w:num>
  <w:num w:numId="2" w16cid:durableId="1559392018">
    <w:abstractNumId w:val="8"/>
  </w:num>
  <w:num w:numId="3" w16cid:durableId="501824926">
    <w:abstractNumId w:val="3"/>
  </w:num>
  <w:num w:numId="4" w16cid:durableId="626935050">
    <w:abstractNumId w:val="9"/>
  </w:num>
  <w:num w:numId="5" w16cid:durableId="1279874988">
    <w:abstractNumId w:val="4"/>
  </w:num>
  <w:num w:numId="6" w16cid:durableId="212063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2564810">
    <w:abstractNumId w:val="0"/>
  </w:num>
  <w:num w:numId="8" w16cid:durableId="1688016882">
    <w:abstractNumId w:val="5"/>
  </w:num>
  <w:num w:numId="9" w16cid:durableId="1036386974">
    <w:abstractNumId w:val="1"/>
  </w:num>
  <w:num w:numId="10" w16cid:durableId="779688651">
    <w:abstractNumId w:val="6"/>
  </w:num>
  <w:num w:numId="11" w16cid:durableId="875116592">
    <w:abstractNumId w:val="7"/>
  </w:num>
  <w:num w:numId="12" w16cid:durableId="160426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272C1"/>
    <w:rsid w:val="00084785"/>
    <w:rsid w:val="000B1838"/>
    <w:rsid w:val="000E39A9"/>
    <w:rsid w:val="001448A4"/>
    <w:rsid w:val="001872F9"/>
    <w:rsid w:val="001A1CDD"/>
    <w:rsid w:val="001B4989"/>
    <w:rsid w:val="001F2939"/>
    <w:rsid w:val="00237935"/>
    <w:rsid w:val="00275DD1"/>
    <w:rsid w:val="0029151B"/>
    <w:rsid w:val="002974BB"/>
    <w:rsid w:val="002D3882"/>
    <w:rsid w:val="00372C9B"/>
    <w:rsid w:val="003C6846"/>
    <w:rsid w:val="003D618E"/>
    <w:rsid w:val="003E1F47"/>
    <w:rsid w:val="0045751A"/>
    <w:rsid w:val="00547F32"/>
    <w:rsid w:val="0057666E"/>
    <w:rsid w:val="005B54C8"/>
    <w:rsid w:val="005C37C2"/>
    <w:rsid w:val="005F44D1"/>
    <w:rsid w:val="006405C2"/>
    <w:rsid w:val="0065313A"/>
    <w:rsid w:val="00673716"/>
    <w:rsid w:val="006C08E0"/>
    <w:rsid w:val="006D1837"/>
    <w:rsid w:val="006F5E52"/>
    <w:rsid w:val="00735968"/>
    <w:rsid w:val="00751DF4"/>
    <w:rsid w:val="00757AFA"/>
    <w:rsid w:val="0077623E"/>
    <w:rsid w:val="00794D82"/>
    <w:rsid w:val="007B211D"/>
    <w:rsid w:val="007F01C7"/>
    <w:rsid w:val="00800698"/>
    <w:rsid w:val="00835263"/>
    <w:rsid w:val="0085456A"/>
    <w:rsid w:val="00890C28"/>
    <w:rsid w:val="008940DE"/>
    <w:rsid w:val="008D76E7"/>
    <w:rsid w:val="008E3F73"/>
    <w:rsid w:val="0090116B"/>
    <w:rsid w:val="00912D66"/>
    <w:rsid w:val="0092415F"/>
    <w:rsid w:val="00A147BF"/>
    <w:rsid w:val="00A203F9"/>
    <w:rsid w:val="00A540C5"/>
    <w:rsid w:val="00A62644"/>
    <w:rsid w:val="00A82F28"/>
    <w:rsid w:val="00AC1333"/>
    <w:rsid w:val="00B30869"/>
    <w:rsid w:val="00B66674"/>
    <w:rsid w:val="00B670F8"/>
    <w:rsid w:val="00BA4DEB"/>
    <w:rsid w:val="00C26FD2"/>
    <w:rsid w:val="00C40E31"/>
    <w:rsid w:val="00C4461A"/>
    <w:rsid w:val="00C720C5"/>
    <w:rsid w:val="00CA396C"/>
    <w:rsid w:val="00CE6A4E"/>
    <w:rsid w:val="00CF6798"/>
    <w:rsid w:val="00DC10EB"/>
    <w:rsid w:val="00DF4D81"/>
    <w:rsid w:val="00E42052"/>
    <w:rsid w:val="00E65F5C"/>
    <w:rsid w:val="00E87680"/>
    <w:rsid w:val="00E934FA"/>
    <w:rsid w:val="00EC0CD4"/>
    <w:rsid w:val="00EF106A"/>
    <w:rsid w:val="00EF59DB"/>
    <w:rsid w:val="00F13815"/>
    <w:rsid w:val="00F503D2"/>
    <w:rsid w:val="00F52E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B975"/>
  <w15:docId w15:val="{C7EC9FC2-5F4B-45C0-A2B5-6A3E7AF4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table" w:styleId="TableGrid">
    <w:name w:val="Table Grid"/>
    <w:basedOn w:val="TableNormal"/>
    <w:uiPriority w:val="59"/>
    <w:rsid w:val="00F13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44"/>
    <w:rPr>
      <w:color w:val="0000FF" w:themeColor="hyperlink"/>
      <w:u w:val="single"/>
    </w:rPr>
  </w:style>
  <w:style w:type="character" w:styleId="UnresolvedMention">
    <w:name w:val="Unresolved Mention"/>
    <w:basedOn w:val="DefaultParagraphFont"/>
    <w:uiPriority w:val="99"/>
    <w:semiHidden/>
    <w:unhideWhenUsed/>
    <w:rsid w:val="00A62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233012573">
      <w:bodyDiv w:val="1"/>
      <w:marLeft w:val="0"/>
      <w:marRight w:val="0"/>
      <w:marTop w:val="0"/>
      <w:marBottom w:val="0"/>
      <w:divBdr>
        <w:top w:val="none" w:sz="0" w:space="0" w:color="auto"/>
        <w:left w:val="none" w:sz="0" w:space="0" w:color="auto"/>
        <w:bottom w:val="none" w:sz="0" w:space="0" w:color="auto"/>
        <w:right w:val="none" w:sz="0" w:space="0" w:color="auto"/>
      </w:divBdr>
    </w:div>
    <w:div w:id="610744787">
      <w:bodyDiv w:val="1"/>
      <w:marLeft w:val="0"/>
      <w:marRight w:val="0"/>
      <w:marTop w:val="0"/>
      <w:marBottom w:val="0"/>
      <w:divBdr>
        <w:top w:val="none" w:sz="0" w:space="0" w:color="auto"/>
        <w:left w:val="none" w:sz="0" w:space="0" w:color="auto"/>
        <w:bottom w:val="none" w:sz="0" w:space="0" w:color="auto"/>
        <w:right w:val="none" w:sz="0" w:space="0" w:color="auto"/>
      </w:divBdr>
    </w:div>
    <w:div w:id="1054349305">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64724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elft.nhs.uk" TargetMode="External"/><Relationship Id="rId5" Type="http://schemas.openxmlformats.org/officeDocument/2006/relationships/styles" Target="styles.xml"/><Relationship Id="rId10" Type="http://schemas.openxmlformats.org/officeDocument/2006/relationships/hyperlink" Target="mailto:pelham.wickes@nelft.nhs.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F81D32F376774FBFD037F02999D031" ma:contentTypeVersion="4" ma:contentTypeDescription="Create a new document." ma:contentTypeScope="" ma:versionID="06d079a7d49dbef6b32b6b9e02593231">
  <xsd:schema xmlns:xsd="http://www.w3.org/2001/XMLSchema" xmlns:xs="http://www.w3.org/2001/XMLSchema" xmlns:p="http://schemas.microsoft.com/office/2006/metadata/properties" xmlns:ns2="cf789381-d068-4678-91b0-60aae5d0b914" targetNamespace="http://schemas.microsoft.com/office/2006/metadata/properties" ma:root="true" ma:fieldsID="883d80448c04f8fcb00d9ebfd3f39c6f" ns2:_="">
    <xsd:import namespace="cf789381-d068-4678-91b0-60aae5d0b9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89381-d068-4678-91b0-60aae5d0b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A6419-F09D-4BBE-91A6-1957A5D8BBA7}">
  <ds:schemaRefs>
    <ds:schemaRef ds:uri="http://schemas.microsoft.com/sharepoint/v3/contenttype/forms"/>
  </ds:schemaRefs>
</ds:datastoreItem>
</file>

<file path=customXml/itemProps2.xml><?xml version="1.0" encoding="utf-8"?>
<ds:datastoreItem xmlns:ds="http://schemas.openxmlformats.org/officeDocument/2006/customXml" ds:itemID="{28236219-B8E1-4B90-A933-153FC83B1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A46CB-3D00-4A2F-92D8-029EFF49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89381-d068-4678-91b0-60aae5d0b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Onochie Omolaso</cp:lastModifiedBy>
  <cp:revision>3</cp:revision>
  <dcterms:created xsi:type="dcterms:W3CDTF">2025-01-29T14:19:00Z</dcterms:created>
  <dcterms:modified xsi:type="dcterms:W3CDTF">2025-01-29T15:09:00Z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0x01010081F81D32F376774FBFD037F02999D031</vt:lpwstr>
  </property>
</Properties>
</file>