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516" w:rsidRDefault="00A552D2" w:rsidP="003A4516">
      <w:pPr>
        <w:rPr>
          <w:b/>
          <w:i/>
        </w:rPr>
      </w:pPr>
      <w:bookmarkStart w:id="0" w:name="LastEdit"/>
      <w:bookmarkEnd w:id="0"/>
      <w:r w:rsidRPr="002A510A">
        <w:rPr>
          <w:b/>
          <w:i/>
        </w:rPr>
        <w:t>A</w:t>
      </w:r>
      <w:r w:rsidR="002A510A" w:rsidRPr="002A510A">
        <w:rPr>
          <w:b/>
          <w:i/>
        </w:rPr>
        <w:t>nnex 3</w:t>
      </w:r>
      <w:r w:rsidRPr="002A510A">
        <w:rPr>
          <w:b/>
          <w:i/>
        </w:rPr>
        <w:t xml:space="preserve"> Pricing schedule</w:t>
      </w:r>
    </w:p>
    <w:p w:rsidR="00426086" w:rsidRPr="004C3D56" w:rsidRDefault="00426086" w:rsidP="00426086">
      <w:pPr>
        <w:widowControl w:val="0"/>
        <w:outlineLvl w:val="4"/>
        <w:rPr>
          <w:rFonts w:cs="Arial"/>
          <w:b/>
        </w:rPr>
      </w:pPr>
    </w:p>
    <w:p w:rsidR="00A83219" w:rsidRPr="00B93467" w:rsidRDefault="00A83219" w:rsidP="00A83219">
      <w:pPr>
        <w:widowControl w:val="0"/>
        <w:outlineLvl w:val="4"/>
        <w:rPr>
          <w:rFonts w:ascii="Calibri" w:hAnsi="Calibri" w:cs="Calibri"/>
          <w:b/>
        </w:rPr>
      </w:pPr>
      <w:r w:rsidRPr="00B93467">
        <w:rPr>
          <w:rFonts w:ascii="Calibri" w:hAnsi="Calibri" w:cs="Calibri"/>
          <w:b/>
        </w:rPr>
        <w:t>This is indicative only and can be added to,</w:t>
      </w:r>
      <w:r>
        <w:rPr>
          <w:rFonts w:ascii="Calibri" w:hAnsi="Calibri" w:cs="Calibri"/>
          <w:b/>
        </w:rPr>
        <w:t xml:space="preserve"> or amended as appropriate. </w:t>
      </w:r>
    </w:p>
    <w:p w:rsidR="00A83219" w:rsidRPr="00B93467" w:rsidRDefault="00A83219" w:rsidP="00A83219">
      <w:pPr>
        <w:widowControl w:val="0"/>
        <w:outlineLvl w:val="4"/>
        <w:rPr>
          <w:rFonts w:ascii="Calibri" w:hAnsi="Calibri" w:cs="Calibri"/>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63"/>
        <w:gridCol w:w="1850"/>
      </w:tblGrid>
      <w:tr w:rsidR="00891F58" w:rsidRPr="00B93467" w:rsidTr="00972CC3">
        <w:tc>
          <w:tcPr>
            <w:tcW w:w="8217" w:type="dxa"/>
            <w:gridSpan w:val="3"/>
            <w:shd w:val="clear" w:color="auto" w:fill="F2F2F2"/>
          </w:tcPr>
          <w:p w:rsidR="00891F58" w:rsidRPr="00B93467" w:rsidRDefault="00891F58" w:rsidP="00972CC3">
            <w:pPr>
              <w:widowControl w:val="0"/>
              <w:outlineLvl w:val="4"/>
              <w:rPr>
                <w:rFonts w:ascii="Calibri" w:hAnsi="Calibri" w:cs="Calibri"/>
              </w:rPr>
            </w:pPr>
          </w:p>
        </w:tc>
      </w:tr>
      <w:tr w:rsidR="00891F58" w:rsidRPr="00B93467" w:rsidTr="00972CC3">
        <w:tc>
          <w:tcPr>
            <w:tcW w:w="704" w:type="dxa"/>
            <w:shd w:val="clear" w:color="auto" w:fill="F2F2F2"/>
          </w:tcPr>
          <w:p w:rsidR="00891F58" w:rsidRPr="00B93467" w:rsidRDefault="00891F58" w:rsidP="00972CC3">
            <w:pPr>
              <w:rPr>
                <w:rFonts w:ascii="Calibri" w:hAnsi="Calibri" w:cs="Calibri"/>
              </w:rPr>
            </w:pPr>
          </w:p>
        </w:tc>
        <w:tc>
          <w:tcPr>
            <w:tcW w:w="5663" w:type="dxa"/>
            <w:shd w:val="clear" w:color="auto" w:fill="F2F2F2"/>
          </w:tcPr>
          <w:p w:rsidR="00891F58" w:rsidRPr="00B93467" w:rsidRDefault="00891F58" w:rsidP="00972CC3">
            <w:pPr>
              <w:rPr>
                <w:rFonts w:ascii="Calibri" w:hAnsi="Calibri" w:cs="Calibri"/>
              </w:rPr>
            </w:pPr>
          </w:p>
        </w:tc>
        <w:tc>
          <w:tcPr>
            <w:tcW w:w="1850" w:type="dxa"/>
            <w:shd w:val="clear" w:color="auto" w:fill="F2F2F2"/>
          </w:tcPr>
          <w:p w:rsidR="00891F58" w:rsidRPr="00B93467" w:rsidRDefault="00891F58" w:rsidP="00972CC3">
            <w:pPr>
              <w:rPr>
                <w:rFonts w:ascii="Calibri" w:hAnsi="Calibri" w:cs="Calibri"/>
              </w:rPr>
            </w:pPr>
            <w:r w:rsidRPr="00B93467">
              <w:rPr>
                <w:rFonts w:ascii="Calibri" w:hAnsi="Calibri" w:cs="Calibri"/>
              </w:rPr>
              <w:t>Total cost</w:t>
            </w:r>
          </w:p>
        </w:tc>
      </w:tr>
      <w:tr w:rsidR="00891F58" w:rsidRPr="00B93467" w:rsidTr="00972CC3">
        <w:tc>
          <w:tcPr>
            <w:tcW w:w="704" w:type="dxa"/>
            <w:shd w:val="clear" w:color="auto" w:fill="auto"/>
          </w:tcPr>
          <w:p w:rsidR="00891F58" w:rsidRPr="00B93467" w:rsidRDefault="00891F58" w:rsidP="00972CC3">
            <w:pPr>
              <w:rPr>
                <w:rFonts w:ascii="Calibri" w:hAnsi="Calibri" w:cs="Calibri"/>
              </w:rPr>
            </w:pPr>
            <w:r w:rsidRPr="00B93467">
              <w:rPr>
                <w:rFonts w:ascii="Calibri" w:hAnsi="Calibri" w:cs="Calibri"/>
              </w:rPr>
              <w:t>1</w:t>
            </w:r>
          </w:p>
        </w:tc>
        <w:tc>
          <w:tcPr>
            <w:tcW w:w="5663" w:type="dxa"/>
            <w:shd w:val="clear" w:color="auto" w:fill="auto"/>
          </w:tcPr>
          <w:p w:rsidR="00891F58" w:rsidRPr="00B93467" w:rsidRDefault="00891F58" w:rsidP="00972CC3">
            <w:pPr>
              <w:rPr>
                <w:rFonts w:ascii="Calibri" w:hAnsi="Calibri" w:cs="Calibri"/>
              </w:rPr>
            </w:pPr>
            <w:r w:rsidRPr="00B93467">
              <w:rPr>
                <w:rFonts w:ascii="Calibri" w:hAnsi="Calibri" w:cs="Calibri"/>
              </w:rPr>
              <w:t>A SWOT analysis of the current provision</w:t>
            </w:r>
          </w:p>
          <w:p w:rsidR="00891F58" w:rsidRPr="00B93467" w:rsidRDefault="00891F58" w:rsidP="00972CC3">
            <w:pPr>
              <w:rPr>
                <w:rFonts w:ascii="Calibri" w:hAnsi="Calibri" w:cs="Calibri"/>
              </w:rPr>
            </w:pPr>
          </w:p>
        </w:tc>
        <w:tc>
          <w:tcPr>
            <w:tcW w:w="1850" w:type="dxa"/>
            <w:shd w:val="clear" w:color="auto" w:fill="auto"/>
          </w:tcPr>
          <w:p w:rsidR="00891F58" w:rsidRPr="00B93467" w:rsidRDefault="00891F58" w:rsidP="00972CC3">
            <w:pPr>
              <w:rPr>
                <w:rFonts w:ascii="Calibri" w:hAnsi="Calibri" w:cs="Calibri"/>
              </w:rPr>
            </w:pPr>
          </w:p>
        </w:tc>
      </w:tr>
      <w:tr w:rsidR="00891F58" w:rsidRPr="00B93467" w:rsidTr="00972CC3">
        <w:tc>
          <w:tcPr>
            <w:tcW w:w="704" w:type="dxa"/>
            <w:shd w:val="clear" w:color="auto" w:fill="auto"/>
          </w:tcPr>
          <w:p w:rsidR="00891F58" w:rsidRPr="00B93467" w:rsidRDefault="00891F58" w:rsidP="00972CC3">
            <w:pPr>
              <w:rPr>
                <w:rFonts w:ascii="Calibri" w:hAnsi="Calibri" w:cs="Calibri"/>
              </w:rPr>
            </w:pPr>
            <w:r w:rsidRPr="00B93467">
              <w:rPr>
                <w:rFonts w:ascii="Calibri" w:hAnsi="Calibri" w:cs="Calibri"/>
              </w:rPr>
              <w:t>2</w:t>
            </w:r>
          </w:p>
        </w:tc>
        <w:tc>
          <w:tcPr>
            <w:tcW w:w="5663" w:type="dxa"/>
            <w:shd w:val="clear" w:color="auto" w:fill="auto"/>
          </w:tcPr>
          <w:p w:rsidR="00891F58" w:rsidRPr="00B93467" w:rsidRDefault="00891F58" w:rsidP="00972CC3">
            <w:pPr>
              <w:rPr>
                <w:rFonts w:ascii="Calibri" w:hAnsi="Calibri" w:cs="Calibri"/>
              </w:rPr>
            </w:pPr>
            <w:r w:rsidRPr="00B93467">
              <w:rPr>
                <w:rFonts w:ascii="Calibri" w:hAnsi="Calibri" w:cs="Calibri"/>
              </w:rPr>
              <w:t>Map of existing community signposting provision (both internal and external)</w:t>
            </w:r>
          </w:p>
        </w:tc>
        <w:tc>
          <w:tcPr>
            <w:tcW w:w="1850" w:type="dxa"/>
            <w:shd w:val="clear" w:color="auto" w:fill="auto"/>
          </w:tcPr>
          <w:p w:rsidR="00891F58" w:rsidRPr="00B93467" w:rsidRDefault="00891F58" w:rsidP="00972CC3">
            <w:pPr>
              <w:rPr>
                <w:rFonts w:ascii="Calibri" w:hAnsi="Calibri" w:cs="Calibri"/>
              </w:rPr>
            </w:pPr>
          </w:p>
        </w:tc>
      </w:tr>
      <w:tr w:rsidR="00891F58" w:rsidRPr="00B93467" w:rsidTr="00972CC3">
        <w:tc>
          <w:tcPr>
            <w:tcW w:w="704" w:type="dxa"/>
            <w:shd w:val="clear" w:color="auto" w:fill="auto"/>
          </w:tcPr>
          <w:p w:rsidR="00891F58" w:rsidRPr="00B93467" w:rsidRDefault="00891F58" w:rsidP="00972CC3">
            <w:pPr>
              <w:rPr>
                <w:rFonts w:ascii="Calibri" w:hAnsi="Calibri" w:cs="Calibri"/>
              </w:rPr>
            </w:pPr>
            <w:r w:rsidRPr="00B93467">
              <w:rPr>
                <w:rFonts w:ascii="Calibri" w:hAnsi="Calibri" w:cs="Calibri"/>
              </w:rPr>
              <w:t>3</w:t>
            </w:r>
          </w:p>
        </w:tc>
        <w:tc>
          <w:tcPr>
            <w:tcW w:w="5663" w:type="dxa"/>
            <w:shd w:val="clear" w:color="auto" w:fill="auto"/>
          </w:tcPr>
          <w:p w:rsidR="00891F58" w:rsidRPr="00B93467" w:rsidRDefault="00891F58" w:rsidP="00972CC3">
            <w:pPr>
              <w:rPr>
                <w:rFonts w:ascii="Calibri" w:hAnsi="Calibri" w:cs="Calibri"/>
              </w:rPr>
            </w:pPr>
            <w:r w:rsidRPr="00B93467">
              <w:rPr>
                <w:rFonts w:ascii="Calibri" w:hAnsi="Calibri" w:cs="Calibri"/>
              </w:rPr>
              <w:t>Research and benchmarking to establish best practice provision of similar functi</w:t>
            </w:r>
            <w:bookmarkStart w:id="1" w:name="_GoBack"/>
            <w:bookmarkEnd w:id="1"/>
            <w:r w:rsidRPr="00B93467">
              <w:rPr>
                <w:rFonts w:ascii="Calibri" w:hAnsi="Calibri" w:cs="Calibri"/>
              </w:rPr>
              <w:t>on in other areas</w:t>
            </w:r>
          </w:p>
        </w:tc>
        <w:tc>
          <w:tcPr>
            <w:tcW w:w="1850" w:type="dxa"/>
            <w:shd w:val="clear" w:color="auto" w:fill="auto"/>
          </w:tcPr>
          <w:p w:rsidR="00891F58" w:rsidRPr="00B93467" w:rsidRDefault="00891F58" w:rsidP="00972CC3">
            <w:pPr>
              <w:rPr>
                <w:rFonts w:ascii="Calibri" w:hAnsi="Calibri" w:cs="Calibri"/>
              </w:rPr>
            </w:pPr>
          </w:p>
        </w:tc>
      </w:tr>
      <w:tr w:rsidR="00891F58" w:rsidRPr="00B93467" w:rsidTr="00972CC3">
        <w:tc>
          <w:tcPr>
            <w:tcW w:w="704" w:type="dxa"/>
            <w:shd w:val="clear" w:color="auto" w:fill="auto"/>
          </w:tcPr>
          <w:p w:rsidR="00891F58" w:rsidRPr="00B93467" w:rsidRDefault="00891F58" w:rsidP="00972CC3">
            <w:pPr>
              <w:rPr>
                <w:rFonts w:ascii="Calibri" w:hAnsi="Calibri" w:cs="Calibri"/>
              </w:rPr>
            </w:pPr>
            <w:r w:rsidRPr="00B93467">
              <w:rPr>
                <w:rFonts w:ascii="Calibri" w:hAnsi="Calibri" w:cs="Calibri"/>
              </w:rPr>
              <w:t>4</w:t>
            </w:r>
          </w:p>
        </w:tc>
        <w:tc>
          <w:tcPr>
            <w:tcW w:w="5663" w:type="dxa"/>
            <w:shd w:val="clear" w:color="auto" w:fill="auto"/>
          </w:tcPr>
          <w:p w:rsidR="00891F58" w:rsidRPr="00B93467" w:rsidRDefault="00891F58" w:rsidP="00972CC3">
            <w:pPr>
              <w:rPr>
                <w:rFonts w:ascii="Calibri" w:hAnsi="Calibri" w:cs="Calibri"/>
              </w:rPr>
            </w:pPr>
            <w:r w:rsidRPr="00B93467">
              <w:rPr>
                <w:rFonts w:ascii="Calibri" w:hAnsi="Calibri" w:cs="Calibri"/>
              </w:rPr>
              <w:t>Research on emerging innovations in provision of similar functions; including format and accessibility needs</w:t>
            </w:r>
          </w:p>
          <w:p w:rsidR="00891F58" w:rsidRPr="00B93467" w:rsidRDefault="00891F58" w:rsidP="00972CC3">
            <w:pPr>
              <w:rPr>
                <w:rFonts w:ascii="Calibri" w:hAnsi="Calibri" w:cs="Calibri"/>
              </w:rPr>
            </w:pPr>
          </w:p>
        </w:tc>
        <w:tc>
          <w:tcPr>
            <w:tcW w:w="1850" w:type="dxa"/>
            <w:shd w:val="clear" w:color="auto" w:fill="auto"/>
          </w:tcPr>
          <w:p w:rsidR="00891F58" w:rsidRPr="00B93467" w:rsidRDefault="00891F58" w:rsidP="00972CC3">
            <w:pPr>
              <w:rPr>
                <w:rFonts w:ascii="Calibri" w:hAnsi="Calibri" w:cs="Calibri"/>
              </w:rPr>
            </w:pPr>
          </w:p>
        </w:tc>
      </w:tr>
      <w:tr w:rsidR="00891F58" w:rsidRPr="00B93467" w:rsidTr="00972CC3">
        <w:tc>
          <w:tcPr>
            <w:tcW w:w="704" w:type="dxa"/>
            <w:shd w:val="clear" w:color="auto" w:fill="auto"/>
          </w:tcPr>
          <w:p w:rsidR="00891F58" w:rsidRPr="00B93467" w:rsidRDefault="00891F58" w:rsidP="00972CC3">
            <w:pPr>
              <w:rPr>
                <w:rFonts w:ascii="Calibri" w:hAnsi="Calibri" w:cs="Calibri"/>
              </w:rPr>
            </w:pPr>
            <w:r w:rsidRPr="00B93467">
              <w:rPr>
                <w:rFonts w:ascii="Calibri" w:hAnsi="Calibri" w:cs="Calibri"/>
              </w:rPr>
              <w:t>5</w:t>
            </w:r>
          </w:p>
        </w:tc>
        <w:tc>
          <w:tcPr>
            <w:tcW w:w="5663" w:type="dxa"/>
            <w:shd w:val="clear" w:color="auto" w:fill="auto"/>
          </w:tcPr>
          <w:p w:rsidR="00891F58" w:rsidRPr="00B93467" w:rsidRDefault="00891F58" w:rsidP="00972CC3">
            <w:pPr>
              <w:rPr>
                <w:rFonts w:ascii="Calibri" w:hAnsi="Calibri" w:cs="Calibri"/>
              </w:rPr>
            </w:pPr>
            <w:r w:rsidRPr="00B93467">
              <w:rPr>
                <w:rFonts w:ascii="Calibri" w:hAnsi="Calibri" w:cs="Calibri"/>
              </w:rPr>
              <w:t>Final review report to outline the needs for community and strategic signposting</w:t>
            </w:r>
          </w:p>
        </w:tc>
        <w:tc>
          <w:tcPr>
            <w:tcW w:w="1850" w:type="dxa"/>
            <w:shd w:val="clear" w:color="auto" w:fill="auto"/>
          </w:tcPr>
          <w:p w:rsidR="00891F58" w:rsidRPr="00B93467" w:rsidRDefault="00891F58" w:rsidP="00972CC3">
            <w:pPr>
              <w:rPr>
                <w:rFonts w:ascii="Calibri" w:hAnsi="Calibri" w:cs="Calibri"/>
              </w:rPr>
            </w:pPr>
          </w:p>
        </w:tc>
      </w:tr>
      <w:tr w:rsidR="00891F58" w:rsidRPr="00B93467" w:rsidTr="00972CC3">
        <w:tc>
          <w:tcPr>
            <w:tcW w:w="704" w:type="dxa"/>
            <w:shd w:val="clear" w:color="auto" w:fill="auto"/>
          </w:tcPr>
          <w:p w:rsidR="00891F58" w:rsidRPr="00B93467" w:rsidRDefault="00891F58" w:rsidP="00972CC3">
            <w:pPr>
              <w:rPr>
                <w:rFonts w:ascii="Calibri" w:hAnsi="Calibri" w:cs="Calibri"/>
                <w:b/>
              </w:rPr>
            </w:pPr>
          </w:p>
        </w:tc>
        <w:tc>
          <w:tcPr>
            <w:tcW w:w="5663" w:type="dxa"/>
            <w:shd w:val="clear" w:color="auto" w:fill="auto"/>
          </w:tcPr>
          <w:p w:rsidR="00891F58" w:rsidRPr="00B93467" w:rsidRDefault="00891F58" w:rsidP="00972CC3">
            <w:pPr>
              <w:rPr>
                <w:rFonts w:ascii="Calibri" w:hAnsi="Calibri" w:cs="Calibri"/>
                <w:b/>
              </w:rPr>
            </w:pPr>
            <w:r w:rsidRPr="00B93467">
              <w:rPr>
                <w:rFonts w:ascii="Calibri" w:hAnsi="Calibri" w:cs="Calibri"/>
                <w:b/>
              </w:rPr>
              <w:t>TOTAL</w:t>
            </w:r>
          </w:p>
        </w:tc>
        <w:tc>
          <w:tcPr>
            <w:tcW w:w="1850" w:type="dxa"/>
            <w:shd w:val="clear" w:color="auto" w:fill="auto"/>
          </w:tcPr>
          <w:p w:rsidR="00891F58" w:rsidRPr="00B93467" w:rsidRDefault="00891F58" w:rsidP="00972CC3">
            <w:pPr>
              <w:rPr>
                <w:rFonts w:ascii="Calibri" w:hAnsi="Calibri" w:cs="Calibri"/>
                <w:b/>
              </w:rPr>
            </w:pPr>
          </w:p>
        </w:tc>
      </w:tr>
    </w:tbl>
    <w:p w:rsidR="00A83219" w:rsidRDefault="00A83219" w:rsidP="00A83219">
      <w:pPr>
        <w:rPr>
          <w:rFonts w:ascii="Calibri" w:hAnsi="Calibri" w:cs="Calibri"/>
          <w:color w:val="000000"/>
        </w:rPr>
      </w:pPr>
    </w:p>
    <w:p w:rsidR="00A83219" w:rsidRDefault="00A83219" w:rsidP="00A83219">
      <w:pPr>
        <w:rPr>
          <w:rFonts w:ascii="Calibri" w:hAnsi="Calibri" w:cs="Calibri"/>
          <w:b/>
        </w:rPr>
      </w:pPr>
      <w:r w:rsidRPr="00A83219">
        <w:rPr>
          <w:rFonts w:ascii="Calibri" w:hAnsi="Calibri" w:cs="Calibri"/>
          <w:b/>
        </w:rPr>
        <w:t xml:space="preserve">Invoicing </w:t>
      </w:r>
    </w:p>
    <w:p w:rsidR="00A83219" w:rsidRPr="00A83219" w:rsidRDefault="00A83219" w:rsidP="00A83219">
      <w:pPr>
        <w:rPr>
          <w:rFonts w:ascii="Calibri" w:hAnsi="Calibri" w:cs="Calibri"/>
          <w:b/>
        </w:rPr>
      </w:pPr>
    </w:p>
    <w:p w:rsidR="00A83219" w:rsidRPr="00B93467" w:rsidRDefault="00A83219" w:rsidP="00A83219">
      <w:pPr>
        <w:rPr>
          <w:rFonts w:ascii="Calibri" w:hAnsi="Calibri" w:cs="Calibri"/>
          <w:color w:val="000000"/>
        </w:rPr>
      </w:pPr>
      <w:r w:rsidRPr="00B93467">
        <w:rPr>
          <w:rFonts w:ascii="Calibri" w:hAnsi="Calibri" w:cs="Calibri"/>
          <w:color w:val="000000"/>
        </w:rPr>
        <w:t>10% of the total project cost will be paid upon commencement of the contract and the remaining 90% made upon submission of an invoice at the following milestones:</w:t>
      </w:r>
    </w:p>
    <w:p w:rsidR="00A83219" w:rsidRPr="00B93467" w:rsidRDefault="00A83219" w:rsidP="00A83219">
      <w:pPr>
        <w:rPr>
          <w:rFonts w:ascii="Calibri" w:hAnsi="Calibri" w:cs="Calibri"/>
          <w:color w:val="000000"/>
        </w:rPr>
      </w:pPr>
    </w:p>
    <w:tbl>
      <w:tblPr>
        <w:tblW w:w="7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168"/>
      </w:tblGrid>
      <w:tr w:rsidR="00A83219" w:rsidRPr="001554D1" w:rsidTr="00955F3F">
        <w:tc>
          <w:tcPr>
            <w:tcW w:w="5807" w:type="dxa"/>
            <w:shd w:val="clear" w:color="auto" w:fill="auto"/>
          </w:tcPr>
          <w:p w:rsidR="00A83219" w:rsidRPr="00B93467" w:rsidRDefault="00A83219" w:rsidP="00955F3F">
            <w:pPr>
              <w:rPr>
                <w:rFonts w:ascii="Calibri" w:hAnsi="Calibri" w:cs="Calibri"/>
                <w:b/>
              </w:rPr>
            </w:pPr>
            <w:r w:rsidRPr="00B93467">
              <w:rPr>
                <w:rFonts w:ascii="Calibri" w:hAnsi="Calibri" w:cs="Calibri"/>
                <w:b/>
              </w:rPr>
              <w:t>Stakeholder needs analysis</w:t>
            </w:r>
          </w:p>
        </w:tc>
        <w:tc>
          <w:tcPr>
            <w:tcW w:w="2168" w:type="dxa"/>
            <w:shd w:val="clear" w:color="auto" w:fill="auto"/>
          </w:tcPr>
          <w:p w:rsidR="00A83219" w:rsidRPr="00B93467" w:rsidRDefault="00A83219" w:rsidP="00955F3F">
            <w:pPr>
              <w:rPr>
                <w:rFonts w:ascii="Calibri" w:hAnsi="Calibri" w:cs="Calibri"/>
                <w:b/>
              </w:rPr>
            </w:pPr>
            <w:r w:rsidRPr="00B93467">
              <w:rPr>
                <w:rFonts w:ascii="Calibri" w:hAnsi="Calibri" w:cs="Calibri"/>
                <w:b/>
              </w:rPr>
              <w:t>Payment</w:t>
            </w:r>
          </w:p>
        </w:tc>
      </w:tr>
      <w:tr w:rsidR="00A83219" w:rsidRPr="001554D1" w:rsidTr="00955F3F">
        <w:tc>
          <w:tcPr>
            <w:tcW w:w="5807" w:type="dxa"/>
            <w:shd w:val="clear" w:color="auto" w:fill="auto"/>
          </w:tcPr>
          <w:p w:rsidR="00A83219" w:rsidRPr="00B93467" w:rsidRDefault="00A83219" w:rsidP="00955F3F">
            <w:pPr>
              <w:rPr>
                <w:rFonts w:ascii="Calibri" w:hAnsi="Calibri" w:cs="Calibri"/>
              </w:rPr>
            </w:pPr>
            <w:r w:rsidRPr="00B93467">
              <w:rPr>
                <w:rFonts w:ascii="Calibri" w:hAnsi="Calibri" w:cs="Calibri"/>
              </w:rPr>
              <w:t>A SWOT analysis of the current provision</w:t>
            </w:r>
          </w:p>
          <w:p w:rsidR="00A83219" w:rsidRPr="00B93467" w:rsidRDefault="00A83219" w:rsidP="00955F3F">
            <w:pPr>
              <w:rPr>
                <w:rFonts w:ascii="Calibri" w:eastAsia="Calibri" w:hAnsi="Calibri" w:cs="Calibri"/>
                <w:szCs w:val="22"/>
              </w:rPr>
            </w:pPr>
          </w:p>
        </w:tc>
        <w:tc>
          <w:tcPr>
            <w:tcW w:w="2168" w:type="dxa"/>
            <w:shd w:val="clear" w:color="auto" w:fill="auto"/>
          </w:tcPr>
          <w:p w:rsidR="00A83219" w:rsidRPr="00B93467" w:rsidRDefault="00A83219" w:rsidP="00955F3F">
            <w:pPr>
              <w:rPr>
                <w:rFonts w:ascii="Calibri" w:hAnsi="Calibri" w:cs="Calibri"/>
              </w:rPr>
            </w:pPr>
            <w:r w:rsidRPr="00B93467">
              <w:rPr>
                <w:rFonts w:ascii="Calibri" w:hAnsi="Calibri" w:cs="Calibri"/>
              </w:rPr>
              <w:t>10%</w:t>
            </w:r>
          </w:p>
        </w:tc>
      </w:tr>
      <w:tr w:rsidR="00A83219" w:rsidRPr="001554D1" w:rsidTr="00955F3F">
        <w:tc>
          <w:tcPr>
            <w:tcW w:w="5807" w:type="dxa"/>
            <w:shd w:val="clear" w:color="auto" w:fill="auto"/>
          </w:tcPr>
          <w:p w:rsidR="00A83219" w:rsidRPr="00B93467" w:rsidRDefault="00A83219" w:rsidP="00955F3F">
            <w:pPr>
              <w:rPr>
                <w:rFonts w:ascii="Calibri" w:eastAsia="Calibri" w:hAnsi="Calibri" w:cs="Calibri"/>
                <w:szCs w:val="22"/>
              </w:rPr>
            </w:pPr>
            <w:r w:rsidRPr="00B93467">
              <w:rPr>
                <w:rFonts w:ascii="Calibri" w:hAnsi="Calibri" w:cs="Calibri"/>
              </w:rPr>
              <w:t>Map of existing community signposting provision (both internal and external)</w:t>
            </w:r>
          </w:p>
        </w:tc>
        <w:tc>
          <w:tcPr>
            <w:tcW w:w="2168" w:type="dxa"/>
            <w:shd w:val="clear" w:color="auto" w:fill="auto"/>
          </w:tcPr>
          <w:p w:rsidR="00A83219" w:rsidRPr="00B93467" w:rsidRDefault="00A83219" w:rsidP="00955F3F">
            <w:pPr>
              <w:rPr>
                <w:rFonts w:ascii="Calibri" w:hAnsi="Calibri" w:cs="Calibri"/>
              </w:rPr>
            </w:pPr>
            <w:r w:rsidRPr="00B93467">
              <w:rPr>
                <w:rFonts w:ascii="Calibri" w:hAnsi="Calibri" w:cs="Calibri"/>
              </w:rPr>
              <w:t>10%</w:t>
            </w:r>
          </w:p>
        </w:tc>
      </w:tr>
      <w:tr w:rsidR="00A83219" w:rsidRPr="001554D1" w:rsidTr="00955F3F">
        <w:tc>
          <w:tcPr>
            <w:tcW w:w="5807" w:type="dxa"/>
            <w:shd w:val="clear" w:color="auto" w:fill="auto"/>
          </w:tcPr>
          <w:p w:rsidR="00A83219" w:rsidRPr="00B93467" w:rsidRDefault="00A83219" w:rsidP="00955F3F">
            <w:pPr>
              <w:rPr>
                <w:rFonts w:ascii="Calibri" w:hAnsi="Calibri" w:cs="Calibri"/>
              </w:rPr>
            </w:pPr>
            <w:r w:rsidRPr="00B93467">
              <w:rPr>
                <w:rFonts w:ascii="Calibri" w:hAnsi="Calibri" w:cs="Calibri"/>
              </w:rPr>
              <w:t>Research and benchmarking to establish best practice provision of similar function in other areas</w:t>
            </w:r>
          </w:p>
        </w:tc>
        <w:tc>
          <w:tcPr>
            <w:tcW w:w="2168" w:type="dxa"/>
            <w:shd w:val="clear" w:color="auto" w:fill="auto"/>
          </w:tcPr>
          <w:p w:rsidR="00A83219" w:rsidRPr="00B93467" w:rsidRDefault="00A83219" w:rsidP="00955F3F">
            <w:pPr>
              <w:rPr>
                <w:rFonts w:ascii="Calibri" w:hAnsi="Calibri" w:cs="Calibri"/>
              </w:rPr>
            </w:pPr>
            <w:r w:rsidRPr="00B93467">
              <w:rPr>
                <w:rFonts w:ascii="Calibri" w:hAnsi="Calibri" w:cs="Calibri"/>
              </w:rPr>
              <w:t>10%</w:t>
            </w:r>
          </w:p>
        </w:tc>
      </w:tr>
      <w:tr w:rsidR="00A83219" w:rsidRPr="001554D1" w:rsidTr="00955F3F">
        <w:tc>
          <w:tcPr>
            <w:tcW w:w="5807" w:type="dxa"/>
            <w:shd w:val="clear" w:color="auto" w:fill="auto"/>
          </w:tcPr>
          <w:p w:rsidR="00A83219" w:rsidRPr="00B93467" w:rsidRDefault="00A83219" w:rsidP="00955F3F">
            <w:pPr>
              <w:rPr>
                <w:rFonts w:ascii="Calibri" w:hAnsi="Calibri" w:cs="Calibri"/>
              </w:rPr>
            </w:pPr>
            <w:r w:rsidRPr="00B93467">
              <w:rPr>
                <w:rFonts w:ascii="Calibri" w:hAnsi="Calibri" w:cs="Calibri"/>
              </w:rPr>
              <w:t>Research on emerging innovations in provision of similar functions; including format and accessibility needs</w:t>
            </w:r>
          </w:p>
          <w:p w:rsidR="00A83219" w:rsidRPr="00B93467" w:rsidRDefault="00A83219" w:rsidP="00955F3F">
            <w:pPr>
              <w:rPr>
                <w:rFonts w:ascii="Calibri" w:eastAsia="Calibri" w:hAnsi="Calibri" w:cs="Calibri"/>
                <w:szCs w:val="22"/>
              </w:rPr>
            </w:pPr>
          </w:p>
        </w:tc>
        <w:tc>
          <w:tcPr>
            <w:tcW w:w="2168" w:type="dxa"/>
            <w:shd w:val="clear" w:color="auto" w:fill="auto"/>
          </w:tcPr>
          <w:p w:rsidR="00A83219" w:rsidRPr="00B93467" w:rsidRDefault="00A83219" w:rsidP="00955F3F">
            <w:pPr>
              <w:rPr>
                <w:rFonts w:ascii="Calibri" w:hAnsi="Calibri" w:cs="Calibri"/>
              </w:rPr>
            </w:pPr>
            <w:r w:rsidRPr="00B93467">
              <w:rPr>
                <w:rFonts w:ascii="Calibri" w:hAnsi="Calibri" w:cs="Calibri"/>
              </w:rPr>
              <w:t>10%</w:t>
            </w:r>
          </w:p>
        </w:tc>
      </w:tr>
      <w:tr w:rsidR="00A83219" w:rsidRPr="001554D1" w:rsidTr="00955F3F">
        <w:trPr>
          <w:trHeight w:val="1529"/>
        </w:trPr>
        <w:tc>
          <w:tcPr>
            <w:tcW w:w="5807" w:type="dxa"/>
            <w:shd w:val="clear" w:color="auto" w:fill="auto"/>
          </w:tcPr>
          <w:p w:rsidR="00A83219" w:rsidRPr="00B93467" w:rsidRDefault="00A83219" w:rsidP="00955F3F">
            <w:pPr>
              <w:spacing w:after="120"/>
              <w:jc w:val="left"/>
              <w:rPr>
                <w:rFonts w:ascii="Calibri" w:hAnsi="Calibri" w:cs="Calibri"/>
              </w:rPr>
            </w:pPr>
            <w:r w:rsidRPr="00B93467">
              <w:rPr>
                <w:rFonts w:ascii="Calibri" w:hAnsi="Calibri" w:cs="Calibri"/>
              </w:rPr>
              <w:t xml:space="preserve">Final review report to outline the needs for community and strategic signposting in West Berkshire (including the meeting of the Council’s legal duties under the Children and Families Act) and options for the Council to provide the most effective community signposting in future. </w:t>
            </w:r>
          </w:p>
          <w:p w:rsidR="00A83219" w:rsidRPr="00B93467" w:rsidRDefault="00A83219" w:rsidP="00955F3F">
            <w:pPr>
              <w:rPr>
                <w:rFonts w:ascii="Calibri" w:hAnsi="Calibri" w:cs="Calibri"/>
              </w:rPr>
            </w:pPr>
          </w:p>
        </w:tc>
        <w:tc>
          <w:tcPr>
            <w:tcW w:w="2168" w:type="dxa"/>
            <w:shd w:val="clear" w:color="auto" w:fill="auto"/>
          </w:tcPr>
          <w:p w:rsidR="00A83219" w:rsidRPr="00B93467" w:rsidRDefault="00A83219" w:rsidP="00955F3F">
            <w:pPr>
              <w:spacing w:after="120"/>
              <w:jc w:val="left"/>
              <w:rPr>
                <w:rFonts w:ascii="Calibri" w:hAnsi="Calibri" w:cs="Calibri"/>
              </w:rPr>
            </w:pPr>
            <w:r w:rsidRPr="00B93467">
              <w:rPr>
                <w:rFonts w:ascii="Calibri" w:hAnsi="Calibri" w:cs="Calibri"/>
              </w:rPr>
              <w:t>50%</w:t>
            </w:r>
          </w:p>
        </w:tc>
      </w:tr>
    </w:tbl>
    <w:p w:rsidR="00426086" w:rsidRPr="002A510A" w:rsidRDefault="00426086" w:rsidP="003A4516">
      <w:pPr>
        <w:rPr>
          <w:b/>
          <w:i/>
        </w:rPr>
      </w:pPr>
    </w:p>
    <w:sectPr w:rsidR="00426086" w:rsidRPr="002A510A" w:rsidSect="0041310E">
      <w:footerReference w:type="default" r:id="rId7"/>
      <w:footerReference w:type="first" r:id="rId8"/>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2C" w:rsidRDefault="00EE5F2C">
      <w:r>
        <w:separator/>
      </w:r>
    </w:p>
  </w:endnote>
  <w:endnote w:type="continuationSeparator" w:id="0">
    <w:p w:rsidR="00EE5F2C" w:rsidRDefault="00EE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6345"/>
      <w:gridCol w:w="3365"/>
    </w:tblGrid>
    <w:tr w:rsidR="00B30B1A">
      <w:tc>
        <w:tcPr>
          <w:tcW w:w="6345" w:type="dxa"/>
        </w:tcPr>
        <w:p w:rsidR="00B30B1A" w:rsidRDefault="00A40600" w:rsidP="003A4516">
          <w:pPr>
            <w:pStyle w:val="Footer"/>
            <w:rPr>
              <w:sz w:val="16"/>
            </w:rPr>
          </w:pPr>
          <w:r>
            <w:rPr>
              <w:sz w:val="16"/>
            </w:rPr>
            <w:fldChar w:fldCharType="begin"/>
          </w:r>
          <w:r w:rsidR="00B30B1A">
            <w:rPr>
              <w:sz w:val="16"/>
            </w:rPr>
            <w:instrText xml:space="preserve"> DOCPROPERTY DocOwnerInitials \* MERGEFORMAT </w:instrText>
          </w:r>
          <w:r>
            <w:rPr>
              <w:sz w:val="16"/>
            </w:rPr>
            <w:fldChar w:fldCharType="separate"/>
          </w:r>
          <w:r w:rsidR="00A552D2">
            <w:rPr>
              <w:sz w:val="16"/>
            </w:rPr>
            <w:t>MC</w:t>
          </w:r>
          <w:r>
            <w:rPr>
              <w:sz w:val="16"/>
            </w:rPr>
            <w:fldChar w:fldCharType="end"/>
          </w:r>
          <w:r w:rsidR="00B30B1A">
            <w:rPr>
              <w:sz w:val="16"/>
            </w:rPr>
            <w:t xml:space="preserve"> / </w:t>
          </w:r>
          <w:r>
            <w:rPr>
              <w:sz w:val="16"/>
            </w:rPr>
            <w:fldChar w:fldCharType="begin"/>
          </w:r>
          <w:r w:rsidR="00B30B1A">
            <w:rPr>
              <w:sz w:val="16"/>
            </w:rPr>
            <w:instrText xml:space="preserve"> DOCPROPERTY MatterRef \* MERGEFORMAT </w:instrText>
          </w:r>
          <w:r>
            <w:rPr>
              <w:sz w:val="16"/>
            </w:rPr>
            <w:fldChar w:fldCharType="separate"/>
          </w:r>
          <w:r w:rsidR="00A552D2">
            <w:rPr>
              <w:sz w:val="16"/>
            </w:rPr>
            <w:t>008037</w:t>
          </w:r>
          <w:r>
            <w:rPr>
              <w:sz w:val="16"/>
            </w:rPr>
            <w:fldChar w:fldCharType="end"/>
          </w:r>
        </w:p>
      </w:tc>
      <w:tc>
        <w:tcPr>
          <w:tcW w:w="3365" w:type="dxa"/>
        </w:tcPr>
        <w:p w:rsidR="00B30B1A" w:rsidRDefault="00B30B1A">
          <w:pPr>
            <w:pStyle w:val="Footer"/>
            <w:jc w:val="right"/>
            <w:rPr>
              <w:sz w:val="16"/>
            </w:rPr>
          </w:pPr>
          <w:r>
            <w:rPr>
              <w:sz w:val="16"/>
            </w:rPr>
            <w:t xml:space="preserve">Page </w:t>
          </w:r>
          <w:r w:rsidR="00A40600">
            <w:rPr>
              <w:rStyle w:val="PageNumber"/>
              <w:sz w:val="16"/>
            </w:rPr>
            <w:fldChar w:fldCharType="begin"/>
          </w:r>
          <w:r>
            <w:rPr>
              <w:rStyle w:val="PageNumber"/>
              <w:sz w:val="16"/>
            </w:rPr>
            <w:instrText xml:space="preserve"> PAGE </w:instrText>
          </w:r>
          <w:r w:rsidR="00A40600">
            <w:rPr>
              <w:rStyle w:val="PageNumber"/>
              <w:sz w:val="16"/>
            </w:rPr>
            <w:fldChar w:fldCharType="separate"/>
          </w:r>
          <w:r w:rsidR="000769FE">
            <w:rPr>
              <w:rStyle w:val="PageNumber"/>
              <w:noProof/>
              <w:sz w:val="16"/>
            </w:rPr>
            <w:t>1</w:t>
          </w:r>
          <w:r w:rsidR="00A40600">
            <w:rPr>
              <w:rStyle w:val="PageNumber"/>
              <w:sz w:val="16"/>
            </w:rPr>
            <w:fldChar w:fldCharType="end"/>
          </w:r>
        </w:p>
      </w:tc>
    </w:tr>
  </w:tbl>
  <w:p w:rsidR="00B30B1A" w:rsidRDefault="00B30B1A">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B1A" w:rsidRDefault="00A40600">
    <w:pPr>
      <w:pStyle w:val="Footer"/>
    </w:pPr>
    <w:r>
      <w:rPr>
        <w:sz w:val="16"/>
      </w:rPr>
      <w:fldChar w:fldCharType="begin"/>
    </w:r>
    <w:r w:rsidR="00B30B1A">
      <w:rPr>
        <w:sz w:val="16"/>
      </w:rPr>
      <w:instrText xml:space="preserve"> DOCPROPERTY MatterRef \* MERGEFORMAT </w:instrText>
    </w:r>
    <w:r>
      <w:rPr>
        <w:sz w:val="16"/>
      </w:rPr>
      <w:fldChar w:fldCharType="separate"/>
    </w:r>
    <w:r w:rsidR="00A552D2">
      <w:rPr>
        <w:sz w:val="16"/>
      </w:rPr>
      <w:t>008037</w:t>
    </w:r>
    <w:r>
      <w:rPr>
        <w:sz w:val="16"/>
      </w:rPr>
      <w:fldChar w:fldCharType="end"/>
    </w:r>
    <w:r w:rsidR="00B30B1A">
      <w:rPr>
        <w:sz w:val="16"/>
      </w:rPr>
      <w:t xml:space="preserve"> / </w:t>
    </w:r>
    <w:r w:rsidR="00A552D2">
      <w:rPr>
        <w:sz w:val="16"/>
      </w:rPr>
      <w:fldChar w:fldCharType="begin"/>
    </w:r>
    <w:r w:rsidR="00A552D2">
      <w:rPr>
        <w:sz w:val="16"/>
      </w:rPr>
      <w:instrText xml:space="preserve"> DOCPROPERTY DocNumber \* MERGEFORMAT </w:instrText>
    </w:r>
    <w:r w:rsidR="00A552D2">
      <w:rPr>
        <w:sz w:val="16"/>
      </w:rPr>
      <w:fldChar w:fldCharType="separate"/>
    </w:r>
    <w:r w:rsidR="00A552D2">
      <w:rPr>
        <w:sz w:val="16"/>
      </w:rPr>
      <w:t>00691897</w:t>
    </w:r>
    <w:r w:rsidR="00A552D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2C" w:rsidRDefault="00EE5F2C">
      <w:r>
        <w:separator/>
      </w:r>
    </w:p>
  </w:footnote>
  <w:footnote w:type="continuationSeparator" w:id="0">
    <w:p w:rsidR="00EE5F2C" w:rsidRDefault="00EE5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docVars>
    <w:docVar w:name="lwLastOpened" w:val="08/10/2021 11:27"/>
  </w:docVars>
  <w:rsids>
    <w:rsidRoot w:val="00EE5F2C"/>
    <w:rsid w:val="000769FE"/>
    <w:rsid w:val="000B75A2"/>
    <w:rsid w:val="001432D2"/>
    <w:rsid w:val="00205BD2"/>
    <w:rsid w:val="002A510A"/>
    <w:rsid w:val="003727ED"/>
    <w:rsid w:val="003A4516"/>
    <w:rsid w:val="0041310E"/>
    <w:rsid w:val="00426086"/>
    <w:rsid w:val="004C2CE3"/>
    <w:rsid w:val="00891F58"/>
    <w:rsid w:val="00A40600"/>
    <w:rsid w:val="00A429A5"/>
    <w:rsid w:val="00A552D2"/>
    <w:rsid w:val="00A83219"/>
    <w:rsid w:val="00B24AE4"/>
    <w:rsid w:val="00B30B1A"/>
    <w:rsid w:val="00B602E2"/>
    <w:rsid w:val="00B83155"/>
    <w:rsid w:val="00C620A9"/>
    <w:rsid w:val="00EE5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86789D-1021-4DDD-B8D6-D958877F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0E"/>
    <w:pPr>
      <w:overflowPunct w:val="0"/>
      <w:autoSpaceDE w:val="0"/>
      <w:autoSpaceDN w:val="0"/>
      <w:adjustRightInd w:val="0"/>
      <w:jc w:val="both"/>
      <w:textAlignment w:val="baseline"/>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310E"/>
    <w:pPr>
      <w:tabs>
        <w:tab w:val="center" w:pos="4153"/>
        <w:tab w:val="right" w:pos="8306"/>
      </w:tabs>
    </w:pPr>
  </w:style>
  <w:style w:type="paragraph" w:styleId="Footer">
    <w:name w:val="footer"/>
    <w:basedOn w:val="Normal"/>
    <w:rsid w:val="0041310E"/>
    <w:pPr>
      <w:tabs>
        <w:tab w:val="center" w:pos="4153"/>
        <w:tab w:val="right" w:pos="8306"/>
      </w:tabs>
    </w:pPr>
  </w:style>
  <w:style w:type="character" w:styleId="PageNumber">
    <w:name w:val="page number"/>
    <w:basedOn w:val="DefaultParagraphFont"/>
    <w:rsid w:val="00413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Majella Caulfield</dc:creator>
  <cp:lastModifiedBy>Sam Shepherd</cp:lastModifiedBy>
  <cp:revision>2</cp:revision>
  <cp:lastPrinted>1998-03-18T12:02:00Z</cp:lastPrinted>
  <dcterms:created xsi:type="dcterms:W3CDTF">2022-01-31T12:33:00Z</dcterms:created>
  <dcterms:modified xsi:type="dcterms:W3CDTF">2022-01-31T12:33:00Z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00691897</vt:lpwstr>
  </property>
  <property fmtid="{D5CDD505-2E9C-101B-9397-08002B2CF9AE}" pid="3" name="MatterRef">
    <vt:lpwstr>008037</vt:lpwstr>
  </property>
  <property fmtid="{D5CDD505-2E9C-101B-9397-08002B2CF9AE}" pid="4" name="DocRecipient">
    <vt:lpwstr/>
  </property>
  <property fmtid="{D5CDD505-2E9C-101B-9397-08002B2CF9AE}" pid="5" name="DocContact">
    <vt:lpwstr/>
  </property>
  <property fmtid="{D5CDD505-2E9C-101B-9397-08002B2CF9AE}" pid="6" name="DocDescription">
    <vt:lpwstr/>
  </property>
  <property fmtid="{D5CDD505-2E9C-101B-9397-08002B2CF9AE}" pid="7" name="DocType">
    <vt:lpwstr>Document</vt:lpwstr>
  </property>
  <property fmtid="{D5CDD505-2E9C-101B-9397-08002B2CF9AE}" pid="8" name="DocTemplate">
    <vt:lpwstr>Standard Document 2007</vt:lpwstr>
  </property>
  <property fmtid="{D5CDD505-2E9C-101B-9397-08002B2CF9AE}" pid="9" name="DocCreatedBy">
    <vt:lpwstr>MCAULFIELD</vt:lpwstr>
  </property>
  <property fmtid="{D5CDD505-2E9C-101B-9397-08002B2CF9AE}" pid="10" name="DocOwnerId">
    <vt:lpwstr>MCAULFIELD</vt:lpwstr>
  </property>
  <property fmtid="{D5CDD505-2E9C-101B-9397-08002B2CF9AE}" pid="11" name="DocDateSent">
    <vt:lpwstr>8 October 2021</vt:lpwstr>
  </property>
  <property fmtid="{D5CDD505-2E9C-101B-9397-08002B2CF9AE}" pid="12" name="MatterType">
    <vt:lpwstr>Client Matter</vt:lpwstr>
  </property>
  <property fmtid="{D5CDD505-2E9C-101B-9397-08002B2CF9AE}" pid="13" name="MatterClass">
    <vt:lpwstr>Contracts</vt:lpwstr>
  </property>
  <property fmtid="{D5CDD505-2E9C-101B-9397-08002B2CF9AE}" pid="14" name="MatterName">
    <vt:lpwstr>Property Management Service Procurement </vt:lpwstr>
  </property>
  <property fmtid="{D5CDD505-2E9C-101B-9397-08002B2CF9AE}" pid="15" name="Client">
    <vt:lpwstr>Finance &amp; Property</vt:lpwstr>
  </property>
  <property fmtid="{D5CDD505-2E9C-101B-9397-08002B2CF9AE}" pid="16" name="Account">
    <vt:lpwstr>Property Services</vt:lpwstr>
  </property>
  <property fmtid="{D5CDD505-2E9C-101B-9397-08002B2CF9AE}" pid="17" name="DocOwnerName">
    <vt:lpwstr>Majella Caulfield</vt:lpwstr>
  </property>
  <property fmtid="{D5CDD505-2E9C-101B-9397-08002B2CF9AE}" pid="18" name="DocOwnerEmail">
    <vt:lpwstr>majella.caulfield@westberks.gov.uk</vt:lpwstr>
  </property>
  <property fmtid="{D5CDD505-2E9C-101B-9397-08002B2CF9AE}" pid="19" name="DocOwnerTelephone">
    <vt:lpwstr>01635 519636</vt:lpwstr>
  </property>
  <property fmtid="{D5CDD505-2E9C-101B-9397-08002B2CF9AE}" pid="20" name="DocOwnerFax">
    <vt:lpwstr/>
  </property>
  <property fmtid="{D5CDD505-2E9C-101B-9397-08002B2CF9AE}" pid="21" name="DocOwnerLocation">
    <vt:lpwstr>2636</vt:lpwstr>
  </property>
  <property fmtid="{D5CDD505-2E9C-101B-9397-08002B2CF9AE}" pid="22" name="DocOwnerRole">
    <vt:lpwstr>Solicitor Governance and Environment</vt:lpwstr>
  </property>
  <property fmtid="{D5CDD505-2E9C-101B-9397-08002B2CF9AE}" pid="23" name="DocOwnerInitials">
    <vt:lpwstr>MC</vt:lpwstr>
  </property>
  <property fmtid="{D5CDD505-2E9C-101B-9397-08002B2CF9AE}" pid="24" name="DocCreatorName">
    <vt:lpwstr>Majella Caulfield</vt:lpwstr>
  </property>
  <property fmtid="{D5CDD505-2E9C-101B-9397-08002B2CF9AE}" pid="25" name="DocCreatorEmail">
    <vt:lpwstr>majella.caulfield@westberks.gov.uk</vt:lpwstr>
  </property>
  <property fmtid="{D5CDD505-2E9C-101B-9397-08002B2CF9AE}" pid="26" name="DocCreatorTelephone">
    <vt:lpwstr>01635 519636</vt:lpwstr>
  </property>
  <property fmtid="{D5CDD505-2E9C-101B-9397-08002B2CF9AE}" pid="27" name="DocCreatorFax">
    <vt:lpwstr/>
  </property>
  <property fmtid="{D5CDD505-2E9C-101B-9397-08002B2CF9AE}" pid="28" name="DocCreatorLocation">
    <vt:lpwstr>2636</vt:lpwstr>
  </property>
  <property fmtid="{D5CDD505-2E9C-101B-9397-08002B2CF9AE}" pid="29" name="DocCreatorRole">
    <vt:lpwstr>Solicitor Governance and Environment</vt:lpwstr>
  </property>
  <property fmtid="{D5CDD505-2E9C-101B-9397-08002B2CF9AE}" pid="30" name="DocCreatorInitials">
    <vt:lpwstr>MC</vt:lpwstr>
  </property>
  <property fmtid="{D5CDD505-2E9C-101B-9397-08002B2CF9AE}" pid="31" name="MatterOpenFrom">
    <vt:lpwstr>06/10/2021</vt:lpwstr>
  </property>
  <property fmtid="{D5CDD505-2E9C-101B-9397-08002B2CF9AE}" pid="32" name="DocVersion">
    <vt:lpwstr/>
  </property>
</Properties>
</file>