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71E1E" w14:textId="77777777" w:rsidR="009B1179" w:rsidRDefault="009B1179"/>
    <w:p w14:paraId="61DB3346" w14:textId="77777777" w:rsidR="0007597B" w:rsidRPr="00C9181D" w:rsidRDefault="0007597B" w:rsidP="00C50310">
      <w:pPr>
        <w:jc w:val="center"/>
        <w:rPr>
          <w:rFonts w:ascii="Arial" w:hAnsi="Arial" w:cs="Arial"/>
          <w:b/>
          <w:color w:val="0070C0"/>
          <w:sz w:val="36"/>
          <w:szCs w:val="36"/>
        </w:rPr>
      </w:pPr>
      <w:r w:rsidRPr="00C9181D">
        <w:rPr>
          <w:rFonts w:ascii="Arial" w:hAnsi="Arial" w:cs="Arial"/>
          <w:b/>
          <w:color w:val="0070C0"/>
          <w:sz w:val="36"/>
          <w:szCs w:val="36"/>
        </w:rPr>
        <w:t>AHDB</w:t>
      </w:r>
      <w:r w:rsidR="006547BD">
        <w:rPr>
          <w:rFonts w:ascii="Arial" w:hAnsi="Arial" w:cs="Arial"/>
          <w:b/>
          <w:color w:val="0070C0"/>
          <w:sz w:val="36"/>
          <w:szCs w:val="36"/>
        </w:rPr>
        <w:t xml:space="preserve"> TEMPLATE</w:t>
      </w:r>
    </w:p>
    <w:p w14:paraId="314ADE1F" w14:textId="77777777" w:rsidR="00C50310" w:rsidRDefault="003A5BA8" w:rsidP="00C50310">
      <w:pPr>
        <w:jc w:val="center"/>
        <w:rPr>
          <w:rFonts w:ascii="Arial" w:hAnsi="Arial" w:cs="Arial"/>
          <w:b/>
          <w:color w:val="0070C0"/>
          <w:sz w:val="36"/>
          <w:szCs w:val="36"/>
        </w:rPr>
      </w:pPr>
      <w:r>
        <w:rPr>
          <w:rFonts w:ascii="Arial" w:hAnsi="Arial" w:cs="Arial"/>
          <w:b/>
          <w:color w:val="0070C0"/>
          <w:sz w:val="36"/>
          <w:szCs w:val="36"/>
        </w:rPr>
        <w:t>REQUEST FOR QUOTE (RFQ)</w:t>
      </w:r>
    </w:p>
    <w:tbl>
      <w:tblPr>
        <w:tblStyle w:val="TableGrid"/>
        <w:tblW w:w="0" w:type="auto"/>
        <w:tblInd w:w="108" w:type="dxa"/>
        <w:tblLook w:val="04A0" w:firstRow="1" w:lastRow="0" w:firstColumn="1" w:lastColumn="0" w:noHBand="0" w:noVBand="1"/>
      </w:tblPr>
      <w:tblGrid>
        <w:gridCol w:w="3083"/>
        <w:gridCol w:w="5825"/>
      </w:tblGrid>
      <w:tr w:rsidR="00875AEC" w:rsidRPr="001A3612" w14:paraId="67AB4FCB" w14:textId="77777777" w:rsidTr="003A5BA8">
        <w:trPr>
          <w:trHeight w:val="364"/>
        </w:trPr>
        <w:tc>
          <w:tcPr>
            <w:tcW w:w="3083" w:type="dxa"/>
            <w:vAlign w:val="center"/>
          </w:tcPr>
          <w:p w14:paraId="61563E8F" w14:textId="77777777" w:rsidR="00875AEC" w:rsidRPr="001A3612" w:rsidRDefault="003A5BA8" w:rsidP="005C4512">
            <w:pPr>
              <w:rPr>
                <w:rFonts w:ascii="Arial" w:hAnsi="Arial" w:cs="Arial"/>
                <w:b/>
                <w:color w:val="0070C0"/>
                <w:sz w:val="24"/>
                <w:szCs w:val="24"/>
              </w:rPr>
            </w:pPr>
            <w:r>
              <w:rPr>
                <w:rFonts w:ascii="Arial" w:hAnsi="Arial" w:cs="Arial"/>
                <w:b/>
                <w:color w:val="0070C0"/>
                <w:sz w:val="24"/>
                <w:szCs w:val="24"/>
              </w:rPr>
              <w:t>Contract</w:t>
            </w:r>
            <w:r w:rsidR="00875AEC">
              <w:rPr>
                <w:rFonts w:ascii="Arial" w:hAnsi="Arial" w:cs="Arial"/>
                <w:b/>
                <w:color w:val="0070C0"/>
                <w:sz w:val="24"/>
                <w:szCs w:val="24"/>
              </w:rPr>
              <w:t xml:space="preserve"> Title:</w:t>
            </w:r>
          </w:p>
        </w:tc>
        <w:tc>
          <w:tcPr>
            <w:tcW w:w="5825" w:type="dxa"/>
            <w:vAlign w:val="center"/>
          </w:tcPr>
          <w:p w14:paraId="44AACDF0" w14:textId="5079332C" w:rsidR="00875AEC" w:rsidRPr="00140A22" w:rsidRDefault="00140A22" w:rsidP="00140A22">
            <w:pPr>
              <w:ind w:right="41"/>
              <w:rPr>
                <w:b/>
                <w:bCs/>
                <w:sz w:val="23"/>
              </w:rPr>
            </w:pPr>
            <w:r>
              <w:rPr>
                <w:b/>
              </w:rPr>
              <w:t>Cereals and Oilseeds Farm and Trade Assurance processes - an independent study into how assurance works and why supply chains require it.</w:t>
            </w:r>
          </w:p>
        </w:tc>
      </w:tr>
      <w:tr w:rsidR="00875AEC" w:rsidRPr="001A3612" w14:paraId="0414455B" w14:textId="77777777" w:rsidTr="003A5BA8">
        <w:trPr>
          <w:trHeight w:val="364"/>
        </w:trPr>
        <w:tc>
          <w:tcPr>
            <w:tcW w:w="3083" w:type="dxa"/>
            <w:vAlign w:val="center"/>
          </w:tcPr>
          <w:p w14:paraId="32211642" w14:textId="77777777" w:rsidR="00875AEC" w:rsidRPr="001A3612" w:rsidRDefault="003A5BA8" w:rsidP="005C4512">
            <w:pPr>
              <w:rPr>
                <w:rFonts w:ascii="Arial" w:hAnsi="Arial" w:cs="Arial"/>
                <w:b/>
                <w:color w:val="0070C0"/>
                <w:sz w:val="24"/>
                <w:szCs w:val="24"/>
              </w:rPr>
            </w:pPr>
            <w:r>
              <w:rPr>
                <w:rFonts w:ascii="Arial" w:hAnsi="Arial" w:cs="Arial"/>
                <w:b/>
                <w:color w:val="0070C0"/>
                <w:sz w:val="24"/>
                <w:szCs w:val="24"/>
              </w:rPr>
              <w:t>Contract</w:t>
            </w:r>
            <w:r w:rsidR="00875AEC">
              <w:rPr>
                <w:rFonts w:ascii="Arial" w:hAnsi="Arial" w:cs="Arial"/>
                <w:b/>
                <w:color w:val="0070C0"/>
                <w:sz w:val="24"/>
                <w:szCs w:val="24"/>
              </w:rPr>
              <w:t xml:space="preserve"> Reference:</w:t>
            </w:r>
          </w:p>
        </w:tc>
        <w:tc>
          <w:tcPr>
            <w:tcW w:w="5825" w:type="dxa"/>
            <w:vAlign w:val="center"/>
          </w:tcPr>
          <w:p w14:paraId="3A5FB0F4" w14:textId="50E6ACCF" w:rsidR="00875AEC" w:rsidRPr="001A3612" w:rsidRDefault="003C3E66" w:rsidP="005C4512">
            <w:pPr>
              <w:rPr>
                <w:rFonts w:ascii="Arial" w:hAnsi="Arial" w:cs="Arial"/>
                <w:b/>
                <w:color w:val="0070C0"/>
                <w:sz w:val="24"/>
                <w:szCs w:val="24"/>
              </w:rPr>
            </w:pPr>
            <w:r>
              <w:rPr>
                <w:rFonts w:ascii="Arial" w:hAnsi="Arial" w:cs="Arial"/>
                <w:b/>
                <w:color w:val="0070C0"/>
                <w:sz w:val="24"/>
                <w:szCs w:val="24"/>
              </w:rPr>
              <w:t>2023-672</w:t>
            </w:r>
            <w:r w:rsidR="00FA6670">
              <w:rPr>
                <w:rFonts w:ascii="Arial" w:hAnsi="Arial" w:cs="Arial"/>
                <w:b/>
                <w:color w:val="0070C0"/>
                <w:sz w:val="24"/>
                <w:szCs w:val="24"/>
              </w:rPr>
              <w:t xml:space="preserve"> </w:t>
            </w:r>
            <w:r w:rsidR="00FA6670">
              <w:rPr>
                <w:rFonts w:ascii="Arial" w:hAnsi="Arial" w:cs="Arial"/>
              </w:rPr>
              <w:t>Cereals Assurance Evidence Gathering Submission</w:t>
            </w:r>
          </w:p>
        </w:tc>
      </w:tr>
      <w:tr w:rsidR="005C4512" w:rsidRPr="001A3612" w14:paraId="0693BED4" w14:textId="77777777" w:rsidTr="003A5BA8">
        <w:trPr>
          <w:trHeight w:val="364"/>
        </w:trPr>
        <w:tc>
          <w:tcPr>
            <w:tcW w:w="3083" w:type="dxa"/>
            <w:vAlign w:val="center"/>
          </w:tcPr>
          <w:p w14:paraId="18B556D4" w14:textId="77777777" w:rsidR="00C50310" w:rsidRPr="001A3612" w:rsidRDefault="0007597B" w:rsidP="003A5BA8">
            <w:pPr>
              <w:rPr>
                <w:rFonts w:ascii="Arial" w:hAnsi="Arial" w:cs="Arial"/>
                <w:b/>
                <w:color w:val="0070C0"/>
                <w:sz w:val="24"/>
                <w:szCs w:val="24"/>
              </w:rPr>
            </w:pPr>
            <w:r w:rsidRPr="001A3612">
              <w:rPr>
                <w:rFonts w:ascii="Arial" w:hAnsi="Arial" w:cs="Arial"/>
                <w:b/>
                <w:color w:val="0070C0"/>
                <w:sz w:val="24"/>
                <w:szCs w:val="24"/>
              </w:rPr>
              <w:t>Cont</w:t>
            </w:r>
            <w:r w:rsidR="004A41E8" w:rsidRPr="001A3612">
              <w:rPr>
                <w:rFonts w:ascii="Arial" w:hAnsi="Arial" w:cs="Arial"/>
                <w:b/>
                <w:color w:val="0070C0"/>
                <w:sz w:val="24"/>
                <w:szCs w:val="24"/>
              </w:rPr>
              <w:t>r</w:t>
            </w:r>
            <w:r w:rsidRPr="001A3612">
              <w:rPr>
                <w:rFonts w:ascii="Arial" w:hAnsi="Arial" w:cs="Arial"/>
                <w:b/>
                <w:color w:val="0070C0"/>
                <w:sz w:val="24"/>
                <w:szCs w:val="24"/>
              </w:rPr>
              <w:t>act</w:t>
            </w:r>
            <w:r w:rsidR="00AE773E" w:rsidRPr="001A3612">
              <w:rPr>
                <w:rFonts w:ascii="Arial" w:hAnsi="Arial" w:cs="Arial"/>
                <w:b/>
                <w:color w:val="0070C0"/>
                <w:sz w:val="24"/>
                <w:szCs w:val="24"/>
              </w:rPr>
              <w:t xml:space="preserve"> </w:t>
            </w:r>
            <w:r w:rsidR="003A5BA8">
              <w:rPr>
                <w:rFonts w:ascii="Arial" w:hAnsi="Arial" w:cs="Arial"/>
                <w:b/>
                <w:color w:val="0070C0"/>
                <w:sz w:val="24"/>
                <w:szCs w:val="24"/>
              </w:rPr>
              <w:t>period</w:t>
            </w:r>
            <w:r w:rsidRPr="001A3612">
              <w:rPr>
                <w:rFonts w:ascii="Arial" w:hAnsi="Arial" w:cs="Arial"/>
                <w:b/>
                <w:color w:val="0070C0"/>
                <w:sz w:val="24"/>
                <w:szCs w:val="24"/>
              </w:rPr>
              <w:t>:</w:t>
            </w:r>
          </w:p>
        </w:tc>
        <w:tc>
          <w:tcPr>
            <w:tcW w:w="5825" w:type="dxa"/>
            <w:vAlign w:val="center"/>
          </w:tcPr>
          <w:p w14:paraId="7FD0C147" w14:textId="56C55AD8" w:rsidR="00C50310" w:rsidRPr="001A3612" w:rsidRDefault="00140A22" w:rsidP="005C4512">
            <w:pPr>
              <w:rPr>
                <w:rFonts w:ascii="Arial" w:hAnsi="Arial" w:cs="Arial"/>
                <w:b/>
                <w:color w:val="0070C0"/>
                <w:sz w:val="24"/>
                <w:szCs w:val="24"/>
              </w:rPr>
            </w:pPr>
            <w:r>
              <w:rPr>
                <w:rFonts w:ascii="Arial" w:hAnsi="Arial" w:cs="Arial"/>
                <w:b/>
                <w:color w:val="0070C0"/>
                <w:sz w:val="24"/>
                <w:szCs w:val="24"/>
              </w:rPr>
              <w:t>Apr</w:t>
            </w:r>
            <w:r w:rsidR="007B067F">
              <w:rPr>
                <w:rFonts w:ascii="Arial" w:hAnsi="Arial" w:cs="Arial"/>
                <w:b/>
                <w:color w:val="0070C0"/>
                <w:sz w:val="24"/>
                <w:szCs w:val="24"/>
              </w:rPr>
              <w:t>il</w:t>
            </w:r>
            <w:r w:rsidR="00541FD5">
              <w:rPr>
                <w:rFonts w:ascii="Arial" w:hAnsi="Arial" w:cs="Arial"/>
                <w:b/>
                <w:color w:val="0070C0"/>
                <w:sz w:val="24"/>
                <w:szCs w:val="24"/>
              </w:rPr>
              <w:t xml:space="preserve"> 1 – July 31</w:t>
            </w:r>
            <w:r>
              <w:rPr>
                <w:rFonts w:ascii="Arial" w:hAnsi="Arial" w:cs="Arial"/>
                <w:b/>
                <w:color w:val="0070C0"/>
                <w:sz w:val="24"/>
                <w:szCs w:val="24"/>
              </w:rPr>
              <w:t xml:space="preserve"> 2024</w:t>
            </w:r>
          </w:p>
        </w:tc>
      </w:tr>
      <w:tr w:rsidR="005C4512" w:rsidRPr="001A3612" w14:paraId="68EBF6A1" w14:textId="77777777" w:rsidTr="003A5BA8">
        <w:trPr>
          <w:trHeight w:val="364"/>
        </w:trPr>
        <w:tc>
          <w:tcPr>
            <w:tcW w:w="3083" w:type="dxa"/>
            <w:vAlign w:val="center"/>
          </w:tcPr>
          <w:p w14:paraId="6D0C6C35" w14:textId="77777777" w:rsidR="00C50310" w:rsidRPr="001A3612" w:rsidRDefault="0007597B" w:rsidP="005C4512">
            <w:pPr>
              <w:rPr>
                <w:rFonts w:ascii="Arial" w:hAnsi="Arial" w:cs="Arial"/>
                <w:b/>
                <w:color w:val="0070C0"/>
                <w:sz w:val="24"/>
                <w:szCs w:val="24"/>
              </w:rPr>
            </w:pPr>
            <w:r w:rsidRPr="001A3612">
              <w:rPr>
                <w:rFonts w:ascii="Arial" w:hAnsi="Arial" w:cs="Arial"/>
                <w:b/>
                <w:color w:val="0070C0"/>
                <w:sz w:val="24"/>
                <w:szCs w:val="24"/>
              </w:rPr>
              <w:t>Date:</w:t>
            </w:r>
          </w:p>
        </w:tc>
        <w:tc>
          <w:tcPr>
            <w:tcW w:w="5825" w:type="dxa"/>
            <w:vAlign w:val="center"/>
          </w:tcPr>
          <w:p w14:paraId="10A01901" w14:textId="31B374DE" w:rsidR="00C50310" w:rsidRPr="001A3612" w:rsidRDefault="007B067F" w:rsidP="005C4512">
            <w:pPr>
              <w:rPr>
                <w:rFonts w:ascii="Arial" w:hAnsi="Arial" w:cs="Arial"/>
                <w:b/>
                <w:color w:val="0070C0"/>
                <w:sz w:val="24"/>
                <w:szCs w:val="24"/>
              </w:rPr>
            </w:pPr>
            <w:r>
              <w:rPr>
                <w:rFonts w:ascii="Arial" w:hAnsi="Arial" w:cs="Arial"/>
                <w:b/>
                <w:color w:val="0070C0"/>
                <w:sz w:val="24"/>
                <w:szCs w:val="24"/>
              </w:rPr>
              <w:t>31/01/2024</w:t>
            </w:r>
          </w:p>
        </w:tc>
      </w:tr>
    </w:tbl>
    <w:p w14:paraId="186BD350" w14:textId="77777777" w:rsidR="00654681" w:rsidRPr="00654681" w:rsidRDefault="00654681" w:rsidP="00654681">
      <w:pPr>
        <w:spacing w:after="0" w:line="240" w:lineRule="auto"/>
        <w:jc w:val="both"/>
        <w:rPr>
          <w:rFonts w:ascii="Arial" w:hAnsi="Arial" w:cs="Arial"/>
          <w:color w:val="0070C0"/>
        </w:rPr>
      </w:pPr>
    </w:p>
    <w:p w14:paraId="7B9672E2" w14:textId="77777777" w:rsidR="00C50310" w:rsidRPr="005C4512" w:rsidRDefault="00C50310" w:rsidP="005C4512">
      <w:pPr>
        <w:pStyle w:val="ListParagraph"/>
        <w:numPr>
          <w:ilvl w:val="0"/>
          <w:numId w:val="1"/>
        </w:numPr>
        <w:ind w:left="0" w:hanging="426"/>
        <w:rPr>
          <w:rFonts w:ascii="Arial" w:hAnsi="Arial" w:cs="Arial"/>
          <w:b/>
          <w:color w:val="0070C0"/>
          <w:sz w:val="24"/>
          <w:szCs w:val="24"/>
        </w:rPr>
      </w:pPr>
      <w:r w:rsidRPr="005C4512">
        <w:rPr>
          <w:rFonts w:ascii="Arial" w:hAnsi="Arial" w:cs="Arial"/>
          <w:b/>
          <w:color w:val="0070C0"/>
          <w:sz w:val="24"/>
          <w:szCs w:val="24"/>
        </w:rPr>
        <w:t>Introduction</w:t>
      </w:r>
    </w:p>
    <w:p w14:paraId="55C24B9A" w14:textId="1EA50B9B" w:rsidR="002F43F7" w:rsidRPr="002F43F7" w:rsidRDefault="008F6C5E" w:rsidP="00F3726F">
      <w:pPr>
        <w:jc w:val="both"/>
        <w:rPr>
          <w:rFonts w:ascii="Arial" w:hAnsi="Arial" w:cs="Arial"/>
        </w:rPr>
      </w:pPr>
      <w:r w:rsidRPr="002F43F7">
        <w:rPr>
          <w:rFonts w:ascii="Arial" w:hAnsi="Arial" w:cs="Arial"/>
        </w:rPr>
        <w:t xml:space="preserve">This document is an invitation to </w:t>
      </w:r>
      <w:r w:rsidR="003C3E66">
        <w:rPr>
          <w:rFonts w:ascii="Arial" w:hAnsi="Arial" w:cs="Arial"/>
        </w:rPr>
        <w:t xml:space="preserve">quote for the </w:t>
      </w:r>
      <w:r w:rsidRPr="00EE5F5C">
        <w:rPr>
          <w:rFonts w:ascii="Arial" w:hAnsi="Arial" w:cs="Arial"/>
        </w:rPr>
        <w:t>services</w:t>
      </w:r>
      <w:r w:rsidR="003C3E66" w:rsidRPr="00EE5F5C">
        <w:rPr>
          <w:rFonts w:ascii="Arial" w:hAnsi="Arial" w:cs="Arial"/>
        </w:rPr>
        <w:t xml:space="preserve"> mentioned </w:t>
      </w:r>
      <w:r w:rsidR="003C3E66">
        <w:rPr>
          <w:rFonts w:ascii="Arial" w:hAnsi="Arial" w:cs="Arial"/>
        </w:rPr>
        <w:t>within</w:t>
      </w:r>
      <w:r w:rsidR="003C3E66" w:rsidRPr="00EE5F5C">
        <w:rPr>
          <w:rFonts w:ascii="Arial" w:hAnsi="Arial" w:cs="Arial"/>
        </w:rPr>
        <w:t xml:space="preserve"> this document</w:t>
      </w:r>
      <w:r w:rsidRPr="003C3E66">
        <w:rPr>
          <w:rFonts w:ascii="Arial" w:hAnsi="Arial" w:cs="Arial"/>
        </w:rPr>
        <w:t>.</w:t>
      </w:r>
      <w:r w:rsidRPr="002F43F7">
        <w:rPr>
          <w:rFonts w:ascii="Arial" w:hAnsi="Arial" w:cs="Arial"/>
        </w:rPr>
        <w:t xml:space="preserve">  </w:t>
      </w:r>
      <w:r w:rsidR="002F43F7" w:rsidRPr="002F43F7">
        <w:rPr>
          <w:rFonts w:ascii="Arial" w:hAnsi="Arial" w:cs="Arial"/>
        </w:rPr>
        <w:t xml:space="preserve">Submissions should be based on the information contained within this document and in the format outlined in </w:t>
      </w:r>
      <w:r w:rsidR="007312FF">
        <w:rPr>
          <w:rFonts w:ascii="Arial" w:hAnsi="Arial" w:cs="Arial"/>
        </w:rPr>
        <w:t>section 4</w:t>
      </w:r>
      <w:r w:rsidR="002F43F7" w:rsidRPr="002F43F7">
        <w:rPr>
          <w:rFonts w:ascii="Arial" w:hAnsi="Arial" w:cs="Arial"/>
        </w:rPr>
        <w:t>.</w:t>
      </w:r>
      <w:r w:rsidR="007312FF">
        <w:rPr>
          <w:rFonts w:ascii="Arial" w:hAnsi="Arial" w:cs="Arial"/>
        </w:rPr>
        <w:t xml:space="preserve">  Deadlines and </w:t>
      </w:r>
      <w:r w:rsidR="005C4512">
        <w:rPr>
          <w:rFonts w:ascii="Arial" w:hAnsi="Arial" w:cs="Arial"/>
        </w:rPr>
        <w:t>submission instructions</w:t>
      </w:r>
      <w:r w:rsidR="005B0240">
        <w:rPr>
          <w:rFonts w:ascii="Arial" w:hAnsi="Arial" w:cs="Arial"/>
        </w:rPr>
        <w:t xml:space="preserve"> are contained in se</w:t>
      </w:r>
      <w:r w:rsidR="007312FF">
        <w:rPr>
          <w:rFonts w:ascii="Arial" w:hAnsi="Arial" w:cs="Arial"/>
        </w:rPr>
        <w:t>ction 6.</w:t>
      </w:r>
    </w:p>
    <w:p w14:paraId="19DB2465" w14:textId="77777777" w:rsidR="00C50310" w:rsidRPr="005C4512" w:rsidRDefault="00C50310" w:rsidP="00F3726F">
      <w:pPr>
        <w:pStyle w:val="ListParagraph"/>
        <w:numPr>
          <w:ilvl w:val="0"/>
          <w:numId w:val="1"/>
        </w:numPr>
        <w:spacing w:after="0" w:line="240" w:lineRule="auto"/>
        <w:ind w:left="0" w:hanging="426"/>
        <w:jc w:val="both"/>
        <w:rPr>
          <w:rFonts w:ascii="Arial" w:hAnsi="Arial" w:cs="Arial"/>
          <w:b/>
          <w:color w:val="0070C0"/>
          <w:sz w:val="24"/>
          <w:szCs w:val="24"/>
        </w:rPr>
      </w:pPr>
      <w:r w:rsidRPr="005C4512">
        <w:rPr>
          <w:rFonts w:ascii="Arial" w:hAnsi="Arial" w:cs="Arial"/>
          <w:b/>
          <w:color w:val="0070C0"/>
          <w:sz w:val="24"/>
          <w:szCs w:val="24"/>
        </w:rPr>
        <w:t>Background / Aims</w:t>
      </w:r>
    </w:p>
    <w:p w14:paraId="1ABBB120" w14:textId="77777777" w:rsidR="003C3E66" w:rsidRDefault="003C3E66" w:rsidP="00E862A4">
      <w:pPr>
        <w:jc w:val="both"/>
        <w:rPr>
          <w:rFonts w:ascii="Arial" w:hAnsi="Arial" w:cs="Arial"/>
        </w:rPr>
      </w:pPr>
    </w:p>
    <w:p w14:paraId="4ADCD4E2" w14:textId="2BC0B3BA" w:rsidR="00E862A4" w:rsidRPr="00C12D55" w:rsidRDefault="00E862A4" w:rsidP="00E862A4">
      <w:pPr>
        <w:jc w:val="both"/>
        <w:rPr>
          <w:rFonts w:ascii="Arial" w:hAnsi="Arial" w:cs="Arial"/>
        </w:rPr>
      </w:pPr>
      <w:r w:rsidRPr="00C12D55">
        <w:rPr>
          <w:rFonts w:ascii="Arial" w:hAnsi="Arial" w:cs="Arial"/>
        </w:rPr>
        <w:t>There is a clear lack of accessible facts and insight for grower levy payers into what is required beyond the farmgate and of imported grain. The current situation presents a material risk to farm level support for farm assurance.</w:t>
      </w:r>
    </w:p>
    <w:p w14:paraId="14DFAC5C" w14:textId="705703D9" w:rsidR="00E862A4" w:rsidRPr="00C12D55" w:rsidRDefault="00E862A4" w:rsidP="00E862A4">
      <w:pPr>
        <w:jc w:val="both"/>
        <w:rPr>
          <w:rFonts w:ascii="Arial" w:hAnsi="Arial" w:cs="Arial"/>
        </w:rPr>
      </w:pPr>
      <w:r w:rsidRPr="00C12D55">
        <w:rPr>
          <w:rFonts w:ascii="Arial" w:hAnsi="Arial" w:cs="Arial"/>
        </w:rPr>
        <w:t xml:space="preserve">As such, AHDB have been asked by industry partners to </w:t>
      </w:r>
      <w:r w:rsidR="00F55703">
        <w:rPr>
          <w:rFonts w:ascii="Arial" w:hAnsi="Arial" w:cs="Arial"/>
        </w:rPr>
        <w:t>co</w:t>
      </w:r>
      <w:r w:rsidRPr="00C12D55">
        <w:rPr>
          <w:rFonts w:ascii="Arial" w:hAnsi="Arial" w:cs="Arial"/>
        </w:rPr>
        <w:t>mmission an independent exercise into gathering evidence on exactly how assurance processes work for domestic and imported grain and why they are needed through the supply chain.</w:t>
      </w:r>
    </w:p>
    <w:p w14:paraId="63E3F91F" w14:textId="77777777" w:rsidR="00E862A4" w:rsidRPr="00C12D55" w:rsidRDefault="00E862A4" w:rsidP="00E862A4">
      <w:pPr>
        <w:jc w:val="both"/>
        <w:rPr>
          <w:rFonts w:ascii="Arial" w:hAnsi="Arial" w:cs="Arial"/>
        </w:rPr>
      </w:pPr>
      <w:r w:rsidRPr="00C12D55">
        <w:rPr>
          <w:rFonts w:ascii="Arial" w:hAnsi="Arial" w:cs="Arial"/>
        </w:rPr>
        <w:t>The work will have an evidence-based foundation, with a fully independent and impartial conclusion that will be respected by the industry.</w:t>
      </w:r>
    </w:p>
    <w:p w14:paraId="0B23C7F1" w14:textId="486DEBE3" w:rsidR="00C9181D" w:rsidRPr="00C12D55" w:rsidRDefault="003A18B9" w:rsidP="003A18B9">
      <w:pPr>
        <w:jc w:val="both"/>
        <w:rPr>
          <w:rFonts w:ascii="Arial" w:hAnsi="Arial" w:cs="Arial"/>
        </w:rPr>
      </w:pPr>
      <w:r w:rsidRPr="003A18B9">
        <w:rPr>
          <w:rFonts w:ascii="Arial" w:hAnsi="Arial" w:cs="Arial"/>
        </w:rPr>
        <w:t>The purpose of this work is to ensure that as an industry we have independent evidence of how domestic and imported assurance processes are applied and why they are needed by primary processors. The outcome we are aiming for is to create a clear evidence base for industry collaboration on the matter of how assurance standards are applied.</w:t>
      </w:r>
    </w:p>
    <w:p w14:paraId="76BA0CD0" w14:textId="77777777" w:rsidR="00C9181D" w:rsidRDefault="00C9181D" w:rsidP="00F3726F">
      <w:pPr>
        <w:spacing w:after="0" w:line="240" w:lineRule="auto"/>
        <w:jc w:val="both"/>
        <w:rPr>
          <w:rFonts w:ascii="Arial" w:hAnsi="Arial" w:cs="Arial"/>
        </w:rPr>
      </w:pPr>
    </w:p>
    <w:p w14:paraId="2965D0F6" w14:textId="77777777" w:rsidR="003C3E66" w:rsidRDefault="003C3E66" w:rsidP="00F3726F">
      <w:pPr>
        <w:spacing w:after="0" w:line="240" w:lineRule="auto"/>
        <w:jc w:val="both"/>
        <w:rPr>
          <w:rFonts w:ascii="Arial" w:hAnsi="Arial" w:cs="Arial"/>
        </w:rPr>
      </w:pPr>
    </w:p>
    <w:p w14:paraId="0505033D" w14:textId="77777777" w:rsidR="003C3E66" w:rsidRDefault="003C3E66" w:rsidP="00F3726F">
      <w:pPr>
        <w:spacing w:after="0" w:line="240" w:lineRule="auto"/>
        <w:jc w:val="both"/>
        <w:rPr>
          <w:rFonts w:ascii="Arial" w:hAnsi="Arial" w:cs="Arial"/>
        </w:rPr>
      </w:pPr>
    </w:p>
    <w:p w14:paraId="47278A64" w14:textId="77777777" w:rsidR="003C3E66" w:rsidRPr="00C9181D" w:rsidRDefault="003C3E66" w:rsidP="00F3726F">
      <w:pPr>
        <w:spacing w:after="0" w:line="240" w:lineRule="auto"/>
        <w:jc w:val="both"/>
        <w:rPr>
          <w:rFonts w:ascii="Arial" w:hAnsi="Arial" w:cs="Arial"/>
        </w:rPr>
      </w:pPr>
    </w:p>
    <w:p w14:paraId="5A8A8477" w14:textId="77777777" w:rsidR="00C9181D" w:rsidRPr="00C9181D" w:rsidRDefault="00C9181D" w:rsidP="00F3726F">
      <w:pPr>
        <w:spacing w:after="0" w:line="240" w:lineRule="auto"/>
        <w:jc w:val="both"/>
        <w:rPr>
          <w:rFonts w:ascii="Arial" w:hAnsi="Arial" w:cs="Arial"/>
        </w:rPr>
      </w:pPr>
    </w:p>
    <w:p w14:paraId="0F08C1A5" w14:textId="77777777" w:rsidR="00C50310" w:rsidRDefault="00C50310" w:rsidP="00F3726F">
      <w:pPr>
        <w:pStyle w:val="ListParagraph"/>
        <w:numPr>
          <w:ilvl w:val="0"/>
          <w:numId w:val="1"/>
        </w:numPr>
        <w:spacing w:after="0" w:line="240" w:lineRule="auto"/>
        <w:ind w:left="0" w:hanging="426"/>
        <w:jc w:val="both"/>
        <w:rPr>
          <w:rFonts w:ascii="Arial" w:hAnsi="Arial" w:cs="Arial"/>
          <w:b/>
          <w:color w:val="0070C0"/>
          <w:sz w:val="24"/>
          <w:szCs w:val="24"/>
        </w:rPr>
      </w:pPr>
      <w:r w:rsidRPr="00C9181D">
        <w:rPr>
          <w:rFonts w:ascii="Arial" w:hAnsi="Arial" w:cs="Arial"/>
          <w:b/>
          <w:color w:val="0070C0"/>
          <w:sz w:val="24"/>
          <w:szCs w:val="24"/>
        </w:rPr>
        <w:t>Service Requirement</w:t>
      </w:r>
    </w:p>
    <w:p w14:paraId="3A519EC7" w14:textId="77777777" w:rsidR="002B6826" w:rsidRPr="00C9181D" w:rsidRDefault="002B6826" w:rsidP="002B6826">
      <w:pPr>
        <w:pStyle w:val="ListParagraph"/>
        <w:spacing w:after="0" w:line="240" w:lineRule="auto"/>
        <w:ind w:left="0"/>
        <w:jc w:val="both"/>
        <w:rPr>
          <w:rFonts w:ascii="Arial" w:hAnsi="Arial" w:cs="Arial"/>
          <w:b/>
          <w:color w:val="0070C0"/>
          <w:sz w:val="24"/>
          <w:szCs w:val="24"/>
        </w:rPr>
      </w:pPr>
    </w:p>
    <w:p w14:paraId="67BC8EA9" w14:textId="3B8252A3" w:rsidR="002B6826" w:rsidRPr="002B6826" w:rsidRDefault="002B6826" w:rsidP="002B6826">
      <w:pPr>
        <w:jc w:val="both"/>
        <w:rPr>
          <w:rFonts w:ascii="Arial" w:hAnsi="Arial" w:cs="Arial"/>
        </w:rPr>
      </w:pPr>
      <w:r w:rsidRPr="002B6826">
        <w:rPr>
          <w:rFonts w:ascii="Arial" w:hAnsi="Arial" w:cs="Arial"/>
        </w:rPr>
        <w:t xml:space="preserve">There are four clear </w:t>
      </w:r>
      <w:r w:rsidR="00EC0E8A">
        <w:rPr>
          <w:rFonts w:ascii="Arial" w:hAnsi="Arial" w:cs="Arial"/>
        </w:rPr>
        <w:t>outcomes</w:t>
      </w:r>
      <w:r w:rsidRPr="002B6826">
        <w:rPr>
          <w:rFonts w:ascii="Arial" w:hAnsi="Arial" w:cs="Arial"/>
        </w:rPr>
        <w:t xml:space="preserve"> for this piece of work: </w:t>
      </w:r>
    </w:p>
    <w:p w14:paraId="47B9E720" w14:textId="1B9E6C3D" w:rsidR="002B6826" w:rsidRPr="002B6826" w:rsidRDefault="002B6826" w:rsidP="002B6826">
      <w:pPr>
        <w:pStyle w:val="ListParagraph"/>
        <w:numPr>
          <w:ilvl w:val="0"/>
          <w:numId w:val="3"/>
        </w:numPr>
        <w:spacing w:after="160" w:line="240" w:lineRule="auto"/>
        <w:jc w:val="both"/>
        <w:rPr>
          <w:rFonts w:ascii="Arial" w:hAnsi="Arial" w:cs="Arial"/>
        </w:rPr>
      </w:pPr>
      <w:r w:rsidRPr="002B6826">
        <w:rPr>
          <w:rFonts w:ascii="Arial" w:hAnsi="Arial" w:cs="Arial"/>
        </w:rPr>
        <w:lastRenderedPageBreak/>
        <w:t>Collect data</w:t>
      </w:r>
      <w:r w:rsidR="00EE5F5C">
        <w:rPr>
          <w:rFonts w:ascii="Arial" w:hAnsi="Arial" w:cs="Arial"/>
        </w:rPr>
        <w:t>/evidence</w:t>
      </w:r>
      <w:r w:rsidRPr="002B6826">
        <w:rPr>
          <w:rFonts w:ascii="Arial" w:hAnsi="Arial" w:cs="Arial"/>
        </w:rPr>
        <w:t xml:space="preserve"> from primary processors in the key crop segments on regulatory and contractual needs from raw material assurance.</w:t>
      </w:r>
    </w:p>
    <w:p w14:paraId="41E48886" w14:textId="1A9A2EB9" w:rsidR="002B6826" w:rsidRPr="002B6826" w:rsidRDefault="002B6826" w:rsidP="002B6826">
      <w:pPr>
        <w:pStyle w:val="ListParagraph"/>
        <w:numPr>
          <w:ilvl w:val="1"/>
          <w:numId w:val="3"/>
        </w:numPr>
        <w:spacing w:after="160" w:line="240" w:lineRule="auto"/>
        <w:jc w:val="both"/>
        <w:rPr>
          <w:rFonts w:ascii="Arial" w:hAnsi="Arial" w:cs="Arial"/>
        </w:rPr>
      </w:pPr>
      <w:r w:rsidRPr="002B6826">
        <w:rPr>
          <w:rFonts w:ascii="Arial" w:hAnsi="Arial" w:cs="Arial"/>
        </w:rPr>
        <w:t>Comprehensive review of both farm and trade</w:t>
      </w:r>
      <w:r w:rsidR="005762EA">
        <w:rPr>
          <w:rFonts w:ascii="Arial" w:hAnsi="Arial" w:cs="Arial"/>
        </w:rPr>
        <w:t>/import</w:t>
      </w:r>
      <w:r w:rsidRPr="002B6826">
        <w:rPr>
          <w:rFonts w:ascii="Arial" w:hAnsi="Arial" w:cs="Arial"/>
        </w:rPr>
        <w:t xml:space="preserve"> assurance methodologies, ensuring clarity on which aspects of each scheme are required at which point in the supply chain.</w:t>
      </w:r>
    </w:p>
    <w:p w14:paraId="7756449C" w14:textId="55B58769" w:rsidR="002B6826" w:rsidRPr="002B6826" w:rsidRDefault="002B6826" w:rsidP="002B6826">
      <w:pPr>
        <w:pStyle w:val="ListParagraph"/>
        <w:numPr>
          <w:ilvl w:val="1"/>
          <w:numId w:val="3"/>
        </w:numPr>
        <w:spacing w:after="160" w:line="240" w:lineRule="auto"/>
        <w:jc w:val="both"/>
        <w:rPr>
          <w:rFonts w:ascii="Arial" w:hAnsi="Arial" w:cs="Arial"/>
        </w:rPr>
      </w:pPr>
      <w:r w:rsidRPr="002B6826">
        <w:rPr>
          <w:rFonts w:ascii="Arial" w:hAnsi="Arial" w:cs="Arial"/>
        </w:rPr>
        <w:t>Formal interviews/evidence gathering processes to ensure that all data</w:t>
      </w:r>
      <w:r w:rsidR="00EE5F5C">
        <w:rPr>
          <w:rFonts w:ascii="Arial" w:hAnsi="Arial" w:cs="Arial"/>
        </w:rPr>
        <w:t>/evidence</w:t>
      </w:r>
      <w:r w:rsidRPr="002B6826">
        <w:rPr>
          <w:rFonts w:ascii="Arial" w:hAnsi="Arial" w:cs="Arial"/>
        </w:rPr>
        <w:t xml:space="preserve"> is factual.</w:t>
      </w:r>
    </w:p>
    <w:p w14:paraId="4392FCE6" w14:textId="77777777" w:rsidR="002B6826" w:rsidRPr="002B6826" w:rsidRDefault="002B6826" w:rsidP="002B6826">
      <w:pPr>
        <w:pStyle w:val="ListParagraph"/>
        <w:numPr>
          <w:ilvl w:val="1"/>
          <w:numId w:val="3"/>
        </w:numPr>
        <w:spacing w:after="160" w:line="240" w:lineRule="auto"/>
        <w:jc w:val="both"/>
        <w:rPr>
          <w:rFonts w:ascii="Arial" w:hAnsi="Arial" w:cs="Arial"/>
        </w:rPr>
      </w:pPr>
      <w:r w:rsidRPr="002B6826">
        <w:rPr>
          <w:rFonts w:ascii="Arial" w:hAnsi="Arial" w:cs="Arial"/>
        </w:rPr>
        <w:t>Desk-review of all relevant farm and trade assurance schemes in detail so that all supply chain feedback can be corroborated against evidence.</w:t>
      </w:r>
    </w:p>
    <w:p w14:paraId="78FCD081" w14:textId="2F1ABA85" w:rsidR="002B6826" w:rsidRDefault="002B6826" w:rsidP="002B6826">
      <w:pPr>
        <w:pStyle w:val="ListParagraph"/>
        <w:numPr>
          <w:ilvl w:val="1"/>
          <w:numId w:val="3"/>
        </w:numPr>
        <w:spacing w:after="160" w:line="240" w:lineRule="auto"/>
        <w:jc w:val="both"/>
        <w:rPr>
          <w:rFonts w:ascii="Arial" w:hAnsi="Arial" w:cs="Arial"/>
        </w:rPr>
      </w:pPr>
      <w:r w:rsidRPr="002B6826">
        <w:rPr>
          <w:rFonts w:ascii="Arial" w:hAnsi="Arial" w:cs="Arial"/>
        </w:rPr>
        <w:t>Explore</w:t>
      </w:r>
      <w:r w:rsidR="00804BB5">
        <w:rPr>
          <w:rFonts w:ascii="Arial" w:hAnsi="Arial" w:cs="Arial"/>
        </w:rPr>
        <w:t xml:space="preserve"> through interviews/data collection </w:t>
      </w:r>
      <w:r w:rsidRPr="002B6826">
        <w:rPr>
          <w:rFonts w:ascii="Arial" w:hAnsi="Arial" w:cs="Arial"/>
        </w:rPr>
        <w:t>if there are any future potential further requirements from supply chains that need to be considered.</w:t>
      </w:r>
    </w:p>
    <w:p w14:paraId="0706D8BF" w14:textId="77777777" w:rsidR="002B6826" w:rsidRPr="002B6826" w:rsidRDefault="002B6826" w:rsidP="002B6826">
      <w:pPr>
        <w:pStyle w:val="ListParagraph"/>
        <w:spacing w:after="160" w:line="240" w:lineRule="auto"/>
        <w:ind w:left="1440"/>
        <w:jc w:val="both"/>
        <w:rPr>
          <w:rFonts w:ascii="Arial" w:hAnsi="Arial" w:cs="Arial"/>
        </w:rPr>
      </w:pPr>
    </w:p>
    <w:p w14:paraId="15D7D39C" w14:textId="77777777" w:rsidR="002B6826" w:rsidRPr="002B6826" w:rsidRDefault="002B6826" w:rsidP="002B6826">
      <w:pPr>
        <w:pStyle w:val="ListParagraph"/>
        <w:numPr>
          <w:ilvl w:val="0"/>
          <w:numId w:val="3"/>
        </w:numPr>
        <w:spacing w:after="160" w:line="240" w:lineRule="auto"/>
        <w:jc w:val="both"/>
        <w:rPr>
          <w:rFonts w:ascii="Arial" w:hAnsi="Arial" w:cs="Arial"/>
        </w:rPr>
      </w:pPr>
      <w:r w:rsidRPr="002B6826">
        <w:rPr>
          <w:rFonts w:ascii="Arial" w:hAnsi="Arial" w:cs="Arial"/>
        </w:rPr>
        <w:t>Create a map / flow diagram of farm and trade assurance schemes, how they interconnect and meet the needs of primary processors.</w:t>
      </w:r>
    </w:p>
    <w:p w14:paraId="13DDCD22" w14:textId="77777777" w:rsidR="002B6826" w:rsidRPr="002B6826" w:rsidRDefault="002B6826" w:rsidP="002B6826">
      <w:pPr>
        <w:pStyle w:val="ListParagraph"/>
        <w:numPr>
          <w:ilvl w:val="1"/>
          <w:numId w:val="3"/>
        </w:numPr>
        <w:spacing w:after="160" w:line="240" w:lineRule="auto"/>
        <w:jc w:val="both"/>
        <w:rPr>
          <w:rFonts w:ascii="Arial" w:hAnsi="Arial" w:cs="Arial"/>
        </w:rPr>
      </w:pPr>
      <w:r w:rsidRPr="002B6826">
        <w:rPr>
          <w:rFonts w:ascii="Arial" w:hAnsi="Arial" w:cs="Arial"/>
        </w:rPr>
        <w:t xml:space="preserve">Evidencing of real-world application of farm and trade assurance schemes and the points of testing, </w:t>
      </w:r>
      <w:proofErr w:type="gramStart"/>
      <w:r w:rsidRPr="002B6826">
        <w:rPr>
          <w:rFonts w:ascii="Arial" w:hAnsi="Arial" w:cs="Arial"/>
        </w:rPr>
        <w:t>verification</w:t>
      </w:r>
      <w:proofErr w:type="gramEnd"/>
      <w:r w:rsidRPr="002B6826">
        <w:rPr>
          <w:rFonts w:ascii="Arial" w:hAnsi="Arial" w:cs="Arial"/>
        </w:rPr>
        <w:t xml:space="preserve"> and auditing.</w:t>
      </w:r>
    </w:p>
    <w:p w14:paraId="3F135370" w14:textId="77777777" w:rsidR="002B6826" w:rsidRDefault="002B6826" w:rsidP="002B6826">
      <w:pPr>
        <w:pStyle w:val="ListParagraph"/>
        <w:numPr>
          <w:ilvl w:val="1"/>
          <w:numId w:val="3"/>
        </w:numPr>
        <w:spacing w:after="160" w:line="240" w:lineRule="auto"/>
        <w:jc w:val="both"/>
        <w:rPr>
          <w:rFonts w:ascii="Arial" w:hAnsi="Arial" w:cs="Arial"/>
        </w:rPr>
      </w:pPr>
      <w:r w:rsidRPr="002B6826">
        <w:rPr>
          <w:rFonts w:ascii="Arial" w:hAnsi="Arial" w:cs="Arial"/>
        </w:rPr>
        <w:t>Where possible, giving indicative costs for each part of assurance requirements evidence.</w:t>
      </w:r>
    </w:p>
    <w:p w14:paraId="55BE4BC0" w14:textId="77777777" w:rsidR="002B6826" w:rsidRPr="002B6826" w:rsidRDefault="002B6826" w:rsidP="002B6826">
      <w:pPr>
        <w:pStyle w:val="ListParagraph"/>
        <w:spacing w:after="160" w:line="240" w:lineRule="auto"/>
        <w:ind w:left="1440"/>
        <w:jc w:val="both"/>
        <w:rPr>
          <w:rFonts w:ascii="Arial" w:hAnsi="Arial" w:cs="Arial"/>
        </w:rPr>
      </w:pPr>
    </w:p>
    <w:p w14:paraId="6374D178" w14:textId="77777777" w:rsidR="002B6826" w:rsidRPr="002B6826" w:rsidRDefault="002B6826" w:rsidP="002B6826">
      <w:pPr>
        <w:pStyle w:val="ListParagraph"/>
        <w:numPr>
          <w:ilvl w:val="0"/>
          <w:numId w:val="3"/>
        </w:numPr>
        <w:spacing w:after="160" w:line="240" w:lineRule="auto"/>
        <w:jc w:val="both"/>
        <w:rPr>
          <w:rFonts w:ascii="Arial" w:hAnsi="Arial" w:cs="Arial"/>
        </w:rPr>
      </w:pPr>
      <w:r w:rsidRPr="002B6826">
        <w:rPr>
          <w:rFonts w:ascii="Arial" w:hAnsi="Arial" w:cs="Arial"/>
        </w:rPr>
        <w:t>Using specific, agreed examples, demonstrate how the flow through farm and trade assurance schemes enables a primary processor to demonstrate compliance.</w:t>
      </w:r>
    </w:p>
    <w:p w14:paraId="1394C402" w14:textId="77777777" w:rsidR="002B6826" w:rsidRDefault="002B6826" w:rsidP="002B6826">
      <w:pPr>
        <w:pStyle w:val="ListParagraph"/>
        <w:numPr>
          <w:ilvl w:val="1"/>
          <w:numId w:val="3"/>
        </w:numPr>
        <w:spacing w:after="160" w:line="240" w:lineRule="auto"/>
        <w:jc w:val="both"/>
        <w:rPr>
          <w:rFonts w:ascii="Arial" w:hAnsi="Arial" w:cs="Arial"/>
        </w:rPr>
      </w:pPr>
      <w:r w:rsidRPr="002B6826">
        <w:rPr>
          <w:rFonts w:ascii="Arial" w:hAnsi="Arial" w:cs="Arial"/>
        </w:rPr>
        <w:t>Case-studies of how assurance schemes have offered the depth and detail that supply chains require for regulatory and contractual compliance.</w:t>
      </w:r>
    </w:p>
    <w:p w14:paraId="6AACE3A6" w14:textId="77777777" w:rsidR="002B6826" w:rsidRPr="002B6826" w:rsidRDefault="002B6826" w:rsidP="002B6826">
      <w:pPr>
        <w:pStyle w:val="ListParagraph"/>
        <w:spacing w:after="160" w:line="240" w:lineRule="auto"/>
        <w:ind w:left="1440"/>
        <w:jc w:val="both"/>
        <w:rPr>
          <w:rFonts w:ascii="Arial" w:hAnsi="Arial" w:cs="Arial"/>
        </w:rPr>
      </w:pPr>
    </w:p>
    <w:p w14:paraId="4D304B48" w14:textId="77777777" w:rsidR="002B6826" w:rsidRPr="002B6826" w:rsidRDefault="002B6826" w:rsidP="002B6826">
      <w:pPr>
        <w:pStyle w:val="ListParagraph"/>
        <w:numPr>
          <w:ilvl w:val="0"/>
          <w:numId w:val="3"/>
        </w:numPr>
        <w:spacing w:after="160" w:line="240" w:lineRule="auto"/>
        <w:jc w:val="both"/>
        <w:rPr>
          <w:rFonts w:ascii="Arial" w:hAnsi="Arial" w:cs="Arial"/>
        </w:rPr>
      </w:pPr>
      <w:r w:rsidRPr="002B6826">
        <w:rPr>
          <w:rFonts w:ascii="Arial" w:hAnsi="Arial" w:cs="Arial"/>
        </w:rPr>
        <w:t>Demonstrate how the logistical differences between domestic and imported supply chains impact how compliance is demonstrated, and risk (and liability) managed.</w:t>
      </w:r>
    </w:p>
    <w:p w14:paraId="50C4D8BB" w14:textId="77777777" w:rsidR="002B6826" w:rsidRPr="002B6826" w:rsidRDefault="002B6826" w:rsidP="002B6826">
      <w:pPr>
        <w:pStyle w:val="ListParagraph"/>
        <w:numPr>
          <w:ilvl w:val="1"/>
          <w:numId w:val="3"/>
        </w:numPr>
        <w:spacing w:after="160" w:line="240" w:lineRule="auto"/>
        <w:jc w:val="both"/>
        <w:rPr>
          <w:rFonts w:ascii="Arial" w:hAnsi="Arial" w:cs="Arial"/>
        </w:rPr>
      </w:pPr>
      <w:r w:rsidRPr="002B6826">
        <w:rPr>
          <w:rFonts w:ascii="Arial" w:hAnsi="Arial" w:cs="Arial"/>
        </w:rPr>
        <w:t>Clear examples of the differences in compliance requirements between a 29t lorry delivery and a larger imported vessel.</w:t>
      </w:r>
    </w:p>
    <w:p w14:paraId="2ABB5407" w14:textId="77777777" w:rsidR="002B6826" w:rsidRDefault="002B6826" w:rsidP="002B6826">
      <w:pPr>
        <w:pStyle w:val="ListParagraph"/>
        <w:numPr>
          <w:ilvl w:val="1"/>
          <w:numId w:val="3"/>
        </w:numPr>
        <w:spacing w:after="160" w:line="240" w:lineRule="auto"/>
        <w:jc w:val="both"/>
        <w:rPr>
          <w:rFonts w:ascii="Arial" w:hAnsi="Arial" w:cs="Arial"/>
        </w:rPr>
      </w:pPr>
      <w:r w:rsidRPr="002B6826">
        <w:rPr>
          <w:rFonts w:ascii="Arial" w:hAnsi="Arial" w:cs="Arial"/>
        </w:rPr>
        <w:t>Clear explanation of the time/cost/detail required for trade assurance processes and comparison to farm assurance processes.</w:t>
      </w:r>
    </w:p>
    <w:p w14:paraId="6F0A81AD" w14:textId="132383BD" w:rsidR="00617BE7" w:rsidRPr="00886715" w:rsidRDefault="00617BE7" w:rsidP="00617BE7">
      <w:pPr>
        <w:rPr>
          <w:rFonts w:ascii="Arial" w:hAnsi="Arial" w:cs="Arial"/>
        </w:rPr>
      </w:pPr>
      <w:r w:rsidRPr="00886715">
        <w:rPr>
          <w:rFonts w:ascii="Arial" w:hAnsi="Arial" w:cs="Arial"/>
        </w:rPr>
        <w:t xml:space="preserve">The </w:t>
      </w:r>
      <w:r w:rsidR="005762EA">
        <w:rPr>
          <w:rFonts w:ascii="Arial" w:hAnsi="Arial" w:cs="Arial"/>
        </w:rPr>
        <w:t>conclusion of</w:t>
      </w:r>
      <w:r w:rsidRPr="00886715">
        <w:rPr>
          <w:rFonts w:ascii="Arial" w:hAnsi="Arial" w:cs="Arial"/>
        </w:rPr>
        <w:t xml:space="preserve"> this work will be to produce a written report collating and </w:t>
      </w:r>
      <w:r w:rsidR="00886715" w:rsidRPr="00886715">
        <w:rPr>
          <w:rFonts w:ascii="Arial" w:hAnsi="Arial" w:cs="Arial"/>
        </w:rPr>
        <w:t>communicating the assurance processes in detail</w:t>
      </w:r>
      <w:r w:rsidRPr="00886715">
        <w:rPr>
          <w:rFonts w:ascii="Arial" w:hAnsi="Arial" w:cs="Arial"/>
        </w:rPr>
        <w:t xml:space="preserve">.  </w:t>
      </w:r>
    </w:p>
    <w:p w14:paraId="1E47F487" w14:textId="77777777" w:rsidR="00EC0E8A" w:rsidRDefault="00EC0E8A" w:rsidP="00EC0E8A">
      <w:pPr>
        <w:spacing w:after="160" w:line="240" w:lineRule="auto"/>
        <w:jc w:val="both"/>
        <w:rPr>
          <w:rFonts w:ascii="Arial" w:hAnsi="Arial" w:cs="Arial"/>
        </w:rPr>
      </w:pPr>
    </w:p>
    <w:p w14:paraId="17F41B09" w14:textId="77777777" w:rsidR="006A6F56" w:rsidRDefault="00EC0E8A" w:rsidP="006A6F56">
      <w:pPr>
        <w:spacing w:after="160" w:line="240" w:lineRule="auto"/>
        <w:jc w:val="both"/>
        <w:rPr>
          <w:rFonts w:ascii="Arial" w:hAnsi="Arial" w:cs="Arial"/>
        </w:rPr>
      </w:pPr>
      <w:r>
        <w:rPr>
          <w:rFonts w:ascii="Arial" w:hAnsi="Arial" w:cs="Arial"/>
        </w:rPr>
        <w:t>Process:</w:t>
      </w:r>
    </w:p>
    <w:p w14:paraId="45E14EA2" w14:textId="56D1339F" w:rsidR="00672ADB" w:rsidRPr="00672ADB" w:rsidRDefault="00672ADB" w:rsidP="006A6F56">
      <w:pPr>
        <w:spacing w:after="160" w:line="240" w:lineRule="auto"/>
        <w:jc w:val="both"/>
        <w:rPr>
          <w:rFonts w:ascii="Arial" w:hAnsi="Arial" w:cs="Arial"/>
        </w:rPr>
      </w:pPr>
      <w:r w:rsidRPr="00672ADB">
        <w:rPr>
          <w:rFonts w:ascii="Arial" w:hAnsi="Arial" w:cs="Arial"/>
        </w:rPr>
        <w:t>Stage 1 – agreement on proposal, procure relevant data</w:t>
      </w:r>
      <w:r w:rsidR="00EE5F5C">
        <w:rPr>
          <w:rFonts w:ascii="Arial" w:hAnsi="Arial" w:cs="Arial"/>
        </w:rPr>
        <w:t>/evidence</w:t>
      </w:r>
      <w:r w:rsidRPr="00672ADB">
        <w:rPr>
          <w:rFonts w:ascii="Arial" w:hAnsi="Arial" w:cs="Arial"/>
        </w:rPr>
        <w:t xml:space="preserve"> collection services.</w:t>
      </w:r>
    </w:p>
    <w:p w14:paraId="6F927424" w14:textId="7EA8675E" w:rsidR="00672ADB" w:rsidRPr="00672ADB" w:rsidRDefault="00672ADB" w:rsidP="00672ADB">
      <w:pPr>
        <w:jc w:val="both"/>
        <w:rPr>
          <w:rFonts w:ascii="Arial" w:hAnsi="Arial" w:cs="Arial"/>
        </w:rPr>
      </w:pPr>
      <w:r w:rsidRPr="00672ADB">
        <w:rPr>
          <w:rFonts w:ascii="Arial" w:hAnsi="Arial" w:cs="Arial"/>
        </w:rPr>
        <w:t>Stage 2 – data</w:t>
      </w:r>
      <w:r w:rsidR="00EE5F5C">
        <w:rPr>
          <w:rFonts w:ascii="Arial" w:hAnsi="Arial" w:cs="Arial"/>
        </w:rPr>
        <w:t>/evidence</w:t>
      </w:r>
      <w:r w:rsidRPr="00672ADB">
        <w:rPr>
          <w:rFonts w:ascii="Arial" w:hAnsi="Arial" w:cs="Arial"/>
        </w:rPr>
        <w:t xml:space="preserve"> collection by research agency (including key stakeholder interviews if appropriate), desk research &amp; evidence gathering.</w:t>
      </w:r>
    </w:p>
    <w:p w14:paraId="607E7A5E" w14:textId="77777777" w:rsidR="00672ADB" w:rsidRPr="00672ADB" w:rsidRDefault="00672ADB" w:rsidP="00672ADB">
      <w:pPr>
        <w:jc w:val="both"/>
        <w:rPr>
          <w:rFonts w:ascii="Arial" w:hAnsi="Arial" w:cs="Arial"/>
        </w:rPr>
      </w:pPr>
      <w:r w:rsidRPr="00672ADB">
        <w:rPr>
          <w:rFonts w:ascii="Arial" w:hAnsi="Arial" w:cs="Arial"/>
        </w:rPr>
        <w:t>Stage 3 – review procured research/evidence, conduct analysis and draft report.</w:t>
      </w:r>
    </w:p>
    <w:p w14:paraId="6F295A90" w14:textId="77777777" w:rsidR="00672ADB" w:rsidRPr="00672ADB" w:rsidRDefault="00672ADB" w:rsidP="00672ADB">
      <w:pPr>
        <w:jc w:val="both"/>
        <w:rPr>
          <w:rFonts w:ascii="Arial" w:hAnsi="Arial" w:cs="Arial"/>
        </w:rPr>
      </w:pPr>
      <w:r w:rsidRPr="00672ADB">
        <w:rPr>
          <w:rFonts w:ascii="Arial" w:hAnsi="Arial" w:cs="Arial"/>
        </w:rPr>
        <w:t>Stage 4 – agree conclusions alongside independent experts.</w:t>
      </w:r>
    </w:p>
    <w:p w14:paraId="20842E2A" w14:textId="77777777" w:rsidR="00672ADB" w:rsidRDefault="00672ADB" w:rsidP="00672ADB">
      <w:pPr>
        <w:jc w:val="both"/>
        <w:rPr>
          <w:rFonts w:ascii="Arial" w:hAnsi="Arial" w:cs="Arial"/>
        </w:rPr>
      </w:pPr>
      <w:r w:rsidRPr="00672ADB">
        <w:rPr>
          <w:rFonts w:ascii="Arial" w:hAnsi="Arial" w:cs="Arial"/>
        </w:rPr>
        <w:t>Stage 5 – complete final report/review results with stakeholders.</w:t>
      </w:r>
    </w:p>
    <w:p w14:paraId="49523A67" w14:textId="77777777" w:rsidR="004B7A0A" w:rsidRDefault="004B7A0A" w:rsidP="00672ADB">
      <w:pPr>
        <w:jc w:val="both"/>
        <w:rPr>
          <w:rFonts w:ascii="Arial" w:hAnsi="Arial" w:cs="Arial"/>
        </w:rPr>
      </w:pPr>
    </w:p>
    <w:p w14:paraId="61E987F2" w14:textId="7E4DCED2" w:rsidR="004B7A0A" w:rsidRPr="004B7A0A" w:rsidRDefault="004B7A0A" w:rsidP="004B7A0A">
      <w:pPr>
        <w:jc w:val="both"/>
        <w:rPr>
          <w:rFonts w:ascii="Arial" w:hAnsi="Arial" w:cs="Arial"/>
        </w:rPr>
      </w:pPr>
      <w:r w:rsidRPr="004B7A0A">
        <w:rPr>
          <w:rFonts w:ascii="Arial" w:hAnsi="Arial" w:cs="Arial"/>
        </w:rPr>
        <w:t>Review</w:t>
      </w:r>
      <w:r w:rsidR="000A1CF7">
        <w:rPr>
          <w:rFonts w:ascii="Arial" w:hAnsi="Arial" w:cs="Arial"/>
        </w:rPr>
        <w:t>:</w:t>
      </w:r>
    </w:p>
    <w:p w14:paraId="5A77A703" w14:textId="34E30B26" w:rsidR="002A3B75" w:rsidRDefault="002A3B75" w:rsidP="004B7A0A">
      <w:pPr>
        <w:jc w:val="both"/>
        <w:rPr>
          <w:rFonts w:ascii="Arial" w:hAnsi="Arial" w:cs="Arial"/>
        </w:rPr>
      </w:pPr>
      <w:r>
        <w:rPr>
          <w:rFonts w:ascii="Arial" w:hAnsi="Arial" w:cs="Arial"/>
        </w:rPr>
        <w:t xml:space="preserve">Due to the sensitivity of this work in the wider context of the industry. AHDB will </w:t>
      </w:r>
      <w:r w:rsidR="00B83ECB">
        <w:rPr>
          <w:rFonts w:ascii="Arial" w:hAnsi="Arial" w:cs="Arial"/>
        </w:rPr>
        <w:t>employ an independent review process.</w:t>
      </w:r>
    </w:p>
    <w:p w14:paraId="4AE802A6" w14:textId="0138059C" w:rsidR="004B7A0A" w:rsidRPr="004B7A0A" w:rsidRDefault="004B7A0A" w:rsidP="004B7A0A">
      <w:pPr>
        <w:jc w:val="both"/>
        <w:rPr>
          <w:rFonts w:ascii="Arial" w:hAnsi="Arial" w:cs="Arial"/>
        </w:rPr>
      </w:pPr>
      <w:r w:rsidRPr="004B7A0A">
        <w:rPr>
          <w:rFonts w:ascii="Arial" w:hAnsi="Arial" w:cs="Arial"/>
        </w:rPr>
        <w:t xml:space="preserve">The review process will bring impartial knowledge and expertise to ensure that the evidence collated is representative of the current market and to advise on areas that are ambiguous. The review process can also advise and where appropriate make informed judgements on the future </w:t>
      </w:r>
      <w:r w:rsidR="00B83ECB">
        <w:rPr>
          <w:rFonts w:ascii="Arial" w:hAnsi="Arial" w:cs="Arial"/>
        </w:rPr>
        <w:t>potential requirements of supply chains</w:t>
      </w:r>
      <w:r w:rsidRPr="004B7A0A">
        <w:rPr>
          <w:rFonts w:ascii="Arial" w:hAnsi="Arial" w:cs="Arial"/>
        </w:rPr>
        <w:t>, based upon the research and evidence provided.</w:t>
      </w:r>
    </w:p>
    <w:p w14:paraId="72A2611E" w14:textId="77777777" w:rsidR="0084073B" w:rsidRDefault="004B7A0A" w:rsidP="0084073B">
      <w:pPr>
        <w:rPr>
          <w:rFonts w:ascii="Arial" w:hAnsi="Arial" w:cs="Arial"/>
        </w:rPr>
      </w:pPr>
      <w:r w:rsidRPr="004B7A0A">
        <w:rPr>
          <w:rFonts w:ascii="Arial" w:hAnsi="Arial" w:cs="Arial"/>
        </w:rPr>
        <w:t xml:space="preserve">The review process will be achieved by appointing independent experts on specific areas of expertise (such as contract law, food and feed safety legislation, knowledge of farm and trade assurance schemes application) who will review and provide comment on the relevant sections of the report. </w:t>
      </w:r>
    </w:p>
    <w:p w14:paraId="02782936" w14:textId="3F7B2760" w:rsidR="00EC0E8A" w:rsidRPr="00672ADB" w:rsidRDefault="00EC0E8A" w:rsidP="0084073B">
      <w:pPr>
        <w:rPr>
          <w:rFonts w:ascii="Arial" w:hAnsi="Arial" w:cs="Arial"/>
        </w:rPr>
      </w:pPr>
      <w:r>
        <w:rPr>
          <w:rFonts w:ascii="Arial" w:hAnsi="Arial" w:cs="Arial"/>
        </w:rPr>
        <w:br/>
        <w:t>Budget:</w:t>
      </w:r>
    </w:p>
    <w:p w14:paraId="09EBD1CF" w14:textId="13E454C3" w:rsidR="00672ADB" w:rsidRPr="00672ADB" w:rsidRDefault="00672ADB" w:rsidP="00672ADB">
      <w:pPr>
        <w:jc w:val="both"/>
        <w:rPr>
          <w:rFonts w:ascii="Arial" w:hAnsi="Arial" w:cs="Arial"/>
        </w:rPr>
      </w:pPr>
      <w:r w:rsidRPr="00672ADB">
        <w:rPr>
          <w:rFonts w:ascii="Arial" w:hAnsi="Arial" w:cs="Arial"/>
        </w:rPr>
        <w:t>The total costs are estimated to be £</w:t>
      </w:r>
      <w:r>
        <w:rPr>
          <w:rFonts w:ascii="Arial" w:hAnsi="Arial" w:cs="Arial"/>
        </w:rPr>
        <w:t>40,000</w:t>
      </w:r>
      <w:r w:rsidRPr="00672ADB">
        <w:rPr>
          <w:rFonts w:ascii="Arial" w:hAnsi="Arial" w:cs="Arial"/>
        </w:rPr>
        <w:t xml:space="preserve"> to fully cover all aspects as required.</w:t>
      </w:r>
    </w:p>
    <w:p w14:paraId="62344DAE" w14:textId="77777777" w:rsidR="00C9181D" w:rsidRDefault="00C9181D" w:rsidP="00F3726F">
      <w:pPr>
        <w:spacing w:after="0" w:line="240" w:lineRule="auto"/>
        <w:jc w:val="both"/>
        <w:rPr>
          <w:rFonts w:ascii="Arial" w:hAnsi="Arial" w:cs="Arial"/>
        </w:rPr>
      </w:pPr>
    </w:p>
    <w:p w14:paraId="0B94ECF2" w14:textId="77777777" w:rsidR="00C9181D" w:rsidRDefault="00C9181D" w:rsidP="00F3726F">
      <w:pPr>
        <w:spacing w:after="0" w:line="240" w:lineRule="auto"/>
        <w:jc w:val="both"/>
        <w:rPr>
          <w:rFonts w:ascii="Arial" w:hAnsi="Arial" w:cs="Arial"/>
        </w:rPr>
      </w:pPr>
    </w:p>
    <w:p w14:paraId="4BF3B495" w14:textId="2100BCB1" w:rsidR="00C9181D" w:rsidRDefault="00C50310" w:rsidP="00F3726F">
      <w:pPr>
        <w:pStyle w:val="ListParagraph"/>
        <w:numPr>
          <w:ilvl w:val="0"/>
          <w:numId w:val="1"/>
        </w:numPr>
        <w:spacing w:after="0" w:line="240" w:lineRule="auto"/>
        <w:ind w:left="0" w:hanging="426"/>
        <w:jc w:val="both"/>
        <w:rPr>
          <w:rFonts w:ascii="Arial" w:hAnsi="Arial" w:cs="Arial"/>
          <w:b/>
          <w:color w:val="0070C0"/>
          <w:sz w:val="24"/>
          <w:szCs w:val="24"/>
        </w:rPr>
      </w:pPr>
      <w:r w:rsidRPr="00C9181D">
        <w:rPr>
          <w:rFonts w:ascii="Arial" w:hAnsi="Arial" w:cs="Arial"/>
          <w:b/>
          <w:color w:val="0070C0"/>
          <w:sz w:val="24"/>
          <w:szCs w:val="24"/>
        </w:rPr>
        <w:t>Structure</w:t>
      </w:r>
      <w:r w:rsidR="0029070B">
        <w:rPr>
          <w:rFonts w:ascii="Arial" w:hAnsi="Arial" w:cs="Arial"/>
          <w:b/>
          <w:color w:val="0070C0"/>
          <w:sz w:val="24"/>
          <w:szCs w:val="24"/>
        </w:rPr>
        <w:t xml:space="preserve"> </w:t>
      </w:r>
      <w:r w:rsidR="0007597B" w:rsidRPr="00C9181D">
        <w:rPr>
          <w:rFonts w:ascii="Arial" w:hAnsi="Arial" w:cs="Arial"/>
          <w:b/>
          <w:color w:val="0070C0"/>
          <w:sz w:val="24"/>
          <w:szCs w:val="24"/>
        </w:rPr>
        <w:t>/</w:t>
      </w:r>
      <w:r w:rsidR="0029070B">
        <w:rPr>
          <w:rFonts w:ascii="Arial" w:hAnsi="Arial" w:cs="Arial"/>
          <w:b/>
          <w:color w:val="0070C0"/>
          <w:sz w:val="24"/>
          <w:szCs w:val="24"/>
        </w:rPr>
        <w:t xml:space="preserve"> F</w:t>
      </w:r>
      <w:r w:rsidR="0007597B" w:rsidRPr="00C9181D">
        <w:rPr>
          <w:rFonts w:ascii="Arial" w:hAnsi="Arial" w:cs="Arial"/>
          <w:b/>
          <w:color w:val="0070C0"/>
          <w:sz w:val="24"/>
          <w:szCs w:val="24"/>
        </w:rPr>
        <w:t>ormat</w:t>
      </w:r>
      <w:r w:rsidR="0029070B">
        <w:rPr>
          <w:rFonts w:ascii="Arial" w:hAnsi="Arial" w:cs="Arial"/>
          <w:b/>
          <w:color w:val="0070C0"/>
          <w:sz w:val="24"/>
          <w:szCs w:val="24"/>
        </w:rPr>
        <w:t xml:space="preserve"> of S</w:t>
      </w:r>
      <w:r w:rsidRPr="00C9181D">
        <w:rPr>
          <w:rFonts w:ascii="Arial" w:hAnsi="Arial" w:cs="Arial"/>
          <w:b/>
          <w:color w:val="0070C0"/>
          <w:sz w:val="24"/>
          <w:szCs w:val="24"/>
        </w:rPr>
        <w:t>ubmission</w:t>
      </w:r>
    </w:p>
    <w:p w14:paraId="03233643" w14:textId="77777777" w:rsidR="00E72CAF" w:rsidRPr="00E72CAF" w:rsidRDefault="00E72CAF" w:rsidP="00E72CAF">
      <w:pPr>
        <w:spacing w:after="0" w:line="240" w:lineRule="auto"/>
        <w:jc w:val="both"/>
        <w:rPr>
          <w:rFonts w:ascii="Arial" w:hAnsi="Arial" w:cs="Arial"/>
          <w:b/>
          <w:color w:val="0070C0"/>
          <w:sz w:val="24"/>
          <w:szCs w:val="24"/>
        </w:rPr>
      </w:pPr>
    </w:p>
    <w:p w14:paraId="03BF0D9F" w14:textId="1FBF0E69" w:rsidR="004F2225" w:rsidRPr="004F2225" w:rsidRDefault="004F2225" w:rsidP="004F2225">
      <w:pPr>
        <w:rPr>
          <w:rFonts w:ascii="Arial" w:hAnsi="Arial" w:cs="Arial"/>
          <w:color w:val="FF0000"/>
        </w:rPr>
      </w:pPr>
      <w:r w:rsidRPr="004F2225">
        <w:rPr>
          <w:rFonts w:ascii="Arial" w:hAnsi="Arial" w:cs="Arial"/>
        </w:rPr>
        <w:t xml:space="preserve">The proposal must clearly demonstrate how the research objectives listed above will be met. </w:t>
      </w:r>
    </w:p>
    <w:p w14:paraId="1510498D" w14:textId="6F8305A3" w:rsidR="004F2225" w:rsidRPr="004F2225" w:rsidRDefault="004F2225" w:rsidP="004F2225">
      <w:pPr>
        <w:rPr>
          <w:rFonts w:ascii="Arial" w:hAnsi="Arial" w:cs="Arial"/>
          <w:color w:val="FF0000"/>
        </w:rPr>
      </w:pPr>
      <w:r w:rsidRPr="004F2225">
        <w:rPr>
          <w:rFonts w:ascii="Arial" w:hAnsi="Arial" w:cs="Arial"/>
        </w:rPr>
        <w:t>The methodologies used to achieve the research objectives must clearly be identified in the proposal with clear demonstration of how the approach achieves the objectives.</w:t>
      </w:r>
    </w:p>
    <w:p w14:paraId="2CE25162" w14:textId="73AA52FA" w:rsidR="004F2225" w:rsidRPr="004F2225" w:rsidRDefault="004F2225" w:rsidP="004F2225">
      <w:pPr>
        <w:rPr>
          <w:rFonts w:ascii="Arial" w:hAnsi="Arial" w:cs="Arial"/>
        </w:rPr>
      </w:pPr>
      <w:r w:rsidRPr="004F2225">
        <w:rPr>
          <w:rFonts w:ascii="Arial" w:hAnsi="Arial" w:cs="Arial"/>
        </w:rPr>
        <w:t>Any research tools e</w:t>
      </w:r>
      <w:r w:rsidR="008A391B">
        <w:rPr>
          <w:rFonts w:ascii="Arial" w:hAnsi="Arial" w:cs="Arial"/>
        </w:rPr>
        <w:t>.</w:t>
      </w:r>
      <w:r w:rsidRPr="004F2225">
        <w:rPr>
          <w:rFonts w:ascii="Arial" w:hAnsi="Arial" w:cs="Arial"/>
        </w:rPr>
        <w:t xml:space="preserve">g. discussion guides, questionnaires etc. used by the successful tenderer must be approved by AHDB prior to any fieldwork taking place. </w:t>
      </w:r>
    </w:p>
    <w:p w14:paraId="790A2744" w14:textId="77777777" w:rsidR="004F2225" w:rsidRDefault="004F2225" w:rsidP="00F3726F">
      <w:pPr>
        <w:jc w:val="both"/>
        <w:rPr>
          <w:rFonts w:ascii="Arial" w:hAnsi="Arial" w:cs="Arial"/>
        </w:rPr>
      </w:pPr>
    </w:p>
    <w:p w14:paraId="5F63A021" w14:textId="77777777" w:rsidR="00C9181D" w:rsidRDefault="00C9181D" w:rsidP="00F3726F">
      <w:pPr>
        <w:jc w:val="both"/>
        <w:rPr>
          <w:rFonts w:ascii="Arial" w:hAnsi="Arial" w:cs="Arial"/>
        </w:rPr>
      </w:pPr>
    </w:p>
    <w:p w14:paraId="0C02F054" w14:textId="77777777" w:rsidR="000C51D8" w:rsidRPr="00EF7FA1" w:rsidRDefault="00D20A43" w:rsidP="00EF7FA1">
      <w:pPr>
        <w:pStyle w:val="ListParagraph"/>
        <w:numPr>
          <w:ilvl w:val="0"/>
          <w:numId w:val="1"/>
        </w:numPr>
        <w:spacing w:after="0" w:line="240" w:lineRule="auto"/>
        <w:ind w:left="0" w:hanging="426"/>
        <w:jc w:val="both"/>
        <w:rPr>
          <w:rFonts w:ascii="Arial" w:hAnsi="Arial" w:cs="Arial"/>
          <w:b/>
          <w:color w:val="0070C0"/>
          <w:sz w:val="24"/>
          <w:szCs w:val="24"/>
        </w:rPr>
      </w:pPr>
      <w:r w:rsidRPr="00D20A43">
        <w:rPr>
          <w:rFonts w:ascii="Arial" w:hAnsi="Arial" w:cs="Arial"/>
          <w:b/>
          <w:color w:val="0070C0"/>
          <w:sz w:val="24"/>
          <w:szCs w:val="24"/>
        </w:rPr>
        <w:t xml:space="preserve">Evaluation and </w:t>
      </w:r>
      <w:r w:rsidR="003249FC" w:rsidRPr="00D20A43">
        <w:rPr>
          <w:rFonts w:ascii="Arial" w:hAnsi="Arial" w:cs="Arial"/>
          <w:b/>
          <w:color w:val="0070C0"/>
          <w:sz w:val="24"/>
          <w:szCs w:val="24"/>
        </w:rPr>
        <w:t>Award of Contract</w:t>
      </w:r>
      <w:r w:rsidR="00265CCC" w:rsidRPr="00EF7FA1">
        <w:rPr>
          <w:rFonts w:ascii="Arial" w:hAnsi="Arial" w:cs="Arial"/>
          <w:i/>
        </w:rPr>
        <w:t xml:space="preserve"> </w:t>
      </w:r>
    </w:p>
    <w:p w14:paraId="2D1720FA" w14:textId="77777777" w:rsidR="00E72CAF" w:rsidRDefault="00E72CAF" w:rsidP="00F3726F">
      <w:pPr>
        <w:spacing w:after="0" w:line="240" w:lineRule="auto"/>
        <w:jc w:val="both"/>
        <w:rPr>
          <w:rFonts w:ascii="Arial" w:hAnsi="Arial" w:cs="Arial"/>
        </w:rPr>
      </w:pPr>
    </w:p>
    <w:p w14:paraId="05BC392A" w14:textId="45B78932" w:rsidR="001C1996" w:rsidRDefault="001C1996" w:rsidP="00F3726F">
      <w:pPr>
        <w:spacing w:after="0" w:line="240" w:lineRule="auto"/>
        <w:jc w:val="both"/>
        <w:rPr>
          <w:rFonts w:ascii="Arial" w:hAnsi="Arial" w:cs="Arial"/>
        </w:rPr>
      </w:pPr>
      <w:r>
        <w:rPr>
          <w:rFonts w:ascii="Arial" w:hAnsi="Arial" w:cs="Arial"/>
        </w:rPr>
        <w:t xml:space="preserve">Evaluation </w:t>
      </w:r>
      <w:r w:rsidR="005B0240">
        <w:rPr>
          <w:rFonts w:ascii="Arial" w:hAnsi="Arial" w:cs="Arial"/>
        </w:rPr>
        <w:t xml:space="preserve">of tenders </w:t>
      </w:r>
      <w:r>
        <w:rPr>
          <w:rFonts w:ascii="Arial" w:hAnsi="Arial" w:cs="Arial"/>
        </w:rPr>
        <w:t>will be on the following basis:-</w:t>
      </w:r>
    </w:p>
    <w:p w14:paraId="20E9C2F2" w14:textId="77777777" w:rsidR="001C1996" w:rsidRDefault="001C1996" w:rsidP="00F3726F">
      <w:pPr>
        <w:spacing w:after="0" w:line="240" w:lineRule="auto"/>
        <w:jc w:val="both"/>
        <w:rPr>
          <w:rFonts w:ascii="Arial" w:hAnsi="Arial" w:cs="Arial"/>
        </w:rPr>
      </w:pPr>
    </w:p>
    <w:tbl>
      <w:tblPr>
        <w:tblStyle w:val="TableGrid"/>
        <w:tblW w:w="9530" w:type="dxa"/>
        <w:tblLook w:val="04A0" w:firstRow="1" w:lastRow="0" w:firstColumn="1" w:lastColumn="0" w:noHBand="0" w:noVBand="1"/>
      </w:tblPr>
      <w:tblGrid>
        <w:gridCol w:w="4977"/>
        <w:gridCol w:w="4553"/>
      </w:tblGrid>
      <w:tr w:rsidR="001C1996" w14:paraId="20A03770" w14:textId="77777777" w:rsidTr="00B40770">
        <w:trPr>
          <w:trHeight w:val="248"/>
        </w:trPr>
        <w:tc>
          <w:tcPr>
            <w:tcW w:w="4977" w:type="dxa"/>
            <w:vAlign w:val="center"/>
          </w:tcPr>
          <w:p w14:paraId="42E88AB7" w14:textId="77777777" w:rsidR="001C1996" w:rsidRDefault="001C1996" w:rsidP="00B40770">
            <w:pPr>
              <w:rPr>
                <w:rFonts w:ascii="Arial" w:hAnsi="Arial" w:cs="Arial"/>
              </w:rPr>
            </w:pPr>
          </w:p>
        </w:tc>
        <w:tc>
          <w:tcPr>
            <w:tcW w:w="4553" w:type="dxa"/>
            <w:vAlign w:val="center"/>
          </w:tcPr>
          <w:p w14:paraId="6E1E6F49" w14:textId="77777777" w:rsidR="001C1996" w:rsidRDefault="001C1996" w:rsidP="00F3726F">
            <w:pPr>
              <w:jc w:val="both"/>
              <w:rPr>
                <w:rFonts w:ascii="Arial" w:hAnsi="Arial" w:cs="Arial"/>
              </w:rPr>
            </w:pPr>
            <w:r>
              <w:rPr>
                <w:rFonts w:ascii="Arial" w:hAnsi="Arial" w:cs="Arial"/>
              </w:rPr>
              <w:t>Weighting</w:t>
            </w:r>
            <w:r w:rsidR="00A83C67">
              <w:rPr>
                <w:rFonts w:ascii="Arial" w:hAnsi="Arial" w:cs="Arial"/>
              </w:rPr>
              <w:t xml:space="preserve"> (100%)</w:t>
            </w:r>
          </w:p>
        </w:tc>
      </w:tr>
      <w:tr w:rsidR="001C1996" w14:paraId="2E4D5F6C" w14:textId="77777777" w:rsidTr="00B40770">
        <w:trPr>
          <w:trHeight w:val="1097"/>
        </w:trPr>
        <w:tc>
          <w:tcPr>
            <w:tcW w:w="4977" w:type="dxa"/>
            <w:vAlign w:val="center"/>
          </w:tcPr>
          <w:p w14:paraId="74AD8D22" w14:textId="77777777" w:rsidR="0025244C" w:rsidRDefault="0025244C" w:rsidP="00F3726F">
            <w:pPr>
              <w:jc w:val="both"/>
              <w:rPr>
                <w:rFonts w:ascii="Arial" w:hAnsi="Arial" w:cs="Arial"/>
              </w:rPr>
            </w:pPr>
          </w:p>
          <w:p w14:paraId="449757EE" w14:textId="787E10AF" w:rsidR="0025244C" w:rsidRDefault="0025244C" w:rsidP="00B40770">
            <w:pPr>
              <w:spacing w:line="264" w:lineRule="auto"/>
              <w:rPr>
                <w:rFonts w:ascii="Arial" w:hAnsi="Arial" w:cs="Arial"/>
              </w:rPr>
            </w:pPr>
            <w:r w:rsidRPr="001F630A">
              <w:rPr>
                <w:rFonts w:ascii="Arial" w:hAnsi="Arial" w:cs="Arial"/>
              </w:rPr>
              <w:t>Demonstrate a clear understanding of the brief and research objectives in the proposal.</w:t>
            </w:r>
          </w:p>
        </w:tc>
        <w:tc>
          <w:tcPr>
            <w:tcW w:w="4553" w:type="dxa"/>
            <w:vAlign w:val="center"/>
          </w:tcPr>
          <w:p w14:paraId="7D151ED9" w14:textId="4CF1EF81" w:rsidR="00B40770" w:rsidRPr="00B40770" w:rsidRDefault="00AA7762" w:rsidP="00B40770">
            <w:pPr>
              <w:jc w:val="both"/>
              <w:rPr>
                <w:rFonts w:ascii="Arial" w:hAnsi="Arial" w:cs="Arial"/>
              </w:rPr>
            </w:pPr>
            <w:r>
              <w:rPr>
                <w:rFonts w:ascii="Arial" w:hAnsi="Arial" w:cs="Arial"/>
              </w:rPr>
              <w:t>5%</w:t>
            </w:r>
          </w:p>
        </w:tc>
      </w:tr>
      <w:tr w:rsidR="00AA7762" w14:paraId="0D16EDE7" w14:textId="77777777" w:rsidTr="00B40770">
        <w:trPr>
          <w:trHeight w:val="2734"/>
        </w:trPr>
        <w:tc>
          <w:tcPr>
            <w:tcW w:w="4977" w:type="dxa"/>
            <w:vAlign w:val="center"/>
          </w:tcPr>
          <w:p w14:paraId="4F0991F1" w14:textId="2C98343C" w:rsidR="00AA7762" w:rsidRDefault="00AA7762" w:rsidP="00B40770">
            <w:pPr>
              <w:spacing w:line="264" w:lineRule="auto"/>
              <w:rPr>
                <w:rFonts w:ascii="Arial" w:hAnsi="Arial" w:cs="Arial"/>
              </w:rPr>
            </w:pPr>
            <w:r w:rsidRPr="008F7068">
              <w:rPr>
                <w:rFonts w:ascii="Arial" w:hAnsi="Arial" w:cs="Arial"/>
              </w:rPr>
              <w:t>Outline a clear approach</w:t>
            </w:r>
            <w:r>
              <w:rPr>
                <w:rFonts w:ascii="Arial" w:hAnsi="Arial" w:cs="Arial"/>
              </w:rPr>
              <w:t xml:space="preserve">, </w:t>
            </w:r>
            <w:r w:rsidRPr="008F7068">
              <w:rPr>
                <w:rFonts w:ascii="Arial" w:hAnsi="Arial" w:cs="Arial"/>
              </w:rPr>
              <w:t>highlight</w:t>
            </w:r>
            <w:r>
              <w:rPr>
                <w:rFonts w:ascii="Arial" w:hAnsi="Arial" w:cs="Arial"/>
              </w:rPr>
              <w:t>ing</w:t>
            </w:r>
            <w:r w:rsidRPr="008F7068">
              <w:rPr>
                <w:rFonts w:ascii="Arial" w:hAnsi="Arial" w:cs="Arial"/>
              </w:rPr>
              <w:t xml:space="preserve"> the methodology and/or </w:t>
            </w:r>
            <w:r>
              <w:rPr>
                <w:rFonts w:ascii="Arial" w:hAnsi="Arial" w:cs="Arial"/>
              </w:rPr>
              <w:t xml:space="preserve">approach for the </w:t>
            </w:r>
            <w:r w:rsidRPr="008F7068">
              <w:rPr>
                <w:rFonts w:ascii="Arial" w:hAnsi="Arial" w:cs="Arial"/>
              </w:rPr>
              <w:t>analysis – clearly showing how they are relevant and link to achie</w:t>
            </w:r>
            <w:r>
              <w:rPr>
                <w:rFonts w:ascii="Arial" w:hAnsi="Arial" w:cs="Arial"/>
              </w:rPr>
              <w:t>ving the research objectives.</w:t>
            </w:r>
          </w:p>
        </w:tc>
        <w:tc>
          <w:tcPr>
            <w:tcW w:w="4553" w:type="dxa"/>
            <w:vAlign w:val="center"/>
          </w:tcPr>
          <w:p w14:paraId="3D309D7F" w14:textId="3475DEA8" w:rsidR="00AA7762" w:rsidRDefault="00AA7762" w:rsidP="00F3726F">
            <w:pPr>
              <w:jc w:val="both"/>
              <w:rPr>
                <w:rFonts w:ascii="Arial" w:hAnsi="Arial" w:cs="Arial"/>
              </w:rPr>
            </w:pPr>
            <w:r>
              <w:rPr>
                <w:rFonts w:ascii="Arial" w:hAnsi="Arial" w:cs="Arial"/>
              </w:rPr>
              <w:t>40%</w:t>
            </w:r>
          </w:p>
        </w:tc>
      </w:tr>
      <w:tr w:rsidR="00B40770" w14:paraId="55ECD93D" w14:textId="77777777" w:rsidTr="00B40770">
        <w:trPr>
          <w:trHeight w:val="1550"/>
        </w:trPr>
        <w:tc>
          <w:tcPr>
            <w:tcW w:w="4977" w:type="dxa"/>
            <w:vAlign w:val="center"/>
          </w:tcPr>
          <w:p w14:paraId="301A8F13" w14:textId="1CDA6850" w:rsidR="00B40770" w:rsidRPr="008F7068" w:rsidRDefault="00B40770" w:rsidP="00B40770">
            <w:pPr>
              <w:spacing w:after="120" w:line="264" w:lineRule="auto"/>
              <w:rPr>
                <w:rFonts w:ascii="Arial" w:hAnsi="Arial" w:cs="Arial"/>
              </w:rPr>
            </w:pPr>
            <w:r w:rsidRPr="008F7068">
              <w:rPr>
                <w:rFonts w:ascii="Arial" w:hAnsi="Arial" w:cs="Arial"/>
              </w:rPr>
              <w:t>Experience of project manager and supporting team in delivering similar projects in terms of methodology</w:t>
            </w:r>
            <w:r>
              <w:rPr>
                <w:rFonts w:ascii="Arial" w:hAnsi="Arial" w:cs="Arial"/>
              </w:rPr>
              <w:t xml:space="preserve"> and focused on agriculture production systems.</w:t>
            </w:r>
          </w:p>
        </w:tc>
        <w:tc>
          <w:tcPr>
            <w:tcW w:w="4553" w:type="dxa"/>
            <w:vAlign w:val="center"/>
          </w:tcPr>
          <w:p w14:paraId="05EFA72B" w14:textId="577A86A5" w:rsidR="00B40770" w:rsidRDefault="00B40770" w:rsidP="00B40770">
            <w:pPr>
              <w:jc w:val="both"/>
              <w:rPr>
                <w:rFonts w:ascii="Arial" w:hAnsi="Arial" w:cs="Arial"/>
              </w:rPr>
            </w:pPr>
            <w:r>
              <w:rPr>
                <w:rFonts w:ascii="Arial" w:hAnsi="Arial" w:cs="Arial"/>
              </w:rPr>
              <w:t>20%</w:t>
            </w:r>
          </w:p>
        </w:tc>
      </w:tr>
      <w:tr w:rsidR="00B40770" w14:paraId="1FF68A1F" w14:textId="77777777" w:rsidTr="00B40770">
        <w:trPr>
          <w:trHeight w:val="2252"/>
        </w:trPr>
        <w:tc>
          <w:tcPr>
            <w:tcW w:w="4977" w:type="dxa"/>
            <w:vAlign w:val="center"/>
          </w:tcPr>
          <w:p w14:paraId="7E18E639" w14:textId="6B453521" w:rsidR="00B40770" w:rsidRDefault="00B40770" w:rsidP="00B40770">
            <w:pPr>
              <w:spacing w:line="264" w:lineRule="auto"/>
              <w:rPr>
                <w:rFonts w:ascii="Arial" w:hAnsi="Arial" w:cs="Arial"/>
              </w:rPr>
            </w:pPr>
            <w:r w:rsidRPr="008F7068">
              <w:rPr>
                <w:rFonts w:ascii="Arial" w:hAnsi="Arial" w:cs="Arial"/>
              </w:rPr>
              <w:t>An objective and well-structured proposal which clearly lays out the required information and includes a detailed breakdown of costs and a project plan with a timeline, identification of any risks/key dates.</w:t>
            </w:r>
            <w:r>
              <w:rPr>
                <w:rFonts w:ascii="Arial" w:hAnsi="Arial" w:cs="Arial"/>
              </w:rPr>
              <w:t xml:space="preserve"> Contingency planning, including for staff absence/changes, sub-contracting issues</w:t>
            </w:r>
          </w:p>
        </w:tc>
        <w:tc>
          <w:tcPr>
            <w:tcW w:w="4553" w:type="dxa"/>
            <w:vAlign w:val="center"/>
          </w:tcPr>
          <w:p w14:paraId="1C450C53" w14:textId="30A430D7" w:rsidR="00B40770" w:rsidRDefault="00B40770" w:rsidP="00B40770">
            <w:pPr>
              <w:jc w:val="both"/>
              <w:rPr>
                <w:rFonts w:ascii="Arial" w:hAnsi="Arial" w:cs="Arial"/>
              </w:rPr>
            </w:pPr>
            <w:r>
              <w:rPr>
                <w:rFonts w:ascii="Arial" w:hAnsi="Arial" w:cs="Arial"/>
              </w:rPr>
              <w:t>10%</w:t>
            </w:r>
          </w:p>
        </w:tc>
      </w:tr>
      <w:tr w:rsidR="00B40770" w14:paraId="5CD13CC5" w14:textId="77777777" w:rsidTr="00B40770">
        <w:trPr>
          <w:trHeight w:val="1278"/>
        </w:trPr>
        <w:tc>
          <w:tcPr>
            <w:tcW w:w="4977" w:type="dxa"/>
            <w:vAlign w:val="center"/>
          </w:tcPr>
          <w:p w14:paraId="78712CF1" w14:textId="4ACB3AA9" w:rsidR="00B40770" w:rsidRPr="008F7068" w:rsidRDefault="00B40770" w:rsidP="00B40770">
            <w:pPr>
              <w:spacing w:line="264" w:lineRule="auto"/>
              <w:rPr>
                <w:rFonts w:ascii="Arial" w:hAnsi="Arial" w:cs="Arial"/>
              </w:rPr>
            </w:pPr>
            <w:r w:rsidRPr="008F7068">
              <w:rPr>
                <w:rFonts w:ascii="Arial" w:hAnsi="Arial" w:cs="Arial"/>
              </w:rPr>
              <w:t xml:space="preserve">Demonstrate how a process for quality control will be followed for </w:t>
            </w:r>
            <w:r>
              <w:rPr>
                <w:rFonts w:ascii="Arial" w:hAnsi="Arial" w:cs="Arial"/>
              </w:rPr>
              <w:t xml:space="preserve">fieldwork </w:t>
            </w:r>
            <w:r w:rsidRPr="008F7068">
              <w:rPr>
                <w:rFonts w:ascii="Arial" w:hAnsi="Arial" w:cs="Arial"/>
              </w:rPr>
              <w:t>and interpretation/presentation of findings</w:t>
            </w:r>
            <w:r>
              <w:rPr>
                <w:rFonts w:ascii="Arial" w:hAnsi="Arial" w:cs="Arial"/>
              </w:rPr>
              <w:t xml:space="preserve">. </w:t>
            </w:r>
          </w:p>
          <w:p w14:paraId="4C108DC3" w14:textId="77777777" w:rsidR="00B40770" w:rsidRDefault="00B40770" w:rsidP="00B40770">
            <w:pPr>
              <w:jc w:val="both"/>
              <w:rPr>
                <w:rFonts w:ascii="Arial" w:hAnsi="Arial" w:cs="Arial"/>
              </w:rPr>
            </w:pPr>
          </w:p>
        </w:tc>
        <w:tc>
          <w:tcPr>
            <w:tcW w:w="4553" w:type="dxa"/>
            <w:vAlign w:val="center"/>
          </w:tcPr>
          <w:p w14:paraId="321B4FCD" w14:textId="0F94B3D1" w:rsidR="00B40770" w:rsidRDefault="00B40770" w:rsidP="00B40770">
            <w:pPr>
              <w:jc w:val="both"/>
              <w:rPr>
                <w:rFonts w:ascii="Arial" w:hAnsi="Arial" w:cs="Arial"/>
              </w:rPr>
            </w:pPr>
            <w:r>
              <w:rPr>
                <w:rFonts w:ascii="Arial" w:hAnsi="Arial" w:cs="Arial"/>
              </w:rPr>
              <w:t>5%</w:t>
            </w:r>
          </w:p>
        </w:tc>
      </w:tr>
      <w:tr w:rsidR="00B40770" w14:paraId="70AC85BC" w14:textId="77777777" w:rsidTr="00B40770">
        <w:trPr>
          <w:trHeight w:val="248"/>
        </w:trPr>
        <w:tc>
          <w:tcPr>
            <w:tcW w:w="4977" w:type="dxa"/>
            <w:vAlign w:val="center"/>
          </w:tcPr>
          <w:p w14:paraId="0D15E3FA" w14:textId="77777777" w:rsidR="00B40770" w:rsidRDefault="00B40770" w:rsidP="00B40770">
            <w:pPr>
              <w:spacing w:line="288" w:lineRule="auto"/>
              <w:rPr>
                <w:rFonts w:ascii="Arial" w:hAnsi="Arial" w:cs="Arial"/>
              </w:rPr>
            </w:pPr>
            <w:r>
              <w:rPr>
                <w:rFonts w:ascii="Arial" w:hAnsi="Arial" w:cs="Arial"/>
              </w:rPr>
              <w:t>Price:</w:t>
            </w:r>
            <w:r w:rsidRPr="00A62DDC">
              <w:rPr>
                <w:rFonts w:ascii="Arial" w:hAnsi="Arial" w:cs="Arial"/>
              </w:rPr>
              <w:t xml:space="preserve"> </w:t>
            </w:r>
          </w:p>
          <w:p w14:paraId="1BD79755" w14:textId="77777777" w:rsidR="00B40770" w:rsidRDefault="00B40770" w:rsidP="00B40770">
            <w:pPr>
              <w:spacing w:line="288" w:lineRule="auto"/>
              <w:rPr>
                <w:rFonts w:ascii="Arial" w:hAnsi="Arial" w:cs="Arial"/>
              </w:rPr>
            </w:pPr>
            <w:r w:rsidRPr="00A62DDC">
              <w:rPr>
                <w:rFonts w:ascii="Arial" w:hAnsi="Arial" w:cs="Arial"/>
              </w:rPr>
              <w:t>To enable comparability of proposals, a breakdown of costs (by key activities) with fieldwork costs</w:t>
            </w:r>
            <w:r>
              <w:rPr>
                <w:rFonts w:ascii="Arial" w:hAnsi="Arial" w:cs="Arial"/>
              </w:rPr>
              <w:t xml:space="preserve"> must</w:t>
            </w:r>
            <w:r w:rsidRPr="00A62DDC">
              <w:rPr>
                <w:rFonts w:ascii="Arial" w:hAnsi="Arial" w:cs="Arial"/>
              </w:rPr>
              <w:t xml:space="preserve"> be provided. </w:t>
            </w:r>
          </w:p>
          <w:p w14:paraId="72D619D1" w14:textId="77777777" w:rsidR="00B40770" w:rsidRDefault="00B40770" w:rsidP="00B40770">
            <w:pPr>
              <w:jc w:val="both"/>
              <w:rPr>
                <w:rFonts w:ascii="Arial" w:hAnsi="Arial" w:cs="Arial"/>
              </w:rPr>
            </w:pPr>
          </w:p>
        </w:tc>
        <w:tc>
          <w:tcPr>
            <w:tcW w:w="4553" w:type="dxa"/>
            <w:vAlign w:val="center"/>
          </w:tcPr>
          <w:p w14:paraId="1AA96C4D" w14:textId="38D5637B" w:rsidR="00B40770" w:rsidRDefault="00B40770" w:rsidP="00B40770">
            <w:pPr>
              <w:jc w:val="both"/>
              <w:rPr>
                <w:rFonts w:ascii="Arial" w:hAnsi="Arial" w:cs="Arial"/>
              </w:rPr>
            </w:pPr>
            <w:r>
              <w:rPr>
                <w:rFonts w:ascii="Arial" w:hAnsi="Arial" w:cs="Arial"/>
              </w:rPr>
              <w:t>20%</w:t>
            </w:r>
          </w:p>
        </w:tc>
      </w:tr>
    </w:tbl>
    <w:p w14:paraId="4DD6E9DA" w14:textId="77777777" w:rsidR="001C1996" w:rsidRDefault="001C1996" w:rsidP="00F3726F">
      <w:pPr>
        <w:spacing w:after="0" w:line="240" w:lineRule="auto"/>
        <w:jc w:val="both"/>
        <w:rPr>
          <w:rFonts w:ascii="Arial" w:hAnsi="Arial" w:cs="Arial"/>
        </w:rPr>
      </w:pPr>
    </w:p>
    <w:p w14:paraId="48D625D7" w14:textId="77777777" w:rsidR="00265CCC" w:rsidRPr="00B93DA4" w:rsidRDefault="00265CCC" w:rsidP="00F3726F">
      <w:pPr>
        <w:spacing w:after="0" w:line="240" w:lineRule="auto"/>
        <w:jc w:val="both"/>
        <w:rPr>
          <w:rFonts w:ascii="Arial" w:hAnsi="Arial" w:cs="Arial"/>
        </w:rPr>
      </w:pPr>
    </w:p>
    <w:p w14:paraId="5A76742F" w14:textId="77777777" w:rsidR="00C50310" w:rsidRPr="0029070B" w:rsidRDefault="007312FF" w:rsidP="00F3726F">
      <w:pPr>
        <w:pStyle w:val="ListParagraph"/>
        <w:numPr>
          <w:ilvl w:val="0"/>
          <w:numId w:val="1"/>
        </w:numPr>
        <w:spacing w:after="0" w:line="240" w:lineRule="auto"/>
        <w:ind w:left="0" w:hanging="426"/>
        <w:jc w:val="both"/>
        <w:rPr>
          <w:rFonts w:ascii="Arial" w:hAnsi="Arial" w:cs="Arial"/>
          <w:b/>
          <w:color w:val="0070C0"/>
          <w:sz w:val="24"/>
          <w:szCs w:val="24"/>
        </w:rPr>
      </w:pPr>
      <w:r w:rsidRPr="0029070B">
        <w:rPr>
          <w:rFonts w:ascii="Arial" w:hAnsi="Arial" w:cs="Arial"/>
          <w:b/>
          <w:color w:val="0070C0"/>
          <w:sz w:val="24"/>
          <w:szCs w:val="24"/>
        </w:rPr>
        <w:t>Tender submissions</w:t>
      </w:r>
    </w:p>
    <w:p w14:paraId="6BEC8A6B" w14:textId="77777777" w:rsidR="00F3726F" w:rsidRDefault="00F3726F" w:rsidP="00F3726F">
      <w:pPr>
        <w:spacing w:after="0" w:line="240" w:lineRule="auto"/>
        <w:jc w:val="both"/>
        <w:rPr>
          <w:rFonts w:ascii="Arial" w:hAnsi="Arial" w:cs="Arial"/>
        </w:rPr>
      </w:pPr>
    </w:p>
    <w:p w14:paraId="6C872261" w14:textId="77777777" w:rsidR="00F3726F" w:rsidRDefault="00F3726F" w:rsidP="00F3726F">
      <w:pPr>
        <w:spacing w:after="0" w:line="240" w:lineRule="auto"/>
        <w:jc w:val="both"/>
        <w:rPr>
          <w:rFonts w:ascii="Arial" w:hAnsi="Arial" w:cs="Arial"/>
        </w:rPr>
      </w:pPr>
    </w:p>
    <w:tbl>
      <w:tblPr>
        <w:tblStyle w:val="TableGrid"/>
        <w:tblW w:w="0" w:type="auto"/>
        <w:tblInd w:w="392" w:type="dxa"/>
        <w:tblLook w:val="04A0" w:firstRow="1" w:lastRow="0" w:firstColumn="1" w:lastColumn="0" w:noHBand="0" w:noVBand="1"/>
      </w:tblPr>
      <w:tblGrid>
        <w:gridCol w:w="3969"/>
        <w:gridCol w:w="4536"/>
      </w:tblGrid>
      <w:tr w:rsidR="00997606" w:rsidRPr="001C1996" w14:paraId="62D5DD36" w14:textId="77777777" w:rsidTr="00016AC6">
        <w:trPr>
          <w:trHeight w:val="452"/>
        </w:trPr>
        <w:tc>
          <w:tcPr>
            <w:tcW w:w="3969" w:type="dxa"/>
            <w:vAlign w:val="center"/>
          </w:tcPr>
          <w:p w14:paraId="173ED8A7" w14:textId="77777777" w:rsidR="00997606" w:rsidRPr="001C1996" w:rsidRDefault="00F865EA" w:rsidP="00F3726F">
            <w:pPr>
              <w:jc w:val="both"/>
              <w:rPr>
                <w:rFonts w:ascii="Arial" w:hAnsi="Arial" w:cs="Arial"/>
                <w:b/>
              </w:rPr>
            </w:pPr>
            <w:r>
              <w:rPr>
                <w:rFonts w:ascii="Arial" w:hAnsi="Arial" w:cs="Arial"/>
                <w:b/>
              </w:rPr>
              <w:t>Quotes</w:t>
            </w:r>
            <w:r w:rsidR="00997606" w:rsidRPr="001C1996">
              <w:rPr>
                <w:rFonts w:ascii="Arial" w:hAnsi="Arial" w:cs="Arial"/>
                <w:b/>
              </w:rPr>
              <w:t xml:space="preserve"> must be received by</w:t>
            </w:r>
            <w:r w:rsidR="00016AC6">
              <w:rPr>
                <w:rFonts w:ascii="Arial" w:hAnsi="Arial" w:cs="Arial"/>
                <w:b/>
              </w:rPr>
              <w:t xml:space="preserve"> Noon</w:t>
            </w:r>
            <w:r w:rsidR="00997606" w:rsidRPr="001C1996">
              <w:rPr>
                <w:rFonts w:ascii="Arial" w:hAnsi="Arial" w:cs="Arial"/>
                <w:b/>
              </w:rPr>
              <w:t>:</w:t>
            </w:r>
          </w:p>
        </w:tc>
        <w:tc>
          <w:tcPr>
            <w:tcW w:w="4536" w:type="dxa"/>
            <w:vAlign w:val="center"/>
          </w:tcPr>
          <w:p w14:paraId="610A4A6B" w14:textId="26D48E9B" w:rsidR="00997606" w:rsidRPr="001C1996" w:rsidRDefault="00541FD5" w:rsidP="00F3726F">
            <w:pPr>
              <w:jc w:val="both"/>
              <w:rPr>
                <w:rFonts w:ascii="Arial" w:hAnsi="Arial" w:cs="Arial"/>
                <w:b/>
              </w:rPr>
            </w:pPr>
            <w:r>
              <w:rPr>
                <w:rFonts w:ascii="Arial" w:hAnsi="Arial" w:cs="Arial"/>
                <w:b/>
              </w:rPr>
              <w:t>8 March 2024</w:t>
            </w:r>
            <w:r w:rsidR="00653462">
              <w:rPr>
                <w:rFonts w:ascii="Arial" w:hAnsi="Arial" w:cs="Arial"/>
                <w:b/>
              </w:rPr>
              <w:t xml:space="preserve"> </w:t>
            </w:r>
          </w:p>
        </w:tc>
      </w:tr>
    </w:tbl>
    <w:p w14:paraId="41944180" w14:textId="77777777" w:rsidR="00997606" w:rsidRDefault="00997606" w:rsidP="00F3726F">
      <w:pPr>
        <w:spacing w:after="0" w:line="240" w:lineRule="auto"/>
        <w:jc w:val="both"/>
        <w:rPr>
          <w:rFonts w:ascii="Arial" w:hAnsi="Arial" w:cs="Arial"/>
        </w:rPr>
      </w:pPr>
    </w:p>
    <w:p w14:paraId="13602879" w14:textId="73D8627F" w:rsidR="001C1996" w:rsidRDefault="00997606" w:rsidP="00F3726F">
      <w:pPr>
        <w:spacing w:after="0" w:line="240" w:lineRule="auto"/>
        <w:jc w:val="both"/>
        <w:rPr>
          <w:rFonts w:ascii="Arial" w:hAnsi="Arial" w:cs="Arial"/>
        </w:rPr>
      </w:pPr>
      <w:r>
        <w:rPr>
          <w:rFonts w:ascii="Arial" w:hAnsi="Arial" w:cs="Arial"/>
        </w:rPr>
        <w:t>Submission</w:t>
      </w:r>
      <w:r w:rsidR="003249FC">
        <w:rPr>
          <w:rFonts w:ascii="Arial" w:hAnsi="Arial" w:cs="Arial"/>
        </w:rPr>
        <w:t xml:space="preserve"> instructions</w:t>
      </w:r>
      <w:r>
        <w:rPr>
          <w:rFonts w:ascii="Arial" w:hAnsi="Arial" w:cs="Arial"/>
        </w:rPr>
        <w:t>:-</w:t>
      </w:r>
    </w:p>
    <w:p w14:paraId="6AFD76AE" w14:textId="77777777" w:rsidR="001C1996" w:rsidRDefault="001C1996" w:rsidP="00F3726F">
      <w:pPr>
        <w:spacing w:after="0" w:line="240" w:lineRule="auto"/>
        <w:jc w:val="both"/>
        <w:rPr>
          <w:rFonts w:ascii="Arial" w:hAnsi="Arial" w:cs="Arial"/>
        </w:rPr>
      </w:pPr>
    </w:p>
    <w:tbl>
      <w:tblPr>
        <w:tblStyle w:val="TableGrid"/>
        <w:tblW w:w="0" w:type="auto"/>
        <w:tblInd w:w="108" w:type="dxa"/>
        <w:tblLook w:val="04A0" w:firstRow="1" w:lastRow="0" w:firstColumn="1" w:lastColumn="0" w:noHBand="0" w:noVBand="1"/>
      </w:tblPr>
      <w:tblGrid>
        <w:gridCol w:w="3577"/>
        <w:gridCol w:w="5331"/>
      </w:tblGrid>
      <w:tr w:rsidR="00997606" w14:paraId="6C143AF8" w14:textId="77777777" w:rsidTr="001C1996">
        <w:tc>
          <w:tcPr>
            <w:tcW w:w="3686" w:type="dxa"/>
          </w:tcPr>
          <w:p w14:paraId="18BEF16A" w14:textId="77777777" w:rsidR="00997606" w:rsidRDefault="00997606" w:rsidP="00F3726F">
            <w:pPr>
              <w:jc w:val="both"/>
              <w:rPr>
                <w:rFonts w:ascii="Arial" w:hAnsi="Arial" w:cs="Arial"/>
              </w:rPr>
            </w:pPr>
            <w:r>
              <w:rPr>
                <w:rFonts w:ascii="Arial" w:hAnsi="Arial" w:cs="Arial"/>
              </w:rPr>
              <w:t>Email address:</w:t>
            </w:r>
          </w:p>
        </w:tc>
        <w:tc>
          <w:tcPr>
            <w:tcW w:w="5448" w:type="dxa"/>
          </w:tcPr>
          <w:p w14:paraId="70404141" w14:textId="7DAD1F0F" w:rsidR="00997606" w:rsidRDefault="006859EE" w:rsidP="00F3726F">
            <w:pPr>
              <w:jc w:val="both"/>
              <w:rPr>
                <w:rFonts w:ascii="Arial" w:hAnsi="Arial" w:cs="Arial"/>
              </w:rPr>
            </w:pPr>
            <w:hyperlink r:id="rId7" w:history="1">
              <w:r w:rsidR="00F06D6E" w:rsidRPr="000731B3">
                <w:rPr>
                  <w:rStyle w:val="Hyperlink"/>
                  <w:rFonts w:ascii="Arial" w:hAnsi="Arial" w:cs="Arial"/>
                </w:rPr>
                <w:t>David.Eudall@ahdb.org.uk</w:t>
              </w:r>
            </w:hyperlink>
          </w:p>
        </w:tc>
      </w:tr>
      <w:tr w:rsidR="00997606" w14:paraId="62A7D728" w14:textId="77777777" w:rsidTr="001C1996">
        <w:tc>
          <w:tcPr>
            <w:tcW w:w="3686" w:type="dxa"/>
          </w:tcPr>
          <w:p w14:paraId="5F272CB6" w14:textId="77777777" w:rsidR="00997606" w:rsidRDefault="00997606" w:rsidP="00F3726F">
            <w:pPr>
              <w:jc w:val="both"/>
              <w:rPr>
                <w:rFonts w:ascii="Arial" w:hAnsi="Arial" w:cs="Arial"/>
              </w:rPr>
            </w:pPr>
            <w:r>
              <w:rPr>
                <w:rFonts w:ascii="Arial" w:hAnsi="Arial" w:cs="Arial"/>
              </w:rPr>
              <w:t>Reference</w:t>
            </w:r>
            <w:r w:rsidR="005C4512">
              <w:rPr>
                <w:rFonts w:ascii="Arial" w:hAnsi="Arial" w:cs="Arial"/>
              </w:rPr>
              <w:t xml:space="preserve"> </w:t>
            </w:r>
            <w:r w:rsidR="005C4512" w:rsidRPr="005C4512">
              <w:rPr>
                <w:rFonts w:ascii="Arial" w:hAnsi="Arial" w:cs="Arial"/>
                <w:i/>
              </w:rPr>
              <w:t>(</w:t>
            </w:r>
            <w:r w:rsidR="001A3612">
              <w:rPr>
                <w:rFonts w:ascii="Arial" w:hAnsi="Arial" w:cs="Arial"/>
                <w:i/>
              </w:rPr>
              <w:t>entered as the</w:t>
            </w:r>
            <w:r w:rsidR="005C4512" w:rsidRPr="005C4512">
              <w:rPr>
                <w:rFonts w:ascii="Arial" w:hAnsi="Arial" w:cs="Arial"/>
                <w:i/>
              </w:rPr>
              <w:t xml:space="preserve"> </w:t>
            </w:r>
            <w:r w:rsidR="001A3612">
              <w:rPr>
                <w:rFonts w:ascii="Arial" w:hAnsi="Arial" w:cs="Arial"/>
                <w:i/>
              </w:rPr>
              <w:t>subject</w:t>
            </w:r>
            <w:r w:rsidR="005C4512" w:rsidRPr="005C4512">
              <w:rPr>
                <w:rFonts w:ascii="Arial" w:hAnsi="Arial" w:cs="Arial"/>
                <w:i/>
              </w:rPr>
              <w:t>)</w:t>
            </w:r>
            <w:r>
              <w:rPr>
                <w:rFonts w:ascii="Arial" w:hAnsi="Arial" w:cs="Arial"/>
              </w:rPr>
              <w:t>:</w:t>
            </w:r>
          </w:p>
        </w:tc>
        <w:tc>
          <w:tcPr>
            <w:tcW w:w="5448" w:type="dxa"/>
          </w:tcPr>
          <w:p w14:paraId="7CEB1C41" w14:textId="19D1C733" w:rsidR="00997606" w:rsidRDefault="00F06D6E" w:rsidP="00F3726F">
            <w:pPr>
              <w:jc w:val="both"/>
              <w:rPr>
                <w:rFonts w:ascii="Arial" w:hAnsi="Arial" w:cs="Arial"/>
              </w:rPr>
            </w:pPr>
            <w:r>
              <w:rPr>
                <w:rFonts w:ascii="Arial" w:hAnsi="Arial" w:cs="Arial"/>
              </w:rPr>
              <w:t>Cereals Assurance Evidence Gathering Submission</w:t>
            </w:r>
          </w:p>
        </w:tc>
      </w:tr>
    </w:tbl>
    <w:p w14:paraId="4530F34B" w14:textId="77777777" w:rsidR="00F06D6E" w:rsidRDefault="00F06D6E" w:rsidP="00F3726F">
      <w:pPr>
        <w:pStyle w:val="NoSpacing"/>
        <w:jc w:val="both"/>
        <w:rPr>
          <w:rFonts w:ascii="Arial" w:hAnsi="Arial" w:cs="Arial"/>
        </w:rPr>
      </w:pPr>
    </w:p>
    <w:p w14:paraId="08C22FF1" w14:textId="442471DD" w:rsidR="003249FC" w:rsidRPr="001C1996" w:rsidRDefault="003249FC" w:rsidP="00F3726F">
      <w:pPr>
        <w:pStyle w:val="NoSpacing"/>
        <w:jc w:val="both"/>
        <w:rPr>
          <w:rFonts w:ascii="Arial" w:hAnsi="Arial" w:cs="Arial"/>
        </w:rPr>
      </w:pPr>
      <w:r w:rsidRPr="001C1996">
        <w:rPr>
          <w:rFonts w:ascii="Arial" w:hAnsi="Arial" w:cs="Arial"/>
        </w:rPr>
        <w:t>Submissions will remain unopened until after the closing date and time has passed.</w:t>
      </w:r>
    </w:p>
    <w:p w14:paraId="1CB5E5FA" w14:textId="77777777" w:rsidR="003249FC" w:rsidRDefault="003249FC" w:rsidP="00F3726F">
      <w:pPr>
        <w:pStyle w:val="NoSpacing"/>
        <w:jc w:val="both"/>
        <w:rPr>
          <w:rFonts w:ascii="Arial" w:hAnsi="Arial" w:cs="Arial"/>
        </w:rPr>
      </w:pPr>
    </w:p>
    <w:p w14:paraId="09446EDB" w14:textId="77777777" w:rsidR="00C50310" w:rsidRPr="001A3612" w:rsidRDefault="00C50310" w:rsidP="00F3726F">
      <w:pPr>
        <w:pStyle w:val="NoSpacing"/>
        <w:numPr>
          <w:ilvl w:val="0"/>
          <w:numId w:val="1"/>
        </w:numPr>
        <w:ind w:left="0" w:hanging="426"/>
        <w:jc w:val="both"/>
        <w:rPr>
          <w:rFonts w:ascii="Arial" w:hAnsi="Arial" w:cs="Arial"/>
          <w:b/>
          <w:color w:val="0070C0"/>
          <w:sz w:val="24"/>
          <w:szCs w:val="24"/>
        </w:rPr>
      </w:pPr>
      <w:r w:rsidRPr="001A3612">
        <w:rPr>
          <w:rFonts w:ascii="Arial" w:hAnsi="Arial" w:cs="Arial"/>
          <w:b/>
          <w:color w:val="0070C0"/>
          <w:sz w:val="24"/>
          <w:szCs w:val="24"/>
        </w:rPr>
        <w:t>Timetable</w:t>
      </w:r>
    </w:p>
    <w:p w14:paraId="215D8288" w14:textId="77777777" w:rsidR="00997606" w:rsidRPr="00B93DA4" w:rsidRDefault="00997606" w:rsidP="00F3726F">
      <w:pPr>
        <w:pStyle w:val="NoSpacing"/>
        <w:jc w:val="both"/>
        <w:rPr>
          <w:rFonts w:ascii="Arial" w:hAnsi="Arial" w:cs="Arial"/>
        </w:rPr>
      </w:pPr>
    </w:p>
    <w:tbl>
      <w:tblPr>
        <w:tblW w:w="7201" w:type="dxa"/>
        <w:tblInd w:w="675" w:type="dxa"/>
        <w:tblLook w:val="04A0" w:firstRow="1" w:lastRow="0" w:firstColumn="1" w:lastColumn="0" w:noHBand="0" w:noVBand="1"/>
      </w:tblPr>
      <w:tblGrid>
        <w:gridCol w:w="7484"/>
      </w:tblGrid>
      <w:tr w:rsidR="00C50310" w:rsidRPr="00B93DA4" w14:paraId="02A21343" w14:textId="77777777" w:rsidTr="001C1996">
        <w:tc>
          <w:tcPr>
            <w:tcW w:w="7201" w:type="dxa"/>
            <w:vAlign w:val="center"/>
          </w:tcPr>
          <w:tbl>
            <w:tblPr>
              <w:tblW w:w="7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1984"/>
            </w:tblGrid>
            <w:tr w:rsidR="00C50310" w:rsidRPr="00B93DA4" w14:paraId="2359FF0E" w14:textId="77777777" w:rsidTr="001C1996">
              <w:trPr>
                <w:trHeight w:val="355"/>
                <w:jc w:val="center"/>
              </w:trPr>
              <w:tc>
                <w:tcPr>
                  <w:tcW w:w="5274" w:type="dxa"/>
                </w:tcPr>
                <w:p w14:paraId="1B654D03" w14:textId="77777777" w:rsidR="00C50310" w:rsidRPr="00B93DA4" w:rsidRDefault="00C50310" w:rsidP="00F3726F">
                  <w:pPr>
                    <w:pStyle w:val="NoSpacing"/>
                    <w:jc w:val="both"/>
                    <w:rPr>
                      <w:rFonts w:ascii="Arial" w:hAnsi="Arial" w:cs="Arial"/>
                    </w:rPr>
                  </w:pPr>
                </w:p>
              </w:tc>
              <w:tc>
                <w:tcPr>
                  <w:tcW w:w="1984" w:type="dxa"/>
                  <w:vAlign w:val="center"/>
                </w:tcPr>
                <w:p w14:paraId="18482902" w14:textId="77777777" w:rsidR="00C50310" w:rsidRPr="00B93DA4" w:rsidRDefault="00C50310" w:rsidP="00F3726F">
                  <w:pPr>
                    <w:pStyle w:val="NoSpacing"/>
                    <w:jc w:val="both"/>
                    <w:rPr>
                      <w:rFonts w:ascii="Arial" w:hAnsi="Arial" w:cs="Arial"/>
                      <w:color w:val="000000" w:themeColor="text1"/>
                    </w:rPr>
                  </w:pPr>
                  <w:r w:rsidRPr="00B93DA4">
                    <w:rPr>
                      <w:rFonts w:ascii="Arial" w:hAnsi="Arial" w:cs="Arial"/>
                      <w:color w:val="000000" w:themeColor="text1"/>
                    </w:rPr>
                    <w:t>Deadline</w:t>
                  </w:r>
                </w:p>
              </w:tc>
            </w:tr>
            <w:tr w:rsidR="00C50310" w:rsidRPr="00B93DA4" w14:paraId="0DB36B93" w14:textId="77777777" w:rsidTr="005B0240">
              <w:trPr>
                <w:trHeight w:val="355"/>
                <w:jc w:val="center"/>
              </w:trPr>
              <w:tc>
                <w:tcPr>
                  <w:tcW w:w="5274" w:type="dxa"/>
                  <w:vAlign w:val="center"/>
                </w:tcPr>
                <w:p w14:paraId="4E9A80F2" w14:textId="77777777" w:rsidR="00C50310" w:rsidRPr="00B93DA4" w:rsidRDefault="00A83C67" w:rsidP="00F3726F">
                  <w:pPr>
                    <w:pStyle w:val="NoSpacing"/>
                    <w:jc w:val="both"/>
                    <w:rPr>
                      <w:rFonts w:ascii="Arial" w:hAnsi="Arial" w:cs="Arial"/>
                    </w:rPr>
                  </w:pPr>
                  <w:r>
                    <w:rPr>
                      <w:rFonts w:ascii="Arial" w:hAnsi="Arial" w:cs="Arial"/>
                    </w:rPr>
                    <w:t>RFQ</w:t>
                  </w:r>
                  <w:r w:rsidR="00C50310" w:rsidRPr="00B93DA4">
                    <w:rPr>
                      <w:rFonts w:ascii="Arial" w:hAnsi="Arial" w:cs="Arial"/>
                    </w:rPr>
                    <w:t xml:space="preserve"> circulated</w:t>
                  </w:r>
                </w:p>
              </w:tc>
              <w:tc>
                <w:tcPr>
                  <w:tcW w:w="1984" w:type="dxa"/>
                  <w:vAlign w:val="center"/>
                </w:tcPr>
                <w:p w14:paraId="18519AFC" w14:textId="3CBB0CDB" w:rsidR="00C50310" w:rsidRPr="00B93DA4" w:rsidRDefault="007E6349" w:rsidP="00F3726F">
                  <w:pPr>
                    <w:pStyle w:val="NoSpacing"/>
                    <w:jc w:val="both"/>
                    <w:rPr>
                      <w:rFonts w:ascii="Arial" w:hAnsi="Arial" w:cs="Arial"/>
                      <w:color w:val="000000" w:themeColor="text1"/>
                    </w:rPr>
                  </w:pPr>
                  <w:r>
                    <w:rPr>
                      <w:rFonts w:ascii="Arial" w:hAnsi="Arial" w:cs="Arial"/>
                      <w:color w:val="000000" w:themeColor="text1"/>
                    </w:rPr>
                    <w:t>1</w:t>
                  </w:r>
                  <w:r w:rsidR="00FA6670">
                    <w:rPr>
                      <w:rFonts w:ascii="Arial" w:hAnsi="Arial" w:cs="Arial"/>
                      <w:color w:val="000000" w:themeColor="text1"/>
                    </w:rPr>
                    <w:t>4</w:t>
                  </w:r>
                  <w:r w:rsidR="00C43762">
                    <w:rPr>
                      <w:rFonts w:ascii="Arial" w:hAnsi="Arial" w:cs="Arial"/>
                      <w:color w:val="000000" w:themeColor="text1"/>
                      <w:vertAlign w:val="superscript"/>
                    </w:rPr>
                    <w:t xml:space="preserve"> </w:t>
                  </w:r>
                  <w:r>
                    <w:rPr>
                      <w:rFonts w:ascii="Arial" w:hAnsi="Arial" w:cs="Arial"/>
                      <w:color w:val="000000" w:themeColor="text1"/>
                    </w:rPr>
                    <w:t>February 2024</w:t>
                  </w:r>
                </w:p>
              </w:tc>
            </w:tr>
            <w:tr w:rsidR="0029070B" w:rsidRPr="00B93DA4" w14:paraId="142B1125" w14:textId="77777777" w:rsidTr="005B0240">
              <w:trPr>
                <w:trHeight w:val="355"/>
                <w:jc w:val="center"/>
              </w:trPr>
              <w:tc>
                <w:tcPr>
                  <w:tcW w:w="5274" w:type="dxa"/>
                  <w:vAlign w:val="center"/>
                </w:tcPr>
                <w:p w14:paraId="37329875" w14:textId="77777777" w:rsidR="00A83C67" w:rsidRDefault="0029070B" w:rsidP="00F865EA">
                  <w:pPr>
                    <w:pStyle w:val="NoSpacing"/>
                    <w:jc w:val="both"/>
                    <w:rPr>
                      <w:rFonts w:ascii="Arial" w:hAnsi="Arial" w:cs="Arial"/>
                    </w:rPr>
                  </w:pPr>
                  <w:r>
                    <w:rPr>
                      <w:rFonts w:ascii="Arial" w:hAnsi="Arial" w:cs="Arial"/>
                    </w:rPr>
                    <w:t xml:space="preserve">Last date for </w:t>
                  </w:r>
                  <w:r w:rsidR="00F865EA">
                    <w:rPr>
                      <w:rFonts w:ascii="Arial" w:hAnsi="Arial" w:cs="Arial"/>
                    </w:rPr>
                    <w:t xml:space="preserve">suppliers to ask clarification </w:t>
                  </w:r>
                  <w:r>
                    <w:rPr>
                      <w:rFonts w:ascii="Arial" w:hAnsi="Arial" w:cs="Arial"/>
                    </w:rPr>
                    <w:t>questions</w:t>
                  </w:r>
                </w:p>
                <w:p w14:paraId="2B0F80DE" w14:textId="77777777" w:rsidR="0029070B" w:rsidRPr="005B7BDC" w:rsidRDefault="00A83C67" w:rsidP="00F865EA">
                  <w:pPr>
                    <w:pStyle w:val="NoSpacing"/>
                    <w:jc w:val="both"/>
                    <w:rPr>
                      <w:rFonts w:ascii="Arial" w:hAnsi="Arial" w:cs="Arial"/>
                      <w:b/>
                      <w:sz w:val="18"/>
                      <w:szCs w:val="18"/>
                    </w:rPr>
                  </w:pPr>
                  <w:r w:rsidRPr="005B7BDC">
                    <w:rPr>
                      <w:rFonts w:ascii="Arial" w:hAnsi="Arial" w:cs="Arial"/>
                      <w:b/>
                      <w:sz w:val="18"/>
                      <w:szCs w:val="18"/>
                    </w:rPr>
                    <w:t>(suppliers are required to register their interest with AHDB</w:t>
                  </w:r>
                  <w:r w:rsidR="005B7BDC" w:rsidRPr="005B7BDC">
                    <w:rPr>
                      <w:rFonts w:ascii="Arial" w:hAnsi="Arial" w:cs="Arial"/>
                      <w:b/>
                      <w:sz w:val="18"/>
                      <w:szCs w:val="18"/>
                    </w:rPr>
                    <w:t xml:space="preserve"> in order to receive clarification information)</w:t>
                  </w:r>
                </w:p>
              </w:tc>
              <w:tc>
                <w:tcPr>
                  <w:tcW w:w="1984" w:type="dxa"/>
                  <w:vAlign w:val="center"/>
                </w:tcPr>
                <w:p w14:paraId="0CCF9F9D" w14:textId="7F5555B6" w:rsidR="0029070B" w:rsidRPr="00B93DA4" w:rsidRDefault="00C43762" w:rsidP="00F3726F">
                  <w:pPr>
                    <w:pStyle w:val="NoSpacing"/>
                    <w:jc w:val="both"/>
                    <w:rPr>
                      <w:rFonts w:ascii="Arial" w:hAnsi="Arial" w:cs="Arial"/>
                      <w:color w:val="000000" w:themeColor="text1"/>
                    </w:rPr>
                  </w:pPr>
                  <w:r>
                    <w:rPr>
                      <w:rFonts w:ascii="Arial" w:hAnsi="Arial" w:cs="Arial"/>
                      <w:color w:val="000000" w:themeColor="text1"/>
                    </w:rPr>
                    <w:t>01 March 2024</w:t>
                  </w:r>
                </w:p>
              </w:tc>
            </w:tr>
            <w:tr w:rsidR="00C50310" w:rsidRPr="00B93DA4" w14:paraId="48259C49" w14:textId="77777777" w:rsidTr="005B0240">
              <w:trPr>
                <w:trHeight w:val="355"/>
                <w:jc w:val="center"/>
              </w:trPr>
              <w:tc>
                <w:tcPr>
                  <w:tcW w:w="5274" w:type="dxa"/>
                  <w:vAlign w:val="center"/>
                </w:tcPr>
                <w:p w14:paraId="533D7A61" w14:textId="77777777" w:rsidR="00C50310" w:rsidRPr="00B93DA4" w:rsidRDefault="00C50310" w:rsidP="00F865EA">
                  <w:pPr>
                    <w:pStyle w:val="NoSpacing"/>
                    <w:jc w:val="both"/>
                    <w:rPr>
                      <w:rFonts w:ascii="Arial" w:hAnsi="Arial" w:cs="Arial"/>
                    </w:rPr>
                  </w:pPr>
                  <w:r w:rsidRPr="00B93DA4">
                    <w:rPr>
                      <w:rFonts w:ascii="Arial" w:hAnsi="Arial" w:cs="Arial"/>
                    </w:rPr>
                    <w:t xml:space="preserve">Deadline for receipt of </w:t>
                  </w:r>
                  <w:r w:rsidR="00F865EA">
                    <w:rPr>
                      <w:rFonts w:ascii="Arial" w:hAnsi="Arial" w:cs="Arial"/>
                    </w:rPr>
                    <w:t>submissions/quotes</w:t>
                  </w:r>
                </w:p>
              </w:tc>
              <w:tc>
                <w:tcPr>
                  <w:tcW w:w="1984" w:type="dxa"/>
                  <w:vAlign w:val="center"/>
                </w:tcPr>
                <w:p w14:paraId="788CAF14" w14:textId="01A7BF8D" w:rsidR="00C50310" w:rsidRPr="00B93DA4" w:rsidRDefault="00C43762" w:rsidP="00F3726F">
                  <w:pPr>
                    <w:pStyle w:val="NoSpacing"/>
                    <w:jc w:val="both"/>
                    <w:rPr>
                      <w:rFonts w:ascii="Arial" w:hAnsi="Arial" w:cs="Arial"/>
                      <w:color w:val="000000" w:themeColor="text1"/>
                    </w:rPr>
                  </w:pPr>
                  <w:r>
                    <w:rPr>
                      <w:rFonts w:ascii="Arial" w:hAnsi="Arial" w:cs="Arial"/>
                      <w:color w:val="000000" w:themeColor="text1"/>
                    </w:rPr>
                    <w:t>8 March 2024</w:t>
                  </w:r>
                </w:p>
              </w:tc>
            </w:tr>
            <w:tr w:rsidR="00C50310" w:rsidRPr="00B93DA4" w14:paraId="7ED8B649" w14:textId="77777777" w:rsidTr="005B0240">
              <w:trPr>
                <w:trHeight w:val="355"/>
                <w:jc w:val="center"/>
              </w:trPr>
              <w:tc>
                <w:tcPr>
                  <w:tcW w:w="5274" w:type="dxa"/>
                  <w:vAlign w:val="center"/>
                </w:tcPr>
                <w:p w14:paraId="65E96679" w14:textId="77777777" w:rsidR="00C50310" w:rsidRPr="00B93DA4" w:rsidRDefault="00A83C67" w:rsidP="00F3726F">
                  <w:pPr>
                    <w:pStyle w:val="NoSpacing"/>
                    <w:jc w:val="both"/>
                    <w:rPr>
                      <w:rFonts w:ascii="Arial" w:hAnsi="Arial" w:cs="Arial"/>
                    </w:rPr>
                  </w:pPr>
                  <w:r>
                    <w:rPr>
                      <w:rFonts w:ascii="Arial" w:hAnsi="Arial" w:cs="Arial"/>
                    </w:rPr>
                    <w:t>Notification</w:t>
                  </w:r>
                  <w:r w:rsidR="00C50310" w:rsidRPr="00B93DA4">
                    <w:rPr>
                      <w:rFonts w:ascii="Arial" w:hAnsi="Arial" w:cs="Arial"/>
                    </w:rPr>
                    <w:t xml:space="preserve"> of intended award </w:t>
                  </w:r>
                  <w:r>
                    <w:rPr>
                      <w:rFonts w:ascii="Arial" w:hAnsi="Arial" w:cs="Arial"/>
                    </w:rPr>
                    <w:t>of contract</w:t>
                  </w:r>
                </w:p>
              </w:tc>
              <w:tc>
                <w:tcPr>
                  <w:tcW w:w="1984" w:type="dxa"/>
                  <w:vAlign w:val="center"/>
                </w:tcPr>
                <w:p w14:paraId="460D1483" w14:textId="238769D9" w:rsidR="00C50310" w:rsidRPr="00B93DA4" w:rsidRDefault="00C43762" w:rsidP="00F3726F">
                  <w:pPr>
                    <w:pStyle w:val="NoSpacing"/>
                    <w:jc w:val="both"/>
                    <w:rPr>
                      <w:rFonts w:ascii="Arial" w:hAnsi="Arial" w:cs="Arial"/>
                      <w:color w:val="000000" w:themeColor="text1"/>
                    </w:rPr>
                  </w:pPr>
                  <w:r>
                    <w:rPr>
                      <w:rFonts w:ascii="Arial" w:hAnsi="Arial" w:cs="Arial"/>
                      <w:color w:val="000000" w:themeColor="text1"/>
                    </w:rPr>
                    <w:t>22 March 2024</w:t>
                  </w:r>
                </w:p>
              </w:tc>
            </w:tr>
            <w:tr w:rsidR="00C50310" w:rsidRPr="00B93DA4" w14:paraId="0342B004" w14:textId="77777777" w:rsidTr="005B0240">
              <w:trPr>
                <w:trHeight w:val="355"/>
                <w:jc w:val="center"/>
              </w:trPr>
              <w:tc>
                <w:tcPr>
                  <w:tcW w:w="5274" w:type="dxa"/>
                  <w:vAlign w:val="center"/>
                </w:tcPr>
                <w:p w14:paraId="5AD60069" w14:textId="77777777" w:rsidR="00C50310" w:rsidRPr="00B93DA4" w:rsidRDefault="00C50310" w:rsidP="00F3726F">
                  <w:pPr>
                    <w:pStyle w:val="NoSpacing"/>
                    <w:jc w:val="both"/>
                    <w:rPr>
                      <w:rFonts w:ascii="Arial" w:hAnsi="Arial" w:cs="Arial"/>
                    </w:rPr>
                  </w:pPr>
                  <w:r w:rsidRPr="00B93DA4">
                    <w:rPr>
                      <w:rFonts w:ascii="Arial" w:hAnsi="Arial" w:cs="Arial"/>
                    </w:rPr>
                    <w:t>Contract commencement</w:t>
                  </w:r>
                </w:p>
              </w:tc>
              <w:tc>
                <w:tcPr>
                  <w:tcW w:w="1984" w:type="dxa"/>
                  <w:vAlign w:val="center"/>
                </w:tcPr>
                <w:p w14:paraId="5EDA9994" w14:textId="72146654" w:rsidR="00C50310" w:rsidRPr="00B93DA4" w:rsidRDefault="00C43762" w:rsidP="00F3726F">
                  <w:pPr>
                    <w:pStyle w:val="NoSpacing"/>
                    <w:jc w:val="both"/>
                    <w:rPr>
                      <w:rFonts w:ascii="Arial" w:hAnsi="Arial" w:cs="Arial"/>
                      <w:color w:val="000000" w:themeColor="text1"/>
                    </w:rPr>
                  </w:pPr>
                  <w:r>
                    <w:rPr>
                      <w:rFonts w:ascii="Arial" w:hAnsi="Arial" w:cs="Arial"/>
                      <w:color w:val="000000" w:themeColor="text1"/>
                    </w:rPr>
                    <w:t>01 April 2024</w:t>
                  </w:r>
                </w:p>
              </w:tc>
            </w:tr>
          </w:tbl>
          <w:p w14:paraId="3067367C" w14:textId="77777777" w:rsidR="00C50310" w:rsidRPr="00B93DA4" w:rsidRDefault="00C50310" w:rsidP="00F3726F">
            <w:pPr>
              <w:pStyle w:val="NoSpacing"/>
              <w:jc w:val="both"/>
              <w:rPr>
                <w:rFonts w:ascii="Arial" w:hAnsi="Arial" w:cs="Arial"/>
              </w:rPr>
            </w:pPr>
          </w:p>
        </w:tc>
      </w:tr>
    </w:tbl>
    <w:p w14:paraId="1EC99E26" w14:textId="77777777" w:rsidR="005C4512" w:rsidRDefault="005C4512" w:rsidP="00F3726F">
      <w:pPr>
        <w:pStyle w:val="NoSpacing"/>
        <w:jc w:val="both"/>
        <w:rPr>
          <w:rFonts w:ascii="Arial" w:hAnsi="Arial" w:cs="Arial"/>
        </w:rPr>
      </w:pPr>
    </w:p>
    <w:p w14:paraId="37C4E31C" w14:textId="77777777" w:rsidR="00C50310" w:rsidRPr="00B93DA4" w:rsidRDefault="00016AC6" w:rsidP="00F3726F">
      <w:pPr>
        <w:pStyle w:val="NoSpacing"/>
        <w:jc w:val="both"/>
        <w:rPr>
          <w:rFonts w:ascii="Arial" w:hAnsi="Arial" w:cs="Arial"/>
        </w:rPr>
      </w:pPr>
      <w:r>
        <w:rPr>
          <w:rFonts w:ascii="Arial" w:hAnsi="Arial" w:cs="Arial"/>
        </w:rPr>
        <w:t>Please note</w:t>
      </w:r>
      <w:r w:rsidR="00C50310" w:rsidRPr="00B93DA4">
        <w:rPr>
          <w:rFonts w:ascii="Arial" w:hAnsi="Arial" w:cs="Arial"/>
        </w:rPr>
        <w:t xml:space="preserve"> these timescales are approximate and may change.</w:t>
      </w:r>
    </w:p>
    <w:p w14:paraId="174988B5" w14:textId="77777777" w:rsidR="00C50310" w:rsidRDefault="00C50310" w:rsidP="00F3726F">
      <w:pPr>
        <w:jc w:val="both"/>
        <w:rPr>
          <w:rFonts w:ascii="Arial" w:hAnsi="Arial" w:cs="Arial"/>
        </w:rPr>
      </w:pPr>
    </w:p>
    <w:p w14:paraId="6F6A10EB" w14:textId="2CA3D85D" w:rsidR="001C1996" w:rsidRDefault="0007597B" w:rsidP="00E72CAF">
      <w:pPr>
        <w:pStyle w:val="ListParagraph"/>
        <w:numPr>
          <w:ilvl w:val="0"/>
          <w:numId w:val="1"/>
        </w:numPr>
        <w:spacing w:after="0" w:line="240" w:lineRule="auto"/>
        <w:ind w:left="0" w:hanging="426"/>
        <w:jc w:val="both"/>
        <w:rPr>
          <w:rFonts w:ascii="Arial" w:hAnsi="Arial" w:cs="Arial"/>
          <w:b/>
          <w:color w:val="0070C0"/>
          <w:sz w:val="24"/>
          <w:szCs w:val="24"/>
        </w:rPr>
      </w:pPr>
      <w:r w:rsidRPr="001C1996">
        <w:rPr>
          <w:rFonts w:ascii="Arial" w:hAnsi="Arial" w:cs="Arial"/>
          <w:b/>
          <w:color w:val="0070C0"/>
          <w:sz w:val="24"/>
          <w:szCs w:val="24"/>
        </w:rPr>
        <w:t>Additional Information</w:t>
      </w:r>
    </w:p>
    <w:p w14:paraId="150C9441" w14:textId="16E5296F" w:rsidR="00E72CAF" w:rsidRPr="00E72CAF" w:rsidRDefault="00E72CAF" w:rsidP="00E72CAF">
      <w:pPr>
        <w:pStyle w:val="ListParagraph"/>
        <w:spacing w:after="0" w:line="240" w:lineRule="auto"/>
        <w:ind w:left="0"/>
        <w:jc w:val="both"/>
        <w:rPr>
          <w:rFonts w:ascii="Arial" w:hAnsi="Arial" w:cs="Arial"/>
          <w:b/>
          <w:color w:val="0070C0"/>
          <w:sz w:val="24"/>
          <w:szCs w:val="24"/>
        </w:rPr>
      </w:pPr>
      <w:r>
        <w:rPr>
          <w:rFonts w:ascii="Arial" w:hAnsi="Arial" w:cs="Arial"/>
        </w:rPr>
        <w:br/>
        <w:t>N/A</w:t>
      </w:r>
    </w:p>
    <w:p w14:paraId="5317F225" w14:textId="77777777" w:rsidR="001C1996" w:rsidRDefault="001C1996" w:rsidP="00F3726F">
      <w:pPr>
        <w:spacing w:after="0" w:line="240" w:lineRule="auto"/>
        <w:jc w:val="both"/>
        <w:rPr>
          <w:rFonts w:ascii="Arial" w:hAnsi="Arial" w:cs="Arial"/>
        </w:rPr>
      </w:pPr>
    </w:p>
    <w:p w14:paraId="58B14923" w14:textId="77777777" w:rsidR="001C1996" w:rsidRDefault="001C1996" w:rsidP="00F3726F">
      <w:pPr>
        <w:spacing w:after="0" w:line="240" w:lineRule="auto"/>
        <w:jc w:val="both"/>
        <w:rPr>
          <w:rFonts w:ascii="Arial" w:hAnsi="Arial" w:cs="Arial"/>
        </w:rPr>
      </w:pPr>
    </w:p>
    <w:p w14:paraId="244F996F" w14:textId="77777777" w:rsidR="00B93DA4" w:rsidRPr="001A3612" w:rsidRDefault="00B93DA4" w:rsidP="00F3726F">
      <w:pPr>
        <w:pStyle w:val="ListParagraph"/>
        <w:numPr>
          <w:ilvl w:val="0"/>
          <w:numId w:val="1"/>
        </w:numPr>
        <w:spacing w:after="0" w:line="240" w:lineRule="auto"/>
        <w:ind w:left="0" w:hanging="426"/>
        <w:jc w:val="both"/>
        <w:rPr>
          <w:rFonts w:ascii="Arial" w:hAnsi="Arial" w:cs="Arial"/>
          <w:b/>
          <w:color w:val="0070C0"/>
          <w:sz w:val="24"/>
          <w:szCs w:val="24"/>
        </w:rPr>
      </w:pPr>
      <w:r w:rsidRPr="001A3612">
        <w:rPr>
          <w:rFonts w:ascii="Arial" w:hAnsi="Arial" w:cs="Arial"/>
          <w:b/>
          <w:color w:val="0070C0"/>
          <w:sz w:val="24"/>
          <w:szCs w:val="24"/>
        </w:rPr>
        <w:t>Terms</w:t>
      </w:r>
      <w:r w:rsidR="001A3612">
        <w:rPr>
          <w:rFonts w:ascii="Arial" w:hAnsi="Arial" w:cs="Arial"/>
          <w:b/>
          <w:color w:val="0070C0"/>
          <w:sz w:val="24"/>
          <w:szCs w:val="24"/>
        </w:rPr>
        <w:t xml:space="preserve"> </w:t>
      </w:r>
      <w:r w:rsidRPr="001A3612">
        <w:rPr>
          <w:rFonts w:ascii="Arial" w:hAnsi="Arial" w:cs="Arial"/>
          <w:b/>
          <w:color w:val="0070C0"/>
          <w:sz w:val="24"/>
          <w:szCs w:val="24"/>
        </w:rPr>
        <w:t>/</w:t>
      </w:r>
      <w:r w:rsidR="001A3612">
        <w:rPr>
          <w:rFonts w:ascii="Arial" w:hAnsi="Arial" w:cs="Arial"/>
          <w:b/>
          <w:color w:val="0070C0"/>
          <w:sz w:val="24"/>
          <w:szCs w:val="24"/>
        </w:rPr>
        <w:t xml:space="preserve"> </w:t>
      </w:r>
      <w:r w:rsidRPr="001A3612">
        <w:rPr>
          <w:rFonts w:ascii="Arial" w:hAnsi="Arial" w:cs="Arial"/>
          <w:b/>
          <w:color w:val="0070C0"/>
          <w:sz w:val="24"/>
          <w:szCs w:val="24"/>
        </w:rPr>
        <w:t>Co</w:t>
      </w:r>
      <w:r w:rsidR="005C4512" w:rsidRPr="001A3612">
        <w:rPr>
          <w:rFonts w:ascii="Arial" w:hAnsi="Arial" w:cs="Arial"/>
          <w:b/>
          <w:color w:val="0070C0"/>
          <w:sz w:val="24"/>
          <w:szCs w:val="24"/>
        </w:rPr>
        <w:t>nditions of Participation</w:t>
      </w:r>
    </w:p>
    <w:p w14:paraId="1CBE0960" w14:textId="77777777" w:rsidR="001A3612" w:rsidRDefault="001A3612" w:rsidP="00F3726F">
      <w:pPr>
        <w:spacing w:after="0" w:line="240" w:lineRule="auto"/>
        <w:jc w:val="both"/>
        <w:rPr>
          <w:rFonts w:ascii="Arial" w:hAnsi="Arial" w:cs="Arial"/>
        </w:rPr>
      </w:pPr>
    </w:p>
    <w:p w14:paraId="78ED829D" w14:textId="77777777" w:rsidR="00197412" w:rsidRDefault="00197412" w:rsidP="00F3726F">
      <w:pPr>
        <w:spacing w:after="0" w:line="240" w:lineRule="auto"/>
        <w:jc w:val="both"/>
        <w:rPr>
          <w:rFonts w:ascii="Arial" w:hAnsi="Arial" w:cs="Arial"/>
        </w:rPr>
      </w:pPr>
      <w:r>
        <w:rPr>
          <w:rFonts w:ascii="Arial" w:hAnsi="Arial" w:cs="Arial"/>
        </w:rPr>
        <w:t>AHDB Terms and Conditions for the supply of goods and services shall apply to any contract awarded as a result of this request for quote.</w:t>
      </w:r>
    </w:p>
    <w:p w14:paraId="2D754BED" w14:textId="77777777" w:rsidR="001A3612" w:rsidRDefault="001A3612" w:rsidP="00F3726F">
      <w:pPr>
        <w:jc w:val="both"/>
        <w:rPr>
          <w:rFonts w:ascii="Arial" w:hAnsi="Arial" w:cs="Arial"/>
        </w:rPr>
      </w:pPr>
    </w:p>
    <w:p w14:paraId="07EE84BD" w14:textId="77777777" w:rsidR="005C4512" w:rsidRDefault="005C4512" w:rsidP="00F3726F">
      <w:pPr>
        <w:jc w:val="both"/>
        <w:rPr>
          <w:rFonts w:ascii="Arial" w:hAnsi="Arial" w:cs="Arial"/>
        </w:rPr>
      </w:pPr>
      <w:r>
        <w:rPr>
          <w:rFonts w:ascii="Arial" w:hAnsi="Arial" w:cs="Arial"/>
        </w:rPr>
        <w:t xml:space="preserve">If you have any questions relating to this </w:t>
      </w:r>
      <w:proofErr w:type="gramStart"/>
      <w:r>
        <w:rPr>
          <w:rFonts w:ascii="Arial" w:hAnsi="Arial" w:cs="Arial"/>
        </w:rPr>
        <w:t>tender</w:t>
      </w:r>
      <w:proofErr w:type="gramEnd"/>
      <w:r>
        <w:rPr>
          <w:rFonts w:ascii="Arial" w:hAnsi="Arial" w:cs="Arial"/>
        </w:rPr>
        <w:t xml:space="preserve"> please contact:-</w:t>
      </w:r>
    </w:p>
    <w:tbl>
      <w:tblPr>
        <w:tblStyle w:val="TableGrid"/>
        <w:tblW w:w="0" w:type="auto"/>
        <w:tblInd w:w="108" w:type="dxa"/>
        <w:tblLook w:val="04A0" w:firstRow="1" w:lastRow="0" w:firstColumn="1" w:lastColumn="0" w:noHBand="0" w:noVBand="1"/>
      </w:tblPr>
      <w:tblGrid>
        <w:gridCol w:w="3577"/>
        <w:gridCol w:w="5331"/>
      </w:tblGrid>
      <w:tr w:rsidR="005C4512" w14:paraId="58F89ACB" w14:textId="77777777" w:rsidTr="001A3612">
        <w:tc>
          <w:tcPr>
            <w:tcW w:w="3686" w:type="dxa"/>
          </w:tcPr>
          <w:p w14:paraId="6466FEA1" w14:textId="77777777" w:rsidR="005C4512" w:rsidRDefault="005C4512" w:rsidP="00F3726F">
            <w:pPr>
              <w:jc w:val="both"/>
              <w:rPr>
                <w:rFonts w:ascii="Arial" w:hAnsi="Arial" w:cs="Arial"/>
              </w:rPr>
            </w:pPr>
            <w:r>
              <w:rPr>
                <w:rFonts w:ascii="Arial" w:hAnsi="Arial" w:cs="Arial"/>
              </w:rPr>
              <w:t>Email address:</w:t>
            </w:r>
          </w:p>
        </w:tc>
        <w:tc>
          <w:tcPr>
            <w:tcW w:w="5448" w:type="dxa"/>
          </w:tcPr>
          <w:p w14:paraId="5E435AA0" w14:textId="33ACE1B1" w:rsidR="005C4512" w:rsidRDefault="006859EE" w:rsidP="00F3726F">
            <w:pPr>
              <w:jc w:val="both"/>
              <w:rPr>
                <w:rFonts w:ascii="Arial" w:hAnsi="Arial" w:cs="Arial"/>
              </w:rPr>
            </w:pPr>
            <w:hyperlink r:id="rId8" w:history="1">
              <w:r w:rsidR="00BE5AE4" w:rsidRPr="000731B3">
                <w:rPr>
                  <w:rStyle w:val="Hyperlink"/>
                  <w:rFonts w:ascii="Arial" w:hAnsi="Arial" w:cs="Arial"/>
                </w:rPr>
                <w:t>David.Eudall@ahdb.org.uk</w:t>
              </w:r>
            </w:hyperlink>
          </w:p>
        </w:tc>
      </w:tr>
      <w:tr w:rsidR="005C4512" w14:paraId="4F24E9CB" w14:textId="77777777" w:rsidTr="001A3612">
        <w:tc>
          <w:tcPr>
            <w:tcW w:w="3686" w:type="dxa"/>
          </w:tcPr>
          <w:p w14:paraId="54574273" w14:textId="77777777" w:rsidR="005C4512" w:rsidRDefault="005C4512" w:rsidP="00F3726F">
            <w:pPr>
              <w:jc w:val="both"/>
              <w:rPr>
                <w:rFonts w:ascii="Arial" w:hAnsi="Arial" w:cs="Arial"/>
              </w:rPr>
            </w:pPr>
            <w:r>
              <w:rPr>
                <w:rFonts w:ascii="Arial" w:hAnsi="Arial" w:cs="Arial"/>
              </w:rPr>
              <w:t xml:space="preserve">Reference </w:t>
            </w:r>
            <w:r w:rsidRPr="005C4512">
              <w:rPr>
                <w:rFonts w:ascii="Arial" w:hAnsi="Arial" w:cs="Arial"/>
                <w:i/>
              </w:rPr>
              <w:t>(</w:t>
            </w:r>
            <w:r w:rsidR="005B0240">
              <w:rPr>
                <w:rFonts w:ascii="Arial" w:hAnsi="Arial" w:cs="Arial"/>
                <w:i/>
              </w:rPr>
              <w:t>entered as the subject</w:t>
            </w:r>
            <w:r w:rsidRPr="005C4512">
              <w:rPr>
                <w:rFonts w:ascii="Arial" w:hAnsi="Arial" w:cs="Arial"/>
                <w:i/>
              </w:rPr>
              <w:t>)</w:t>
            </w:r>
            <w:r>
              <w:rPr>
                <w:rFonts w:ascii="Arial" w:hAnsi="Arial" w:cs="Arial"/>
              </w:rPr>
              <w:t>:</w:t>
            </w:r>
          </w:p>
        </w:tc>
        <w:tc>
          <w:tcPr>
            <w:tcW w:w="5448" w:type="dxa"/>
          </w:tcPr>
          <w:p w14:paraId="329D146A" w14:textId="2AC9CAF5" w:rsidR="005C4512" w:rsidRDefault="00BE5AE4" w:rsidP="00F3726F">
            <w:pPr>
              <w:jc w:val="both"/>
              <w:rPr>
                <w:rFonts w:ascii="Arial" w:hAnsi="Arial" w:cs="Arial"/>
              </w:rPr>
            </w:pPr>
            <w:r>
              <w:rPr>
                <w:rFonts w:ascii="Arial" w:hAnsi="Arial" w:cs="Arial"/>
              </w:rPr>
              <w:t>Cereals Assurance Evidence Gathering Question</w:t>
            </w:r>
          </w:p>
        </w:tc>
      </w:tr>
    </w:tbl>
    <w:p w14:paraId="5629EEEE" w14:textId="77777777" w:rsidR="001A3612" w:rsidRDefault="001A3612" w:rsidP="00F3726F">
      <w:pPr>
        <w:jc w:val="both"/>
        <w:rPr>
          <w:rFonts w:ascii="Arial" w:hAnsi="Arial" w:cs="Arial"/>
        </w:rPr>
      </w:pPr>
    </w:p>
    <w:p w14:paraId="21C006AA" w14:textId="77777777" w:rsidR="001A3612" w:rsidRPr="001A3612" w:rsidRDefault="001A3612" w:rsidP="00F3726F">
      <w:pPr>
        <w:jc w:val="both"/>
        <w:rPr>
          <w:rFonts w:ascii="Arial" w:hAnsi="Arial" w:cs="Arial"/>
        </w:rPr>
      </w:pPr>
    </w:p>
    <w:p w14:paraId="5ECC784E" w14:textId="77777777" w:rsidR="001A3612" w:rsidRPr="001A3612" w:rsidRDefault="001A3612" w:rsidP="00F3726F">
      <w:pPr>
        <w:jc w:val="both"/>
        <w:rPr>
          <w:rFonts w:ascii="Arial" w:hAnsi="Arial" w:cs="Arial"/>
        </w:rPr>
      </w:pPr>
    </w:p>
    <w:p w14:paraId="65302C4A" w14:textId="77777777" w:rsidR="001A3612" w:rsidRPr="001A3612" w:rsidRDefault="001A3612" w:rsidP="00F3726F">
      <w:pPr>
        <w:jc w:val="both"/>
        <w:rPr>
          <w:rFonts w:ascii="Arial" w:hAnsi="Arial" w:cs="Arial"/>
        </w:rPr>
      </w:pPr>
    </w:p>
    <w:p w14:paraId="041FF891" w14:textId="77777777" w:rsidR="001A3612" w:rsidRPr="001A3612" w:rsidRDefault="001A3612" w:rsidP="00F3726F">
      <w:pPr>
        <w:jc w:val="both"/>
        <w:rPr>
          <w:rFonts w:ascii="Arial" w:hAnsi="Arial" w:cs="Arial"/>
        </w:rPr>
      </w:pPr>
    </w:p>
    <w:p w14:paraId="598F7272" w14:textId="77777777" w:rsidR="001A3612" w:rsidRPr="001A3612" w:rsidRDefault="001A3612" w:rsidP="00F3726F">
      <w:pPr>
        <w:jc w:val="both"/>
        <w:rPr>
          <w:rFonts w:ascii="Arial" w:hAnsi="Arial" w:cs="Arial"/>
        </w:rPr>
      </w:pPr>
    </w:p>
    <w:p w14:paraId="6F2659DA" w14:textId="77777777" w:rsidR="001A3612" w:rsidRPr="001A3612" w:rsidRDefault="001A3612" w:rsidP="00F3726F">
      <w:pPr>
        <w:jc w:val="both"/>
        <w:rPr>
          <w:rFonts w:ascii="Arial" w:hAnsi="Arial" w:cs="Arial"/>
        </w:rPr>
      </w:pPr>
    </w:p>
    <w:p w14:paraId="2D51E341" w14:textId="77777777" w:rsidR="001A3612" w:rsidRPr="001A3612" w:rsidRDefault="001A3612" w:rsidP="00F3726F">
      <w:pPr>
        <w:jc w:val="both"/>
        <w:rPr>
          <w:rFonts w:ascii="Arial" w:hAnsi="Arial" w:cs="Arial"/>
        </w:rPr>
      </w:pPr>
    </w:p>
    <w:p w14:paraId="3987ED2F" w14:textId="77777777" w:rsidR="001A3612" w:rsidRDefault="001A3612" w:rsidP="00F3726F">
      <w:pPr>
        <w:jc w:val="both"/>
        <w:rPr>
          <w:rFonts w:ascii="Arial" w:hAnsi="Arial" w:cs="Arial"/>
        </w:rPr>
      </w:pPr>
    </w:p>
    <w:p w14:paraId="2EA3033C" w14:textId="77777777" w:rsidR="005C4512" w:rsidRPr="001A3612" w:rsidRDefault="001A3612" w:rsidP="00F3726F">
      <w:pPr>
        <w:tabs>
          <w:tab w:val="left" w:pos="3150"/>
        </w:tabs>
        <w:jc w:val="both"/>
        <w:rPr>
          <w:rFonts w:ascii="Arial" w:hAnsi="Arial" w:cs="Arial"/>
        </w:rPr>
      </w:pPr>
      <w:r>
        <w:rPr>
          <w:rFonts w:ascii="Arial" w:hAnsi="Arial" w:cs="Arial"/>
        </w:rPr>
        <w:tab/>
      </w:r>
    </w:p>
    <w:sectPr w:rsidR="005C4512" w:rsidRPr="001A361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1C7BA" w14:textId="77777777" w:rsidR="001A3612" w:rsidRDefault="001A3612" w:rsidP="001A3612">
      <w:pPr>
        <w:spacing w:after="0" w:line="240" w:lineRule="auto"/>
      </w:pPr>
      <w:r>
        <w:separator/>
      </w:r>
    </w:p>
  </w:endnote>
  <w:endnote w:type="continuationSeparator" w:id="0">
    <w:p w14:paraId="793473D9" w14:textId="77777777" w:rsidR="001A3612" w:rsidRDefault="001A3612" w:rsidP="001A3612">
      <w:pPr>
        <w:spacing w:after="0" w:line="240" w:lineRule="auto"/>
      </w:pPr>
      <w:r>
        <w:continuationSeparator/>
      </w:r>
    </w:p>
  </w:endnote>
  <w:endnote w:type="continuationNotice" w:id="1">
    <w:p w14:paraId="27A9BE58" w14:textId="77777777" w:rsidR="006554A5" w:rsidRDefault="006554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650434415"/>
      <w:docPartObj>
        <w:docPartGallery w:val="Page Numbers (Bottom of Page)"/>
        <w:docPartUnique/>
      </w:docPartObj>
    </w:sdtPr>
    <w:sdtEndPr/>
    <w:sdtContent>
      <w:sdt>
        <w:sdtPr>
          <w:rPr>
            <w:rFonts w:ascii="Arial" w:hAnsi="Arial" w:cs="Arial"/>
            <w:sz w:val="18"/>
            <w:szCs w:val="18"/>
          </w:rPr>
          <w:id w:val="860082579"/>
          <w:docPartObj>
            <w:docPartGallery w:val="Page Numbers (Top of Page)"/>
            <w:docPartUnique/>
          </w:docPartObj>
        </w:sdtPr>
        <w:sdtEndPr/>
        <w:sdtContent>
          <w:p w14:paraId="1CB03D40" w14:textId="77777777" w:rsidR="001A3612" w:rsidRPr="001A3612" w:rsidRDefault="001A3612">
            <w:pPr>
              <w:pStyle w:val="Footer"/>
              <w:jc w:val="right"/>
              <w:rPr>
                <w:rFonts w:ascii="Arial" w:hAnsi="Arial" w:cs="Arial"/>
                <w:sz w:val="18"/>
                <w:szCs w:val="18"/>
              </w:rPr>
            </w:pPr>
            <w:r w:rsidRPr="001A3612">
              <w:rPr>
                <w:rFonts w:ascii="Arial" w:hAnsi="Arial" w:cs="Arial"/>
                <w:sz w:val="18"/>
                <w:szCs w:val="18"/>
              </w:rPr>
              <w:t xml:space="preserve">Page </w:t>
            </w:r>
            <w:r w:rsidRPr="001A3612">
              <w:rPr>
                <w:rFonts w:ascii="Arial" w:hAnsi="Arial" w:cs="Arial"/>
                <w:b/>
                <w:bCs/>
                <w:sz w:val="18"/>
                <w:szCs w:val="18"/>
              </w:rPr>
              <w:fldChar w:fldCharType="begin"/>
            </w:r>
            <w:r w:rsidRPr="001A3612">
              <w:rPr>
                <w:rFonts w:ascii="Arial" w:hAnsi="Arial" w:cs="Arial"/>
                <w:b/>
                <w:bCs/>
                <w:sz w:val="18"/>
                <w:szCs w:val="18"/>
              </w:rPr>
              <w:instrText xml:space="preserve"> PAGE </w:instrText>
            </w:r>
            <w:r w:rsidRPr="001A3612">
              <w:rPr>
                <w:rFonts w:ascii="Arial" w:hAnsi="Arial" w:cs="Arial"/>
                <w:b/>
                <w:bCs/>
                <w:sz w:val="18"/>
                <w:szCs w:val="18"/>
              </w:rPr>
              <w:fldChar w:fldCharType="separate"/>
            </w:r>
            <w:r w:rsidR="00EF7FA1">
              <w:rPr>
                <w:rFonts w:ascii="Arial" w:hAnsi="Arial" w:cs="Arial"/>
                <w:b/>
                <w:bCs/>
                <w:noProof/>
                <w:sz w:val="18"/>
                <w:szCs w:val="18"/>
              </w:rPr>
              <w:t>3</w:t>
            </w:r>
            <w:r w:rsidRPr="001A3612">
              <w:rPr>
                <w:rFonts w:ascii="Arial" w:hAnsi="Arial" w:cs="Arial"/>
                <w:b/>
                <w:bCs/>
                <w:sz w:val="18"/>
                <w:szCs w:val="18"/>
              </w:rPr>
              <w:fldChar w:fldCharType="end"/>
            </w:r>
            <w:r w:rsidRPr="001A3612">
              <w:rPr>
                <w:rFonts w:ascii="Arial" w:hAnsi="Arial" w:cs="Arial"/>
                <w:sz w:val="18"/>
                <w:szCs w:val="18"/>
              </w:rPr>
              <w:t xml:space="preserve"> of </w:t>
            </w:r>
            <w:r w:rsidRPr="001A3612">
              <w:rPr>
                <w:rFonts w:ascii="Arial" w:hAnsi="Arial" w:cs="Arial"/>
                <w:b/>
                <w:bCs/>
                <w:sz w:val="18"/>
                <w:szCs w:val="18"/>
              </w:rPr>
              <w:fldChar w:fldCharType="begin"/>
            </w:r>
            <w:r w:rsidRPr="001A3612">
              <w:rPr>
                <w:rFonts w:ascii="Arial" w:hAnsi="Arial" w:cs="Arial"/>
                <w:b/>
                <w:bCs/>
                <w:sz w:val="18"/>
                <w:szCs w:val="18"/>
              </w:rPr>
              <w:instrText xml:space="preserve"> NUMPAGES  </w:instrText>
            </w:r>
            <w:r w:rsidRPr="001A3612">
              <w:rPr>
                <w:rFonts w:ascii="Arial" w:hAnsi="Arial" w:cs="Arial"/>
                <w:b/>
                <w:bCs/>
                <w:sz w:val="18"/>
                <w:szCs w:val="18"/>
              </w:rPr>
              <w:fldChar w:fldCharType="separate"/>
            </w:r>
            <w:r w:rsidR="00EF7FA1">
              <w:rPr>
                <w:rFonts w:ascii="Arial" w:hAnsi="Arial" w:cs="Arial"/>
                <w:b/>
                <w:bCs/>
                <w:noProof/>
                <w:sz w:val="18"/>
                <w:szCs w:val="18"/>
              </w:rPr>
              <w:t>3</w:t>
            </w:r>
            <w:r w:rsidRPr="001A3612">
              <w:rPr>
                <w:rFonts w:ascii="Arial" w:hAnsi="Arial" w:cs="Arial"/>
                <w:b/>
                <w:bCs/>
                <w:sz w:val="18"/>
                <w:szCs w:val="18"/>
              </w:rPr>
              <w:fldChar w:fldCharType="end"/>
            </w:r>
          </w:p>
        </w:sdtContent>
      </w:sdt>
    </w:sdtContent>
  </w:sdt>
  <w:p w14:paraId="302A91B3" w14:textId="77777777" w:rsidR="001A3612" w:rsidRPr="001A3612" w:rsidRDefault="00F170AF">
    <w:pPr>
      <w:pStyle w:val="Footer"/>
      <w:rPr>
        <w:rFonts w:ascii="Arial" w:hAnsi="Arial" w:cs="Arial"/>
        <w:sz w:val="18"/>
        <w:szCs w:val="18"/>
      </w:rPr>
    </w:pPr>
    <w:r>
      <w:rPr>
        <w:rFonts w:ascii="Arial" w:hAnsi="Arial" w:cs="Arial"/>
        <w:sz w:val="18"/>
        <w:szCs w:val="18"/>
      </w:rPr>
      <w:t xml:space="preserve">RFQ </w:t>
    </w:r>
    <w:r w:rsidR="001D0DBE">
      <w:rPr>
        <w:rFonts w:ascii="Arial" w:hAnsi="Arial" w:cs="Arial"/>
        <w:sz w:val="18"/>
        <w:szCs w:val="18"/>
      </w:rPr>
      <w:t xml:space="preserve">Template </w:t>
    </w:r>
    <w:r w:rsidR="001A3612" w:rsidRPr="001A3612">
      <w:rPr>
        <w:rFonts w:ascii="Arial" w:hAnsi="Arial" w:cs="Arial"/>
        <w:sz w:val="18"/>
        <w:szCs w:val="18"/>
      </w:rPr>
      <w:t>March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8C74E" w14:textId="77777777" w:rsidR="001A3612" w:rsidRDefault="001A3612" w:rsidP="001A3612">
      <w:pPr>
        <w:spacing w:after="0" w:line="240" w:lineRule="auto"/>
      </w:pPr>
      <w:r>
        <w:separator/>
      </w:r>
    </w:p>
  </w:footnote>
  <w:footnote w:type="continuationSeparator" w:id="0">
    <w:p w14:paraId="585C1D82" w14:textId="77777777" w:rsidR="001A3612" w:rsidRDefault="001A3612" w:rsidP="001A3612">
      <w:pPr>
        <w:spacing w:after="0" w:line="240" w:lineRule="auto"/>
      </w:pPr>
      <w:r>
        <w:continuationSeparator/>
      </w:r>
    </w:p>
  </w:footnote>
  <w:footnote w:type="continuationNotice" w:id="1">
    <w:p w14:paraId="6B1E38FA" w14:textId="77777777" w:rsidR="006554A5" w:rsidRDefault="006554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4061E"/>
    <w:multiLevelType w:val="hybridMultilevel"/>
    <w:tmpl w:val="2322490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6767B44"/>
    <w:multiLevelType w:val="hybridMultilevel"/>
    <w:tmpl w:val="C570D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F271E2"/>
    <w:multiLevelType w:val="hybridMultilevel"/>
    <w:tmpl w:val="3B045CB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AC4D2E"/>
    <w:multiLevelType w:val="hybridMultilevel"/>
    <w:tmpl w:val="74901A6A"/>
    <w:lvl w:ilvl="0" w:tplc="374E37D0">
      <w:start w:val="1"/>
      <w:numFmt w:val="decimal"/>
      <w:lvlText w:val="%1."/>
      <w:lvlJc w:val="left"/>
      <w:pPr>
        <w:tabs>
          <w:tab w:val="num" w:pos="360"/>
        </w:tabs>
        <w:ind w:left="360" w:hanging="360"/>
      </w:pPr>
    </w:lvl>
    <w:lvl w:ilvl="1" w:tplc="B114F0F8">
      <w:start w:val="883"/>
      <w:numFmt w:val="bullet"/>
      <w:lvlText w:val=""/>
      <w:lvlJc w:val="left"/>
      <w:pPr>
        <w:tabs>
          <w:tab w:val="num" w:pos="1080"/>
        </w:tabs>
        <w:ind w:left="1080" w:hanging="360"/>
      </w:pPr>
      <w:rPr>
        <w:rFonts w:ascii="Wingdings" w:hAnsi="Wingdings" w:hint="default"/>
        <w:color w:val="0070C0"/>
      </w:rPr>
    </w:lvl>
    <w:lvl w:ilvl="2" w:tplc="2F86ACF4" w:tentative="1">
      <w:start w:val="1"/>
      <w:numFmt w:val="decimal"/>
      <w:lvlText w:val="%3."/>
      <w:lvlJc w:val="left"/>
      <w:pPr>
        <w:tabs>
          <w:tab w:val="num" w:pos="1800"/>
        </w:tabs>
        <w:ind w:left="1800" w:hanging="360"/>
      </w:pPr>
    </w:lvl>
    <w:lvl w:ilvl="3" w:tplc="A53437E8" w:tentative="1">
      <w:start w:val="1"/>
      <w:numFmt w:val="decimal"/>
      <w:lvlText w:val="%4."/>
      <w:lvlJc w:val="left"/>
      <w:pPr>
        <w:tabs>
          <w:tab w:val="num" w:pos="2520"/>
        </w:tabs>
        <w:ind w:left="2520" w:hanging="360"/>
      </w:pPr>
    </w:lvl>
    <w:lvl w:ilvl="4" w:tplc="2AC8BBE6" w:tentative="1">
      <w:start w:val="1"/>
      <w:numFmt w:val="decimal"/>
      <w:lvlText w:val="%5."/>
      <w:lvlJc w:val="left"/>
      <w:pPr>
        <w:tabs>
          <w:tab w:val="num" w:pos="3240"/>
        </w:tabs>
        <w:ind w:left="3240" w:hanging="360"/>
      </w:pPr>
    </w:lvl>
    <w:lvl w:ilvl="5" w:tplc="DF5A3B3E" w:tentative="1">
      <w:start w:val="1"/>
      <w:numFmt w:val="decimal"/>
      <w:lvlText w:val="%6."/>
      <w:lvlJc w:val="left"/>
      <w:pPr>
        <w:tabs>
          <w:tab w:val="num" w:pos="3960"/>
        </w:tabs>
        <w:ind w:left="3960" w:hanging="360"/>
      </w:pPr>
    </w:lvl>
    <w:lvl w:ilvl="6" w:tplc="228E1092" w:tentative="1">
      <w:start w:val="1"/>
      <w:numFmt w:val="decimal"/>
      <w:lvlText w:val="%7."/>
      <w:lvlJc w:val="left"/>
      <w:pPr>
        <w:tabs>
          <w:tab w:val="num" w:pos="4680"/>
        </w:tabs>
        <w:ind w:left="4680" w:hanging="360"/>
      </w:pPr>
    </w:lvl>
    <w:lvl w:ilvl="7" w:tplc="EC7C0566" w:tentative="1">
      <w:start w:val="1"/>
      <w:numFmt w:val="decimal"/>
      <w:lvlText w:val="%8."/>
      <w:lvlJc w:val="left"/>
      <w:pPr>
        <w:tabs>
          <w:tab w:val="num" w:pos="5400"/>
        </w:tabs>
        <w:ind w:left="5400" w:hanging="360"/>
      </w:pPr>
    </w:lvl>
    <w:lvl w:ilvl="8" w:tplc="72103712" w:tentative="1">
      <w:start w:val="1"/>
      <w:numFmt w:val="decimal"/>
      <w:lvlText w:val="%9."/>
      <w:lvlJc w:val="left"/>
      <w:pPr>
        <w:tabs>
          <w:tab w:val="num" w:pos="6120"/>
        </w:tabs>
        <w:ind w:left="6120" w:hanging="360"/>
      </w:pPr>
    </w:lvl>
  </w:abstractNum>
  <w:num w:numId="1" w16cid:durableId="1277103892">
    <w:abstractNumId w:val="0"/>
  </w:num>
  <w:num w:numId="2" w16cid:durableId="877665999">
    <w:abstractNumId w:val="3"/>
  </w:num>
  <w:num w:numId="3" w16cid:durableId="86125384">
    <w:abstractNumId w:val="2"/>
  </w:num>
  <w:num w:numId="4" w16cid:durableId="1829249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310"/>
    <w:rsid w:val="000107A8"/>
    <w:rsid w:val="00016AC6"/>
    <w:rsid w:val="0007597B"/>
    <w:rsid w:val="000A1CF7"/>
    <w:rsid w:val="000C51D8"/>
    <w:rsid w:val="000E5637"/>
    <w:rsid w:val="00140A22"/>
    <w:rsid w:val="00146815"/>
    <w:rsid w:val="00197412"/>
    <w:rsid w:val="001A3612"/>
    <w:rsid w:val="001C1996"/>
    <w:rsid w:val="001D0DBE"/>
    <w:rsid w:val="001D13A7"/>
    <w:rsid w:val="001F630A"/>
    <w:rsid w:val="002014C1"/>
    <w:rsid w:val="0025244C"/>
    <w:rsid w:val="00265CCC"/>
    <w:rsid w:val="0029070B"/>
    <w:rsid w:val="00291960"/>
    <w:rsid w:val="002A3B75"/>
    <w:rsid w:val="002B6826"/>
    <w:rsid w:val="002F43F7"/>
    <w:rsid w:val="003249FC"/>
    <w:rsid w:val="003A18B9"/>
    <w:rsid w:val="003A5BA8"/>
    <w:rsid w:val="003C3E66"/>
    <w:rsid w:val="004A41E8"/>
    <w:rsid w:val="004B7A0A"/>
    <w:rsid w:val="004F2225"/>
    <w:rsid w:val="00541FD5"/>
    <w:rsid w:val="005762EA"/>
    <w:rsid w:val="005B0240"/>
    <w:rsid w:val="005B7BDC"/>
    <w:rsid w:val="005C4512"/>
    <w:rsid w:val="005F3DD5"/>
    <w:rsid w:val="005F777C"/>
    <w:rsid w:val="00617BE7"/>
    <w:rsid w:val="006253B1"/>
    <w:rsid w:val="00653462"/>
    <w:rsid w:val="00654681"/>
    <w:rsid w:val="006547BD"/>
    <w:rsid w:val="006554A5"/>
    <w:rsid w:val="00672ADB"/>
    <w:rsid w:val="006859EE"/>
    <w:rsid w:val="00696365"/>
    <w:rsid w:val="006A1CB0"/>
    <w:rsid w:val="006A6F56"/>
    <w:rsid w:val="006B5BC9"/>
    <w:rsid w:val="006F00E4"/>
    <w:rsid w:val="007312FF"/>
    <w:rsid w:val="007B067F"/>
    <w:rsid w:val="007B233E"/>
    <w:rsid w:val="007E6349"/>
    <w:rsid w:val="00804BB5"/>
    <w:rsid w:val="0084073B"/>
    <w:rsid w:val="00875AEC"/>
    <w:rsid w:val="00886715"/>
    <w:rsid w:val="008A1DD5"/>
    <w:rsid w:val="008A391B"/>
    <w:rsid w:val="008C1BF6"/>
    <w:rsid w:val="008E4D5C"/>
    <w:rsid w:val="008F6C5E"/>
    <w:rsid w:val="00972816"/>
    <w:rsid w:val="00997606"/>
    <w:rsid w:val="009B1179"/>
    <w:rsid w:val="00A348B5"/>
    <w:rsid w:val="00A83C67"/>
    <w:rsid w:val="00AA7762"/>
    <w:rsid w:val="00AE773E"/>
    <w:rsid w:val="00B40770"/>
    <w:rsid w:val="00B83ECB"/>
    <w:rsid w:val="00B93DA4"/>
    <w:rsid w:val="00BE5AE4"/>
    <w:rsid w:val="00BE63DD"/>
    <w:rsid w:val="00C12D55"/>
    <w:rsid w:val="00C43762"/>
    <w:rsid w:val="00C50310"/>
    <w:rsid w:val="00C524B3"/>
    <w:rsid w:val="00C9181D"/>
    <w:rsid w:val="00D20A43"/>
    <w:rsid w:val="00D30CBB"/>
    <w:rsid w:val="00D602F5"/>
    <w:rsid w:val="00D7711D"/>
    <w:rsid w:val="00E14B56"/>
    <w:rsid w:val="00E72CAF"/>
    <w:rsid w:val="00E862A4"/>
    <w:rsid w:val="00EB377C"/>
    <w:rsid w:val="00EC0E8A"/>
    <w:rsid w:val="00EE5F5C"/>
    <w:rsid w:val="00EF7FA1"/>
    <w:rsid w:val="00F06D6E"/>
    <w:rsid w:val="00F170AF"/>
    <w:rsid w:val="00F3726F"/>
    <w:rsid w:val="00F42155"/>
    <w:rsid w:val="00F55703"/>
    <w:rsid w:val="00F865EA"/>
    <w:rsid w:val="00FA6670"/>
    <w:rsid w:val="00FB6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0305"/>
  <w15:docId w15:val="{A2E9D566-D649-478F-BE70-6976A07B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0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0310"/>
    <w:pPr>
      <w:spacing w:after="0" w:line="240" w:lineRule="auto"/>
    </w:pPr>
  </w:style>
  <w:style w:type="paragraph" w:styleId="ListParagraph">
    <w:name w:val="List Paragraph"/>
    <w:basedOn w:val="Normal"/>
    <w:uiPriority w:val="99"/>
    <w:qFormat/>
    <w:rsid w:val="005C4512"/>
    <w:pPr>
      <w:ind w:left="720"/>
      <w:contextualSpacing/>
    </w:pPr>
  </w:style>
  <w:style w:type="paragraph" w:styleId="Header">
    <w:name w:val="header"/>
    <w:basedOn w:val="Normal"/>
    <w:link w:val="HeaderChar"/>
    <w:uiPriority w:val="99"/>
    <w:unhideWhenUsed/>
    <w:rsid w:val="001A3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612"/>
  </w:style>
  <w:style w:type="paragraph" w:styleId="Footer">
    <w:name w:val="footer"/>
    <w:basedOn w:val="Normal"/>
    <w:link w:val="FooterChar"/>
    <w:uiPriority w:val="99"/>
    <w:unhideWhenUsed/>
    <w:rsid w:val="001A3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612"/>
  </w:style>
  <w:style w:type="paragraph" w:styleId="BalloonText">
    <w:name w:val="Balloon Text"/>
    <w:basedOn w:val="Normal"/>
    <w:link w:val="BalloonTextChar"/>
    <w:uiPriority w:val="99"/>
    <w:semiHidden/>
    <w:unhideWhenUsed/>
    <w:rsid w:val="001A3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612"/>
    <w:rPr>
      <w:rFonts w:ascii="Tahoma" w:hAnsi="Tahoma" w:cs="Tahoma"/>
      <w:sz w:val="16"/>
      <w:szCs w:val="16"/>
    </w:rPr>
  </w:style>
  <w:style w:type="paragraph" w:customStyle="1" w:styleId="Default">
    <w:name w:val="Default"/>
    <w:rsid w:val="00265CC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06D6E"/>
    <w:rPr>
      <w:color w:val="0000FF" w:themeColor="hyperlink"/>
      <w:u w:val="single"/>
    </w:rPr>
  </w:style>
  <w:style w:type="character" w:styleId="UnresolvedMention">
    <w:name w:val="Unresolved Mention"/>
    <w:basedOn w:val="DefaultParagraphFont"/>
    <w:uiPriority w:val="99"/>
    <w:semiHidden/>
    <w:unhideWhenUsed/>
    <w:rsid w:val="00F06D6E"/>
    <w:rPr>
      <w:color w:val="605E5C"/>
      <w:shd w:val="clear" w:color="auto" w:fill="E1DFDD"/>
    </w:rPr>
  </w:style>
  <w:style w:type="paragraph" w:styleId="Revision">
    <w:name w:val="Revision"/>
    <w:hidden/>
    <w:uiPriority w:val="99"/>
    <w:semiHidden/>
    <w:rsid w:val="003C3E66"/>
    <w:pPr>
      <w:spacing w:after="0" w:line="240" w:lineRule="auto"/>
    </w:pPr>
  </w:style>
  <w:style w:type="character" w:styleId="CommentReference">
    <w:name w:val="annotation reference"/>
    <w:basedOn w:val="DefaultParagraphFont"/>
    <w:uiPriority w:val="99"/>
    <w:semiHidden/>
    <w:unhideWhenUsed/>
    <w:rsid w:val="003C3E66"/>
    <w:rPr>
      <w:sz w:val="16"/>
      <w:szCs w:val="16"/>
    </w:rPr>
  </w:style>
  <w:style w:type="paragraph" w:styleId="CommentText">
    <w:name w:val="annotation text"/>
    <w:basedOn w:val="Normal"/>
    <w:link w:val="CommentTextChar"/>
    <w:uiPriority w:val="99"/>
    <w:unhideWhenUsed/>
    <w:rsid w:val="003C3E66"/>
    <w:pPr>
      <w:spacing w:line="240" w:lineRule="auto"/>
    </w:pPr>
    <w:rPr>
      <w:sz w:val="20"/>
      <w:szCs w:val="20"/>
    </w:rPr>
  </w:style>
  <w:style w:type="character" w:customStyle="1" w:styleId="CommentTextChar">
    <w:name w:val="Comment Text Char"/>
    <w:basedOn w:val="DefaultParagraphFont"/>
    <w:link w:val="CommentText"/>
    <w:uiPriority w:val="99"/>
    <w:rsid w:val="003C3E66"/>
    <w:rPr>
      <w:sz w:val="20"/>
      <w:szCs w:val="20"/>
    </w:rPr>
  </w:style>
  <w:style w:type="paragraph" w:styleId="CommentSubject">
    <w:name w:val="annotation subject"/>
    <w:basedOn w:val="CommentText"/>
    <w:next w:val="CommentText"/>
    <w:link w:val="CommentSubjectChar"/>
    <w:uiPriority w:val="99"/>
    <w:semiHidden/>
    <w:unhideWhenUsed/>
    <w:rsid w:val="003C3E66"/>
    <w:rPr>
      <w:b/>
      <w:bCs/>
    </w:rPr>
  </w:style>
  <w:style w:type="character" w:customStyle="1" w:styleId="CommentSubjectChar">
    <w:name w:val="Comment Subject Char"/>
    <w:basedOn w:val="CommentTextChar"/>
    <w:link w:val="CommentSubject"/>
    <w:uiPriority w:val="99"/>
    <w:semiHidden/>
    <w:rsid w:val="003C3E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10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Eudall@ahdb.org.uk" TargetMode="External"/><Relationship Id="rId3" Type="http://schemas.openxmlformats.org/officeDocument/2006/relationships/settings" Target="settings.xml"/><Relationship Id="rId7" Type="http://schemas.openxmlformats.org/officeDocument/2006/relationships/hyperlink" Target="mailto:David.Eudall@ahdb.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1147</Words>
  <Characters>6538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whitakerd</dc:creator>
  <cp:lastModifiedBy>Sarah Waters</cp:lastModifiedBy>
  <cp:revision>2</cp:revision>
  <cp:lastPrinted>2015-03-24T12:37:00Z</cp:lastPrinted>
  <dcterms:created xsi:type="dcterms:W3CDTF">2024-02-13T10:26:00Z</dcterms:created>
  <dcterms:modified xsi:type="dcterms:W3CDTF">2024-02-13T10:26:00Z</dcterms:modified>
</cp:coreProperties>
</file>