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CBF6" w14:textId="3EE15D1F" w:rsidR="007C40BC" w:rsidRDefault="3D4DF372" w:rsidP="007C40BC">
      <w:r>
        <w:t xml:space="preserve"> </w:t>
      </w:r>
    </w:p>
    <w:p w14:paraId="6D7A9021" w14:textId="57508B52" w:rsidR="002C34F0" w:rsidRPr="002C34F0" w:rsidRDefault="00E5645D" w:rsidP="002C34F0">
      <w:pPr>
        <w:rPr>
          <w:rFonts w:eastAsiaTheme="majorEastAsia" w:cstheme="majorBidi"/>
          <w:b/>
          <w:bCs/>
          <w:color w:val="FF0000"/>
          <w:spacing w:val="5"/>
          <w:kern w:val="28"/>
          <w:sz w:val="36"/>
          <w:szCs w:val="52"/>
        </w:rPr>
      </w:pPr>
      <w:r>
        <w:rPr>
          <w:rFonts w:eastAsiaTheme="majorEastAsia" w:cstheme="majorBidi"/>
          <w:b/>
          <w:bCs/>
          <w:color w:val="FF0000"/>
          <w:spacing w:val="5"/>
          <w:kern w:val="28"/>
          <w:sz w:val="36"/>
          <w:szCs w:val="52"/>
        </w:rPr>
        <w:t>Automated Testing of the Salesforce platform in use at the Fund</w:t>
      </w:r>
    </w:p>
    <w:p w14:paraId="11F83442" w14:textId="77777777" w:rsidR="002A3C07" w:rsidRPr="002A3C07" w:rsidRDefault="002A3C07" w:rsidP="002A3C07"/>
    <w:p w14:paraId="79F97B99" w14:textId="30A1D1B1"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B86FAF">
        <w:rPr>
          <w:rStyle w:val="Strong"/>
          <w:b w:val="0"/>
        </w:rPr>
        <w:t>National Lottery Heritage Fund</w:t>
      </w:r>
    </w:p>
    <w:p w14:paraId="7307A28D" w14:textId="30F60CB0" w:rsidR="007C40BC" w:rsidRDefault="007C40BC" w:rsidP="007C40BC">
      <w:pPr>
        <w:tabs>
          <w:tab w:val="left" w:pos="567"/>
          <w:tab w:val="left" w:pos="4111"/>
        </w:tabs>
        <w:spacing w:after="240"/>
      </w:pPr>
      <w:r w:rsidRPr="00234ED8">
        <w:rPr>
          <w:b/>
        </w:rPr>
        <w:t>Department</w:t>
      </w:r>
      <w:r w:rsidRPr="00B230B6">
        <w:tab/>
      </w:r>
      <w:r w:rsidR="00B86FAF">
        <w:t xml:space="preserve">Business </w:t>
      </w:r>
      <w:r w:rsidR="00934EBB">
        <w:t>Delivery</w:t>
      </w:r>
      <w:r w:rsidR="00B86FAF">
        <w:t xml:space="preserve"> </w:t>
      </w:r>
    </w:p>
    <w:p w14:paraId="06F3F2BD" w14:textId="44AFCA7D" w:rsidR="007C40BC" w:rsidRPr="009E6389" w:rsidRDefault="007C40BC" w:rsidP="008B189F">
      <w:pPr>
        <w:tabs>
          <w:tab w:val="left" w:pos="567"/>
          <w:tab w:val="left" w:pos="3843"/>
          <w:tab w:val="left" w:pos="4111"/>
        </w:tabs>
        <w:spacing w:after="240"/>
        <w:rPr>
          <w:rStyle w:val="Strong"/>
          <w:b w:val="0"/>
          <w:bCs/>
        </w:rPr>
      </w:pPr>
      <w:r w:rsidRPr="0061657B">
        <w:rPr>
          <w:rStyle w:val="Strong"/>
        </w:rPr>
        <w:t>Title of procurement</w:t>
      </w:r>
      <w:r w:rsidRPr="00B230B6">
        <w:rPr>
          <w:rStyle w:val="Strong"/>
        </w:rPr>
        <w:tab/>
      </w:r>
      <w:r w:rsidR="008B189F">
        <w:rPr>
          <w:rStyle w:val="Strong"/>
        </w:rPr>
        <w:tab/>
      </w:r>
      <w:r w:rsidR="00351BD8">
        <w:rPr>
          <w:rStyle w:val="Strong"/>
        </w:rPr>
        <w:t xml:space="preserve">Salesforce </w:t>
      </w:r>
      <w:r w:rsidR="00E5645D">
        <w:rPr>
          <w:rStyle w:val="Strong"/>
        </w:rPr>
        <w:t>Automated Testing Procurement</w:t>
      </w:r>
    </w:p>
    <w:p w14:paraId="57B3E558" w14:textId="1D55EF9C" w:rsidR="002C34F0" w:rsidRPr="002C34F0" w:rsidRDefault="007C40BC" w:rsidP="00E5645D">
      <w:pPr>
        <w:tabs>
          <w:tab w:val="left" w:pos="567"/>
          <w:tab w:val="left" w:pos="4111"/>
        </w:tabs>
        <w:spacing w:after="240"/>
        <w:ind w:left="4110" w:hanging="4110"/>
      </w:pPr>
      <w:r w:rsidRPr="00A87B76">
        <w:rPr>
          <w:b/>
        </w:rPr>
        <w:t>Brief description of supply</w:t>
      </w:r>
      <w:r w:rsidRPr="00B230B6">
        <w:tab/>
      </w:r>
      <w:r w:rsidR="00F041C0">
        <w:t xml:space="preserve">The Heritage Fund is </w:t>
      </w:r>
      <w:r w:rsidR="008B67BA">
        <w:t xml:space="preserve">seeking to </w:t>
      </w:r>
      <w:r w:rsidR="00E5645D">
        <w:t>identify a supplier who can provide a tool for automated testing of the Salesforce platform in use as an investment management service at the Fund. This includes the sandbox environments as well as production.</w:t>
      </w:r>
    </w:p>
    <w:p w14:paraId="2B725303" w14:textId="77777777" w:rsidR="007C40BC" w:rsidRDefault="007C40BC" w:rsidP="007C40BC">
      <w:pPr>
        <w:tabs>
          <w:tab w:val="left" w:pos="567"/>
          <w:tab w:val="left" w:pos="4111"/>
        </w:tabs>
        <w:spacing w:after="240"/>
        <w:ind w:left="4110" w:hanging="4110"/>
      </w:pPr>
    </w:p>
    <w:p w14:paraId="5BE75F19" w14:textId="7AF52001" w:rsidR="007C40BC" w:rsidRDefault="007C40BC" w:rsidP="007C40BC">
      <w:pPr>
        <w:tabs>
          <w:tab w:val="left" w:pos="567"/>
          <w:tab w:val="left" w:pos="4111"/>
        </w:tabs>
        <w:spacing w:after="240"/>
      </w:pPr>
      <w:r>
        <w:rPr>
          <w:b/>
        </w:rPr>
        <w:t>Estimated v</w:t>
      </w:r>
      <w:r w:rsidRPr="00A87B76">
        <w:rPr>
          <w:b/>
        </w:rPr>
        <w:t>alue of tender</w:t>
      </w:r>
      <w:r w:rsidRPr="00B230B6">
        <w:tab/>
      </w:r>
      <w:r w:rsidR="002C34F0" w:rsidRPr="001E6A9E">
        <w:t>up to £</w:t>
      </w:r>
      <w:r w:rsidR="001E6A9E" w:rsidRPr="001E6A9E">
        <w:t>50,000</w:t>
      </w:r>
    </w:p>
    <w:p w14:paraId="56382716" w14:textId="7F5E9D47" w:rsidR="00617D51" w:rsidRDefault="007C40BC" w:rsidP="007C40BC">
      <w:pPr>
        <w:tabs>
          <w:tab w:val="left" w:pos="567"/>
          <w:tab w:val="left" w:pos="4111"/>
        </w:tabs>
        <w:spacing w:after="240"/>
      </w:pPr>
      <w:r w:rsidRPr="00A87B76">
        <w:rPr>
          <w:b/>
        </w:rPr>
        <w:t xml:space="preserve">Estimated </w:t>
      </w:r>
      <w:r>
        <w:rPr>
          <w:b/>
        </w:rPr>
        <w:t>duration</w:t>
      </w:r>
      <w:r w:rsidRPr="00B230B6">
        <w:tab/>
      </w:r>
      <w:r w:rsidR="00000F95">
        <w:t>1 month for initial process</w:t>
      </w:r>
    </w:p>
    <w:p w14:paraId="43404B23" w14:textId="671D4601" w:rsidR="007C40BC" w:rsidRDefault="007C40BC" w:rsidP="007C40BC">
      <w:pPr>
        <w:tabs>
          <w:tab w:val="left" w:pos="567"/>
          <w:tab w:val="left" w:pos="4111"/>
        </w:tabs>
        <w:spacing w:after="240"/>
      </w:pPr>
      <w:r w:rsidRPr="00A87B76">
        <w:rPr>
          <w:b/>
        </w:rPr>
        <w:t xml:space="preserve">Name of </w:t>
      </w:r>
      <w:r w:rsidR="008B189F">
        <w:rPr>
          <w:b/>
        </w:rPr>
        <w:t>NHMF</w:t>
      </w:r>
      <w:r w:rsidRPr="00A87B76">
        <w:rPr>
          <w:b/>
        </w:rPr>
        <w:t xml:space="preserve"> Contact</w:t>
      </w:r>
      <w:r w:rsidRPr="00EE3B0C">
        <w:tab/>
      </w:r>
      <w:r w:rsidR="00E5645D">
        <w:t>Jamie McGarrigle</w:t>
      </w:r>
    </w:p>
    <w:p w14:paraId="148F56E2" w14:textId="1A1AFDE0" w:rsidR="007C40BC" w:rsidRDefault="007C40BC" w:rsidP="007C40BC">
      <w:pPr>
        <w:tabs>
          <w:tab w:val="left" w:pos="4111"/>
        </w:tabs>
        <w:spacing w:after="240"/>
        <w:ind w:left="4111" w:hanging="4111"/>
      </w:pPr>
      <w:r w:rsidRPr="008A4DA4">
        <w:rPr>
          <w:b/>
        </w:rPr>
        <w:t>Timetable</w:t>
      </w:r>
      <w:r w:rsidR="00697E37">
        <w:tab/>
        <w:t>Response deadline:</w:t>
      </w:r>
      <w:r w:rsidR="001909C8">
        <w:t xml:space="preserve"> 1</w:t>
      </w:r>
      <w:r w:rsidR="001909C8" w:rsidRPr="001909C8">
        <w:rPr>
          <w:vertAlign w:val="superscript"/>
        </w:rPr>
        <w:t>st</w:t>
      </w:r>
      <w:r w:rsidR="001909C8">
        <w:t xml:space="preserve"> November 2021 at Noon</w:t>
      </w:r>
    </w:p>
    <w:p w14:paraId="5A04D56C" w14:textId="5EA74C80" w:rsidR="007C40BC" w:rsidRDefault="00AE2088" w:rsidP="007C40BC">
      <w:pPr>
        <w:tabs>
          <w:tab w:val="left" w:pos="4111"/>
        </w:tabs>
        <w:spacing w:after="240"/>
        <w:ind w:left="4111"/>
      </w:pPr>
      <w:r>
        <w:t>Clarification</w:t>
      </w:r>
      <w:r w:rsidR="00185CD5">
        <w:t xml:space="preserve"> &amp; Negotia</w:t>
      </w:r>
      <w:r w:rsidR="009772DF">
        <w:t>t</w:t>
      </w:r>
      <w:r w:rsidR="00185CD5">
        <w:t>ion</w:t>
      </w:r>
      <w:r>
        <w:t xml:space="preserve"> meetings</w:t>
      </w:r>
      <w:r w:rsidR="00697E37">
        <w:t xml:space="preserve">: </w:t>
      </w:r>
      <w:r w:rsidR="002C34F0">
        <w:t xml:space="preserve">clarification questions by the </w:t>
      </w:r>
      <w:r w:rsidR="001909C8">
        <w:t>7</w:t>
      </w:r>
      <w:r w:rsidR="001909C8" w:rsidRPr="001909C8">
        <w:rPr>
          <w:vertAlign w:val="superscript"/>
        </w:rPr>
        <w:t>th</w:t>
      </w:r>
      <w:r w:rsidR="001909C8">
        <w:t xml:space="preserve"> October 2021</w:t>
      </w:r>
      <w:r w:rsidR="002C34F0">
        <w:t xml:space="preserve"> and tender </w:t>
      </w:r>
      <w:r w:rsidR="001909C8">
        <w:t xml:space="preserve">answers </w:t>
      </w:r>
      <w:r w:rsidR="002C34F0">
        <w:t xml:space="preserve">on the </w:t>
      </w:r>
      <w:r w:rsidR="001909C8">
        <w:t>12</w:t>
      </w:r>
      <w:r w:rsidR="001909C8" w:rsidRPr="001909C8">
        <w:rPr>
          <w:vertAlign w:val="superscript"/>
        </w:rPr>
        <w:t>th</w:t>
      </w:r>
      <w:r w:rsidR="001909C8">
        <w:t xml:space="preserve"> October 2021</w:t>
      </w:r>
    </w:p>
    <w:p w14:paraId="067C685B" w14:textId="71FA4A54" w:rsidR="007C40BC" w:rsidRDefault="007C40BC" w:rsidP="40522F85">
      <w:pPr>
        <w:tabs>
          <w:tab w:val="left" w:pos="4111"/>
        </w:tabs>
        <w:spacing w:after="240"/>
        <w:ind w:left="4110"/>
      </w:pPr>
      <w:r>
        <w:t>Confirmatio</w:t>
      </w:r>
      <w:r w:rsidR="00E04BF0">
        <w:t xml:space="preserve">n of contract: </w:t>
      </w:r>
      <w:r w:rsidR="001909C8">
        <w:t>5</w:t>
      </w:r>
      <w:r w:rsidR="001909C8" w:rsidRPr="001909C8">
        <w:rPr>
          <w:vertAlign w:val="superscript"/>
        </w:rPr>
        <w:t>th</w:t>
      </w:r>
      <w:r w:rsidR="001909C8">
        <w:t xml:space="preserve"> November 2021</w:t>
      </w:r>
    </w:p>
    <w:p w14:paraId="62AD594E" w14:textId="77777777" w:rsidR="0082194B" w:rsidRPr="00FB02BD" w:rsidRDefault="007C40BC" w:rsidP="0082194B">
      <w:pPr>
        <w:pStyle w:val="Heading1"/>
      </w:pPr>
      <w:r>
        <w:br w:type="page"/>
      </w:r>
      <w:r w:rsidR="0082194B" w:rsidRPr="00FB02BD">
        <w:lastRenderedPageBreak/>
        <w:t>1.</w:t>
      </w:r>
      <w:r w:rsidR="0082194B" w:rsidRPr="00FB02BD">
        <w:tab/>
        <w:t>Overview</w:t>
      </w:r>
    </w:p>
    <w:p w14:paraId="2F47F175" w14:textId="77777777" w:rsidR="002C34F0" w:rsidRPr="002C34F0" w:rsidRDefault="002C34F0" w:rsidP="00C43DE6">
      <w:pPr>
        <w:numPr>
          <w:ilvl w:val="1"/>
          <w:numId w:val="2"/>
        </w:numPr>
        <w:spacing w:after="240" w:line="276" w:lineRule="auto"/>
        <w:rPr>
          <w:rFonts w:cs="Arial"/>
          <w:szCs w:val="22"/>
          <w:lang w:val="en-US"/>
        </w:rPr>
      </w:pPr>
      <w:r w:rsidRPr="002C34F0">
        <w:rPr>
          <w:rFonts w:cs="Arial"/>
          <w:szCs w:val="22"/>
          <w:lang w:val="en-US"/>
        </w:rPr>
        <w:t xml:space="preserve">The National Lottery Heritage Fund is the single largest funder of heritage projects in the UK.  Since our inception in 1994 we have distributed grants amounting to £8 billion across 44,000 projects. </w:t>
      </w:r>
    </w:p>
    <w:p w14:paraId="7606F376" w14:textId="50C9C796" w:rsidR="002C34F0" w:rsidRPr="002C34F0" w:rsidRDefault="002C34F0" w:rsidP="00C43DE6">
      <w:pPr>
        <w:numPr>
          <w:ilvl w:val="1"/>
          <w:numId w:val="2"/>
        </w:numPr>
        <w:spacing w:after="240" w:line="276" w:lineRule="auto"/>
        <w:rPr>
          <w:rFonts w:cs="Arial"/>
          <w:szCs w:val="22"/>
          <w:lang w:val="en-US"/>
        </w:rPr>
      </w:pPr>
      <w:r w:rsidRPr="002C34F0">
        <w:rPr>
          <w:rFonts w:cs="Arial"/>
          <w:szCs w:val="22"/>
          <w:lang w:val="en-US"/>
        </w:rPr>
        <w:t xml:space="preserve">In 2019 we launched a Strategic Funding Framework which set a new vision and role for our organisation. Between now and 2024, </w:t>
      </w:r>
      <w:r w:rsidR="006F16CA" w:rsidRPr="002C34F0">
        <w:rPr>
          <w:rFonts w:cs="Arial"/>
          <w:szCs w:val="22"/>
          <w:lang w:val="en-US"/>
        </w:rPr>
        <w:t>all</w:t>
      </w:r>
      <w:r w:rsidRPr="002C34F0">
        <w:rPr>
          <w:rFonts w:cs="Arial"/>
          <w:szCs w:val="22"/>
          <w:lang w:val="en-US"/>
        </w:rPr>
        <w:t xml:space="preserve"> our </w:t>
      </w:r>
      <w:r w:rsidR="00B336D2">
        <w:rPr>
          <w:rFonts w:cs="Arial"/>
          <w:szCs w:val="22"/>
          <w:lang w:val="en-US"/>
        </w:rPr>
        <w:t>work should fit with our new role of</w:t>
      </w:r>
      <w:r w:rsidRPr="002C34F0">
        <w:rPr>
          <w:rFonts w:cs="Arial"/>
          <w:szCs w:val="22"/>
          <w:lang w:val="en-US"/>
        </w:rPr>
        <w:t>:</w:t>
      </w:r>
    </w:p>
    <w:p w14:paraId="03B6ED88" w14:textId="77777777" w:rsidR="002C34F0" w:rsidRDefault="002C34F0" w:rsidP="002C34F0">
      <w:pPr>
        <w:spacing w:after="240" w:line="276" w:lineRule="auto"/>
        <w:ind w:left="720"/>
        <w:rPr>
          <w:rFonts w:cs="Arial"/>
          <w:szCs w:val="22"/>
          <w:lang w:val="en-US"/>
        </w:rPr>
      </w:pPr>
      <w:r w:rsidRPr="002C34F0">
        <w:rPr>
          <w:rFonts w:cs="Arial"/>
          <w:szCs w:val="22"/>
          <w:lang w:val="en-US"/>
        </w:rPr>
        <w:t xml:space="preserve">‘inspiring, leading and resourcing the UK’s Heritage to create positive and lasting change for people and communities, now and in the future’. </w:t>
      </w:r>
    </w:p>
    <w:p w14:paraId="1BC33108" w14:textId="77777777" w:rsidR="0082194B" w:rsidRPr="002C34F0" w:rsidRDefault="008B189F" w:rsidP="00C43DE6">
      <w:pPr>
        <w:numPr>
          <w:ilvl w:val="1"/>
          <w:numId w:val="2"/>
        </w:numPr>
        <w:spacing w:after="240" w:line="276" w:lineRule="auto"/>
        <w:rPr>
          <w:rFonts w:cs="Arial"/>
          <w:szCs w:val="22"/>
          <w:lang w:val="en-US"/>
        </w:rPr>
      </w:pPr>
      <w:r w:rsidRPr="002C34F0">
        <w:rPr>
          <w:rFonts w:cs="Arial"/>
          <w:szCs w:val="22"/>
          <w:lang w:val="en-US"/>
        </w:rPr>
        <w:t>NHMF</w:t>
      </w:r>
      <w:r w:rsidR="0082194B" w:rsidRPr="002C34F0">
        <w:rPr>
          <w:rFonts w:cs="Arial"/>
          <w:szCs w:val="22"/>
          <w:lang w:val="en-US"/>
        </w:rPr>
        <w:t xml:space="preserve"> invests in the full breadth of the UK’s heritage and</w:t>
      </w:r>
      <w:r w:rsidR="00AE2088" w:rsidRPr="002C34F0">
        <w:rPr>
          <w:rFonts w:cs="Arial"/>
          <w:szCs w:val="22"/>
          <w:lang w:val="en-US"/>
        </w:rPr>
        <w:t>,</w:t>
      </w:r>
      <w:r w:rsidR="0082194B" w:rsidRPr="002C34F0">
        <w:rPr>
          <w:rFonts w:cs="Arial"/>
          <w:szCs w:val="22"/>
          <w:lang w:val="en-US"/>
        </w:rPr>
        <w:t xml:space="preserve"> through our funding</w:t>
      </w:r>
      <w:r w:rsidR="00AE2088" w:rsidRPr="002C34F0">
        <w:rPr>
          <w:rFonts w:cs="Arial"/>
          <w:szCs w:val="22"/>
          <w:lang w:val="en-US"/>
        </w:rPr>
        <w:t>,</w:t>
      </w:r>
      <w:r w:rsidR="0082194B" w:rsidRPr="002C34F0">
        <w:rPr>
          <w:rFonts w:cs="Arial"/>
          <w:szCs w:val="22"/>
          <w:lang w:val="en-US"/>
        </w:rPr>
        <w:t xml:space="preserve"> we aim to make a lasting difference for heritage and people. This is reflected in the outcomes for heritage, people and communities which underpin our grant-making.</w:t>
      </w:r>
    </w:p>
    <w:p w14:paraId="220A83DC" w14:textId="1B951E3D" w:rsidR="00195A5F" w:rsidRDefault="00531022" w:rsidP="33A3A1F5">
      <w:pPr>
        <w:numPr>
          <w:ilvl w:val="1"/>
          <w:numId w:val="2"/>
        </w:numPr>
        <w:spacing w:after="240" w:line="276" w:lineRule="auto"/>
        <w:rPr>
          <w:rFonts w:eastAsia="Arial" w:cs="Arial"/>
          <w:szCs w:val="22"/>
          <w:lang w:val="en-US"/>
        </w:rPr>
      </w:pPr>
      <w:r w:rsidRPr="33A3A1F5">
        <w:rPr>
          <w:rFonts w:cs="Arial"/>
          <w:lang w:val="en-US"/>
        </w:rPr>
        <w:t>The Fund is currently de</w:t>
      </w:r>
      <w:r w:rsidR="00E5645D">
        <w:rPr>
          <w:rFonts w:cs="Arial"/>
          <w:lang w:val="en-US"/>
        </w:rPr>
        <w:t xml:space="preserve">livering </w:t>
      </w:r>
      <w:r w:rsidRPr="33A3A1F5">
        <w:rPr>
          <w:rFonts w:cs="Arial"/>
          <w:lang w:val="en-US"/>
        </w:rPr>
        <w:t>a new Investment Management System to replace legacy system</w:t>
      </w:r>
      <w:r w:rsidR="02F90BC0" w:rsidRPr="33A3A1F5">
        <w:rPr>
          <w:rFonts w:cs="Arial"/>
          <w:lang w:val="en-US"/>
        </w:rPr>
        <w:t>s</w:t>
      </w:r>
      <w:r w:rsidRPr="33A3A1F5">
        <w:rPr>
          <w:rFonts w:cs="Arial"/>
          <w:lang w:val="en-US"/>
        </w:rPr>
        <w:t xml:space="preserve">. </w:t>
      </w:r>
      <w:r w:rsidR="00691EC0" w:rsidRPr="33A3A1F5">
        <w:rPr>
          <w:rFonts w:cs="Arial"/>
          <w:lang w:val="en-US"/>
        </w:rPr>
        <w:t xml:space="preserve">This will </w:t>
      </w:r>
      <w:r w:rsidR="665FF30D" w:rsidRPr="33A3A1F5">
        <w:rPr>
          <w:rFonts w:cs="Arial"/>
          <w:lang w:val="en-US"/>
        </w:rPr>
        <w:t xml:space="preserve">also </w:t>
      </w:r>
      <w:r w:rsidR="00691EC0" w:rsidRPr="33A3A1F5">
        <w:rPr>
          <w:rFonts w:cs="Arial"/>
          <w:lang w:val="en-US"/>
        </w:rPr>
        <w:t>include migration of data</w:t>
      </w:r>
      <w:r w:rsidR="001D088D" w:rsidRPr="33A3A1F5">
        <w:rPr>
          <w:rFonts w:cs="Arial"/>
          <w:lang w:val="en-US"/>
        </w:rPr>
        <w:t xml:space="preserve"> (structured and unstructured)</w:t>
      </w:r>
      <w:r w:rsidR="00691EC0" w:rsidRPr="33A3A1F5">
        <w:rPr>
          <w:rFonts w:cs="Arial"/>
          <w:lang w:val="en-US"/>
        </w:rPr>
        <w:t xml:space="preserve"> from these legacy systems</w:t>
      </w:r>
      <w:r w:rsidR="49C11467" w:rsidRPr="33A3A1F5">
        <w:rPr>
          <w:rFonts w:cs="Arial"/>
          <w:lang w:val="en-US"/>
        </w:rPr>
        <w:t xml:space="preserve"> to the new system</w:t>
      </w:r>
      <w:r w:rsidR="00691EC0" w:rsidRPr="33A3A1F5">
        <w:rPr>
          <w:rFonts w:cs="Arial"/>
          <w:lang w:val="en-US"/>
        </w:rPr>
        <w:t xml:space="preserve">. </w:t>
      </w:r>
      <w:r w:rsidRPr="33A3A1F5">
        <w:rPr>
          <w:rFonts w:cs="Arial"/>
          <w:lang w:val="en-US"/>
        </w:rPr>
        <w:t>Th</w:t>
      </w:r>
      <w:r w:rsidR="00691EC0" w:rsidRPr="33A3A1F5">
        <w:rPr>
          <w:rFonts w:cs="Arial"/>
          <w:lang w:val="en-US"/>
        </w:rPr>
        <w:t>e system</w:t>
      </w:r>
      <w:r w:rsidRPr="33A3A1F5">
        <w:rPr>
          <w:rFonts w:cs="Arial"/>
          <w:lang w:val="en-US"/>
        </w:rPr>
        <w:t xml:space="preserve"> is used for </w:t>
      </w:r>
      <w:r w:rsidR="00195A5F" w:rsidRPr="33A3A1F5">
        <w:rPr>
          <w:rFonts w:cs="Arial"/>
          <w:lang w:val="en-US"/>
        </w:rPr>
        <w:t>pre application, assessment, monitoring and ensuring contractual compliance and providing data to evidence impact</w:t>
      </w:r>
      <w:r w:rsidR="00691EC0" w:rsidRPr="33A3A1F5">
        <w:rPr>
          <w:rFonts w:cs="Arial"/>
          <w:lang w:val="en-US"/>
        </w:rPr>
        <w:t xml:space="preserve">. </w:t>
      </w:r>
      <w:r w:rsidR="4F06FF3F" w:rsidRPr="33A3A1F5">
        <w:rPr>
          <w:rFonts w:cs="Arial"/>
          <w:lang w:val="en-US"/>
        </w:rPr>
        <w:t xml:space="preserve">It is predominantly a tool for case management </w:t>
      </w:r>
      <w:r w:rsidR="00960582">
        <w:rPr>
          <w:rFonts w:cs="Arial"/>
          <w:lang w:val="en-US"/>
        </w:rPr>
        <w:t xml:space="preserve">within Business Delivery </w:t>
      </w:r>
      <w:r w:rsidR="4F06FF3F" w:rsidRPr="33A3A1F5">
        <w:rPr>
          <w:rFonts w:cs="Arial"/>
          <w:lang w:val="en-US"/>
        </w:rPr>
        <w:t>however the outputs are used within the Business Insight and Innovation part of the business.</w:t>
      </w:r>
      <w:r w:rsidR="00960582">
        <w:rPr>
          <w:rFonts w:cs="Arial"/>
          <w:lang w:val="en-US"/>
        </w:rPr>
        <w:t xml:space="preserve"> The tool is managed by an in house team.</w:t>
      </w:r>
    </w:p>
    <w:p w14:paraId="3DA4746E" w14:textId="1D6A2EF1" w:rsidR="00D80A15" w:rsidRPr="00D80A15" w:rsidRDefault="00A234FD" w:rsidP="40522F85">
      <w:pPr>
        <w:numPr>
          <w:ilvl w:val="1"/>
          <w:numId w:val="2"/>
        </w:numPr>
        <w:spacing w:after="240" w:line="276" w:lineRule="auto"/>
        <w:rPr>
          <w:rFonts w:cs="Arial"/>
          <w:lang w:val="en-US"/>
        </w:rPr>
      </w:pPr>
      <w:r w:rsidRPr="33A3A1F5">
        <w:rPr>
          <w:rFonts w:cs="Arial"/>
          <w:lang w:val="en-US"/>
        </w:rPr>
        <w:t xml:space="preserve">The project’s objective is to </w:t>
      </w:r>
      <w:r w:rsidR="00E5645D">
        <w:rPr>
          <w:rFonts w:cs="Arial"/>
          <w:lang w:val="en-US"/>
        </w:rPr>
        <w:t>provide a tool that enables automated testing of the Salesforce platform once changes are made to it by the in house developer team</w:t>
      </w:r>
      <w:r w:rsidR="00D80A15" w:rsidRPr="33A3A1F5">
        <w:rPr>
          <w:rFonts w:cs="Arial"/>
          <w:lang w:val="en-US"/>
        </w:rPr>
        <w:t xml:space="preserve">. </w:t>
      </w:r>
      <w:r w:rsidR="00E5645D">
        <w:rPr>
          <w:rFonts w:cs="Arial"/>
          <w:lang w:val="en-US"/>
        </w:rPr>
        <w:t>Currently this is a manual process which is time consuming for the team.</w:t>
      </w:r>
    </w:p>
    <w:p w14:paraId="17A21051" w14:textId="4499DD83" w:rsidR="00B336D2" w:rsidRDefault="00D80A15" w:rsidP="33A3A1F5">
      <w:pPr>
        <w:numPr>
          <w:ilvl w:val="1"/>
          <w:numId w:val="2"/>
        </w:numPr>
        <w:spacing w:after="240" w:line="276" w:lineRule="auto"/>
        <w:rPr>
          <w:rFonts w:cs="Arial"/>
          <w:lang w:val="en-US"/>
        </w:rPr>
      </w:pPr>
      <w:r w:rsidRPr="33A3A1F5">
        <w:rPr>
          <w:rFonts w:cs="Arial"/>
          <w:lang w:val="en-US"/>
        </w:rPr>
        <w:t xml:space="preserve">The new IMS </w:t>
      </w:r>
      <w:r w:rsidR="00E5645D">
        <w:rPr>
          <w:rFonts w:cs="Arial"/>
          <w:lang w:val="en-US"/>
        </w:rPr>
        <w:t>went l</w:t>
      </w:r>
      <w:r w:rsidR="00960582">
        <w:rPr>
          <w:rFonts w:cs="Arial"/>
          <w:lang w:val="en-US"/>
        </w:rPr>
        <w:t>iv</w:t>
      </w:r>
      <w:r w:rsidR="00E5645D">
        <w:rPr>
          <w:rFonts w:cs="Arial"/>
          <w:lang w:val="en-US"/>
        </w:rPr>
        <w:t xml:space="preserve">e </w:t>
      </w:r>
      <w:r w:rsidRPr="33A3A1F5">
        <w:rPr>
          <w:rFonts w:cs="Arial"/>
          <w:lang w:val="en-US"/>
        </w:rPr>
        <w:t>April 2021</w:t>
      </w:r>
      <w:r w:rsidR="00E3305D" w:rsidRPr="33A3A1F5">
        <w:rPr>
          <w:rFonts w:cs="Arial"/>
          <w:lang w:val="en-US"/>
        </w:rPr>
        <w:t xml:space="preserve"> for all new applications. All</w:t>
      </w:r>
      <w:r w:rsidR="0085292D" w:rsidRPr="33A3A1F5">
        <w:rPr>
          <w:rFonts w:cs="Arial"/>
          <w:lang w:val="en-US"/>
        </w:rPr>
        <w:t xml:space="preserve"> required</w:t>
      </w:r>
      <w:r w:rsidR="00E3305D" w:rsidRPr="33A3A1F5">
        <w:rPr>
          <w:rFonts w:cs="Arial"/>
          <w:lang w:val="en-US"/>
        </w:rPr>
        <w:t xml:space="preserve"> data must be migrated from live cases by </w:t>
      </w:r>
      <w:r w:rsidR="00E5645D">
        <w:rPr>
          <w:rFonts w:cs="Arial"/>
          <w:lang w:val="en-US"/>
        </w:rPr>
        <w:t>March 2022</w:t>
      </w:r>
      <w:r w:rsidR="00960582">
        <w:rPr>
          <w:rFonts w:cs="Arial"/>
          <w:lang w:val="en-US"/>
        </w:rPr>
        <w:t xml:space="preserve"> and this will create new workflows and structures within the service</w:t>
      </w:r>
      <w:r w:rsidR="00E3305D" w:rsidRPr="33A3A1F5">
        <w:rPr>
          <w:rFonts w:cs="Arial"/>
          <w:lang w:val="en-US"/>
        </w:rPr>
        <w:t>.</w:t>
      </w:r>
    </w:p>
    <w:p w14:paraId="7092B1CD" w14:textId="0D97823C" w:rsidR="0063699D" w:rsidRDefault="0063699D" w:rsidP="33A3A1F5">
      <w:pPr>
        <w:numPr>
          <w:ilvl w:val="1"/>
          <w:numId w:val="2"/>
        </w:numPr>
        <w:spacing w:after="240" w:line="276" w:lineRule="auto"/>
        <w:rPr>
          <w:rFonts w:cs="Arial"/>
          <w:lang w:val="en-US"/>
        </w:rPr>
      </w:pPr>
      <w:r w:rsidRPr="33A3A1F5">
        <w:rPr>
          <w:rFonts w:cs="Arial"/>
          <w:lang w:val="en-US"/>
        </w:rPr>
        <w:t>This invitation to bid is for a contractor who can:</w:t>
      </w:r>
    </w:p>
    <w:p w14:paraId="086BF17F" w14:textId="1BA2E4B7" w:rsidR="00E5645D" w:rsidRDefault="00E5645D" w:rsidP="00E5645D">
      <w:pPr>
        <w:pStyle w:val="ListParagraph"/>
        <w:numPr>
          <w:ilvl w:val="0"/>
          <w:numId w:val="21"/>
        </w:numPr>
        <w:spacing w:after="240" w:line="276" w:lineRule="auto"/>
        <w:rPr>
          <w:rFonts w:cs="Arial"/>
          <w:lang w:val="en-US"/>
        </w:rPr>
      </w:pPr>
      <w:r>
        <w:rPr>
          <w:rFonts w:cs="Arial"/>
          <w:lang w:val="en-US"/>
        </w:rPr>
        <w:t>Provide a Salesforce Specific test solution that is automated and maintainable.</w:t>
      </w:r>
    </w:p>
    <w:p w14:paraId="532CF1EF" w14:textId="26A91C9A" w:rsidR="00E5645D" w:rsidRPr="00E5645D" w:rsidRDefault="00E5645D" w:rsidP="00E5645D">
      <w:pPr>
        <w:pStyle w:val="ListParagraph"/>
        <w:numPr>
          <w:ilvl w:val="0"/>
          <w:numId w:val="21"/>
        </w:numPr>
        <w:spacing w:after="240" w:line="276" w:lineRule="auto"/>
        <w:rPr>
          <w:rFonts w:cs="Arial"/>
          <w:lang w:val="en-US"/>
        </w:rPr>
      </w:pPr>
      <w:r>
        <w:rPr>
          <w:rFonts w:cs="Arial"/>
          <w:lang w:val="en-US"/>
        </w:rPr>
        <w:t>This must be a low code solution that is easy to use.</w:t>
      </w:r>
    </w:p>
    <w:p w14:paraId="681F6E78" w14:textId="77777777" w:rsidR="0063699D" w:rsidRDefault="0063699D" w:rsidP="0063699D">
      <w:pPr>
        <w:spacing w:after="160" w:line="259" w:lineRule="auto"/>
        <w:contextualSpacing/>
        <w:rPr>
          <w:rFonts w:eastAsia="Arial" w:cs="Arial"/>
          <w:szCs w:val="22"/>
          <w:lang w:eastAsia="zh-CN"/>
        </w:rPr>
      </w:pPr>
    </w:p>
    <w:p w14:paraId="18DDD69A" w14:textId="77777777" w:rsidR="0063699D" w:rsidRPr="00BE7CD9" w:rsidRDefault="0063699D" w:rsidP="0063699D">
      <w:pPr>
        <w:spacing w:after="160" w:line="259" w:lineRule="auto"/>
        <w:contextualSpacing/>
        <w:rPr>
          <w:rFonts w:eastAsia="Arial" w:cs="Arial"/>
          <w:i/>
          <w:iCs/>
          <w:sz w:val="28"/>
          <w:szCs w:val="28"/>
          <w:lang w:eastAsia="zh-CN"/>
        </w:rPr>
      </w:pPr>
      <w:r w:rsidRPr="00BE7CD9">
        <w:rPr>
          <w:rFonts w:eastAsia="Arial" w:cs="Arial"/>
          <w:i/>
          <w:iCs/>
          <w:sz w:val="28"/>
          <w:szCs w:val="28"/>
          <w:lang w:eastAsia="zh-CN"/>
        </w:rPr>
        <w:t xml:space="preserve">Aims and objectives </w:t>
      </w:r>
    </w:p>
    <w:p w14:paraId="117E7FBB" w14:textId="77777777" w:rsidR="0063699D" w:rsidRDefault="0063699D" w:rsidP="0063699D">
      <w:pPr>
        <w:spacing w:after="160" w:line="259" w:lineRule="auto"/>
        <w:contextualSpacing/>
        <w:rPr>
          <w:rFonts w:eastAsia="Arial" w:cs="Arial"/>
          <w:i/>
          <w:iCs/>
          <w:szCs w:val="22"/>
          <w:lang w:eastAsia="zh-CN"/>
        </w:rPr>
      </w:pPr>
    </w:p>
    <w:p w14:paraId="3CF6DBBC" w14:textId="3E3E63B9" w:rsidR="0063699D" w:rsidRPr="0063699D" w:rsidRDefault="0063699D" w:rsidP="33A3A1F5">
      <w:pPr>
        <w:numPr>
          <w:ilvl w:val="1"/>
          <w:numId w:val="2"/>
        </w:numPr>
        <w:spacing w:after="240" w:line="276" w:lineRule="auto"/>
        <w:rPr>
          <w:rFonts w:cs="Arial"/>
          <w:lang w:val="en-US"/>
        </w:rPr>
      </w:pPr>
      <w:r w:rsidRPr="33A3A1F5">
        <w:rPr>
          <w:rFonts w:cs="Arial"/>
          <w:lang w:val="en-US"/>
        </w:rPr>
        <w:t xml:space="preserve">The aim of this </w:t>
      </w:r>
      <w:r w:rsidR="00893E4C">
        <w:rPr>
          <w:rFonts w:cs="Arial"/>
          <w:lang w:val="en-US"/>
        </w:rPr>
        <w:t>ITT</w:t>
      </w:r>
      <w:r w:rsidRPr="33A3A1F5">
        <w:rPr>
          <w:rFonts w:cs="Arial"/>
          <w:lang w:val="en-US"/>
        </w:rPr>
        <w:t xml:space="preserve"> is to identify </w:t>
      </w:r>
      <w:r w:rsidR="00E5645D">
        <w:rPr>
          <w:rFonts w:cs="Arial"/>
          <w:lang w:val="en-US"/>
        </w:rPr>
        <w:t>a tool that supports the automated testing of the Salesforce solution in use at the Fund.</w:t>
      </w:r>
    </w:p>
    <w:p w14:paraId="65589AFA" w14:textId="77777777" w:rsidR="0063699D" w:rsidRDefault="0063699D" w:rsidP="0063699D">
      <w:pPr>
        <w:rPr>
          <w:rFonts w:eastAsia="Arial" w:cs="Arial"/>
        </w:rPr>
      </w:pPr>
    </w:p>
    <w:p w14:paraId="133E674D" w14:textId="7A8473A4" w:rsidR="0063699D" w:rsidRPr="0063699D" w:rsidRDefault="0063699D" w:rsidP="33A3A1F5">
      <w:pPr>
        <w:numPr>
          <w:ilvl w:val="1"/>
          <w:numId w:val="2"/>
        </w:numPr>
        <w:spacing w:after="240" w:line="276" w:lineRule="auto"/>
        <w:rPr>
          <w:rFonts w:cs="Arial"/>
          <w:lang w:val="en-US"/>
        </w:rPr>
      </w:pPr>
      <w:r w:rsidRPr="33A3A1F5">
        <w:rPr>
          <w:rFonts w:cs="Arial"/>
          <w:lang w:val="en-US"/>
        </w:rPr>
        <w:t>The objectives are to:</w:t>
      </w:r>
    </w:p>
    <w:p w14:paraId="5C0DBFD3" w14:textId="5CCB1CB1" w:rsidR="0063699D" w:rsidRPr="00893E4C" w:rsidRDefault="00893E4C" w:rsidP="00C43DE6">
      <w:pPr>
        <w:pStyle w:val="ListParagraph"/>
        <w:numPr>
          <w:ilvl w:val="0"/>
          <w:numId w:val="12"/>
        </w:numPr>
        <w:spacing w:after="160" w:line="259" w:lineRule="auto"/>
      </w:pPr>
      <w:r>
        <w:rPr>
          <w:rFonts w:eastAsia="Arial" w:cs="Arial"/>
        </w:rPr>
        <w:t>Deliver a tool that enables testing.</w:t>
      </w:r>
    </w:p>
    <w:p w14:paraId="771898A6" w14:textId="32BBCB20" w:rsidR="00893E4C" w:rsidRDefault="00893E4C" w:rsidP="00C43DE6">
      <w:pPr>
        <w:pStyle w:val="ListParagraph"/>
        <w:numPr>
          <w:ilvl w:val="0"/>
          <w:numId w:val="12"/>
        </w:numPr>
        <w:spacing w:after="160" w:line="259" w:lineRule="auto"/>
      </w:pPr>
      <w:r>
        <w:rPr>
          <w:rFonts w:eastAsia="Arial" w:cs="Arial"/>
        </w:rPr>
        <w:lastRenderedPageBreak/>
        <w:t>Enable the Fund to understand the licensing approach and full lifecycle cost of the tool</w:t>
      </w:r>
    </w:p>
    <w:p w14:paraId="3DA53BD9" w14:textId="782A01F2" w:rsidR="0063699D" w:rsidRPr="00893E4C" w:rsidRDefault="00893E4C" w:rsidP="00893E4C">
      <w:pPr>
        <w:pStyle w:val="ListParagraph"/>
        <w:numPr>
          <w:ilvl w:val="0"/>
          <w:numId w:val="12"/>
        </w:numPr>
        <w:spacing w:after="160" w:line="259" w:lineRule="auto"/>
      </w:pPr>
      <w:r>
        <w:rPr>
          <w:rFonts w:eastAsia="Arial" w:cs="Arial"/>
        </w:rPr>
        <w:t>Ensure users of the tool are able to deploy and manage the tool.</w:t>
      </w:r>
    </w:p>
    <w:p w14:paraId="2E52FC04" w14:textId="5D76FEB5" w:rsidR="00893E4C" w:rsidRDefault="0082194B" w:rsidP="00960582">
      <w:pPr>
        <w:pStyle w:val="Heading1"/>
        <w:numPr>
          <w:ilvl w:val="0"/>
          <w:numId w:val="2"/>
        </w:numPr>
      </w:pPr>
      <w:r w:rsidRPr="0082194B">
        <w:t>Outputs</w:t>
      </w:r>
      <w:r w:rsidR="0063699D">
        <w:t xml:space="preserve"> &amp; Timescales</w:t>
      </w:r>
    </w:p>
    <w:p w14:paraId="39165D57" w14:textId="16EE2117" w:rsidR="00960582" w:rsidRPr="00960582" w:rsidRDefault="00960582" w:rsidP="00960582">
      <w:r>
        <w:t xml:space="preserve">2.1 </w:t>
      </w:r>
      <w:r>
        <w:tab/>
        <w:t>The main output will be a new tool in use as part of the Salesforce solution at the Fund that is easy to use and maintain.</w:t>
      </w:r>
    </w:p>
    <w:p w14:paraId="636C0F77" w14:textId="021738A2" w:rsidR="00C26086" w:rsidRPr="00351BD8" w:rsidRDefault="00C26086" w:rsidP="00351BD8">
      <w:pPr>
        <w:pStyle w:val="Heading1"/>
        <w:numPr>
          <w:ilvl w:val="0"/>
          <w:numId w:val="2"/>
        </w:numPr>
      </w:pPr>
      <w:r>
        <w:t>Contract</w:t>
      </w:r>
      <w:r w:rsidR="0082194B" w:rsidRPr="0082194B">
        <w:t xml:space="preserve"> management</w:t>
      </w:r>
    </w:p>
    <w:p w14:paraId="439A407E" w14:textId="445329A1" w:rsidR="0063699D" w:rsidRPr="001E6A9E" w:rsidRDefault="0063699D" w:rsidP="40522F85">
      <w:pPr>
        <w:numPr>
          <w:ilvl w:val="1"/>
          <w:numId w:val="2"/>
        </w:numPr>
        <w:spacing w:before="240" w:after="200" w:line="276" w:lineRule="auto"/>
        <w:contextualSpacing/>
        <w:rPr>
          <w:rFonts w:cs="Arial"/>
        </w:rPr>
      </w:pPr>
      <w:r w:rsidRPr="001E6A9E">
        <w:rPr>
          <w:rFonts w:cs="Arial"/>
        </w:rPr>
        <w:t xml:space="preserve">The Fund will consider bids of up to </w:t>
      </w:r>
      <w:r w:rsidR="003C618B" w:rsidRPr="001E6A9E">
        <w:rPr>
          <w:rFonts w:cs="Arial"/>
        </w:rPr>
        <w:t>£5</w:t>
      </w:r>
      <w:r w:rsidR="001E6A9E" w:rsidRPr="001E6A9E">
        <w:rPr>
          <w:rFonts w:cs="Arial"/>
        </w:rPr>
        <w:t>0</w:t>
      </w:r>
      <w:r w:rsidR="003C618B" w:rsidRPr="001E6A9E">
        <w:rPr>
          <w:rFonts w:cs="Arial"/>
        </w:rPr>
        <w:t>,000</w:t>
      </w:r>
      <w:r w:rsidRPr="001E6A9E">
        <w:rPr>
          <w:rFonts w:cs="Arial"/>
        </w:rPr>
        <w:t xml:space="preserve"> maximum, to include all expenses and VAT. The contract will be let by the National Heritage Memorial Fund</w:t>
      </w:r>
      <w:r w:rsidR="1858F9E7" w:rsidRPr="001E6A9E">
        <w:rPr>
          <w:rFonts w:cs="Arial"/>
        </w:rPr>
        <w:t xml:space="preserve"> (NHMF)</w:t>
      </w:r>
      <w:r w:rsidRPr="001E6A9E">
        <w:rPr>
          <w:rFonts w:cs="Arial"/>
        </w:rPr>
        <w:t>.</w:t>
      </w:r>
    </w:p>
    <w:p w14:paraId="7C96A6E4" w14:textId="77777777" w:rsidR="00351BD8" w:rsidRDefault="00351BD8" w:rsidP="00351BD8">
      <w:pPr>
        <w:spacing w:before="240" w:after="200" w:line="276" w:lineRule="auto"/>
        <w:ind w:left="720"/>
        <w:contextualSpacing/>
        <w:rPr>
          <w:rFonts w:cs="Arial"/>
        </w:rPr>
      </w:pPr>
    </w:p>
    <w:p w14:paraId="5583FC71" w14:textId="1C035F0E" w:rsidR="00351BD8" w:rsidRDefault="00351BD8" w:rsidP="40522F85">
      <w:pPr>
        <w:numPr>
          <w:ilvl w:val="1"/>
          <w:numId w:val="2"/>
        </w:numPr>
        <w:spacing w:before="240" w:after="200" w:line="276" w:lineRule="auto"/>
        <w:contextualSpacing/>
        <w:rPr>
          <w:rFonts w:cs="Arial"/>
        </w:rPr>
      </w:pPr>
      <w:r>
        <w:rPr>
          <w:rFonts w:cs="Arial"/>
        </w:rPr>
        <w:t>We will be looking for a three year contract paid for on an annual basis.</w:t>
      </w:r>
    </w:p>
    <w:p w14:paraId="0262D2C9" w14:textId="77777777" w:rsidR="00351BD8" w:rsidRPr="0063699D" w:rsidRDefault="00351BD8" w:rsidP="00351BD8">
      <w:pPr>
        <w:spacing w:before="240" w:after="200" w:line="276" w:lineRule="auto"/>
        <w:ind w:left="720"/>
        <w:contextualSpacing/>
        <w:rPr>
          <w:rFonts w:cs="Arial"/>
        </w:rPr>
      </w:pPr>
    </w:p>
    <w:p w14:paraId="5334ED34" w14:textId="0764B4BA" w:rsidR="00CF253B" w:rsidRPr="00CF253B" w:rsidRDefault="0082194B" w:rsidP="40522F85">
      <w:pPr>
        <w:numPr>
          <w:ilvl w:val="1"/>
          <w:numId w:val="2"/>
        </w:numPr>
        <w:spacing w:after="240" w:line="276" w:lineRule="auto"/>
        <w:rPr>
          <w:rFonts w:cs="Arial"/>
        </w:rPr>
      </w:pPr>
      <w:r w:rsidRPr="40522F85">
        <w:rPr>
          <w:rFonts w:cs="Arial"/>
        </w:rPr>
        <w:t xml:space="preserve">The contract will be based on the </w:t>
      </w:r>
      <w:r w:rsidR="2FC88668" w:rsidRPr="40522F85">
        <w:rPr>
          <w:rFonts w:cs="Arial"/>
        </w:rPr>
        <w:t>NHMF</w:t>
      </w:r>
      <w:r w:rsidR="00CF253B" w:rsidRPr="40522F85">
        <w:rPr>
          <w:rFonts w:cs="Arial"/>
        </w:rPr>
        <w:t xml:space="preserve"> standard terms and conditions</w:t>
      </w:r>
      <w:r w:rsidR="00C26086" w:rsidRPr="40522F85">
        <w:rPr>
          <w:rFonts w:cs="Arial"/>
        </w:rPr>
        <w:t>.</w:t>
      </w:r>
    </w:p>
    <w:p w14:paraId="307CD3AF" w14:textId="503FEC06" w:rsidR="0082194B" w:rsidRPr="00697E37" w:rsidRDefault="0082194B" w:rsidP="40522F85">
      <w:pPr>
        <w:numPr>
          <w:ilvl w:val="1"/>
          <w:numId w:val="2"/>
        </w:numPr>
        <w:spacing w:after="200" w:line="276" w:lineRule="auto"/>
        <w:contextualSpacing/>
        <w:rPr>
          <w:rFonts w:cs="Arial"/>
        </w:rPr>
      </w:pPr>
      <w:r w:rsidRPr="40522F85">
        <w:rPr>
          <w:rFonts w:cs="Arial"/>
        </w:rPr>
        <w:t xml:space="preserve">The research will be managed on a </w:t>
      </w:r>
      <w:r w:rsidR="586F42EA" w:rsidRPr="40522F85">
        <w:rPr>
          <w:rFonts w:cs="Arial"/>
        </w:rPr>
        <w:t>day-to-day</w:t>
      </w:r>
      <w:r w:rsidRPr="40522F85">
        <w:rPr>
          <w:rFonts w:cs="Arial"/>
        </w:rPr>
        <w:t xml:space="preserve"> basis for </w:t>
      </w:r>
      <w:r w:rsidR="008B189F" w:rsidRPr="40522F85">
        <w:rPr>
          <w:rFonts w:cs="Arial"/>
        </w:rPr>
        <w:t>NHMF</w:t>
      </w:r>
      <w:r w:rsidRPr="40522F85">
        <w:rPr>
          <w:rFonts w:cs="Arial"/>
        </w:rPr>
        <w:t xml:space="preserve"> by</w:t>
      </w:r>
      <w:r w:rsidR="00E4627B" w:rsidRPr="40522F85">
        <w:rPr>
          <w:rFonts w:cs="Arial"/>
        </w:rPr>
        <w:t xml:space="preserve"> </w:t>
      </w:r>
      <w:r w:rsidR="00960582">
        <w:rPr>
          <w:rFonts w:cs="Arial"/>
        </w:rPr>
        <w:t>Jamie McGarrigle, Product Owner</w:t>
      </w:r>
    </w:p>
    <w:p w14:paraId="3FD1BAB7" w14:textId="77777777" w:rsidR="0082194B" w:rsidRPr="0082194B" w:rsidRDefault="00CF253B" w:rsidP="00C43DE6">
      <w:pPr>
        <w:pStyle w:val="Heading1"/>
        <w:numPr>
          <w:ilvl w:val="0"/>
          <w:numId w:val="2"/>
        </w:numPr>
      </w:pPr>
      <w:r>
        <w:t>Award Criteria</w:t>
      </w:r>
    </w:p>
    <w:p w14:paraId="6BF4C5A9" w14:textId="77777777" w:rsidR="0082194B" w:rsidRPr="0082194B" w:rsidRDefault="0082194B" w:rsidP="00C43DE6">
      <w:pPr>
        <w:numPr>
          <w:ilvl w:val="1"/>
          <w:numId w:val="2"/>
        </w:numPr>
        <w:spacing w:after="240" w:line="276" w:lineRule="auto"/>
        <w:rPr>
          <w:rFonts w:cs="Arial"/>
          <w:szCs w:val="22"/>
        </w:rPr>
      </w:pPr>
      <w:r w:rsidRPr="0082194B">
        <w:rPr>
          <w:rFonts w:cs="Arial"/>
          <w:szCs w:val="22"/>
        </w:rPr>
        <w:t>A proposal for undertaking the work should include:</w:t>
      </w:r>
    </w:p>
    <w:p w14:paraId="284FD3AA" w14:textId="575A7C8B" w:rsidR="0082194B" w:rsidRPr="0082194B" w:rsidRDefault="00C26086" w:rsidP="40522F85">
      <w:pPr>
        <w:pStyle w:val="NoSpacing"/>
        <w:numPr>
          <w:ilvl w:val="0"/>
          <w:numId w:val="1"/>
        </w:numPr>
        <w:tabs>
          <w:tab w:val="left" w:pos="1080"/>
        </w:tabs>
        <w:rPr>
          <w:rFonts w:eastAsia="Arial" w:cs="Arial"/>
          <w:szCs w:val="22"/>
        </w:rPr>
      </w:pPr>
      <w:r>
        <w:t xml:space="preserve">a detailed </w:t>
      </w:r>
      <w:r w:rsidR="00960582">
        <w:t>description of the tool being proposed</w:t>
      </w:r>
    </w:p>
    <w:p w14:paraId="1977F08F" w14:textId="7345D78E" w:rsidR="0082194B" w:rsidRPr="0082194B" w:rsidRDefault="0082194B" w:rsidP="40522F85">
      <w:pPr>
        <w:pStyle w:val="NoSpacing"/>
        <w:numPr>
          <w:ilvl w:val="0"/>
          <w:numId w:val="1"/>
        </w:numPr>
        <w:tabs>
          <w:tab w:val="left" w:pos="1080"/>
        </w:tabs>
        <w:rPr>
          <w:rFonts w:eastAsia="Arial" w:cs="Arial"/>
          <w:szCs w:val="22"/>
        </w:rPr>
      </w:pPr>
      <w:r>
        <w:t xml:space="preserve">details of experience of the contractor in carrying out similar projects. </w:t>
      </w:r>
      <w:r w:rsidR="00960582">
        <w:t xml:space="preserve"> A </w:t>
      </w:r>
      <w:r>
        <w:t>lead contact should be identified;</w:t>
      </w:r>
    </w:p>
    <w:p w14:paraId="7A76F8B8" w14:textId="77777777" w:rsidR="00960582" w:rsidRPr="00960582" w:rsidRDefault="0082194B" w:rsidP="00501922">
      <w:pPr>
        <w:pStyle w:val="NoSpacing"/>
        <w:numPr>
          <w:ilvl w:val="0"/>
          <w:numId w:val="1"/>
        </w:numPr>
        <w:tabs>
          <w:tab w:val="left" w:pos="1080"/>
        </w:tabs>
        <w:rPr>
          <w:rFonts w:eastAsia="Arial" w:cs="Arial"/>
          <w:szCs w:val="22"/>
        </w:rPr>
      </w:pPr>
      <w:r>
        <w:t xml:space="preserve">the </w:t>
      </w:r>
      <w:r w:rsidR="00960582">
        <w:t>annual cost of the tool;</w:t>
      </w:r>
    </w:p>
    <w:p w14:paraId="2556D6A8" w14:textId="15F53174" w:rsidR="0082194B" w:rsidRPr="00960582" w:rsidRDefault="00960582" w:rsidP="00501922">
      <w:pPr>
        <w:pStyle w:val="NoSpacing"/>
        <w:numPr>
          <w:ilvl w:val="0"/>
          <w:numId w:val="1"/>
        </w:numPr>
        <w:tabs>
          <w:tab w:val="left" w:pos="1080"/>
        </w:tabs>
        <w:rPr>
          <w:rFonts w:eastAsia="Arial" w:cs="Arial"/>
          <w:szCs w:val="22"/>
        </w:rPr>
      </w:pPr>
      <w:r>
        <w:t>a breakdown of the licensing model and any other aspects included within this cost;</w:t>
      </w:r>
    </w:p>
    <w:p w14:paraId="0F75AD6C" w14:textId="49AE7351" w:rsidR="0082194B" w:rsidRPr="00FE4369" w:rsidRDefault="00960582" w:rsidP="40522F85">
      <w:pPr>
        <w:pStyle w:val="NoSpacing"/>
        <w:numPr>
          <w:ilvl w:val="0"/>
          <w:numId w:val="1"/>
        </w:numPr>
        <w:tabs>
          <w:tab w:val="left" w:pos="1080"/>
        </w:tabs>
        <w:rPr>
          <w:rFonts w:eastAsia="Arial" w:cs="Arial"/>
          <w:szCs w:val="22"/>
        </w:rPr>
      </w:pPr>
      <w:r>
        <w:t>documentation relating to the tool proposed</w:t>
      </w:r>
      <w:r w:rsidR="00FE4369">
        <w:t xml:space="preserve"> including how it is to be integrated, used and maintained</w:t>
      </w:r>
      <w:r>
        <w:t>;</w:t>
      </w:r>
    </w:p>
    <w:p w14:paraId="448AC1F1" w14:textId="7ADF14A3" w:rsidR="00FE4369" w:rsidRPr="0082194B" w:rsidRDefault="00FE4369" w:rsidP="40522F85">
      <w:pPr>
        <w:pStyle w:val="NoSpacing"/>
        <w:numPr>
          <w:ilvl w:val="0"/>
          <w:numId w:val="1"/>
        </w:numPr>
        <w:tabs>
          <w:tab w:val="left" w:pos="1080"/>
        </w:tabs>
        <w:rPr>
          <w:rFonts w:eastAsia="Arial" w:cs="Arial"/>
          <w:szCs w:val="22"/>
        </w:rPr>
      </w:pPr>
      <w:r>
        <w:t>a description of how staff at the Fund can train themselves in using the tool.</w:t>
      </w:r>
    </w:p>
    <w:p w14:paraId="72E83E3A" w14:textId="7038E40F" w:rsidR="40522F85" w:rsidRDefault="40522F85" w:rsidP="40522F85">
      <w:pPr>
        <w:pStyle w:val="NoSpacing"/>
        <w:tabs>
          <w:tab w:val="left" w:pos="1080"/>
        </w:tabs>
      </w:pPr>
    </w:p>
    <w:p w14:paraId="54EE4B2F" w14:textId="77777777" w:rsidR="003213D4" w:rsidRDefault="0082194B" w:rsidP="00C43DE6">
      <w:pPr>
        <w:numPr>
          <w:ilvl w:val="1"/>
          <w:numId w:val="2"/>
        </w:numPr>
        <w:spacing w:after="240" w:line="276" w:lineRule="auto"/>
        <w:rPr>
          <w:rFonts w:cs="Arial"/>
          <w:szCs w:val="22"/>
        </w:rPr>
      </w:pPr>
      <w:r w:rsidRPr="0082194B">
        <w:rPr>
          <w:rFonts w:cs="Arial"/>
          <w:szCs w:val="22"/>
        </w:rPr>
        <w:t xml:space="preserve">Your Bid will be scored out of 100%. </w:t>
      </w:r>
    </w:p>
    <w:p w14:paraId="54C73C7D" w14:textId="77777777" w:rsidR="003213D4" w:rsidRPr="003213D4" w:rsidRDefault="002B0FB5"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7A686F4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13812DBE" w14:textId="77777777" w:rsidR="001B0833" w:rsidRDefault="001B0833" w:rsidP="001B0833">
      <w:pPr>
        <w:pStyle w:val="BodyTextIndent2"/>
        <w:spacing w:after="0"/>
        <w:ind w:left="709"/>
        <w:rPr>
          <w:b w:val="0"/>
          <w:szCs w:val="22"/>
        </w:rPr>
      </w:pPr>
      <w:r w:rsidRPr="00517834">
        <w:rPr>
          <w:b w:val="0"/>
          <w:szCs w:val="22"/>
        </w:rPr>
        <w:t xml:space="preserve">Tender responses submitted will be assessed by </w:t>
      </w:r>
      <w:r w:rsidR="008B189F">
        <w:rPr>
          <w:b w:val="0"/>
          <w:szCs w:val="22"/>
        </w:rPr>
        <w:t>NHMF</w:t>
      </w:r>
      <w:r w:rsidRPr="00517834">
        <w:rPr>
          <w:b w:val="0"/>
          <w:szCs w:val="22"/>
        </w:rPr>
        <w:t xml:space="preserve"> against the following </w:t>
      </w:r>
      <w:r w:rsidRPr="00517834">
        <w:rPr>
          <w:b w:val="0"/>
          <w:szCs w:val="22"/>
          <w:u w:val="single"/>
        </w:rPr>
        <w:t>Quality Questions</w:t>
      </w:r>
      <w:r w:rsidR="002B0FB5">
        <w:rPr>
          <w:b w:val="0"/>
          <w:szCs w:val="22"/>
          <w:u w:val="single"/>
        </w:rPr>
        <w:t>,</w:t>
      </w:r>
      <w:r w:rsidR="002B0FB5" w:rsidRPr="002B0FB5">
        <w:rPr>
          <w:b w:val="0"/>
          <w:szCs w:val="22"/>
        </w:rPr>
        <w:t xml:space="preserve"> which will be weighted equally</w:t>
      </w:r>
      <w:r w:rsidR="002B0FB5">
        <w:rPr>
          <w:b w:val="0"/>
          <w:szCs w:val="22"/>
        </w:rPr>
        <w:t xml:space="preserve"> when scored:</w:t>
      </w:r>
    </w:p>
    <w:p w14:paraId="5DC481C0" w14:textId="77777777" w:rsidR="002B0FB5" w:rsidRPr="00517834" w:rsidRDefault="002B0FB5" w:rsidP="001B0833">
      <w:pPr>
        <w:pStyle w:val="BodyTextIndent2"/>
        <w:spacing w:after="0"/>
        <w:ind w:left="709"/>
        <w:rPr>
          <w:b w:val="0"/>
          <w:szCs w:val="22"/>
        </w:rPr>
      </w:pPr>
    </w:p>
    <w:p w14:paraId="56B297A3" w14:textId="77777777" w:rsidR="002B0FB5" w:rsidRDefault="002B0FB5" w:rsidP="00C43DE6">
      <w:pPr>
        <w:pStyle w:val="Bullettext"/>
        <w:numPr>
          <w:ilvl w:val="0"/>
          <w:numId w:val="6"/>
        </w:numPr>
        <w:spacing w:line="276" w:lineRule="auto"/>
        <w:contextualSpacing/>
        <w:rPr>
          <w:rFonts w:cs="Arial"/>
        </w:rPr>
      </w:pPr>
      <w:r w:rsidRPr="3FB33893">
        <w:rPr>
          <w:rFonts w:eastAsia="Arial" w:cs="Arial"/>
        </w:rPr>
        <w:t>To what extent does the tender response demonstrate an understanding of the issues related to this brief?</w:t>
      </w:r>
    </w:p>
    <w:p w14:paraId="6411BBBF" w14:textId="77777777" w:rsidR="002B0FB5" w:rsidRPr="003C5497" w:rsidRDefault="002B0FB5" w:rsidP="00FE4369">
      <w:pPr>
        <w:pStyle w:val="Bullettext"/>
        <w:numPr>
          <w:ilvl w:val="0"/>
          <w:numId w:val="0"/>
        </w:numPr>
        <w:spacing w:line="276" w:lineRule="auto"/>
        <w:contextualSpacing/>
        <w:rPr>
          <w:rFonts w:eastAsia="Arial" w:cs="Arial"/>
        </w:rPr>
      </w:pPr>
    </w:p>
    <w:p w14:paraId="175C7B2F" w14:textId="19BE4CF0" w:rsidR="002B0FB5" w:rsidRPr="00504D1D" w:rsidRDefault="002B0FB5" w:rsidP="00C43DE6">
      <w:pPr>
        <w:pStyle w:val="Bullettext"/>
        <w:numPr>
          <w:ilvl w:val="0"/>
          <w:numId w:val="6"/>
        </w:numPr>
        <w:spacing w:line="276" w:lineRule="auto"/>
        <w:contextualSpacing/>
        <w:rPr>
          <w:rFonts w:cs="Arial"/>
        </w:rPr>
      </w:pPr>
      <w:r w:rsidRPr="3FB33893">
        <w:rPr>
          <w:rFonts w:eastAsia="Arial" w:cs="Arial"/>
        </w:rPr>
        <w:t xml:space="preserve">What is the extent </w:t>
      </w:r>
      <w:r>
        <w:rPr>
          <w:rFonts w:eastAsia="Arial" w:cs="Arial"/>
        </w:rPr>
        <w:t>does the tenderer have</w:t>
      </w:r>
      <w:r w:rsidRPr="3FB33893">
        <w:rPr>
          <w:rFonts w:eastAsia="Arial" w:cs="Arial"/>
        </w:rPr>
        <w:t xml:space="preserve"> experience of similar </w:t>
      </w:r>
      <w:r>
        <w:rPr>
          <w:rFonts w:eastAsia="Arial" w:cs="Arial"/>
        </w:rPr>
        <w:t>projects and/or best practice and standards</w:t>
      </w:r>
      <w:r w:rsidRPr="3FB33893">
        <w:rPr>
          <w:rFonts w:eastAsia="Arial" w:cs="Arial"/>
        </w:rPr>
        <w:t>?</w:t>
      </w:r>
    </w:p>
    <w:p w14:paraId="51EE8A06" w14:textId="77777777" w:rsidR="002B0FB5" w:rsidRPr="003C5497" w:rsidRDefault="002B0FB5" w:rsidP="002B0FB5">
      <w:pPr>
        <w:pStyle w:val="Bullettext"/>
        <w:numPr>
          <w:ilvl w:val="0"/>
          <w:numId w:val="0"/>
        </w:numPr>
        <w:spacing w:line="276" w:lineRule="auto"/>
        <w:contextualSpacing/>
        <w:rPr>
          <w:rFonts w:eastAsia="Arial" w:cs="Arial"/>
        </w:rPr>
      </w:pPr>
    </w:p>
    <w:p w14:paraId="4731DAC0" w14:textId="66014BA2" w:rsidR="002B0FB5" w:rsidRPr="00697E37" w:rsidRDefault="002B0FB5" w:rsidP="00C43DE6">
      <w:pPr>
        <w:pStyle w:val="Bullettext"/>
        <w:numPr>
          <w:ilvl w:val="0"/>
          <w:numId w:val="6"/>
        </w:numPr>
        <w:spacing w:after="240" w:line="276" w:lineRule="auto"/>
        <w:contextualSpacing/>
        <w:rPr>
          <w:rFonts w:cs="Arial"/>
          <w:b/>
          <w:bCs/>
        </w:rPr>
      </w:pPr>
      <w:r w:rsidRPr="3FB33893">
        <w:rPr>
          <w:rFonts w:eastAsia="Arial" w:cs="Arial"/>
        </w:rPr>
        <w:t xml:space="preserve">How well </w:t>
      </w:r>
      <w:r w:rsidR="00FE4369">
        <w:rPr>
          <w:rFonts w:eastAsia="Arial" w:cs="Arial"/>
        </w:rPr>
        <w:t>the tender indicates that the solution is able to</w:t>
      </w:r>
      <w:r w:rsidRPr="3FB33893">
        <w:rPr>
          <w:rFonts w:eastAsia="Arial" w:cs="Arial"/>
        </w:rPr>
        <w:t xml:space="preserve"> deliver the required </w:t>
      </w:r>
      <w:r w:rsidR="00FE4369">
        <w:rPr>
          <w:rFonts w:eastAsia="Arial" w:cs="Arial"/>
        </w:rPr>
        <w:t xml:space="preserve">tool </w:t>
      </w:r>
      <w:r w:rsidRPr="3FB33893">
        <w:rPr>
          <w:rFonts w:eastAsia="Arial" w:cs="Arial"/>
        </w:rPr>
        <w:t>to the budget and timetable required by</w:t>
      </w:r>
      <w:r w:rsidR="00A229AD">
        <w:rPr>
          <w:rFonts w:eastAsia="Arial" w:cs="Arial"/>
        </w:rPr>
        <w:t xml:space="preserve"> the Fund</w:t>
      </w:r>
      <w:r w:rsidRPr="3FB33893">
        <w:rPr>
          <w:rFonts w:eastAsia="Arial" w:cs="Arial"/>
        </w:rPr>
        <w:t>?</w:t>
      </w:r>
    </w:p>
    <w:p w14:paraId="5EA1D808" w14:textId="77777777" w:rsidR="001B0833" w:rsidRPr="003C5497" w:rsidRDefault="001B0833" w:rsidP="00164796">
      <w:pPr>
        <w:pStyle w:val="Heading2"/>
        <w:ind w:firstLine="284"/>
      </w:pPr>
      <w:r w:rsidRPr="003C5497">
        <w:lastRenderedPageBreak/>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5E2C9CC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1E99469" w14:textId="77777777" w:rsidR="001B0833" w:rsidRPr="009E147C" w:rsidRDefault="001B0833" w:rsidP="00164796">
            <w:pPr>
              <w:rPr>
                <w:rFonts w:cs="Arial"/>
                <w:lang w:val="en-US"/>
              </w:rPr>
            </w:pPr>
            <w:r w:rsidRPr="009E147C">
              <w:rPr>
                <w:rFonts w:cs="Arial"/>
                <w:lang w:val="en-US"/>
              </w:rPr>
              <w:t>Score</w:t>
            </w:r>
          </w:p>
        </w:tc>
        <w:tc>
          <w:tcPr>
            <w:tcW w:w="1957" w:type="dxa"/>
          </w:tcPr>
          <w:p w14:paraId="78EF2A07"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A2C3CF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5E75ED5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87B3EB" w14:textId="77777777" w:rsidR="001B0833" w:rsidRPr="009E147C" w:rsidRDefault="001B0833" w:rsidP="00164796">
            <w:pPr>
              <w:rPr>
                <w:rFonts w:cs="Arial"/>
                <w:lang w:val="en-US"/>
              </w:rPr>
            </w:pPr>
            <w:r w:rsidRPr="009E147C">
              <w:rPr>
                <w:rFonts w:cs="Arial"/>
                <w:lang w:val="en-US"/>
              </w:rPr>
              <w:t>0</w:t>
            </w:r>
          </w:p>
        </w:tc>
        <w:tc>
          <w:tcPr>
            <w:tcW w:w="1957" w:type="dxa"/>
          </w:tcPr>
          <w:p w14:paraId="210E239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36788DB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9E12C8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8B189F">
              <w:rPr>
                <w:rFonts w:cs="Arial"/>
                <w:lang w:val="en-US"/>
              </w:rPr>
              <w:t>NHMF</w:t>
            </w:r>
            <w:r w:rsidRPr="009E147C">
              <w:rPr>
                <w:rFonts w:cs="Arial"/>
                <w:lang w:val="en-US"/>
              </w:rPr>
              <w:t xml:space="preserve"> confidence in the ability of the Bidder to deliver the Contract.</w:t>
            </w:r>
          </w:p>
        </w:tc>
      </w:tr>
      <w:tr w:rsidR="001B0833" w:rsidRPr="009E147C" w14:paraId="419CF65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D1FFD12" w14:textId="77777777" w:rsidR="001B0833" w:rsidRPr="009E147C" w:rsidRDefault="001B0833" w:rsidP="00164796">
            <w:pPr>
              <w:rPr>
                <w:rFonts w:cs="Arial"/>
                <w:lang w:val="en-US"/>
              </w:rPr>
            </w:pPr>
            <w:r w:rsidRPr="009E147C">
              <w:rPr>
                <w:rFonts w:cs="Arial"/>
                <w:lang w:val="en-US"/>
              </w:rPr>
              <w:t>1</w:t>
            </w:r>
          </w:p>
        </w:tc>
        <w:tc>
          <w:tcPr>
            <w:tcW w:w="1957" w:type="dxa"/>
          </w:tcPr>
          <w:p w14:paraId="7F3C9824"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2A59FF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6F7204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72585DB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DA33F32" w14:textId="77777777" w:rsidR="001B0833" w:rsidRPr="009E147C" w:rsidRDefault="001B0833" w:rsidP="00164796">
            <w:pPr>
              <w:rPr>
                <w:rFonts w:cs="Arial"/>
                <w:lang w:val="en-US"/>
              </w:rPr>
            </w:pPr>
            <w:r w:rsidRPr="009E147C">
              <w:rPr>
                <w:rFonts w:cs="Arial"/>
                <w:lang w:val="en-US"/>
              </w:rPr>
              <w:t>2</w:t>
            </w:r>
          </w:p>
        </w:tc>
        <w:tc>
          <w:tcPr>
            <w:tcW w:w="1957" w:type="dxa"/>
          </w:tcPr>
          <w:p w14:paraId="3ABC47F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6421B0A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B832CB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53422AA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30F6C6D" w14:textId="77777777" w:rsidR="001B0833" w:rsidRPr="009E147C" w:rsidRDefault="001B0833" w:rsidP="00164796">
            <w:pPr>
              <w:rPr>
                <w:rFonts w:cs="Arial"/>
                <w:lang w:val="en-US"/>
              </w:rPr>
            </w:pPr>
            <w:r w:rsidRPr="009E147C">
              <w:rPr>
                <w:rFonts w:cs="Arial"/>
                <w:lang w:val="en-US"/>
              </w:rPr>
              <w:t>3</w:t>
            </w:r>
          </w:p>
        </w:tc>
        <w:tc>
          <w:tcPr>
            <w:tcW w:w="1957" w:type="dxa"/>
          </w:tcPr>
          <w:p w14:paraId="41BF67B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66F9BFD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640E94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8B189F">
              <w:rPr>
                <w:rFonts w:cs="Arial"/>
                <w:lang w:val="en-US"/>
              </w:rPr>
              <w:t>NHMF</w:t>
            </w:r>
            <w:r w:rsidRPr="009E147C">
              <w:rPr>
                <w:rFonts w:cs="Arial"/>
                <w:lang w:val="en-US"/>
              </w:rPr>
              <w:t xml:space="preserve"> confidence in the ability of the Bidder to deliver the contract. Meets the </w:t>
            </w:r>
            <w:r w:rsidR="008B189F">
              <w:rPr>
                <w:rFonts w:cs="Arial"/>
                <w:lang w:val="en-US"/>
              </w:rPr>
              <w:t>NHMF</w:t>
            </w:r>
            <w:r w:rsidRPr="009E147C">
              <w:rPr>
                <w:rFonts w:cs="Arial"/>
                <w:lang w:val="en-US"/>
              </w:rPr>
              <w:t>’s requirements.</w:t>
            </w:r>
          </w:p>
        </w:tc>
      </w:tr>
      <w:tr w:rsidR="001B0833" w:rsidRPr="009E147C" w14:paraId="71DEF3F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C6B04B0" w14:textId="77777777" w:rsidR="001B0833" w:rsidRPr="009E147C" w:rsidRDefault="001B0833" w:rsidP="00164796">
            <w:pPr>
              <w:rPr>
                <w:rFonts w:cs="Arial"/>
                <w:lang w:val="en-US"/>
              </w:rPr>
            </w:pPr>
            <w:r w:rsidRPr="009E147C">
              <w:rPr>
                <w:rFonts w:cs="Arial"/>
                <w:lang w:val="en-US"/>
              </w:rPr>
              <w:t>4</w:t>
            </w:r>
          </w:p>
        </w:tc>
        <w:tc>
          <w:tcPr>
            <w:tcW w:w="1957" w:type="dxa"/>
          </w:tcPr>
          <w:p w14:paraId="209F9A5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25F1FE7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FBBC77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w:t>
            </w:r>
            <w:r w:rsidR="008B189F">
              <w:rPr>
                <w:rFonts w:cs="Arial"/>
                <w:lang w:val="en-US"/>
              </w:rPr>
              <w:t>NHMF</w:t>
            </w:r>
            <w:r w:rsidRPr="009E147C">
              <w:rPr>
                <w:rFonts w:cs="Arial"/>
                <w:lang w:val="en-US"/>
              </w:rPr>
              <w:t xml:space="preserve"> a high level of confidence in the ability of the Bidder to deliver the contract. May exceed the </w:t>
            </w:r>
            <w:r w:rsidR="008B189F">
              <w:rPr>
                <w:rFonts w:cs="Arial"/>
                <w:lang w:val="en-US"/>
              </w:rPr>
              <w:t>NHMF</w:t>
            </w:r>
            <w:r w:rsidRPr="009E147C">
              <w:rPr>
                <w:rFonts w:cs="Arial"/>
                <w:lang w:val="en-US"/>
              </w:rPr>
              <w:t xml:space="preserve">’s requirements in some respects. </w:t>
            </w:r>
          </w:p>
        </w:tc>
      </w:tr>
      <w:tr w:rsidR="001B0833" w:rsidRPr="009E147C" w14:paraId="1F4DE4A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1425A99" w14:textId="77777777" w:rsidR="001B0833" w:rsidRPr="009E147C" w:rsidRDefault="001B0833" w:rsidP="00164796">
            <w:pPr>
              <w:rPr>
                <w:rFonts w:cs="Arial"/>
                <w:lang w:val="en-US"/>
              </w:rPr>
            </w:pPr>
            <w:r w:rsidRPr="009E147C">
              <w:rPr>
                <w:rFonts w:cs="Arial"/>
                <w:lang w:val="en-US"/>
              </w:rPr>
              <w:t>5</w:t>
            </w:r>
          </w:p>
        </w:tc>
        <w:tc>
          <w:tcPr>
            <w:tcW w:w="1957" w:type="dxa"/>
            <w:hideMark/>
          </w:tcPr>
          <w:p w14:paraId="399A497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F0148A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the </w:t>
            </w:r>
            <w:r w:rsidR="008B189F">
              <w:rPr>
                <w:rFonts w:cs="Arial"/>
                <w:lang w:val="en-US"/>
              </w:rPr>
              <w:t>NHMF</w:t>
            </w:r>
            <w:r w:rsidRPr="009E147C">
              <w:rPr>
                <w:rFonts w:cs="Arial"/>
                <w:lang w:val="en-US"/>
              </w:rPr>
              <w:t xml:space="preserve"> a very high level of confidence the ability of the Bidder to deliver the contract. May exceed the </w:t>
            </w:r>
            <w:r w:rsidR="008B189F">
              <w:rPr>
                <w:rFonts w:cs="Arial"/>
                <w:lang w:val="en-US"/>
              </w:rPr>
              <w:t>NHMF</w:t>
            </w:r>
            <w:r w:rsidRPr="009E147C">
              <w:rPr>
                <w:rFonts w:cs="Arial"/>
                <w:lang w:val="en-US"/>
              </w:rPr>
              <w:t>’s requirements in most respects.</w:t>
            </w:r>
          </w:p>
        </w:tc>
      </w:tr>
    </w:tbl>
    <w:p w14:paraId="0A497904" w14:textId="77777777" w:rsidR="001B0833" w:rsidRPr="006B27B4" w:rsidRDefault="002B0FB5"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3FB45795"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490D3C3" w14:textId="77777777" w:rsidR="00E00936" w:rsidRDefault="003A6DA0" w:rsidP="00E00936">
      <w:pPr>
        <w:pStyle w:val="Heading2"/>
        <w:rPr>
          <w:u w:val="single"/>
          <w:lang w:val="en-US"/>
        </w:rPr>
      </w:pPr>
      <w:r>
        <w:rPr>
          <w:u w:val="single"/>
          <w:lang w:val="en-US"/>
        </w:rPr>
        <w:t xml:space="preserve">Price Criterion at </w:t>
      </w:r>
      <w:r w:rsidR="002B0FB5">
        <w:rPr>
          <w:u w:val="single"/>
          <w:lang w:val="en-US"/>
        </w:rPr>
        <w:t>3</w:t>
      </w:r>
      <w:r w:rsidR="00E00936" w:rsidRPr="00E00936">
        <w:rPr>
          <w:u w:val="single"/>
          <w:lang w:val="en-US"/>
        </w:rPr>
        <w:t>0%</w:t>
      </w:r>
    </w:p>
    <w:p w14:paraId="43189125" w14:textId="2C6EE754" w:rsidR="00E00936" w:rsidRPr="00697E37" w:rsidRDefault="008A039F" w:rsidP="00C43DE6">
      <w:pPr>
        <w:pStyle w:val="ListParagraph"/>
        <w:numPr>
          <w:ilvl w:val="0"/>
          <w:numId w:val="8"/>
        </w:numPr>
        <w:rPr>
          <w:rFonts w:cs="Arial"/>
          <w:lang w:val="en-US"/>
        </w:rPr>
      </w:pPr>
      <w:r>
        <w:rPr>
          <w:rFonts w:cs="Arial"/>
          <w:lang w:val="en-US"/>
        </w:rPr>
        <w:t>3</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2084FFDA" w14:textId="0FF8D9BA" w:rsidR="001B0833" w:rsidRPr="00697E37" w:rsidRDefault="00E00936" w:rsidP="00C43DE6">
      <w:pPr>
        <w:pStyle w:val="ListParagraph"/>
        <w:numPr>
          <w:ilvl w:val="0"/>
          <w:numId w:val="8"/>
        </w:numPr>
        <w:rPr>
          <w:lang w:val="en-US"/>
        </w:rPr>
      </w:pPr>
      <w:r w:rsidRPr="00E00936">
        <w:rPr>
          <w:rFonts w:cs="Arial"/>
          <w:lang w:val="en-US"/>
        </w:rPr>
        <w:t xml:space="preserve">For example, if the lowest price is £100 and the second lowest price is £108 then </w:t>
      </w:r>
      <w:r w:rsidR="00E83D68">
        <w:rPr>
          <w:rFonts w:cs="Arial"/>
          <w:lang w:val="en-US"/>
        </w:rPr>
        <w:t xml:space="preserve">the lowest priced bidder gets </w:t>
      </w:r>
      <w:r w:rsidR="008A039F">
        <w:rPr>
          <w:rFonts w:cs="Arial"/>
          <w:lang w:val="en-US"/>
        </w:rPr>
        <w:t>3</w:t>
      </w:r>
      <w:r w:rsidR="00E83D68">
        <w:rPr>
          <w:rFonts w:cs="Arial"/>
          <w:lang w:val="en-US"/>
        </w:rPr>
        <w:t>0</w:t>
      </w:r>
      <w:r w:rsidRPr="00E00936">
        <w:rPr>
          <w:rFonts w:cs="Arial"/>
          <w:lang w:val="en-US"/>
        </w:rPr>
        <w:t xml:space="preserve">% (full marks) for price and the second placed bidder </w:t>
      </w:r>
      <w:r w:rsidR="00E83D68">
        <w:rPr>
          <w:rFonts w:cs="Arial"/>
          <w:lang w:val="en-US"/>
        </w:rPr>
        <w:t>gets 46</w:t>
      </w:r>
      <w:r w:rsidR="003A6DA0">
        <w:rPr>
          <w:rFonts w:cs="Arial"/>
          <w:lang w:val="en-US"/>
        </w:rPr>
        <w:t xml:space="preserve">% and so on. (8/100 x </w:t>
      </w:r>
      <w:r w:rsidR="008A039F">
        <w:rPr>
          <w:rFonts w:cs="Arial"/>
          <w:lang w:val="en-US"/>
        </w:rPr>
        <w:t>3</w:t>
      </w:r>
      <w:r w:rsidR="003A6DA0">
        <w:rPr>
          <w:rFonts w:cs="Arial"/>
          <w:lang w:val="en-US"/>
        </w:rPr>
        <w:t xml:space="preserve">0 = </w:t>
      </w:r>
      <w:r w:rsidR="008A039F">
        <w:rPr>
          <w:rFonts w:cs="Arial"/>
          <w:lang w:val="en-US"/>
        </w:rPr>
        <w:t>2.4</w:t>
      </w:r>
      <w:r w:rsidR="00286236">
        <w:rPr>
          <w:rFonts w:cs="Arial"/>
          <w:lang w:val="en-US"/>
        </w:rPr>
        <w:t xml:space="preserve"> marks; </w:t>
      </w:r>
      <w:r w:rsidR="008A039F">
        <w:rPr>
          <w:rFonts w:cs="Arial"/>
          <w:lang w:val="en-US"/>
        </w:rPr>
        <w:t>3</w:t>
      </w:r>
      <w:r w:rsidR="00286236">
        <w:rPr>
          <w:rFonts w:cs="Arial"/>
          <w:lang w:val="en-US"/>
        </w:rPr>
        <w:t>0</w:t>
      </w:r>
      <w:r w:rsidRPr="00E00936">
        <w:rPr>
          <w:rFonts w:cs="Arial"/>
          <w:lang w:val="en-US"/>
        </w:rPr>
        <w:t>-</w:t>
      </w:r>
      <w:r w:rsidR="008A039F">
        <w:rPr>
          <w:rFonts w:cs="Arial"/>
          <w:lang w:val="en-US"/>
        </w:rPr>
        <w:t>2.</w:t>
      </w:r>
      <w:r w:rsidRPr="00E00936">
        <w:rPr>
          <w:rFonts w:cs="Arial"/>
          <w:lang w:val="en-US"/>
        </w:rPr>
        <w:t xml:space="preserve">4 = </w:t>
      </w:r>
      <w:r w:rsidR="008A039F">
        <w:rPr>
          <w:rFonts w:cs="Arial"/>
          <w:lang w:val="en-US"/>
        </w:rPr>
        <w:t>27.6</w:t>
      </w:r>
      <w:r w:rsidRPr="00E00936">
        <w:rPr>
          <w:rFonts w:cs="Arial"/>
          <w:lang w:val="en-US"/>
        </w:rPr>
        <w:t xml:space="preserve"> marks)</w:t>
      </w:r>
    </w:p>
    <w:p w14:paraId="295805A5" w14:textId="77777777" w:rsidR="001B0833" w:rsidRPr="00E00936" w:rsidRDefault="001B0833" w:rsidP="00C43DE6">
      <w:pPr>
        <w:pStyle w:val="ListParagraph"/>
        <w:numPr>
          <w:ilvl w:val="0"/>
          <w:numId w:val="8"/>
        </w:numPr>
        <w:spacing w:after="240"/>
        <w:rPr>
          <w:rFonts w:cs="Arial"/>
          <w:bCs/>
          <w:iCs/>
        </w:rPr>
      </w:pPr>
      <w:r w:rsidRPr="00E00936">
        <w:rPr>
          <w:rFonts w:cs="Arial"/>
          <w:bCs/>
          <w:iCs/>
        </w:rPr>
        <w:t>The scores for quality and price will be added together to obtain the overall score for each Bidder.</w:t>
      </w:r>
    </w:p>
    <w:p w14:paraId="30DD4E4E" w14:textId="77777777" w:rsidR="001B0833" w:rsidRPr="006B27B4" w:rsidRDefault="001B0833" w:rsidP="006B27B4">
      <w:pPr>
        <w:pStyle w:val="Heading2"/>
        <w:rPr>
          <w:u w:val="single"/>
        </w:rPr>
      </w:pPr>
      <w:r w:rsidRPr="00164796">
        <w:rPr>
          <w:u w:val="single"/>
        </w:rPr>
        <w:t>Table A - Schedule of Charges</w:t>
      </w:r>
    </w:p>
    <w:p w14:paraId="3511C520" w14:textId="419B6CB8" w:rsidR="001B0833" w:rsidRPr="00DB6804" w:rsidRDefault="001B0833" w:rsidP="001B0833">
      <w:pPr>
        <w:rPr>
          <w:rFonts w:cs="Arial"/>
          <w:bCs/>
          <w:iCs/>
          <w:u w:val="single"/>
        </w:rPr>
      </w:pPr>
      <w:r w:rsidRPr="00DB6804">
        <w:rPr>
          <w:rFonts w:cs="Arial"/>
          <w:bCs/>
          <w:iCs/>
          <w:u w:val="single"/>
        </w:rPr>
        <w:t xml:space="preserve">Please show in your tender submission, </w:t>
      </w:r>
      <w:r w:rsidR="00162326">
        <w:rPr>
          <w:rFonts w:cs="Arial"/>
          <w:bCs/>
          <w:iCs/>
          <w:u w:val="single"/>
        </w:rPr>
        <w:t>the annual cost of licenses and what is included within this</w:t>
      </w:r>
      <w:r w:rsidRPr="00DB6804">
        <w:rPr>
          <w:rFonts w:cs="Arial"/>
          <w:bCs/>
          <w:iCs/>
          <w:u w:val="single"/>
        </w:rPr>
        <w:t xml:space="preserve">. </w:t>
      </w:r>
    </w:p>
    <w:p w14:paraId="05C43EB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4A676AD" w14:textId="77777777" w:rsidR="001B0833" w:rsidRPr="00DB6804" w:rsidRDefault="001B0833" w:rsidP="001B0833">
      <w:pPr>
        <w:spacing w:before="240"/>
        <w:rPr>
          <w:rFonts w:cs="Arial"/>
          <w:bCs/>
          <w:iCs/>
        </w:rPr>
      </w:pPr>
      <w:r w:rsidRPr="00DB6804">
        <w:rPr>
          <w:rFonts w:cs="Arial"/>
          <w:bCs/>
          <w:iCs/>
        </w:rPr>
        <w:lastRenderedPageBreak/>
        <w:t>VAT is chargeable on the services to be provided and this will be taken into account in the overall cost of this contract.</w:t>
      </w:r>
    </w:p>
    <w:p w14:paraId="1123AB49" w14:textId="1DD0A86F" w:rsidR="001B0833" w:rsidRPr="00DB6804" w:rsidRDefault="001B0833" w:rsidP="40522F85">
      <w:pPr>
        <w:spacing w:before="240" w:after="240"/>
        <w:rPr>
          <w:rFonts w:cs="Arial"/>
        </w:rPr>
      </w:pPr>
      <w:r w:rsidRPr="40522F85">
        <w:rPr>
          <w:rFonts w:cs="Arial"/>
        </w:rPr>
        <w:t>As part of our wider approach to corporate social responsibility the National Heritage Memorial Fund/</w:t>
      </w:r>
      <w:r w:rsidR="20772071" w:rsidRPr="40522F85">
        <w:rPr>
          <w:rFonts w:cs="Arial"/>
        </w:rPr>
        <w:t>National Lottery Heritage Fund</w:t>
      </w:r>
      <w:r w:rsidRPr="40522F85">
        <w:rPr>
          <w:rFonts w:cs="Arial"/>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206EBA3B" w14:textId="4074D853" w:rsidR="001B0833" w:rsidRDefault="001B0833" w:rsidP="001B0833">
      <w:pPr>
        <w:spacing w:after="240"/>
        <w:rPr>
          <w:rFonts w:cs="Arial"/>
          <w:bCs/>
          <w:iCs/>
        </w:rPr>
      </w:pPr>
      <w:r w:rsidRPr="00DB6804">
        <w:rPr>
          <w:rFonts w:cs="Arial"/>
          <w:bCs/>
          <w:iCs/>
        </w:rPr>
        <w:t>Bidders shall complete the schedule below.</w:t>
      </w:r>
    </w:p>
    <w:p w14:paraId="3B8B25B4" w14:textId="77777777" w:rsidR="00FE4369" w:rsidRPr="00B87556" w:rsidRDefault="00FE4369" w:rsidP="00FE4369">
      <w:pPr>
        <w:rPr>
          <w:rFonts w:cs="Arial"/>
        </w:rPr>
      </w:pPr>
      <w:bookmarkStart w:id="0" w:name="_Toc531084932"/>
    </w:p>
    <w:p w14:paraId="6432370A" w14:textId="4E76F52F" w:rsidR="00FE4369" w:rsidRPr="00B87556" w:rsidRDefault="00FE4369" w:rsidP="00FE4369">
      <w:pPr>
        <w:pStyle w:val="Heading2"/>
      </w:pPr>
      <w:bookmarkStart w:id="1" w:name="_Toc531084940"/>
      <w:r w:rsidRPr="00CC1262">
        <w:t xml:space="preserve">Table </w:t>
      </w:r>
      <w:r w:rsidR="00162326">
        <w:t>A</w:t>
      </w:r>
      <w:r>
        <w:t xml:space="preserve"> </w:t>
      </w:r>
      <w:r w:rsidRPr="00CC1262">
        <w:t>- Pricing</w:t>
      </w:r>
      <w:bookmarkEnd w:id="1"/>
    </w:p>
    <w:tbl>
      <w:tblPr>
        <w:tblStyle w:val="TableGrid"/>
        <w:tblW w:w="8784" w:type="dxa"/>
        <w:tblLook w:val="04A0" w:firstRow="1" w:lastRow="0" w:firstColumn="1" w:lastColumn="0" w:noHBand="0" w:noVBand="1"/>
      </w:tblPr>
      <w:tblGrid>
        <w:gridCol w:w="1733"/>
        <w:gridCol w:w="1381"/>
        <w:gridCol w:w="1417"/>
        <w:gridCol w:w="1985"/>
        <w:gridCol w:w="2268"/>
      </w:tblGrid>
      <w:tr w:rsidR="00351BD8" w:rsidRPr="00B87556" w14:paraId="7135183F" w14:textId="77777777" w:rsidTr="001E6A9E">
        <w:trPr>
          <w:trHeight w:val="1408"/>
        </w:trPr>
        <w:tc>
          <w:tcPr>
            <w:tcW w:w="1733" w:type="dxa"/>
            <w:shd w:val="clear" w:color="auto" w:fill="D9D9D9" w:themeFill="background1" w:themeFillShade="D9"/>
          </w:tcPr>
          <w:p w14:paraId="757673DD" w14:textId="77777777" w:rsidR="00351BD8" w:rsidRPr="001F614C" w:rsidRDefault="00351BD8" w:rsidP="001B088F">
            <w:pPr>
              <w:rPr>
                <w:rFonts w:cs="Arial"/>
                <w:b/>
              </w:rPr>
            </w:pPr>
            <w:r w:rsidRPr="001F614C">
              <w:rPr>
                <w:rFonts w:cs="Arial"/>
                <w:b/>
              </w:rPr>
              <w:t>Delivery Elements</w:t>
            </w:r>
          </w:p>
        </w:tc>
        <w:tc>
          <w:tcPr>
            <w:tcW w:w="1381" w:type="dxa"/>
            <w:shd w:val="clear" w:color="auto" w:fill="D9D9D9" w:themeFill="background1" w:themeFillShade="D9"/>
          </w:tcPr>
          <w:p w14:paraId="5C47E171" w14:textId="77777777" w:rsidR="00351BD8" w:rsidRPr="001F614C" w:rsidRDefault="00351BD8" w:rsidP="001B088F">
            <w:pPr>
              <w:rPr>
                <w:rFonts w:cs="Arial"/>
                <w:b/>
              </w:rPr>
            </w:pPr>
            <w:r>
              <w:rPr>
                <w:rFonts w:cs="Arial"/>
                <w:b/>
              </w:rPr>
              <w:t>Annual Cost of a Service or License</w:t>
            </w:r>
          </w:p>
        </w:tc>
        <w:tc>
          <w:tcPr>
            <w:tcW w:w="1417" w:type="dxa"/>
            <w:shd w:val="clear" w:color="auto" w:fill="D9D9D9" w:themeFill="background1" w:themeFillShade="D9"/>
          </w:tcPr>
          <w:p w14:paraId="4CA08524" w14:textId="77777777" w:rsidR="00351BD8" w:rsidRDefault="00351BD8" w:rsidP="001B088F">
            <w:pPr>
              <w:rPr>
                <w:rFonts w:cs="Arial"/>
                <w:b/>
              </w:rPr>
            </w:pPr>
            <w:r>
              <w:rPr>
                <w:rFonts w:cs="Arial"/>
                <w:b/>
              </w:rPr>
              <w:t>Cost per day of a</w:t>
            </w:r>
          </w:p>
          <w:p w14:paraId="45208ECB" w14:textId="77777777" w:rsidR="00351BD8" w:rsidRPr="001F614C" w:rsidRDefault="00351BD8" w:rsidP="001B088F">
            <w:pPr>
              <w:rPr>
                <w:rFonts w:cs="Arial"/>
                <w:b/>
              </w:rPr>
            </w:pPr>
            <w:r>
              <w:rPr>
                <w:rFonts w:cs="Arial"/>
                <w:b/>
              </w:rPr>
              <w:t>Consultant</w:t>
            </w:r>
          </w:p>
        </w:tc>
        <w:tc>
          <w:tcPr>
            <w:tcW w:w="1985" w:type="dxa"/>
            <w:shd w:val="clear" w:color="auto" w:fill="D9D9D9" w:themeFill="background1" w:themeFillShade="D9"/>
          </w:tcPr>
          <w:p w14:paraId="04EDD9F8" w14:textId="77777777" w:rsidR="00351BD8" w:rsidRPr="001F614C" w:rsidRDefault="00351BD8" w:rsidP="001B088F">
            <w:pPr>
              <w:rPr>
                <w:rFonts w:cs="Arial"/>
                <w:b/>
              </w:rPr>
            </w:pPr>
            <w:r>
              <w:rPr>
                <w:rFonts w:cs="Arial"/>
                <w:b/>
              </w:rPr>
              <w:t>One Off Cost of a Service or Product</w:t>
            </w:r>
          </w:p>
        </w:tc>
        <w:tc>
          <w:tcPr>
            <w:tcW w:w="2268" w:type="dxa"/>
            <w:shd w:val="clear" w:color="auto" w:fill="D9D9D9" w:themeFill="background1" w:themeFillShade="D9"/>
          </w:tcPr>
          <w:p w14:paraId="33CFC3E1" w14:textId="77777777" w:rsidR="00351BD8" w:rsidRPr="001F614C" w:rsidRDefault="00351BD8" w:rsidP="001B088F">
            <w:pPr>
              <w:rPr>
                <w:rFonts w:cs="Arial"/>
                <w:b/>
              </w:rPr>
            </w:pPr>
            <w:r>
              <w:rPr>
                <w:rFonts w:cs="Arial"/>
                <w:b/>
              </w:rPr>
              <w:t xml:space="preserve">Total line </w:t>
            </w:r>
            <w:r w:rsidRPr="001F614C">
              <w:rPr>
                <w:rFonts w:cs="Arial"/>
                <w:b/>
              </w:rPr>
              <w:t>Cost (ex VAT)</w:t>
            </w:r>
          </w:p>
          <w:p w14:paraId="449A5ED6" w14:textId="77777777" w:rsidR="00351BD8" w:rsidRPr="001F614C" w:rsidRDefault="00351BD8" w:rsidP="001B088F">
            <w:pPr>
              <w:rPr>
                <w:rFonts w:cs="Arial"/>
                <w:b/>
              </w:rPr>
            </w:pPr>
          </w:p>
        </w:tc>
      </w:tr>
      <w:tr w:rsidR="00351BD8" w:rsidRPr="00B87556" w14:paraId="1A7942CD" w14:textId="77777777" w:rsidTr="001E6A9E">
        <w:trPr>
          <w:trHeight w:val="942"/>
        </w:trPr>
        <w:tc>
          <w:tcPr>
            <w:tcW w:w="1733" w:type="dxa"/>
          </w:tcPr>
          <w:p w14:paraId="1CF0274B" w14:textId="77777777" w:rsidR="00351BD8" w:rsidRPr="00A81428" w:rsidRDefault="00351BD8" w:rsidP="001B088F">
            <w:pPr>
              <w:rPr>
                <w:rFonts w:cs="Arial"/>
                <w:b/>
                <w:color w:val="FFC000"/>
              </w:rPr>
            </w:pPr>
            <w:r w:rsidRPr="00A81428">
              <w:rPr>
                <w:rFonts w:cs="Arial"/>
                <w:b/>
                <w:color w:val="FFC000"/>
              </w:rPr>
              <w:t>EXAMPLE</w:t>
            </w:r>
          </w:p>
          <w:p w14:paraId="44202C35" w14:textId="77777777" w:rsidR="00351BD8" w:rsidRPr="00A81428" w:rsidRDefault="00351BD8" w:rsidP="001B088F">
            <w:pPr>
              <w:rPr>
                <w:rFonts w:cs="Arial"/>
                <w:color w:val="FFC000"/>
              </w:rPr>
            </w:pPr>
          </w:p>
          <w:p w14:paraId="214CBD6E" w14:textId="77777777" w:rsidR="00351BD8" w:rsidRPr="00A81428" w:rsidRDefault="00351BD8" w:rsidP="001B088F">
            <w:pPr>
              <w:rPr>
                <w:rFonts w:cs="Arial"/>
                <w:color w:val="FFC000"/>
              </w:rPr>
            </w:pPr>
            <w:r w:rsidRPr="00A81428">
              <w:rPr>
                <w:rFonts w:cs="Arial"/>
                <w:color w:val="FFC000"/>
              </w:rPr>
              <w:t>Implementation &amp; Testing</w:t>
            </w:r>
          </w:p>
        </w:tc>
        <w:tc>
          <w:tcPr>
            <w:tcW w:w="1381" w:type="dxa"/>
          </w:tcPr>
          <w:p w14:paraId="180BE614" w14:textId="77777777" w:rsidR="00351BD8" w:rsidRPr="00A81428" w:rsidRDefault="00351BD8" w:rsidP="001B088F">
            <w:pPr>
              <w:rPr>
                <w:rFonts w:cs="Arial"/>
                <w:color w:val="FFC000"/>
              </w:rPr>
            </w:pPr>
          </w:p>
          <w:p w14:paraId="1B863AD3" w14:textId="77777777" w:rsidR="00351BD8" w:rsidRPr="00A81428" w:rsidRDefault="00351BD8" w:rsidP="001B088F">
            <w:pPr>
              <w:rPr>
                <w:rFonts w:cs="Arial"/>
                <w:color w:val="FFC000"/>
              </w:rPr>
            </w:pPr>
          </w:p>
          <w:p w14:paraId="078B74EA" w14:textId="77777777" w:rsidR="00351BD8" w:rsidRPr="00A81428" w:rsidRDefault="00351BD8" w:rsidP="001B088F">
            <w:pPr>
              <w:rPr>
                <w:rFonts w:cs="Arial"/>
                <w:color w:val="FFC000"/>
              </w:rPr>
            </w:pPr>
            <w:r w:rsidRPr="00A81428">
              <w:rPr>
                <w:rFonts w:cs="Arial"/>
                <w:color w:val="FFC000"/>
              </w:rPr>
              <w:t>0</w:t>
            </w:r>
          </w:p>
        </w:tc>
        <w:tc>
          <w:tcPr>
            <w:tcW w:w="1417" w:type="dxa"/>
          </w:tcPr>
          <w:p w14:paraId="0C10FAB2" w14:textId="77777777" w:rsidR="00351BD8" w:rsidRPr="00A81428" w:rsidRDefault="00351BD8" w:rsidP="001B088F">
            <w:pPr>
              <w:rPr>
                <w:rFonts w:cs="Arial"/>
                <w:color w:val="FFC000"/>
              </w:rPr>
            </w:pPr>
          </w:p>
          <w:p w14:paraId="026E2F4C" w14:textId="77777777" w:rsidR="00351BD8" w:rsidRPr="00A81428" w:rsidRDefault="00351BD8" w:rsidP="001B088F">
            <w:pPr>
              <w:rPr>
                <w:rFonts w:cs="Arial"/>
                <w:color w:val="FFC000"/>
              </w:rPr>
            </w:pPr>
            <w:r w:rsidRPr="00A81428">
              <w:rPr>
                <w:rFonts w:cs="Arial"/>
                <w:color w:val="FFC000"/>
              </w:rPr>
              <w:t>£500</w:t>
            </w:r>
          </w:p>
          <w:p w14:paraId="581925AA" w14:textId="77777777" w:rsidR="00351BD8" w:rsidRPr="00A81428" w:rsidRDefault="00351BD8" w:rsidP="001B088F">
            <w:pPr>
              <w:rPr>
                <w:rFonts w:cs="Arial"/>
                <w:color w:val="FFC000"/>
              </w:rPr>
            </w:pPr>
            <w:r w:rsidRPr="00A81428">
              <w:rPr>
                <w:rFonts w:cs="Arial"/>
                <w:color w:val="FFC000"/>
              </w:rPr>
              <w:t>£300</w:t>
            </w:r>
          </w:p>
        </w:tc>
        <w:tc>
          <w:tcPr>
            <w:tcW w:w="1985" w:type="dxa"/>
          </w:tcPr>
          <w:p w14:paraId="6F02CD06" w14:textId="77777777" w:rsidR="00351BD8" w:rsidRDefault="00351BD8" w:rsidP="001B088F">
            <w:pPr>
              <w:rPr>
                <w:rFonts w:cs="Arial"/>
                <w:color w:val="FFC000"/>
              </w:rPr>
            </w:pPr>
          </w:p>
          <w:p w14:paraId="5980459B" w14:textId="77777777" w:rsidR="00351BD8" w:rsidRDefault="00351BD8" w:rsidP="001B088F">
            <w:pPr>
              <w:rPr>
                <w:rFonts w:cs="Arial"/>
                <w:color w:val="FFC000"/>
              </w:rPr>
            </w:pPr>
          </w:p>
          <w:p w14:paraId="28FB30D7" w14:textId="77777777" w:rsidR="00351BD8" w:rsidRDefault="00351BD8" w:rsidP="001B088F">
            <w:pPr>
              <w:rPr>
                <w:rFonts w:cs="Arial"/>
                <w:color w:val="FFC000"/>
              </w:rPr>
            </w:pPr>
          </w:p>
          <w:p w14:paraId="478D604D" w14:textId="77777777" w:rsidR="00351BD8" w:rsidRDefault="00351BD8" w:rsidP="001B088F">
            <w:pPr>
              <w:rPr>
                <w:rFonts w:cs="Arial"/>
                <w:color w:val="FFC000"/>
              </w:rPr>
            </w:pPr>
          </w:p>
          <w:p w14:paraId="15B44CA8" w14:textId="77777777" w:rsidR="00351BD8" w:rsidRPr="00A81428" w:rsidRDefault="00351BD8" w:rsidP="001B088F">
            <w:pPr>
              <w:rPr>
                <w:rFonts w:cs="Arial"/>
                <w:color w:val="FFC000"/>
              </w:rPr>
            </w:pPr>
            <w:r w:rsidRPr="00A81428">
              <w:rPr>
                <w:rFonts w:cs="Arial"/>
                <w:color w:val="FFC000"/>
              </w:rPr>
              <w:t>£3000</w:t>
            </w:r>
          </w:p>
          <w:p w14:paraId="40ED84F9" w14:textId="77777777" w:rsidR="00351BD8" w:rsidRPr="00A81428" w:rsidRDefault="00351BD8" w:rsidP="001B088F">
            <w:pPr>
              <w:rPr>
                <w:rFonts w:cs="Arial"/>
                <w:color w:val="FFC000"/>
              </w:rPr>
            </w:pPr>
          </w:p>
        </w:tc>
        <w:tc>
          <w:tcPr>
            <w:tcW w:w="2268" w:type="dxa"/>
          </w:tcPr>
          <w:p w14:paraId="73132A48" w14:textId="77777777" w:rsidR="00351BD8" w:rsidRPr="00A81428" w:rsidRDefault="00351BD8" w:rsidP="001B088F">
            <w:pPr>
              <w:rPr>
                <w:rFonts w:cs="Arial"/>
                <w:color w:val="FFC000"/>
              </w:rPr>
            </w:pPr>
          </w:p>
          <w:p w14:paraId="414A0697" w14:textId="77777777" w:rsidR="00351BD8" w:rsidRPr="00A81428" w:rsidRDefault="00351BD8" w:rsidP="001B088F">
            <w:pPr>
              <w:rPr>
                <w:rFonts w:cs="Arial"/>
                <w:color w:val="FFC000"/>
              </w:rPr>
            </w:pPr>
          </w:p>
          <w:p w14:paraId="4FEBA133" w14:textId="77777777" w:rsidR="00351BD8" w:rsidRDefault="00351BD8" w:rsidP="001B088F">
            <w:pPr>
              <w:rPr>
                <w:rFonts w:cs="Arial"/>
                <w:color w:val="FFC000"/>
              </w:rPr>
            </w:pPr>
          </w:p>
          <w:p w14:paraId="1D941345" w14:textId="77777777" w:rsidR="00351BD8" w:rsidRDefault="00351BD8" w:rsidP="001B088F">
            <w:pPr>
              <w:rPr>
                <w:rFonts w:cs="Arial"/>
                <w:color w:val="FFC000"/>
              </w:rPr>
            </w:pPr>
          </w:p>
          <w:p w14:paraId="54B40D90" w14:textId="77777777" w:rsidR="00351BD8" w:rsidRPr="00A81428" w:rsidRDefault="00351BD8" w:rsidP="001B088F">
            <w:pPr>
              <w:rPr>
                <w:rFonts w:cs="Arial"/>
                <w:color w:val="FFC000"/>
              </w:rPr>
            </w:pPr>
            <w:r w:rsidRPr="00A81428">
              <w:rPr>
                <w:rFonts w:cs="Arial"/>
                <w:color w:val="FFC000"/>
              </w:rPr>
              <w:t>£8000.</w:t>
            </w:r>
          </w:p>
        </w:tc>
      </w:tr>
      <w:tr w:rsidR="00351BD8" w:rsidRPr="00B87556" w14:paraId="475C5EDF" w14:textId="77777777" w:rsidTr="001E6A9E">
        <w:trPr>
          <w:trHeight w:val="942"/>
        </w:trPr>
        <w:tc>
          <w:tcPr>
            <w:tcW w:w="1733" w:type="dxa"/>
          </w:tcPr>
          <w:p w14:paraId="3904851F" w14:textId="77777777" w:rsidR="00351BD8" w:rsidRPr="00A81428" w:rsidRDefault="00351BD8" w:rsidP="001B088F">
            <w:pPr>
              <w:rPr>
                <w:rFonts w:cs="Arial"/>
                <w:color w:val="FFC000"/>
              </w:rPr>
            </w:pPr>
            <w:r w:rsidRPr="00A81428">
              <w:rPr>
                <w:rFonts w:cs="Arial"/>
                <w:color w:val="FFC000"/>
              </w:rPr>
              <w:t>Annual Support Service</w:t>
            </w:r>
          </w:p>
        </w:tc>
        <w:tc>
          <w:tcPr>
            <w:tcW w:w="1381" w:type="dxa"/>
          </w:tcPr>
          <w:p w14:paraId="7D73B725" w14:textId="77777777" w:rsidR="00351BD8" w:rsidRPr="00A81428" w:rsidRDefault="00351BD8" w:rsidP="001B088F">
            <w:pPr>
              <w:rPr>
                <w:rFonts w:cs="Arial"/>
                <w:color w:val="FFC000"/>
              </w:rPr>
            </w:pPr>
            <w:r w:rsidRPr="00A81428">
              <w:rPr>
                <w:rFonts w:cs="Arial"/>
                <w:color w:val="FFC000"/>
              </w:rPr>
              <w:t>£800</w:t>
            </w:r>
          </w:p>
        </w:tc>
        <w:tc>
          <w:tcPr>
            <w:tcW w:w="1417" w:type="dxa"/>
          </w:tcPr>
          <w:p w14:paraId="5B46122E" w14:textId="77777777" w:rsidR="00351BD8" w:rsidRPr="00A81428" w:rsidRDefault="00351BD8" w:rsidP="001B088F">
            <w:pPr>
              <w:rPr>
                <w:rFonts w:cs="Arial"/>
                <w:color w:val="FFC000"/>
              </w:rPr>
            </w:pPr>
          </w:p>
        </w:tc>
        <w:tc>
          <w:tcPr>
            <w:tcW w:w="1985" w:type="dxa"/>
          </w:tcPr>
          <w:p w14:paraId="73E9EDF0" w14:textId="77777777" w:rsidR="00351BD8" w:rsidRPr="00A81428" w:rsidRDefault="00351BD8" w:rsidP="001B088F">
            <w:pPr>
              <w:rPr>
                <w:rFonts w:cs="Arial"/>
                <w:color w:val="FFC000"/>
              </w:rPr>
            </w:pPr>
          </w:p>
        </w:tc>
        <w:tc>
          <w:tcPr>
            <w:tcW w:w="2268" w:type="dxa"/>
          </w:tcPr>
          <w:p w14:paraId="7059FD6E" w14:textId="77777777" w:rsidR="00351BD8" w:rsidRPr="00A81428" w:rsidRDefault="00351BD8" w:rsidP="001B088F">
            <w:pPr>
              <w:rPr>
                <w:rFonts w:cs="Arial"/>
                <w:color w:val="FFC000"/>
              </w:rPr>
            </w:pPr>
            <w:r w:rsidRPr="00A81428">
              <w:rPr>
                <w:rFonts w:cs="Arial"/>
                <w:color w:val="FFC000"/>
              </w:rPr>
              <w:t>£800</w:t>
            </w:r>
          </w:p>
        </w:tc>
      </w:tr>
      <w:tr w:rsidR="00351BD8" w:rsidRPr="00B87556" w14:paraId="52B5D97C" w14:textId="77777777" w:rsidTr="001E6A9E">
        <w:trPr>
          <w:trHeight w:val="942"/>
        </w:trPr>
        <w:tc>
          <w:tcPr>
            <w:tcW w:w="1733" w:type="dxa"/>
          </w:tcPr>
          <w:p w14:paraId="3DB058DE" w14:textId="77777777" w:rsidR="00351BD8" w:rsidRPr="00A81428" w:rsidRDefault="00351BD8" w:rsidP="001B088F">
            <w:pPr>
              <w:rPr>
                <w:rFonts w:cs="Arial"/>
                <w:color w:val="FFC000"/>
              </w:rPr>
            </w:pPr>
            <w:r w:rsidRPr="00A81428">
              <w:rPr>
                <w:rFonts w:cs="Arial"/>
                <w:color w:val="FFC000"/>
              </w:rPr>
              <w:t>Cloud Hosting for 2 years</w:t>
            </w:r>
          </w:p>
        </w:tc>
        <w:tc>
          <w:tcPr>
            <w:tcW w:w="1381" w:type="dxa"/>
          </w:tcPr>
          <w:p w14:paraId="314E1DE8" w14:textId="77777777" w:rsidR="00351BD8" w:rsidRPr="00A81428" w:rsidRDefault="00351BD8" w:rsidP="001B088F">
            <w:pPr>
              <w:rPr>
                <w:rFonts w:cs="Arial"/>
                <w:color w:val="FFC000"/>
              </w:rPr>
            </w:pPr>
            <w:r w:rsidRPr="00A81428">
              <w:rPr>
                <w:rFonts w:cs="Arial"/>
                <w:color w:val="FFC000"/>
              </w:rPr>
              <w:t>£500</w:t>
            </w:r>
          </w:p>
        </w:tc>
        <w:tc>
          <w:tcPr>
            <w:tcW w:w="1417" w:type="dxa"/>
          </w:tcPr>
          <w:p w14:paraId="1CDE1E48" w14:textId="77777777" w:rsidR="00351BD8" w:rsidRPr="00A81428" w:rsidRDefault="00351BD8" w:rsidP="001B088F">
            <w:pPr>
              <w:rPr>
                <w:rFonts w:cs="Arial"/>
                <w:color w:val="FFC000"/>
              </w:rPr>
            </w:pPr>
          </w:p>
        </w:tc>
        <w:tc>
          <w:tcPr>
            <w:tcW w:w="1985" w:type="dxa"/>
          </w:tcPr>
          <w:p w14:paraId="22743F48" w14:textId="77777777" w:rsidR="00351BD8" w:rsidRPr="00A81428" w:rsidRDefault="00351BD8" w:rsidP="001B088F">
            <w:pPr>
              <w:rPr>
                <w:rFonts w:cs="Arial"/>
                <w:color w:val="FFC000"/>
              </w:rPr>
            </w:pPr>
          </w:p>
        </w:tc>
        <w:tc>
          <w:tcPr>
            <w:tcW w:w="2268" w:type="dxa"/>
          </w:tcPr>
          <w:p w14:paraId="60AC729D" w14:textId="77777777" w:rsidR="00351BD8" w:rsidRPr="00A81428" w:rsidRDefault="00351BD8" w:rsidP="001B088F">
            <w:pPr>
              <w:rPr>
                <w:rFonts w:cs="Arial"/>
                <w:color w:val="FFC000"/>
              </w:rPr>
            </w:pPr>
            <w:r w:rsidRPr="00A81428">
              <w:rPr>
                <w:rFonts w:cs="Arial"/>
                <w:color w:val="FFC000"/>
              </w:rPr>
              <w:t>£1000</w:t>
            </w:r>
          </w:p>
        </w:tc>
      </w:tr>
      <w:tr w:rsidR="00351BD8" w:rsidRPr="00B87556" w14:paraId="333EDD3A" w14:textId="77777777" w:rsidTr="001E6A9E">
        <w:tc>
          <w:tcPr>
            <w:tcW w:w="1733" w:type="dxa"/>
          </w:tcPr>
          <w:p w14:paraId="49E2ECE9" w14:textId="77777777" w:rsidR="00351BD8" w:rsidRPr="00B87556" w:rsidRDefault="00351BD8" w:rsidP="001B088F">
            <w:pPr>
              <w:rPr>
                <w:rFonts w:cs="Arial"/>
              </w:rPr>
            </w:pPr>
            <w:r w:rsidRPr="00B87556">
              <w:rPr>
                <w:rFonts w:cs="Arial"/>
              </w:rPr>
              <w:t>Environment Set-Up and System Configuration</w:t>
            </w:r>
          </w:p>
          <w:p w14:paraId="21A77698" w14:textId="77777777" w:rsidR="00351BD8" w:rsidRPr="00B87556" w:rsidRDefault="00351BD8" w:rsidP="001B088F">
            <w:pPr>
              <w:rPr>
                <w:rFonts w:cs="Arial"/>
              </w:rPr>
            </w:pPr>
          </w:p>
        </w:tc>
        <w:tc>
          <w:tcPr>
            <w:tcW w:w="1381" w:type="dxa"/>
          </w:tcPr>
          <w:p w14:paraId="307D77CA" w14:textId="77777777" w:rsidR="00351BD8" w:rsidRPr="00B87556" w:rsidRDefault="00351BD8" w:rsidP="001B088F">
            <w:pPr>
              <w:rPr>
                <w:rFonts w:cs="Arial"/>
              </w:rPr>
            </w:pPr>
          </w:p>
        </w:tc>
        <w:tc>
          <w:tcPr>
            <w:tcW w:w="1417" w:type="dxa"/>
          </w:tcPr>
          <w:p w14:paraId="586960AA" w14:textId="77777777" w:rsidR="00351BD8" w:rsidRPr="00B87556" w:rsidRDefault="00351BD8" w:rsidP="001B088F">
            <w:pPr>
              <w:rPr>
                <w:rFonts w:cs="Arial"/>
              </w:rPr>
            </w:pPr>
          </w:p>
        </w:tc>
        <w:tc>
          <w:tcPr>
            <w:tcW w:w="1985" w:type="dxa"/>
          </w:tcPr>
          <w:p w14:paraId="03567828" w14:textId="77777777" w:rsidR="00351BD8" w:rsidRPr="00B87556" w:rsidRDefault="00351BD8" w:rsidP="001B088F">
            <w:pPr>
              <w:rPr>
                <w:rFonts w:cs="Arial"/>
              </w:rPr>
            </w:pPr>
          </w:p>
        </w:tc>
        <w:tc>
          <w:tcPr>
            <w:tcW w:w="2268" w:type="dxa"/>
          </w:tcPr>
          <w:p w14:paraId="274C3FF8" w14:textId="77777777" w:rsidR="00351BD8" w:rsidRPr="00B87556" w:rsidRDefault="00351BD8" w:rsidP="001B088F">
            <w:pPr>
              <w:rPr>
                <w:rFonts w:cs="Arial"/>
              </w:rPr>
            </w:pPr>
          </w:p>
        </w:tc>
      </w:tr>
      <w:tr w:rsidR="00351BD8" w:rsidRPr="00B87556" w14:paraId="3CC73214" w14:textId="77777777" w:rsidTr="001E6A9E">
        <w:tc>
          <w:tcPr>
            <w:tcW w:w="1733" w:type="dxa"/>
          </w:tcPr>
          <w:p w14:paraId="319020C0" w14:textId="77777777" w:rsidR="00351BD8" w:rsidRPr="00B87556" w:rsidRDefault="00351BD8" w:rsidP="001B088F">
            <w:pPr>
              <w:rPr>
                <w:rFonts w:cs="Arial"/>
              </w:rPr>
            </w:pPr>
            <w:r>
              <w:rPr>
                <w:rFonts w:cs="Arial"/>
              </w:rPr>
              <w:t xml:space="preserve">Cost of </w:t>
            </w:r>
            <w:r w:rsidRPr="00B87556">
              <w:rPr>
                <w:rFonts w:cs="Arial"/>
              </w:rPr>
              <w:t xml:space="preserve">Annual </w:t>
            </w:r>
            <w:r>
              <w:rPr>
                <w:rFonts w:cs="Arial"/>
              </w:rPr>
              <w:t xml:space="preserve">Customer </w:t>
            </w:r>
            <w:r w:rsidRPr="00B87556">
              <w:rPr>
                <w:rFonts w:cs="Arial"/>
              </w:rPr>
              <w:t>Support Service</w:t>
            </w:r>
          </w:p>
        </w:tc>
        <w:tc>
          <w:tcPr>
            <w:tcW w:w="1381" w:type="dxa"/>
          </w:tcPr>
          <w:p w14:paraId="01452AC3" w14:textId="77777777" w:rsidR="00351BD8" w:rsidRPr="00B87556" w:rsidRDefault="00351BD8" w:rsidP="001B088F">
            <w:pPr>
              <w:rPr>
                <w:rFonts w:cs="Arial"/>
              </w:rPr>
            </w:pPr>
          </w:p>
        </w:tc>
        <w:tc>
          <w:tcPr>
            <w:tcW w:w="1417" w:type="dxa"/>
          </w:tcPr>
          <w:p w14:paraId="5586397B" w14:textId="77777777" w:rsidR="00351BD8" w:rsidRPr="00B87556" w:rsidRDefault="00351BD8" w:rsidP="001B088F">
            <w:pPr>
              <w:rPr>
                <w:rFonts w:cs="Arial"/>
              </w:rPr>
            </w:pPr>
          </w:p>
        </w:tc>
        <w:tc>
          <w:tcPr>
            <w:tcW w:w="1985" w:type="dxa"/>
          </w:tcPr>
          <w:p w14:paraId="3BE0E59C" w14:textId="77777777" w:rsidR="00351BD8" w:rsidRPr="00B87556" w:rsidRDefault="00351BD8" w:rsidP="001B088F">
            <w:pPr>
              <w:rPr>
                <w:rFonts w:cs="Arial"/>
              </w:rPr>
            </w:pPr>
          </w:p>
        </w:tc>
        <w:tc>
          <w:tcPr>
            <w:tcW w:w="2268" w:type="dxa"/>
          </w:tcPr>
          <w:p w14:paraId="3DD55914" w14:textId="77777777" w:rsidR="00351BD8" w:rsidRPr="00B87556" w:rsidRDefault="00351BD8" w:rsidP="001B088F">
            <w:pPr>
              <w:rPr>
                <w:rFonts w:cs="Arial"/>
              </w:rPr>
            </w:pPr>
          </w:p>
        </w:tc>
      </w:tr>
      <w:tr w:rsidR="00351BD8" w:rsidRPr="00B87556" w14:paraId="0DD41EB1" w14:textId="77777777" w:rsidTr="001E6A9E">
        <w:tc>
          <w:tcPr>
            <w:tcW w:w="1733" w:type="dxa"/>
          </w:tcPr>
          <w:p w14:paraId="40D8ECA0" w14:textId="77777777" w:rsidR="00351BD8" w:rsidRPr="00B87556" w:rsidRDefault="00351BD8" w:rsidP="001B088F">
            <w:pPr>
              <w:rPr>
                <w:rFonts w:cs="Arial"/>
              </w:rPr>
            </w:pPr>
            <w:r>
              <w:rPr>
                <w:rFonts w:cs="Arial"/>
              </w:rPr>
              <w:t>Cost of technology (licenses)</w:t>
            </w:r>
          </w:p>
        </w:tc>
        <w:tc>
          <w:tcPr>
            <w:tcW w:w="1381" w:type="dxa"/>
          </w:tcPr>
          <w:p w14:paraId="5CFA9B47" w14:textId="77777777" w:rsidR="00351BD8" w:rsidRPr="00B87556" w:rsidRDefault="00351BD8" w:rsidP="001B088F">
            <w:pPr>
              <w:rPr>
                <w:rFonts w:cs="Arial"/>
              </w:rPr>
            </w:pPr>
          </w:p>
        </w:tc>
        <w:tc>
          <w:tcPr>
            <w:tcW w:w="1417" w:type="dxa"/>
          </w:tcPr>
          <w:p w14:paraId="1523D4E1" w14:textId="77777777" w:rsidR="00351BD8" w:rsidRPr="00B87556" w:rsidRDefault="00351BD8" w:rsidP="001B088F">
            <w:pPr>
              <w:rPr>
                <w:rFonts w:cs="Arial"/>
              </w:rPr>
            </w:pPr>
          </w:p>
        </w:tc>
        <w:tc>
          <w:tcPr>
            <w:tcW w:w="1985" w:type="dxa"/>
          </w:tcPr>
          <w:p w14:paraId="640F4111" w14:textId="77777777" w:rsidR="00351BD8" w:rsidRPr="00B87556" w:rsidRDefault="00351BD8" w:rsidP="001B088F">
            <w:pPr>
              <w:rPr>
                <w:rFonts w:cs="Arial"/>
              </w:rPr>
            </w:pPr>
          </w:p>
        </w:tc>
        <w:tc>
          <w:tcPr>
            <w:tcW w:w="2268" w:type="dxa"/>
          </w:tcPr>
          <w:p w14:paraId="3840178C" w14:textId="77777777" w:rsidR="00351BD8" w:rsidRPr="00B87556" w:rsidRDefault="00351BD8" w:rsidP="001B088F">
            <w:pPr>
              <w:rPr>
                <w:rFonts w:cs="Arial"/>
              </w:rPr>
            </w:pPr>
          </w:p>
        </w:tc>
      </w:tr>
      <w:tr w:rsidR="00351BD8" w:rsidRPr="00B87556" w14:paraId="5250440A" w14:textId="77777777" w:rsidTr="001E6A9E">
        <w:tc>
          <w:tcPr>
            <w:tcW w:w="1733" w:type="dxa"/>
          </w:tcPr>
          <w:p w14:paraId="1DAA350F" w14:textId="77777777" w:rsidR="00351BD8" w:rsidRDefault="00351BD8" w:rsidP="001B088F">
            <w:pPr>
              <w:rPr>
                <w:rFonts w:cs="Arial"/>
              </w:rPr>
            </w:pPr>
            <w:r>
              <w:rPr>
                <w:rFonts w:cs="Arial"/>
              </w:rPr>
              <w:t>Cost of detailed technical implementation support per day.</w:t>
            </w:r>
          </w:p>
        </w:tc>
        <w:tc>
          <w:tcPr>
            <w:tcW w:w="1381" w:type="dxa"/>
          </w:tcPr>
          <w:p w14:paraId="25C2423D" w14:textId="77777777" w:rsidR="00351BD8" w:rsidRPr="00B87556" w:rsidRDefault="00351BD8" w:rsidP="001B088F">
            <w:pPr>
              <w:rPr>
                <w:rFonts w:cs="Arial"/>
              </w:rPr>
            </w:pPr>
          </w:p>
        </w:tc>
        <w:tc>
          <w:tcPr>
            <w:tcW w:w="1417" w:type="dxa"/>
          </w:tcPr>
          <w:p w14:paraId="2873E412" w14:textId="77777777" w:rsidR="00351BD8" w:rsidRPr="00B87556" w:rsidRDefault="00351BD8" w:rsidP="001B088F">
            <w:pPr>
              <w:rPr>
                <w:rFonts w:cs="Arial"/>
              </w:rPr>
            </w:pPr>
          </w:p>
        </w:tc>
        <w:tc>
          <w:tcPr>
            <w:tcW w:w="1985" w:type="dxa"/>
          </w:tcPr>
          <w:p w14:paraId="34E5BDAB" w14:textId="77777777" w:rsidR="00351BD8" w:rsidRPr="00B87556" w:rsidRDefault="00351BD8" w:rsidP="001B088F">
            <w:pPr>
              <w:rPr>
                <w:rFonts w:cs="Arial"/>
              </w:rPr>
            </w:pPr>
          </w:p>
        </w:tc>
        <w:tc>
          <w:tcPr>
            <w:tcW w:w="2268" w:type="dxa"/>
          </w:tcPr>
          <w:p w14:paraId="6CAA0A0B" w14:textId="77777777" w:rsidR="00351BD8" w:rsidRPr="00B87556" w:rsidRDefault="00351BD8" w:rsidP="001B088F">
            <w:pPr>
              <w:rPr>
                <w:rFonts w:cs="Arial"/>
              </w:rPr>
            </w:pPr>
          </w:p>
        </w:tc>
      </w:tr>
      <w:tr w:rsidR="00351BD8" w:rsidRPr="00B87556" w14:paraId="5392392E" w14:textId="77777777" w:rsidTr="001E6A9E">
        <w:tc>
          <w:tcPr>
            <w:tcW w:w="1733" w:type="dxa"/>
          </w:tcPr>
          <w:p w14:paraId="6C4F1569" w14:textId="68DF2139" w:rsidR="00351BD8" w:rsidRPr="00B87556" w:rsidRDefault="00351BD8" w:rsidP="001B088F">
            <w:pPr>
              <w:rPr>
                <w:rFonts w:cs="Arial"/>
              </w:rPr>
            </w:pPr>
            <w:r>
              <w:rPr>
                <w:rFonts w:cs="Arial"/>
              </w:rPr>
              <w:t xml:space="preserve">Cloud/ </w:t>
            </w:r>
            <w:r w:rsidRPr="00B87556">
              <w:rPr>
                <w:rFonts w:cs="Arial"/>
              </w:rPr>
              <w:t>Hosting Services for t</w:t>
            </w:r>
            <w:r>
              <w:rPr>
                <w:rFonts w:cs="Arial"/>
              </w:rPr>
              <w:t>hree</w:t>
            </w:r>
            <w:r w:rsidRPr="00B87556">
              <w:rPr>
                <w:rFonts w:cs="Arial"/>
              </w:rPr>
              <w:t xml:space="preserve"> years</w:t>
            </w:r>
          </w:p>
        </w:tc>
        <w:tc>
          <w:tcPr>
            <w:tcW w:w="1381" w:type="dxa"/>
          </w:tcPr>
          <w:p w14:paraId="30F55EEC" w14:textId="77777777" w:rsidR="00351BD8" w:rsidRPr="00B87556" w:rsidRDefault="00351BD8" w:rsidP="001B088F">
            <w:pPr>
              <w:rPr>
                <w:rFonts w:cs="Arial"/>
              </w:rPr>
            </w:pPr>
          </w:p>
        </w:tc>
        <w:tc>
          <w:tcPr>
            <w:tcW w:w="1417" w:type="dxa"/>
          </w:tcPr>
          <w:p w14:paraId="50474E4A" w14:textId="77777777" w:rsidR="00351BD8" w:rsidRPr="00B87556" w:rsidRDefault="00351BD8" w:rsidP="001B088F">
            <w:pPr>
              <w:rPr>
                <w:rFonts w:cs="Arial"/>
              </w:rPr>
            </w:pPr>
          </w:p>
        </w:tc>
        <w:tc>
          <w:tcPr>
            <w:tcW w:w="1985" w:type="dxa"/>
          </w:tcPr>
          <w:p w14:paraId="0C05FE1C" w14:textId="77777777" w:rsidR="00351BD8" w:rsidRPr="00B87556" w:rsidRDefault="00351BD8" w:rsidP="001B088F">
            <w:pPr>
              <w:rPr>
                <w:rFonts w:cs="Arial"/>
              </w:rPr>
            </w:pPr>
          </w:p>
        </w:tc>
        <w:tc>
          <w:tcPr>
            <w:tcW w:w="2268" w:type="dxa"/>
          </w:tcPr>
          <w:p w14:paraId="5CF2396F" w14:textId="77777777" w:rsidR="00351BD8" w:rsidRPr="00B87556" w:rsidRDefault="00351BD8" w:rsidP="001B088F">
            <w:pPr>
              <w:rPr>
                <w:rFonts w:cs="Arial"/>
              </w:rPr>
            </w:pPr>
          </w:p>
        </w:tc>
      </w:tr>
      <w:tr w:rsidR="00351BD8" w:rsidRPr="00B87556" w14:paraId="3988E385" w14:textId="77777777" w:rsidTr="001E6A9E">
        <w:tc>
          <w:tcPr>
            <w:tcW w:w="1733" w:type="dxa"/>
          </w:tcPr>
          <w:p w14:paraId="2BA87C18" w14:textId="16A6FF11" w:rsidR="00351BD8" w:rsidRPr="00B87556" w:rsidRDefault="00351BD8" w:rsidP="001B088F">
            <w:pPr>
              <w:rPr>
                <w:rFonts w:cs="Arial"/>
              </w:rPr>
            </w:pPr>
            <w:r w:rsidRPr="00B87556">
              <w:rPr>
                <w:rFonts w:cs="Arial"/>
              </w:rPr>
              <w:lastRenderedPageBreak/>
              <w:t xml:space="preserve">Maintenance and Support for </w:t>
            </w:r>
            <w:r>
              <w:rPr>
                <w:rFonts w:cs="Arial"/>
              </w:rPr>
              <w:t>three</w:t>
            </w:r>
            <w:r w:rsidRPr="00B87556">
              <w:rPr>
                <w:rFonts w:cs="Arial"/>
              </w:rPr>
              <w:t xml:space="preserve"> years</w:t>
            </w:r>
          </w:p>
        </w:tc>
        <w:tc>
          <w:tcPr>
            <w:tcW w:w="1381" w:type="dxa"/>
          </w:tcPr>
          <w:p w14:paraId="79AD6B26" w14:textId="77777777" w:rsidR="00351BD8" w:rsidRPr="00B87556" w:rsidRDefault="00351BD8" w:rsidP="001B088F">
            <w:pPr>
              <w:rPr>
                <w:rFonts w:cs="Arial"/>
              </w:rPr>
            </w:pPr>
          </w:p>
        </w:tc>
        <w:tc>
          <w:tcPr>
            <w:tcW w:w="1417" w:type="dxa"/>
          </w:tcPr>
          <w:p w14:paraId="0CF4871F" w14:textId="77777777" w:rsidR="00351BD8" w:rsidRPr="00B87556" w:rsidRDefault="00351BD8" w:rsidP="001B088F">
            <w:pPr>
              <w:rPr>
                <w:rFonts w:cs="Arial"/>
              </w:rPr>
            </w:pPr>
          </w:p>
        </w:tc>
        <w:tc>
          <w:tcPr>
            <w:tcW w:w="1985" w:type="dxa"/>
          </w:tcPr>
          <w:p w14:paraId="7FD0AFC3" w14:textId="77777777" w:rsidR="00351BD8" w:rsidRPr="00B87556" w:rsidRDefault="00351BD8" w:rsidP="001B088F">
            <w:pPr>
              <w:rPr>
                <w:rFonts w:cs="Arial"/>
              </w:rPr>
            </w:pPr>
          </w:p>
        </w:tc>
        <w:tc>
          <w:tcPr>
            <w:tcW w:w="2268" w:type="dxa"/>
          </w:tcPr>
          <w:p w14:paraId="03F3C2E8" w14:textId="77777777" w:rsidR="00351BD8" w:rsidRPr="00B87556" w:rsidRDefault="00351BD8" w:rsidP="001B088F">
            <w:pPr>
              <w:rPr>
                <w:rFonts w:cs="Arial"/>
              </w:rPr>
            </w:pPr>
          </w:p>
        </w:tc>
      </w:tr>
      <w:tr w:rsidR="00351BD8" w:rsidRPr="00B87556" w14:paraId="2683084B" w14:textId="77777777" w:rsidTr="001E6A9E">
        <w:tc>
          <w:tcPr>
            <w:tcW w:w="1733" w:type="dxa"/>
          </w:tcPr>
          <w:p w14:paraId="5DDF3562" w14:textId="77777777" w:rsidR="00351BD8" w:rsidRPr="00B87556" w:rsidRDefault="00351BD8" w:rsidP="001B088F">
            <w:pPr>
              <w:rPr>
                <w:rFonts w:cs="Arial"/>
              </w:rPr>
            </w:pPr>
            <w:r w:rsidRPr="00B87556">
              <w:rPr>
                <w:rFonts w:cs="Arial"/>
              </w:rPr>
              <w:t>Training</w:t>
            </w:r>
          </w:p>
          <w:p w14:paraId="570FCAD0" w14:textId="77777777" w:rsidR="00351BD8" w:rsidRPr="00B87556" w:rsidRDefault="00351BD8" w:rsidP="001B088F">
            <w:pPr>
              <w:rPr>
                <w:rFonts w:cs="Arial"/>
              </w:rPr>
            </w:pPr>
          </w:p>
        </w:tc>
        <w:tc>
          <w:tcPr>
            <w:tcW w:w="1381" w:type="dxa"/>
          </w:tcPr>
          <w:p w14:paraId="13E48214" w14:textId="77777777" w:rsidR="00351BD8" w:rsidRPr="00B87556" w:rsidRDefault="00351BD8" w:rsidP="001B088F">
            <w:pPr>
              <w:rPr>
                <w:rFonts w:cs="Arial"/>
              </w:rPr>
            </w:pPr>
          </w:p>
        </w:tc>
        <w:tc>
          <w:tcPr>
            <w:tcW w:w="1417" w:type="dxa"/>
          </w:tcPr>
          <w:p w14:paraId="405EFE0D" w14:textId="77777777" w:rsidR="00351BD8" w:rsidRPr="00B87556" w:rsidRDefault="00351BD8" w:rsidP="001B088F">
            <w:pPr>
              <w:rPr>
                <w:rFonts w:cs="Arial"/>
              </w:rPr>
            </w:pPr>
          </w:p>
        </w:tc>
        <w:tc>
          <w:tcPr>
            <w:tcW w:w="1985" w:type="dxa"/>
          </w:tcPr>
          <w:p w14:paraId="4372AA26" w14:textId="77777777" w:rsidR="00351BD8" w:rsidRPr="00B87556" w:rsidRDefault="00351BD8" w:rsidP="001B088F">
            <w:pPr>
              <w:rPr>
                <w:rFonts w:cs="Arial"/>
              </w:rPr>
            </w:pPr>
          </w:p>
        </w:tc>
        <w:tc>
          <w:tcPr>
            <w:tcW w:w="2268" w:type="dxa"/>
          </w:tcPr>
          <w:p w14:paraId="20F65E0E" w14:textId="77777777" w:rsidR="00351BD8" w:rsidRPr="00B87556" w:rsidRDefault="00351BD8" w:rsidP="001B088F">
            <w:pPr>
              <w:rPr>
                <w:rFonts w:cs="Arial"/>
              </w:rPr>
            </w:pPr>
          </w:p>
        </w:tc>
      </w:tr>
      <w:tr w:rsidR="00351BD8" w:rsidRPr="00B87556" w14:paraId="540E6CAB" w14:textId="77777777" w:rsidTr="001E6A9E">
        <w:tc>
          <w:tcPr>
            <w:tcW w:w="1733" w:type="dxa"/>
          </w:tcPr>
          <w:p w14:paraId="0BE1EA7C" w14:textId="77777777" w:rsidR="00351BD8" w:rsidRPr="00B87556" w:rsidRDefault="00351BD8" w:rsidP="001B088F">
            <w:pPr>
              <w:rPr>
                <w:rFonts w:cs="Arial"/>
                <w:b/>
              </w:rPr>
            </w:pPr>
            <w:r w:rsidRPr="00B87556">
              <w:rPr>
                <w:rFonts w:cs="Arial"/>
                <w:b/>
              </w:rPr>
              <w:t>Sub-TOTAL (ex VAT)</w:t>
            </w:r>
          </w:p>
          <w:p w14:paraId="74ED443A" w14:textId="77777777" w:rsidR="00351BD8" w:rsidRPr="00B87556" w:rsidRDefault="00351BD8" w:rsidP="001B088F">
            <w:pPr>
              <w:rPr>
                <w:rFonts w:cs="Arial"/>
              </w:rPr>
            </w:pPr>
          </w:p>
        </w:tc>
        <w:tc>
          <w:tcPr>
            <w:tcW w:w="1381" w:type="dxa"/>
          </w:tcPr>
          <w:p w14:paraId="4D5F5337" w14:textId="77777777" w:rsidR="00351BD8" w:rsidRPr="00B87556" w:rsidRDefault="00351BD8" w:rsidP="001B088F">
            <w:pPr>
              <w:rPr>
                <w:rFonts w:cs="Arial"/>
              </w:rPr>
            </w:pPr>
          </w:p>
        </w:tc>
        <w:tc>
          <w:tcPr>
            <w:tcW w:w="1417" w:type="dxa"/>
          </w:tcPr>
          <w:p w14:paraId="5D083F6B" w14:textId="77777777" w:rsidR="00351BD8" w:rsidRPr="00B87556" w:rsidRDefault="00351BD8" w:rsidP="001B088F">
            <w:pPr>
              <w:rPr>
                <w:rFonts w:cs="Arial"/>
              </w:rPr>
            </w:pPr>
          </w:p>
        </w:tc>
        <w:tc>
          <w:tcPr>
            <w:tcW w:w="1985" w:type="dxa"/>
          </w:tcPr>
          <w:p w14:paraId="51E30753" w14:textId="77777777" w:rsidR="00351BD8" w:rsidRPr="00B87556" w:rsidRDefault="00351BD8" w:rsidP="001B088F">
            <w:pPr>
              <w:rPr>
                <w:rFonts w:cs="Arial"/>
              </w:rPr>
            </w:pPr>
          </w:p>
        </w:tc>
        <w:tc>
          <w:tcPr>
            <w:tcW w:w="2268" w:type="dxa"/>
          </w:tcPr>
          <w:p w14:paraId="0D9CD119" w14:textId="77777777" w:rsidR="00351BD8" w:rsidRPr="00B87556" w:rsidRDefault="00351BD8" w:rsidP="001B088F">
            <w:pPr>
              <w:rPr>
                <w:rFonts w:cs="Arial"/>
              </w:rPr>
            </w:pPr>
          </w:p>
        </w:tc>
      </w:tr>
      <w:tr w:rsidR="00351BD8" w:rsidRPr="00B87556" w14:paraId="54A437C8" w14:textId="77777777" w:rsidTr="001E6A9E">
        <w:tc>
          <w:tcPr>
            <w:tcW w:w="1733" w:type="dxa"/>
          </w:tcPr>
          <w:p w14:paraId="486BCBFD" w14:textId="77777777" w:rsidR="00351BD8" w:rsidRPr="00B87556" w:rsidRDefault="00351BD8" w:rsidP="001B088F">
            <w:pPr>
              <w:rPr>
                <w:rFonts w:cs="Arial"/>
              </w:rPr>
            </w:pPr>
          </w:p>
          <w:p w14:paraId="6A7D8A04" w14:textId="77777777" w:rsidR="00351BD8" w:rsidRPr="00B87556" w:rsidRDefault="00351BD8" w:rsidP="001B088F">
            <w:pPr>
              <w:rPr>
                <w:rFonts w:cs="Arial"/>
              </w:rPr>
            </w:pPr>
            <w:r w:rsidRPr="00B87556">
              <w:rPr>
                <w:rFonts w:cs="Arial"/>
              </w:rPr>
              <w:t>Licensing Arrangement (including identification of any volume-banded discounts)</w:t>
            </w:r>
          </w:p>
          <w:p w14:paraId="6D24A4E0" w14:textId="77777777" w:rsidR="00351BD8" w:rsidRPr="00B87556" w:rsidRDefault="00351BD8" w:rsidP="001B088F">
            <w:pPr>
              <w:rPr>
                <w:rFonts w:cs="Arial"/>
              </w:rPr>
            </w:pPr>
          </w:p>
        </w:tc>
        <w:tc>
          <w:tcPr>
            <w:tcW w:w="1381" w:type="dxa"/>
          </w:tcPr>
          <w:p w14:paraId="31D61505" w14:textId="77777777" w:rsidR="00351BD8" w:rsidRPr="00B87556" w:rsidRDefault="00351BD8" w:rsidP="001B088F">
            <w:pPr>
              <w:rPr>
                <w:rFonts w:cs="Arial"/>
              </w:rPr>
            </w:pPr>
          </w:p>
        </w:tc>
        <w:tc>
          <w:tcPr>
            <w:tcW w:w="1417" w:type="dxa"/>
          </w:tcPr>
          <w:p w14:paraId="7CF12D2A" w14:textId="77777777" w:rsidR="00351BD8" w:rsidRPr="00B87556" w:rsidRDefault="00351BD8" w:rsidP="001B088F">
            <w:pPr>
              <w:rPr>
                <w:rFonts w:cs="Arial"/>
              </w:rPr>
            </w:pPr>
          </w:p>
        </w:tc>
        <w:tc>
          <w:tcPr>
            <w:tcW w:w="1985" w:type="dxa"/>
          </w:tcPr>
          <w:p w14:paraId="238BFC20" w14:textId="77777777" w:rsidR="00351BD8" w:rsidRPr="00B87556" w:rsidRDefault="00351BD8" w:rsidP="001B088F">
            <w:pPr>
              <w:rPr>
                <w:rFonts w:cs="Arial"/>
              </w:rPr>
            </w:pPr>
          </w:p>
        </w:tc>
        <w:tc>
          <w:tcPr>
            <w:tcW w:w="2268" w:type="dxa"/>
          </w:tcPr>
          <w:p w14:paraId="4C542F37" w14:textId="77777777" w:rsidR="00351BD8" w:rsidRPr="00B87556" w:rsidRDefault="00351BD8" w:rsidP="001B088F">
            <w:pPr>
              <w:rPr>
                <w:rFonts w:cs="Arial"/>
              </w:rPr>
            </w:pPr>
          </w:p>
        </w:tc>
      </w:tr>
      <w:tr w:rsidR="00351BD8" w:rsidRPr="00B87556" w14:paraId="6DC31B75" w14:textId="77777777" w:rsidTr="001E6A9E">
        <w:tc>
          <w:tcPr>
            <w:tcW w:w="1733" w:type="dxa"/>
          </w:tcPr>
          <w:p w14:paraId="3AFCD597" w14:textId="77777777" w:rsidR="00351BD8" w:rsidRPr="00B87556" w:rsidRDefault="00351BD8" w:rsidP="001B088F">
            <w:pPr>
              <w:rPr>
                <w:rFonts w:cs="Arial"/>
                <w:b/>
              </w:rPr>
            </w:pPr>
            <w:r w:rsidRPr="00B87556">
              <w:rPr>
                <w:rFonts w:cs="Arial"/>
                <w:b/>
              </w:rPr>
              <w:t>TOTAL (ex VAT)</w:t>
            </w:r>
          </w:p>
          <w:p w14:paraId="109AC4D8" w14:textId="77777777" w:rsidR="00351BD8" w:rsidRPr="00B87556" w:rsidRDefault="00351BD8" w:rsidP="001B088F">
            <w:pPr>
              <w:rPr>
                <w:rFonts w:cs="Arial"/>
              </w:rPr>
            </w:pPr>
          </w:p>
        </w:tc>
        <w:tc>
          <w:tcPr>
            <w:tcW w:w="1381" w:type="dxa"/>
          </w:tcPr>
          <w:p w14:paraId="1C7E54C8" w14:textId="77777777" w:rsidR="00351BD8" w:rsidRPr="00B87556" w:rsidRDefault="00351BD8" w:rsidP="001B088F">
            <w:pPr>
              <w:rPr>
                <w:rFonts w:cs="Arial"/>
              </w:rPr>
            </w:pPr>
          </w:p>
        </w:tc>
        <w:tc>
          <w:tcPr>
            <w:tcW w:w="1417" w:type="dxa"/>
          </w:tcPr>
          <w:p w14:paraId="35874CFB" w14:textId="77777777" w:rsidR="00351BD8" w:rsidRPr="00B87556" w:rsidRDefault="00351BD8" w:rsidP="001B088F">
            <w:pPr>
              <w:rPr>
                <w:rFonts w:cs="Arial"/>
              </w:rPr>
            </w:pPr>
          </w:p>
        </w:tc>
        <w:tc>
          <w:tcPr>
            <w:tcW w:w="1985" w:type="dxa"/>
          </w:tcPr>
          <w:p w14:paraId="39365A54" w14:textId="77777777" w:rsidR="00351BD8" w:rsidRPr="00B87556" w:rsidRDefault="00351BD8" w:rsidP="001B088F">
            <w:pPr>
              <w:rPr>
                <w:rFonts w:cs="Arial"/>
              </w:rPr>
            </w:pPr>
          </w:p>
        </w:tc>
        <w:tc>
          <w:tcPr>
            <w:tcW w:w="2268" w:type="dxa"/>
          </w:tcPr>
          <w:p w14:paraId="75342D84" w14:textId="77777777" w:rsidR="00351BD8" w:rsidRPr="00B87556" w:rsidRDefault="00351BD8" w:rsidP="001B088F">
            <w:pPr>
              <w:rPr>
                <w:rFonts w:cs="Arial"/>
              </w:rPr>
            </w:pPr>
          </w:p>
        </w:tc>
      </w:tr>
    </w:tbl>
    <w:p w14:paraId="7101571B" w14:textId="77777777" w:rsidR="00FE4369" w:rsidRPr="00B87556" w:rsidRDefault="00FE4369" w:rsidP="00FE4369">
      <w:pPr>
        <w:rPr>
          <w:rFonts w:cs="Arial"/>
        </w:rPr>
      </w:pPr>
    </w:p>
    <w:p w14:paraId="5B778D89" w14:textId="77777777" w:rsidR="00FE4369" w:rsidRDefault="00FE4369" w:rsidP="00FE4369">
      <w:pPr>
        <w:rPr>
          <w:rFonts w:cs="Arial"/>
        </w:rPr>
      </w:pPr>
      <w:r w:rsidRPr="00B87556">
        <w:rPr>
          <w:rFonts w:cs="Arial"/>
        </w:rPr>
        <w:t>Within your response to the above table please also:</w:t>
      </w:r>
    </w:p>
    <w:p w14:paraId="147D9BCF" w14:textId="77777777" w:rsidR="00FE4369" w:rsidRPr="00B87556" w:rsidRDefault="00FE4369" w:rsidP="00FE4369">
      <w:pPr>
        <w:rPr>
          <w:rFonts w:cs="Arial"/>
        </w:rPr>
      </w:pPr>
    </w:p>
    <w:p w14:paraId="31CF2247" w14:textId="77777777" w:rsidR="00FE4369" w:rsidRPr="00216C6D" w:rsidRDefault="00FE4369" w:rsidP="00FE4369">
      <w:pPr>
        <w:pStyle w:val="ListParagraph"/>
        <w:numPr>
          <w:ilvl w:val="0"/>
          <w:numId w:val="22"/>
        </w:numPr>
        <w:rPr>
          <w:rFonts w:cs="Arial"/>
        </w:rPr>
      </w:pPr>
      <w:r w:rsidRPr="00216C6D">
        <w:rPr>
          <w:rFonts w:cs="Arial"/>
        </w:rPr>
        <w:t>Note that payment will be made in instalments upon satisfactory completion of specific stages of contract delivery. Please allocate a cost to each phase of delivery of the solution and target completion date based on the requirements outlined within Schedule 2</w:t>
      </w:r>
    </w:p>
    <w:p w14:paraId="7262BB9B" w14:textId="77777777" w:rsidR="00FE4369" w:rsidRPr="00216C6D" w:rsidRDefault="00FE4369" w:rsidP="00FE4369">
      <w:pPr>
        <w:pStyle w:val="ListParagraph"/>
        <w:numPr>
          <w:ilvl w:val="0"/>
          <w:numId w:val="22"/>
        </w:numPr>
        <w:rPr>
          <w:rFonts w:cs="Arial"/>
        </w:rPr>
      </w:pPr>
      <w:r w:rsidRPr="00216C6D">
        <w:rPr>
          <w:rFonts w:cs="Arial"/>
        </w:rPr>
        <w:t>Outline any assumptions you have made when providing the above costs</w:t>
      </w:r>
    </w:p>
    <w:p w14:paraId="3DB78BA0" w14:textId="77777777" w:rsidR="001909C8" w:rsidRDefault="00FE4369" w:rsidP="001909C8">
      <w:pPr>
        <w:pStyle w:val="ListParagraph"/>
        <w:numPr>
          <w:ilvl w:val="0"/>
          <w:numId w:val="22"/>
        </w:numPr>
        <w:rPr>
          <w:rFonts w:cs="Arial"/>
        </w:rPr>
      </w:pPr>
      <w:r w:rsidRPr="00216C6D">
        <w:rPr>
          <w:rFonts w:cs="Arial"/>
        </w:rPr>
        <w:t xml:space="preserve">Confirm the rate card on </w:t>
      </w:r>
      <w:r w:rsidR="001909C8" w:rsidRPr="001909C8">
        <w:rPr>
          <w:rFonts w:cs="Arial"/>
        </w:rPr>
        <w:t xml:space="preserve">latest </w:t>
      </w:r>
      <w:r w:rsidRPr="001909C8">
        <w:rPr>
          <w:rFonts w:cs="Arial"/>
        </w:rPr>
        <w:t>G-CLOUD</w:t>
      </w:r>
    </w:p>
    <w:p w14:paraId="50C423E4" w14:textId="20FA4F0E" w:rsidR="00FE4369" w:rsidRPr="001909C8" w:rsidRDefault="00FE4369" w:rsidP="001909C8">
      <w:pPr>
        <w:pStyle w:val="ListParagraph"/>
        <w:numPr>
          <w:ilvl w:val="0"/>
          <w:numId w:val="22"/>
        </w:numPr>
        <w:rPr>
          <w:rFonts w:cs="Arial"/>
        </w:rPr>
      </w:pPr>
      <w:r w:rsidRPr="001909C8">
        <w:rPr>
          <w:rFonts w:cs="Arial"/>
        </w:rPr>
        <w:t xml:space="preserve"> is still accurate</w:t>
      </w:r>
    </w:p>
    <w:p w14:paraId="0FA1C1F7" w14:textId="77777777" w:rsidR="00FE4369" w:rsidRPr="00216C6D" w:rsidRDefault="00FE4369" w:rsidP="00FE4369">
      <w:pPr>
        <w:pStyle w:val="ListParagraph"/>
        <w:numPr>
          <w:ilvl w:val="0"/>
          <w:numId w:val="22"/>
        </w:numPr>
        <w:rPr>
          <w:rFonts w:cs="Arial"/>
        </w:rPr>
      </w:pPr>
      <w:r w:rsidRPr="00216C6D">
        <w:rPr>
          <w:rFonts w:cs="Arial"/>
        </w:rPr>
        <w:t>Confirm any additional features or development work which will be charged using the rate card if not captured above</w:t>
      </w:r>
    </w:p>
    <w:p w14:paraId="4B9AD5EE" w14:textId="77777777" w:rsidR="00FE4369" w:rsidRPr="00216C6D" w:rsidRDefault="00FE4369" w:rsidP="00FE4369">
      <w:pPr>
        <w:pStyle w:val="ListParagraph"/>
        <w:numPr>
          <w:ilvl w:val="0"/>
          <w:numId w:val="22"/>
        </w:numPr>
        <w:rPr>
          <w:rFonts w:cs="Arial"/>
        </w:rPr>
      </w:pPr>
      <w:r w:rsidRPr="00216C6D">
        <w:rPr>
          <w:rFonts w:cs="Arial"/>
        </w:rPr>
        <w:t>Provide a break-down of any individual rates comprised within the total cost and the associated individual roles as applicable for the Fund’s understanding</w:t>
      </w:r>
    </w:p>
    <w:p w14:paraId="0E0DE3F4" w14:textId="77777777" w:rsidR="00FE4369" w:rsidRPr="00B87556" w:rsidRDefault="00FE4369" w:rsidP="00FE4369">
      <w:pPr>
        <w:ind w:left="720"/>
        <w:rPr>
          <w:rFonts w:cs="Arial"/>
        </w:rPr>
      </w:pPr>
    </w:p>
    <w:p w14:paraId="45EECEF9" w14:textId="77777777" w:rsidR="00FE4369" w:rsidRDefault="00FE4369" w:rsidP="00FE4369">
      <w:pPr>
        <w:rPr>
          <w:rFonts w:cs="Arial"/>
        </w:rPr>
      </w:pPr>
      <w:r w:rsidRPr="00B87556">
        <w:rPr>
          <w:rFonts w:cs="Arial"/>
        </w:rPr>
        <w:t>Prices submitted should be fully inclusive (excluding VAT &amp; in GBP), fixed, current and not subject to variation. Price is defined as the total contract value, which includes the cost of the services over the term of the contract.</w:t>
      </w:r>
    </w:p>
    <w:p w14:paraId="7586FD4C" w14:textId="77777777" w:rsidR="00FE4369" w:rsidRPr="00B87556" w:rsidRDefault="00FE4369" w:rsidP="00FE4369">
      <w:pPr>
        <w:rPr>
          <w:rFonts w:cs="Arial"/>
        </w:rPr>
      </w:pPr>
    </w:p>
    <w:p w14:paraId="56B03A74" w14:textId="77777777" w:rsidR="00FE4369" w:rsidRDefault="00FE4369" w:rsidP="00FE4369">
      <w:pPr>
        <w:rPr>
          <w:rFonts w:cs="Arial"/>
        </w:rPr>
      </w:pPr>
      <w:r w:rsidRPr="00B87556">
        <w:rPr>
          <w:rFonts w:cs="Arial"/>
        </w:rPr>
        <w:t>Arithmetic will be checked and if any errors are found, the supplier will be notified and requested to confirm or amend the submission accordingly.</w:t>
      </w:r>
    </w:p>
    <w:p w14:paraId="41BF5912" w14:textId="77777777" w:rsidR="00FE4369" w:rsidRPr="00B87556" w:rsidRDefault="00FE4369" w:rsidP="00FE4369">
      <w:pPr>
        <w:rPr>
          <w:rFonts w:cs="Arial"/>
        </w:rPr>
      </w:pPr>
    </w:p>
    <w:p w14:paraId="64C8D4B7" w14:textId="77777777" w:rsidR="00FE4369" w:rsidRDefault="00FE4369" w:rsidP="00FE4369">
      <w:pPr>
        <w:rPr>
          <w:rFonts w:cs="Arial"/>
        </w:rPr>
      </w:pPr>
      <w:r w:rsidRPr="00B87556">
        <w:rPr>
          <w:rFonts w:cs="Arial"/>
        </w:rPr>
        <w:t xml:space="preserve">Price elements of responses will be evaluated against the lowest Service Cost. </w:t>
      </w:r>
      <w:r>
        <w:rPr>
          <w:rFonts w:cs="Arial"/>
        </w:rPr>
        <w:t xml:space="preserve"> </w:t>
      </w:r>
      <w:r w:rsidRPr="00B87556">
        <w:rPr>
          <w:rFonts w:cs="Arial"/>
        </w:rPr>
        <w:t>The service offering which relates to the best (lowest) Service Cost will be awarded the maximum score available.</w:t>
      </w:r>
      <w:r>
        <w:rPr>
          <w:rFonts w:cs="Arial"/>
        </w:rPr>
        <w:t xml:space="preserve"> </w:t>
      </w:r>
      <w:r w:rsidRPr="00B87556">
        <w:rPr>
          <w:rFonts w:cs="Arial"/>
        </w:rPr>
        <w:t xml:space="preserve"> All remaining submissions will be scored relative to the lowest Service Cost using the following series of calculations and formulas.</w:t>
      </w:r>
    </w:p>
    <w:p w14:paraId="07954DC5" w14:textId="77777777" w:rsidR="00FE4369" w:rsidRPr="00B87556" w:rsidRDefault="00FE4369" w:rsidP="00FE4369">
      <w:pPr>
        <w:rPr>
          <w:rFonts w:cs="Arial"/>
        </w:rPr>
      </w:pPr>
    </w:p>
    <w:p w14:paraId="05D53784" w14:textId="698D855D" w:rsidR="00FE4369" w:rsidRDefault="00FE4369" w:rsidP="00FE4369">
      <w:pPr>
        <w:rPr>
          <w:rFonts w:cs="Arial"/>
        </w:rPr>
      </w:pPr>
      <w:r w:rsidRPr="00B87556">
        <w:rPr>
          <w:rFonts w:cs="Arial"/>
        </w:rPr>
        <w:t>Please attach your response via the Fund</w:t>
      </w:r>
      <w:r>
        <w:rPr>
          <w:rFonts w:cs="Arial"/>
        </w:rPr>
        <w:t xml:space="preserve"> e</w:t>
      </w:r>
      <w:r w:rsidRPr="00B87556">
        <w:rPr>
          <w:rFonts w:cs="Arial"/>
        </w:rPr>
        <w:t xml:space="preserve">Sourcing Platform within the Commercial Section. </w:t>
      </w:r>
      <w:r>
        <w:rPr>
          <w:rFonts w:cs="Arial"/>
        </w:rPr>
        <w:t xml:space="preserve"> </w:t>
      </w:r>
      <w:r w:rsidRPr="00B87556">
        <w:rPr>
          <w:rFonts w:cs="Arial"/>
        </w:rPr>
        <w:t xml:space="preserve">The pricing element will account for </w:t>
      </w:r>
      <w:r w:rsidR="007938D6">
        <w:rPr>
          <w:rFonts w:cs="Arial"/>
        </w:rPr>
        <w:t>30</w:t>
      </w:r>
      <w:r w:rsidRPr="00B87556">
        <w:rPr>
          <w:rFonts w:cs="Arial"/>
        </w:rPr>
        <w:t xml:space="preserve">% of the evaluations. </w:t>
      </w:r>
    </w:p>
    <w:p w14:paraId="18035D58" w14:textId="77777777" w:rsidR="00FE4369" w:rsidRDefault="00FE4369" w:rsidP="00FE4369">
      <w:pPr>
        <w:rPr>
          <w:rFonts w:cs="Arial"/>
        </w:rPr>
      </w:pPr>
    </w:p>
    <w:p w14:paraId="3993A13C" w14:textId="4DA84855" w:rsidR="00FE4369" w:rsidRPr="00162326" w:rsidRDefault="00FE4369" w:rsidP="00FE4369">
      <w:pPr>
        <w:pStyle w:val="Heading2"/>
        <w:rPr>
          <w:bCs w:val="0"/>
        </w:rPr>
      </w:pPr>
      <w:r w:rsidRPr="00162326">
        <w:rPr>
          <w:bCs w:val="0"/>
        </w:rPr>
        <w:t xml:space="preserve">Table </w:t>
      </w:r>
      <w:r w:rsidR="00162326" w:rsidRPr="00162326">
        <w:rPr>
          <w:bCs w:val="0"/>
        </w:rPr>
        <w:t>B</w:t>
      </w:r>
      <w:r w:rsidRPr="00162326">
        <w:rPr>
          <w:bCs w:val="0"/>
        </w:rPr>
        <w:t xml:space="preserve"> - Technical criteria and their associated weightings</w:t>
      </w:r>
      <w:bookmarkEnd w:id="0"/>
      <w:r w:rsidRPr="00162326">
        <w:rPr>
          <w:bCs w:val="0"/>
        </w:rPr>
        <w:t xml:space="preserve"> </w:t>
      </w:r>
    </w:p>
    <w:tbl>
      <w:tblPr>
        <w:tblStyle w:val="TableGrid"/>
        <w:tblW w:w="8784" w:type="dxa"/>
        <w:tblLayout w:type="fixed"/>
        <w:tblLook w:val="04A0" w:firstRow="1" w:lastRow="0" w:firstColumn="1" w:lastColumn="0" w:noHBand="0" w:noVBand="1"/>
      </w:tblPr>
      <w:tblGrid>
        <w:gridCol w:w="7366"/>
        <w:gridCol w:w="1418"/>
      </w:tblGrid>
      <w:tr w:rsidR="00FE4369" w:rsidRPr="00B87556" w14:paraId="313DAA84" w14:textId="77777777" w:rsidTr="001B088F">
        <w:trPr>
          <w:trHeight w:val="454"/>
        </w:trPr>
        <w:tc>
          <w:tcPr>
            <w:tcW w:w="7366" w:type="dxa"/>
            <w:shd w:val="clear" w:color="auto" w:fill="D9D9D9" w:themeFill="background1" w:themeFillShade="D9"/>
            <w:vAlign w:val="bottom"/>
          </w:tcPr>
          <w:p w14:paraId="6F9D5F33" w14:textId="77777777" w:rsidR="00FE4369" w:rsidRPr="00B87556" w:rsidRDefault="00FE4369" w:rsidP="001B088F">
            <w:pPr>
              <w:rPr>
                <w:rFonts w:cs="Arial"/>
                <w:b/>
              </w:rPr>
            </w:pPr>
            <w:r w:rsidRPr="00B87556">
              <w:rPr>
                <w:rFonts w:cs="Arial"/>
                <w:b/>
              </w:rPr>
              <w:t>Technical Scoring Criteria for Selecti</w:t>
            </w:r>
            <w:r>
              <w:rPr>
                <w:rFonts w:cs="Arial"/>
                <w:b/>
              </w:rPr>
              <w:t>on of Provider Scored Criterion</w:t>
            </w:r>
          </w:p>
        </w:tc>
        <w:tc>
          <w:tcPr>
            <w:tcW w:w="1418" w:type="dxa"/>
            <w:shd w:val="clear" w:color="auto" w:fill="D9D9D9" w:themeFill="background1" w:themeFillShade="D9"/>
            <w:vAlign w:val="bottom"/>
          </w:tcPr>
          <w:p w14:paraId="035A10A8" w14:textId="77777777" w:rsidR="00FE4369" w:rsidRPr="006E0FED" w:rsidRDefault="00FE4369" w:rsidP="001B088F">
            <w:pPr>
              <w:rPr>
                <w:rFonts w:cs="Arial"/>
                <w:b/>
              </w:rPr>
            </w:pPr>
            <w:r w:rsidRPr="006E0FED">
              <w:rPr>
                <w:rFonts w:cs="Arial"/>
                <w:b/>
              </w:rPr>
              <w:t>Weighting</w:t>
            </w:r>
          </w:p>
        </w:tc>
      </w:tr>
      <w:tr w:rsidR="00FE4369" w:rsidRPr="00B87556" w14:paraId="09942DEC" w14:textId="77777777" w:rsidTr="001B088F">
        <w:trPr>
          <w:trHeight w:val="397"/>
        </w:trPr>
        <w:tc>
          <w:tcPr>
            <w:tcW w:w="7366" w:type="dxa"/>
            <w:vAlign w:val="bottom"/>
          </w:tcPr>
          <w:p w14:paraId="25C3473F" w14:textId="124D4566" w:rsidR="00FE4369" w:rsidRPr="00072242" w:rsidRDefault="00FE4369" w:rsidP="001B088F">
            <w:pPr>
              <w:rPr>
                <w:rFonts w:cs="Arial"/>
              </w:rPr>
            </w:pPr>
            <w:r w:rsidRPr="00B13374">
              <w:rPr>
                <w:rFonts w:cs="Arial"/>
              </w:rPr>
              <w:lastRenderedPageBreak/>
              <w:t>Maintenance and Support availability</w:t>
            </w:r>
            <w:r w:rsidR="001909C8">
              <w:rPr>
                <w:rFonts w:cs="Arial"/>
              </w:rPr>
              <w:t xml:space="preserve"> Yes is a PASS No is a FAIL</w:t>
            </w:r>
          </w:p>
        </w:tc>
        <w:tc>
          <w:tcPr>
            <w:tcW w:w="1418" w:type="dxa"/>
            <w:vAlign w:val="bottom"/>
          </w:tcPr>
          <w:p w14:paraId="4F9105B1" w14:textId="77777777" w:rsidR="00FE4369" w:rsidRPr="00B87556" w:rsidRDefault="00FE4369" w:rsidP="001B088F">
            <w:pPr>
              <w:rPr>
                <w:rFonts w:cs="Arial"/>
              </w:rPr>
            </w:pPr>
            <w:r w:rsidRPr="00B87556">
              <w:rPr>
                <w:rFonts w:cs="Arial"/>
              </w:rPr>
              <w:t>Pass/Fail</w:t>
            </w:r>
          </w:p>
        </w:tc>
      </w:tr>
      <w:tr w:rsidR="00FE4369" w:rsidRPr="00B87556" w14:paraId="0E70CE1F" w14:textId="77777777" w:rsidTr="001B088F">
        <w:trPr>
          <w:trHeight w:val="397"/>
        </w:trPr>
        <w:tc>
          <w:tcPr>
            <w:tcW w:w="7366" w:type="dxa"/>
            <w:vAlign w:val="bottom"/>
          </w:tcPr>
          <w:p w14:paraId="0B91BC3A" w14:textId="77777777" w:rsidR="00FE4369" w:rsidRPr="00072242" w:rsidRDefault="00FE4369" w:rsidP="001B088F">
            <w:pPr>
              <w:rPr>
                <w:rFonts w:cs="Arial"/>
              </w:rPr>
            </w:pPr>
            <w:r w:rsidRPr="00072242">
              <w:rPr>
                <w:rFonts w:cs="Arial"/>
              </w:rPr>
              <w:t>System Functionality</w:t>
            </w:r>
          </w:p>
        </w:tc>
        <w:tc>
          <w:tcPr>
            <w:tcW w:w="1418" w:type="dxa"/>
            <w:vAlign w:val="bottom"/>
          </w:tcPr>
          <w:p w14:paraId="70EEA65A" w14:textId="51736649" w:rsidR="00FE4369" w:rsidRPr="00B87556" w:rsidRDefault="00351BD8" w:rsidP="001B088F">
            <w:pPr>
              <w:rPr>
                <w:rFonts w:cs="Arial"/>
              </w:rPr>
            </w:pPr>
            <w:r>
              <w:rPr>
                <w:rFonts w:cs="Arial"/>
              </w:rPr>
              <w:t>75</w:t>
            </w:r>
            <w:r w:rsidR="00FE4369">
              <w:rPr>
                <w:rFonts w:cs="Arial"/>
              </w:rPr>
              <w:t>%</w:t>
            </w:r>
          </w:p>
        </w:tc>
      </w:tr>
      <w:tr w:rsidR="00FE4369" w:rsidRPr="00B87556" w14:paraId="2AD52E98" w14:textId="77777777" w:rsidTr="001B088F">
        <w:trPr>
          <w:trHeight w:val="397"/>
        </w:trPr>
        <w:tc>
          <w:tcPr>
            <w:tcW w:w="7366" w:type="dxa"/>
            <w:vAlign w:val="bottom"/>
          </w:tcPr>
          <w:p w14:paraId="18A045D1" w14:textId="77777777" w:rsidR="00FE4369" w:rsidRPr="00072242" w:rsidRDefault="00FE4369" w:rsidP="001B088F">
            <w:pPr>
              <w:rPr>
                <w:rFonts w:cs="Arial"/>
              </w:rPr>
            </w:pPr>
            <w:r w:rsidRPr="00072242">
              <w:rPr>
                <w:rFonts w:cs="Arial"/>
              </w:rPr>
              <w:t>Implementation</w:t>
            </w:r>
          </w:p>
        </w:tc>
        <w:tc>
          <w:tcPr>
            <w:tcW w:w="1418" w:type="dxa"/>
            <w:vAlign w:val="bottom"/>
          </w:tcPr>
          <w:p w14:paraId="57A33280" w14:textId="39B29DF5" w:rsidR="00FE4369" w:rsidRPr="00B87556" w:rsidRDefault="00FE4369" w:rsidP="001B088F">
            <w:pPr>
              <w:rPr>
                <w:rFonts w:cs="Arial"/>
              </w:rPr>
            </w:pPr>
            <w:r>
              <w:rPr>
                <w:rFonts w:cs="Arial"/>
              </w:rPr>
              <w:t>1</w:t>
            </w:r>
            <w:r w:rsidR="00351BD8">
              <w:rPr>
                <w:rFonts w:cs="Arial"/>
              </w:rPr>
              <w:t>5</w:t>
            </w:r>
            <w:r>
              <w:rPr>
                <w:rFonts w:cs="Arial"/>
              </w:rPr>
              <w:t>%</w:t>
            </w:r>
          </w:p>
        </w:tc>
      </w:tr>
      <w:tr w:rsidR="00FE4369" w:rsidRPr="00B87556" w14:paraId="772AA162" w14:textId="77777777" w:rsidTr="001B088F">
        <w:trPr>
          <w:trHeight w:val="397"/>
        </w:trPr>
        <w:tc>
          <w:tcPr>
            <w:tcW w:w="7366" w:type="dxa"/>
            <w:vAlign w:val="bottom"/>
          </w:tcPr>
          <w:p w14:paraId="19666164" w14:textId="77777777" w:rsidR="00FE4369" w:rsidRPr="00072242" w:rsidRDefault="00FE4369" w:rsidP="001B088F">
            <w:pPr>
              <w:rPr>
                <w:rFonts w:cs="Arial"/>
              </w:rPr>
            </w:pPr>
            <w:r w:rsidRPr="00072242">
              <w:rPr>
                <w:rFonts w:cs="Arial"/>
              </w:rPr>
              <w:t>Product Roadmap and Future Developments</w:t>
            </w:r>
          </w:p>
        </w:tc>
        <w:tc>
          <w:tcPr>
            <w:tcW w:w="1418" w:type="dxa"/>
            <w:vAlign w:val="bottom"/>
          </w:tcPr>
          <w:p w14:paraId="07B2F340" w14:textId="46101BB5" w:rsidR="00FE4369" w:rsidRPr="00B87556" w:rsidRDefault="00FE4369" w:rsidP="001B088F">
            <w:pPr>
              <w:rPr>
                <w:rFonts w:cs="Arial"/>
              </w:rPr>
            </w:pPr>
            <w:r>
              <w:rPr>
                <w:rFonts w:cs="Arial"/>
              </w:rPr>
              <w:t>10</w:t>
            </w:r>
            <w:r w:rsidRPr="00B87556">
              <w:rPr>
                <w:rFonts w:cs="Arial"/>
              </w:rPr>
              <w:t>%</w:t>
            </w:r>
          </w:p>
        </w:tc>
      </w:tr>
    </w:tbl>
    <w:p w14:paraId="397E2337" w14:textId="77777777" w:rsidR="00FE4369" w:rsidRDefault="00FE4369" w:rsidP="00FE4369"/>
    <w:p w14:paraId="25673670" w14:textId="77777777" w:rsidR="00FE4369" w:rsidRDefault="00FE4369" w:rsidP="00FE4369">
      <w:pPr>
        <w:rPr>
          <w:rFonts w:cs="Arial"/>
        </w:rPr>
      </w:pPr>
    </w:p>
    <w:p w14:paraId="10F67BFA"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8B189F">
        <w:rPr>
          <w:rFonts w:cs="Arial"/>
          <w:b/>
          <w:bCs/>
          <w:iCs/>
        </w:rPr>
        <w:t>NHMF</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8B189F">
        <w:rPr>
          <w:rFonts w:cs="Arial"/>
          <w:b/>
          <w:bCs/>
          <w:iCs/>
        </w:rPr>
        <w:t>NHMF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5AFEE309"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7F58B977" w14:textId="77777777" w:rsidR="00CF253B" w:rsidRPr="00CF253B" w:rsidRDefault="00CF253B" w:rsidP="00C43DE6">
      <w:pPr>
        <w:pStyle w:val="Heading1"/>
        <w:numPr>
          <w:ilvl w:val="0"/>
          <w:numId w:val="2"/>
        </w:numPr>
      </w:pPr>
      <w:r w:rsidRPr="0034414E">
        <w:t>Procurement Process</w:t>
      </w:r>
    </w:p>
    <w:p w14:paraId="09D00B56" w14:textId="77777777" w:rsidR="00E4627B" w:rsidRDefault="008B189F" w:rsidP="00C43DE6">
      <w:pPr>
        <w:numPr>
          <w:ilvl w:val="1"/>
          <w:numId w:val="2"/>
        </w:numPr>
        <w:spacing w:after="240" w:line="276" w:lineRule="auto"/>
        <w:rPr>
          <w:rFonts w:cs="Arial"/>
          <w:szCs w:val="22"/>
        </w:rPr>
      </w:pPr>
      <w:r>
        <w:rPr>
          <w:rFonts w:cs="Arial"/>
          <w:szCs w:val="22"/>
        </w:rPr>
        <w:t>NHMF</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NHMF</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0D4F9486" w14:textId="77777777" w:rsidR="00E4627B" w:rsidRPr="00E4627B" w:rsidRDefault="00E4627B" w:rsidP="00C43DE6">
      <w:pPr>
        <w:numPr>
          <w:ilvl w:val="1"/>
          <w:numId w:val="2"/>
        </w:numPr>
        <w:spacing w:after="240" w:line="276" w:lineRule="auto"/>
        <w:rPr>
          <w:rFonts w:cs="Arial"/>
          <w:szCs w:val="22"/>
        </w:rPr>
      </w:pPr>
      <w:r w:rsidRPr="00E4627B">
        <w:t>The procurement timetable will be:</w:t>
      </w:r>
    </w:p>
    <w:p w14:paraId="41018796" w14:textId="77777777" w:rsidR="002B0FB5" w:rsidRPr="002B0FB5" w:rsidRDefault="002B0FB5" w:rsidP="002B0FB5">
      <w:pPr>
        <w:spacing w:after="240" w:line="276" w:lineRule="auto"/>
        <w:rPr>
          <w:rFonts w:eastAsia="Arial" w:cs="Arial"/>
        </w:rPr>
      </w:pPr>
      <w:r w:rsidRPr="002B0FB5">
        <w:rPr>
          <w:rFonts w:eastAsia="Arial" w:cs="Arial"/>
        </w:rPr>
        <w:t>The procurement timetable will be:</w:t>
      </w:r>
    </w:p>
    <w:p w14:paraId="72BB5417" w14:textId="5BADB4F9" w:rsidR="002B0FB5" w:rsidRPr="001909C8" w:rsidRDefault="002B0FB5" w:rsidP="00C43DE6">
      <w:pPr>
        <w:pStyle w:val="ListParagraph"/>
        <w:numPr>
          <w:ilvl w:val="0"/>
          <w:numId w:val="15"/>
        </w:numPr>
        <w:spacing w:line="276" w:lineRule="auto"/>
      </w:pPr>
      <w:r w:rsidRPr="001909C8">
        <w:rPr>
          <w:rFonts w:eastAsia="Arial" w:cs="Arial"/>
        </w:rPr>
        <w:t xml:space="preserve">Deadline for clarification questions: </w:t>
      </w:r>
      <w:r w:rsidR="001909C8" w:rsidRPr="001909C8">
        <w:rPr>
          <w:rFonts w:eastAsia="Arial" w:cs="Arial"/>
        </w:rPr>
        <w:t>7</w:t>
      </w:r>
      <w:r w:rsidR="001909C8" w:rsidRPr="001909C8">
        <w:rPr>
          <w:rFonts w:eastAsia="Arial" w:cs="Arial"/>
          <w:vertAlign w:val="superscript"/>
        </w:rPr>
        <w:t>th</w:t>
      </w:r>
      <w:r w:rsidR="001909C8" w:rsidRPr="001909C8">
        <w:rPr>
          <w:rFonts w:eastAsia="Arial" w:cs="Arial"/>
        </w:rPr>
        <w:t xml:space="preserve"> October 2021</w:t>
      </w:r>
    </w:p>
    <w:p w14:paraId="1795E4F4" w14:textId="5631D0C3" w:rsidR="002B0FB5" w:rsidRPr="001909C8" w:rsidRDefault="002B0FB5" w:rsidP="00C43DE6">
      <w:pPr>
        <w:pStyle w:val="ListParagraph"/>
        <w:numPr>
          <w:ilvl w:val="0"/>
          <w:numId w:val="15"/>
        </w:numPr>
        <w:spacing w:line="276" w:lineRule="auto"/>
        <w:rPr>
          <w:rFonts w:asciiTheme="minorHAnsi" w:eastAsiaTheme="minorEastAsia" w:hAnsiTheme="minorHAnsi" w:cstheme="minorBidi"/>
        </w:rPr>
      </w:pPr>
      <w:r w:rsidRPr="001909C8">
        <w:rPr>
          <w:rFonts w:eastAsia="Arial" w:cs="Arial"/>
        </w:rPr>
        <w:t xml:space="preserve">Tender return deadline: </w:t>
      </w:r>
      <w:r w:rsidR="001909C8" w:rsidRPr="001909C8">
        <w:rPr>
          <w:rFonts w:eastAsia="Arial" w:cs="Arial"/>
        </w:rPr>
        <w:t>NOON 1</w:t>
      </w:r>
      <w:r w:rsidR="001909C8" w:rsidRPr="001909C8">
        <w:rPr>
          <w:rFonts w:eastAsia="Arial" w:cs="Arial"/>
          <w:vertAlign w:val="superscript"/>
        </w:rPr>
        <w:t>st</w:t>
      </w:r>
      <w:r w:rsidR="001909C8" w:rsidRPr="001909C8">
        <w:rPr>
          <w:rFonts w:eastAsia="Arial" w:cs="Arial"/>
        </w:rPr>
        <w:t xml:space="preserve"> November 2021</w:t>
      </w:r>
    </w:p>
    <w:p w14:paraId="16A881D9" w14:textId="1B7F000D" w:rsidR="002B0FB5" w:rsidRPr="001909C8" w:rsidRDefault="002B0FB5" w:rsidP="00C43DE6">
      <w:pPr>
        <w:pStyle w:val="ListParagraph"/>
        <w:numPr>
          <w:ilvl w:val="0"/>
          <w:numId w:val="15"/>
        </w:numPr>
        <w:spacing w:line="276" w:lineRule="auto"/>
        <w:rPr>
          <w:b/>
          <w:bCs/>
        </w:rPr>
      </w:pPr>
      <w:r w:rsidRPr="001909C8">
        <w:rPr>
          <w:rFonts w:eastAsia="Arial" w:cs="Arial"/>
        </w:rPr>
        <w:t xml:space="preserve">THE FUND will notify bidders of our procurement decision </w:t>
      </w:r>
      <w:r w:rsidRPr="001909C8">
        <w:rPr>
          <w:rFonts w:eastAsia="Arial" w:cs="Arial"/>
          <w:b/>
          <w:bCs/>
        </w:rPr>
        <w:t xml:space="preserve">by </w:t>
      </w:r>
      <w:r w:rsidR="001909C8" w:rsidRPr="001909C8">
        <w:rPr>
          <w:rFonts w:eastAsia="Arial" w:cs="Arial"/>
          <w:b/>
          <w:bCs/>
        </w:rPr>
        <w:t>5</w:t>
      </w:r>
      <w:r w:rsidR="001909C8" w:rsidRPr="001909C8">
        <w:rPr>
          <w:rFonts w:eastAsia="Arial" w:cs="Arial"/>
          <w:b/>
          <w:bCs/>
          <w:vertAlign w:val="superscript"/>
        </w:rPr>
        <w:t>th</w:t>
      </w:r>
      <w:r w:rsidR="001909C8" w:rsidRPr="001909C8">
        <w:rPr>
          <w:rFonts w:eastAsia="Arial" w:cs="Arial"/>
          <w:b/>
          <w:bCs/>
        </w:rPr>
        <w:t xml:space="preserve"> November 2021</w:t>
      </w:r>
    </w:p>
    <w:p w14:paraId="598A24E4" w14:textId="77777777" w:rsidR="002B0FB5" w:rsidRPr="004A093C" w:rsidRDefault="002B0FB5" w:rsidP="002B0FB5">
      <w:pPr>
        <w:spacing w:line="276" w:lineRule="auto"/>
        <w:ind w:left="360"/>
        <w:rPr>
          <w:rFonts w:eastAsia="Arial" w:cs="Arial"/>
          <w:b/>
          <w:bCs/>
        </w:rPr>
      </w:pPr>
    </w:p>
    <w:p w14:paraId="23B62E79" w14:textId="77777777" w:rsidR="002B0FB5" w:rsidRPr="00991E64" w:rsidRDefault="002B0FB5" w:rsidP="00C43DE6">
      <w:pPr>
        <w:pStyle w:val="ListParagraph"/>
        <w:numPr>
          <w:ilvl w:val="0"/>
          <w:numId w:val="15"/>
        </w:numPr>
        <w:spacing w:line="276" w:lineRule="auto"/>
      </w:pPr>
      <w:r w:rsidRPr="3FB33893">
        <w:rPr>
          <w:rFonts w:eastAsia="Arial" w:cs="Arial"/>
        </w:rPr>
        <w:t>*THE FUND will respond to clarification questions and send the answers to the organisations that have been sent the tender. Please note that we will make the questions anonymised</w:t>
      </w:r>
      <w:r>
        <w:rPr>
          <w:rFonts w:eastAsia="Arial" w:cs="Arial"/>
        </w:rPr>
        <w:t xml:space="preserve"> and our response to them will be available to everyone on our website. </w:t>
      </w:r>
    </w:p>
    <w:p w14:paraId="1F21A429" w14:textId="77777777" w:rsidR="002B0FB5" w:rsidRPr="006E0CDC" w:rsidRDefault="002B0FB5" w:rsidP="002B0FB5">
      <w:pPr>
        <w:spacing w:line="276" w:lineRule="auto"/>
        <w:rPr>
          <w:rFonts w:eastAsia="Arial" w:cs="Arial"/>
          <w:color w:val="FF0000"/>
        </w:rPr>
      </w:pPr>
    </w:p>
    <w:p w14:paraId="68A38851" w14:textId="77777777" w:rsidR="002B0FB5" w:rsidRPr="00223F05" w:rsidRDefault="002B0FB5" w:rsidP="00C43DE6">
      <w:pPr>
        <w:pStyle w:val="ListParagraph"/>
        <w:numPr>
          <w:ilvl w:val="0"/>
          <w:numId w:val="15"/>
        </w:numPr>
        <w:spacing w:line="276" w:lineRule="auto"/>
        <w:rPr>
          <w:color w:val="000000" w:themeColor="text1"/>
        </w:rPr>
      </w:pPr>
      <w:r w:rsidRPr="3FB33893">
        <w:rPr>
          <w:rFonts w:eastAsia="Arial" w:cs="Arial"/>
          <w:color w:val="000000" w:themeColor="text1"/>
        </w:rPr>
        <w:t xml:space="preserve">**We reserve the right to carry out clarifications if necessary; these may be carried out via email or by inviting bidders to attend a clarification meeting.  </w:t>
      </w:r>
    </w:p>
    <w:p w14:paraId="64B179F1" w14:textId="77777777" w:rsidR="002B0FB5" w:rsidRPr="00E4627B" w:rsidRDefault="002B0FB5" w:rsidP="002B0FB5">
      <w:pPr>
        <w:spacing w:after="240" w:line="276" w:lineRule="auto"/>
        <w:ind w:left="720"/>
        <w:rPr>
          <w:rFonts w:eastAsia="Arial" w:cs="Arial"/>
        </w:rPr>
      </w:pPr>
    </w:p>
    <w:p w14:paraId="07A00FAF" w14:textId="668A0F70" w:rsidR="002B0FB5" w:rsidRPr="004D2C5F" w:rsidRDefault="002B0FB5" w:rsidP="00C43DE6">
      <w:pPr>
        <w:pStyle w:val="ListParagraph"/>
        <w:numPr>
          <w:ilvl w:val="1"/>
          <w:numId w:val="2"/>
        </w:numPr>
        <w:spacing w:after="240" w:line="276" w:lineRule="auto"/>
        <w:contextualSpacing w:val="0"/>
      </w:pPr>
      <w:r w:rsidRPr="3FB33893">
        <w:rPr>
          <w:rFonts w:eastAsia="Arial" w:cs="Arial"/>
        </w:rPr>
        <w:t xml:space="preserve">Your tender proposals must be sent electronically via e-mail before the tender return deadline of </w:t>
      </w:r>
      <w:r w:rsidR="001909C8">
        <w:rPr>
          <w:rFonts w:eastAsia="Arial" w:cs="Arial"/>
        </w:rPr>
        <w:t>NOON 1</w:t>
      </w:r>
      <w:r w:rsidR="001909C8" w:rsidRPr="001909C8">
        <w:rPr>
          <w:rFonts w:eastAsia="Arial" w:cs="Arial"/>
          <w:vertAlign w:val="superscript"/>
        </w:rPr>
        <w:t>st</w:t>
      </w:r>
      <w:r w:rsidR="001909C8">
        <w:rPr>
          <w:rFonts w:eastAsia="Arial" w:cs="Arial"/>
        </w:rPr>
        <w:t xml:space="preserve"> November 2021</w:t>
      </w:r>
      <w:r w:rsidR="00A229AD">
        <w:rPr>
          <w:rFonts w:eastAsia="Arial" w:cs="Arial"/>
        </w:rPr>
        <w:t xml:space="preserve"> </w:t>
      </w:r>
      <w:r w:rsidRPr="3FB33893">
        <w:rPr>
          <w:rFonts w:eastAsia="Arial" w:cs="Arial"/>
        </w:rPr>
        <w:t>to the following contact:</w:t>
      </w:r>
    </w:p>
    <w:p w14:paraId="6EA4451F" w14:textId="35F83401" w:rsidR="00A229AD" w:rsidRPr="003C618B" w:rsidRDefault="00FE4369" w:rsidP="002B0FB5">
      <w:pPr>
        <w:spacing w:line="276" w:lineRule="auto"/>
        <w:ind w:left="720"/>
        <w:rPr>
          <w:rFonts w:eastAsia="Arial" w:cs="Arial"/>
          <w:b/>
          <w:bCs/>
          <w:lang w:val="pl-PL"/>
        </w:rPr>
      </w:pPr>
      <w:r w:rsidRPr="003C618B">
        <w:rPr>
          <w:rFonts w:eastAsia="Arial" w:cs="Arial"/>
          <w:b/>
          <w:bCs/>
          <w:lang w:val="pl-PL"/>
        </w:rPr>
        <w:t>Jamie McGarrigle</w:t>
      </w:r>
    </w:p>
    <w:p w14:paraId="0DEFD239" w14:textId="4AF74D16" w:rsidR="00FE4369" w:rsidRPr="003C618B" w:rsidRDefault="00856E50" w:rsidP="002B0FB5">
      <w:pPr>
        <w:spacing w:line="276" w:lineRule="auto"/>
        <w:ind w:left="720"/>
        <w:rPr>
          <w:rFonts w:eastAsia="Arial" w:cs="Arial"/>
          <w:b/>
          <w:bCs/>
          <w:lang w:val="pl-PL"/>
        </w:rPr>
      </w:pPr>
      <w:hyperlink r:id="rId11" w:history="1">
        <w:r w:rsidR="00FE4369" w:rsidRPr="003C618B">
          <w:rPr>
            <w:rStyle w:val="Hyperlink"/>
            <w:rFonts w:eastAsia="Arial" w:cs="Arial"/>
            <w:b/>
            <w:bCs/>
            <w:lang w:val="pl-PL"/>
          </w:rPr>
          <w:t>Jamie.Mcgarrigle@heritagefund.org.uk</w:t>
        </w:r>
      </w:hyperlink>
      <w:r w:rsidR="00FE4369" w:rsidRPr="003C618B">
        <w:rPr>
          <w:rFonts w:eastAsia="Arial" w:cs="Arial"/>
          <w:b/>
          <w:bCs/>
          <w:lang w:val="pl-PL"/>
        </w:rPr>
        <w:t xml:space="preserve"> </w:t>
      </w:r>
    </w:p>
    <w:p w14:paraId="23D8AB65" w14:textId="77777777" w:rsidR="00C26086" w:rsidRPr="003C618B" w:rsidRDefault="00C26086" w:rsidP="00697E37">
      <w:pPr>
        <w:ind w:left="720"/>
        <w:rPr>
          <w:rFonts w:cs="Arial"/>
          <w:color w:val="FF0000"/>
          <w:szCs w:val="22"/>
          <w:lang w:val="pl-PL"/>
        </w:rPr>
      </w:pPr>
    </w:p>
    <w:p w14:paraId="4A341264" w14:textId="77777777" w:rsidR="0082194B" w:rsidRPr="00697E37" w:rsidRDefault="00E4627B" w:rsidP="00C43DE6">
      <w:pPr>
        <w:numPr>
          <w:ilvl w:val="1"/>
          <w:numId w:val="2"/>
        </w:numPr>
        <w:spacing w:after="240" w:line="276" w:lineRule="auto"/>
        <w:rPr>
          <w:rFonts w:cs="Arial"/>
          <w:szCs w:val="22"/>
        </w:rPr>
      </w:pPr>
      <w:r w:rsidRPr="00E4627B">
        <w:rPr>
          <w:szCs w:val="22"/>
        </w:rPr>
        <w:t xml:space="preserve">Please visit the </w:t>
      </w:r>
      <w:hyperlink r:id="rId12" w:history="1">
        <w:r w:rsidR="008B189F">
          <w:rPr>
            <w:rStyle w:val="Hyperlink"/>
            <w:rFonts w:cs="Arial"/>
            <w:szCs w:val="22"/>
          </w:rPr>
          <w:t>NHMF</w:t>
        </w:r>
        <w:r w:rsidRPr="00E4627B">
          <w:rPr>
            <w:rStyle w:val="Hyperlink"/>
            <w:rFonts w:cs="Arial"/>
            <w:szCs w:val="22"/>
          </w:rPr>
          <w:t xml:space="preserve"> website</w:t>
        </w:r>
      </w:hyperlink>
      <w:r w:rsidRPr="00E4627B">
        <w:rPr>
          <w:szCs w:val="22"/>
        </w:rPr>
        <w:t xml:space="preserve"> for further information about the organisation</w:t>
      </w:r>
      <w:r w:rsidR="00CF253B">
        <w:rPr>
          <w:rFonts w:cs="Arial"/>
          <w:color w:val="FF0000"/>
          <w:szCs w:val="22"/>
        </w:rPr>
        <w:t>.</w:t>
      </w:r>
    </w:p>
    <w:p w14:paraId="4AB251DB" w14:textId="77777777" w:rsidR="0082194B" w:rsidRPr="0082194B" w:rsidRDefault="0082194B" w:rsidP="0082194B">
      <w:pPr>
        <w:rPr>
          <w:rFonts w:cs="Arial"/>
          <w:szCs w:val="22"/>
        </w:rPr>
      </w:pPr>
      <w:r w:rsidRPr="0082194B">
        <w:rPr>
          <w:rFonts w:cs="Arial"/>
          <w:szCs w:val="22"/>
        </w:rPr>
        <w:br w:type="page"/>
      </w:r>
    </w:p>
    <w:p w14:paraId="35FB1BFF" w14:textId="77777777" w:rsidR="00A103BE" w:rsidRPr="002B0FB5" w:rsidRDefault="00A103BE" w:rsidP="00A103BE">
      <w:pPr>
        <w:pStyle w:val="Heading1"/>
        <w:rPr>
          <w:sz w:val="28"/>
          <w:szCs w:val="28"/>
        </w:rPr>
      </w:pPr>
      <w:r w:rsidRPr="002B0FB5">
        <w:rPr>
          <w:sz w:val="28"/>
          <w:szCs w:val="28"/>
        </w:rPr>
        <w:lastRenderedPageBreak/>
        <w:t>Appendix</w:t>
      </w:r>
      <w:r w:rsidR="002B0FB5" w:rsidRPr="002B0FB5">
        <w:rPr>
          <w:sz w:val="28"/>
          <w:szCs w:val="28"/>
        </w:rPr>
        <w:t xml:space="preserve"> A</w:t>
      </w:r>
      <w:r w:rsidRPr="002B0FB5">
        <w:rPr>
          <w:sz w:val="28"/>
          <w:szCs w:val="28"/>
        </w:rPr>
        <w:t>: Accessibility and formatting guidance</w:t>
      </w:r>
    </w:p>
    <w:p w14:paraId="7D6DCC84" w14:textId="77777777" w:rsidR="00A103BE" w:rsidRPr="00B96F7F" w:rsidRDefault="008B189F" w:rsidP="00A103BE">
      <w:pPr>
        <w:spacing w:after="240"/>
        <w:rPr>
          <w:rFonts w:cs="Arial"/>
        </w:rPr>
      </w:pPr>
      <w:r>
        <w:rPr>
          <w:rFonts w:cs="Arial"/>
        </w:rPr>
        <w:t>NHMF</w:t>
      </w:r>
      <w:r w:rsidR="00A103BE" w:rsidRPr="00B96F7F">
        <w:rPr>
          <w:rFonts w:cs="Arial"/>
        </w:rPr>
        <w:t xml:space="preserve"> is committed to providing a website that is accessible to the widest possible audience. Our </w:t>
      </w:r>
      <w:r w:rsidR="00A103BE">
        <w:rPr>
          <w:rFonts w:cs="Arial"/>
        </w:rPr>
        <w:t>web</w:t>
      </w:r>
      <w:r w:rsidR="00A103BE"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784BDDB5" w14:textId="77777777" w:rsidR="00A103BE" w:rsidRPr="008C409D" w:rsidRDefault="00A103BE" w:rsidP="00A103BE">
      <w:pPr>
        <w:spacing w:after="240"/>
      </w:pPr>
      <w:r w:rsidRPr="008C409D">
        <w:t xml:space="preserve">Reports and other documents created for </w:t>
      </w:r>
      <w:r w:rsidR="008B189F">
        <w:t>NHMF</w:t>
      </w:r>
      <w:r w:rsidRPr="008C409D">
        <w:t xml:space="preserve">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11856F67" w14:textId="77777777" w:rsidR="00A103BE" w:rsidRPr="00164469" w:rsidRDefault="00A103BE" w:rsidP="00A103BE">
      <w:pPr>
        <w:pStyle w:val="Heading2"/>
      </w:pPr>
      <w:r w:rsidRPr="00164469">
        <w:t>Readability</w:t>
      </w:r>
    </w:p>
    <w:p w14:paraId="470F85A1"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98648B5" w14:textId="77777777" w:rsidR="00A103BE" w:rsidRPr="008C409D" w:rsidRDefault="00A103BE" w:rsidP="00C43DE6">
      <w:pPr>
        <w:numPr>
          <w:ilvl w:val="0"/>
          <w:numId w:val="7"/>
        </w:numPr>
        <w:contextualSpacing/>
        <w:rPr>
          <w:szCs w:val="24"/>
          <w:lang w:eastAsia="en-GB"/>
        </w:rPr>
      </w:pPr>
      <w:r w:rsidRPr="008C409D">
        <w:rPr>
          <w:szCs w:val="24"/>
          <w:lang w:eastAsia="en-GB"/>
        </w:rPr>
        <w:t>The size of the font is at least 11pt;</w:t>
      </w:r>
    </w:p>
    <w:p w14:paraId="6FA00BB6" w14:textId="77777777" w:rsidR="00A103BE" w:rsidRPr="008C409D" w:rsidRDefault="00A103BE" w:rsidP="00C43DE6">
      <w:pPr>
        <w:numPr>
          <w:ilvl w:val="0"/>
          <w:numId w:val="7"/>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9EE3BA7" w14:textId="77777777" w:rsidR="00A103BE" w:rsidRPr="008C409D" w:rsidRDefault="00A103BE" w:rsidP="00C43DE6">
      <w:pPr>
        <w:numPr>
          <w:ilvl w:val="0"/>
          <w:numId w:val="7"/>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3735D4A" w14:textId="77777777" w:rsidR="00A103BE" w:rsidRPr="008C409D" w:rsidRDefault="00A103BE" w:rsidP="00C43DE6">
      <w:pPr>
        <w:numPr>
          <w:ilvl w:val="0"/>
          <w:numId w:val="7"/>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2BCEE81B"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3" w:history="1">
        <w:r w:rsidRPr="008C409D">
          <w:rPr>
            <w:rFonts w:cs="Arial"/>
            <w:color w:val="0000FF"/>
            <w:u w:val="single"/>
          </w:rPr>
          <w:t>RNIB website</w:t>
        </w:r>
      </w:hyperlink>
      <w:r w:rsidRPr="008C409D">
        <w:rPr>
          <w:rFonts w:cs="Arial"/>
        </w:rPr>
        <w:t>.</w:t>
      </w:r>
    </w:p>
    <w:p w14:paraId="3BAB0FFA" w14:textId="77777777" w:rsidR="00A103BE" w:rsidRPr="00A103BE" w:rsidRDefault="00A103BE" w:rsidP="00A103BE">
      <w:pPr>
        <w:pStyle w:val="Heading2"/>
      </w:pPr>
      <w:r w:rsidRPr="00A103BE">
        <w:t>Accessibility</w:t>
      </w:r>
    </w:p>
    <w:p w14:paraId="2C90BE31" w14:textId="77777777" w:rsidR="00A103BE" w:rsidRPr="008C409D" w:rsidRDefault="00A103BE" w:rsidP="00A103BE">
      <w:r w:rsidRPr="008C409D">
        <w:t>Reports should adhere to the following guidelines:</w:t>
      </w:r>
    </w:p>
    <w:p w14:paraId="47DD2582" w14:textId="77777777" w:rsidR="00A103BE" w:rsidRPr="006738C2" w:rsidRDefault="00A103BE" w:rsidP="00A103BE">
      <w:pPr>
        <w:pStyle w:val="Heading3"/>
      </w:pPr>
      <w:r w:rsidRPr="006738C2">
        <w:t>Formatting</w:t>
      </w:r>
    </w:p>
    <w:p w14:paraId="09F4BF8D"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0D65371A" w14:textId="77777777" w:rsidR="00A103BE" w:rsidRPr="008C409D" w:rsidRDefault="00A103BE" w:rsidP="00A103BE">
      <w:pPr>
        <w:pStyle w:val="Heading3"/>
      </w:pPr>
      <w:bookmarkStart w:id="2" w:name="_Toc322438558"/>
      <w:r w:rsidRPr="008C409D">
        <w:t>Spacing</w:t>
      </w:r>
      <w:bookmarkEnd w:id="2"/>
    </w:p>
    <w:p w14:paraId="7EFFA0BB"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FC6204B" w14:textId="77777777" w:rsidR="00A103BE" w:rsidRPr="008C409D" w:rsidRDefault="00A103BE" w:rsidP="00A103BE">
      <w:pPr>
        <w:pStyle w:val="Heading3"/>
      </w:pPr>
      <w:r w:rsidRPr="008C409D">
        <w:t>Alternative text</w:t>
      </w:r>
    </w:p>
    <w:p w14:paraId="5ED1A88C"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C3BF1C1" w14:textId="77777777" w:rsidR="00A103BE" w:rsidRPr="008C409D" w:rsidRDefault="00A103BE" w:rsidP="00A103BE">
      <w:pPr>
        <w:pStyle w:val="Heading3"/>
      </w:pPr>
      <w:r w:rsidRPr="008C409D">
        <w:t>Images</w:t>
      </w:r>
    </w:p>
    <w:p w14:paraId="12B64C5D"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769C37B1" w14:textId="77777777" w:rsidR="00A103BE" w:rsidRPr="008C409D" w:rsidRDefault="00A103BE" w:rsidP="00A103BE">
      <w:pPr>
        <w:pStyle w:val="Heading3"/>
      </w:pPr>
      <w:r w:rsidRPr="008C409D">
        <w:lastRenderedPageBreak/>
        <w:t>Tables</w:t>
      </w:r>
    </w:p>
    <w:p w14:paraId="62116C12"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516BE899" w14:textId="77777777" w:rsidR="00A103BE" w:rsidRPr="008C409D" w:rsidRDefault="00A103BE" w:rsidP="00A103BE">
      <w:pPr>
        <w:pStyle w:val="Heading3"/>
      </w:pPr>
      <w:r w:rsidRPr="008C409D">
        <w:t>Additional documents</w:t>
      </w:r>
    </w:p>
    <w:p w14:paraId="33C70B4D"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6095B04" w14:textId="77777777" w:rsidR="00A103BE" w:rsidRPr="00164469" w:rsidRDefault="00A103BE" w:rsidP="00A103BE">
      <w:pPr>
        <w:pStyle w:val="Heading3"/>
      </w:pPr>
      <w:r w:rsidRPr="00164469">
        <w:t>Acknowledgement</w:t>
      </w:r>
    </w:p>
    <w:p w14:paraId="5FF5A4AF" w14:textId="77777777" w:rsidR="00A103BE" w:rsidRPr="00164469" w:rsidRDefault="00A103BE" w:rsidP="00A103BE">
      <w:pPr>
        <w:rPr>
          <w:rFonts w:cs="Arial"/>
        </w:rPr>
      </w:pPr>
      <w:r w:rsidRPr="00164469">
        <w:rPr>
          <w:rFonts w:cs="Arial"/>
        </w:rPr>
        <w:t xml:space="preserve">All reports should acknowledge </w:t>
      </w:r>
      <w:r w:rsidR="008B189F">
        <w:rPr>
          <w:rFonts w:cs="Arial"/>
        </w:rPr>
        <w:t>NHMF</w:t>
      </w:r>
      <w:r w:rsidRPr="00164469">
        <w:rPr>
          <w:rFonts w:cs="Arial"/>
        </w:rPr>
        <w:t xml:space="preserve">. Our logo can be found on the </w:t>
      </w:r>
      <w:hyperlink r:id="rId14" w:history="1">
        <w:r w:rsidR="008B189F">
          <w:rPr>
            <w:rStyle w:val="Hyperlink"/>
            <w:rFonts w:cs="Arial"/>
          </w:rPr>
          <w:t>NHMF</w:t>
        </w:r>
        <w:r w:rsidRPr="00164469">
          <w:rPr>
            <w:rStyle w:val="Hyperlink"/>
            <w:rFonts w:cs="Arial"/>
          </w:rPr>
          <w:t xml:space="preserve"> website</w:t>
        </w:r>
      </w:hyperlink>
      <w:r w:rsidRPr="00164469">
        <w:rPr>
          <w:rFonts w:cs="Arial"/>
        </w:rPr>
        <w:t>.</w:t>
      </w:r>
    </w:p>
    <w:p w14:paraId="6DBBADB4" w14:textId="77777777" w:rsidR="00A103BE" w:rsidRPr="00164469" w:rsidRDefault="00A103BE" w:rsidP="00A103BE">
      <w:pPr>
        <w:pStyle w:val="Heading3"/>
      </w:pPr>
      <w:r w:rsidRPr="00164469">
        <w:t>Further resources</w:t>
      </w:r>
    </w:p>
    <w:p w14:paraId="5403D451" w14:textId="77777777" w:rsidR="00A103BE" w:rsidRPr="00164469" w:rsidRDefault="00A103BE" w:rsidP="00A103BE">
      <w:pPr>
        <w:rPr>
          <w:rFonts w:cs="Arial"/>
        </w:rPr>
      </w:pPr>
      <w:r w:rsidRPr="00164469">
        <w:rPr>
          <w:rFonts w:cs="Arial"/>
        </w:rPr>
        <w:t>Please refer to the links below for further information:</w:t>
      </w:r>
    </w:p>
    <w:p w14:paraId="31F50011" w14:textId="77777777" w:rsidR="00A103BE" w:rsidRPr="00164469" w:rsidRDefault="00A103BE" w:rsidP="00A103BE">
      <w:pPr>
        <w:rPr>
          <w:rFonts w:cs="Arial"/>
        </w:rPr>
      </w:pPr>
    </w:p>
    <w:p w14:paraId="1F106172" w14:textId="77777777" w:rsidR="00A103BE" w:rsidRPr="00164469" w:rsidRDefault="00856E50" w:rsidP="00C43DE6">
      <w:pPr>
        <w:pStyle w:val="ListParagraph"/>
        <w:numPr>
          <w:ilvl w:val="0"/>
          <w:numId w:val="9"/>
        </w:numPr>
        <w:spacing w:after="200" w:line="276" w:lineRule="auto"/>
        <w:rPr>
          <w:rFonts w:cs="Arial"/>
        </w:rPr>
      </w:pPr>
      <w:hyperlink r:id="rId15" w:history="1">
        <w:r w:rsidR="00A103BE" w:rsidRPr="00164469">
          <w:rPr>
            <w:rStyle w:val="Hyperlink"/>
            <w:rFonts w:cs="Arial"/>
          </w:rPr>
          <w:t>'Microsoft Word: creating accessible documents' - webaim.org</w:t>
        </w:r>
      </w:hyperlink>
    </w:p>
    <w:p w14:paraId="52772103" w14:textId="77777777" w:rsidR="00A103BE" w:rsidRPr="00164469" w:rsidRDefault="00856E50" w:rsidP="00C43DE6">
      <w:pPr>
        <w:pStyle w:val="ListParagraph"/>
        <w:numPr>
          <w:ilvl w:val="0"/>
          <w:numId w:val="9"/>
        </w:numPr>
        <w:spacing w:after="200" w:line="276" w:lineRule="auto"/>
        <w:rPr>
          <w:rFonts w:cs="Arial"/>
        </w:rPr>
      </w:pPr>
      <w:hyperlink r:id="rId16" w:history="1">
        <w:r w:rsidR="00A103BE" w:rsidRPr="00164469">
          <w:rPr>
            <w:rStyle w:val="Hyperlink"/>
            <w:rFonts w:cs="Arial"/>
          </w:rPr>
          <w:t>'How to create an accessible PDF' - GOV.UK</w:t>
        </w:r>
      </w:hyperlink>
    </w:p>
    <w:p w14:paraId="3F3A5EAF"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w:t>
      </w:r>
      <w:r w:rsidR="008B189F">
        <w:rPr>
          <w:rFonts w:cs="Arial"/>
        </w:rPr>
        <w:t>NHMF</w:t>
      </w:r>
      <w:r w:rsidRPr="00164469">
        <w:rPr>
          <w:rFonts w:cs="Arial"/>
        </w:rPr>
        <w:t xml:space="preserve"> have worked with include </w:t>
      </w:r>
      <w:hyperlink r:id="rId17" w:history="1">
        <w:r w:rsidRPr="00164469">
          <w:rPr>
            <w:rStyle w:val="Hyperlink"/>
            <w:rFonts w:cs="Arial"/>
          </w:rPr>
          <w:t>Shaw Trust</w:t>
        </w:r>
      </w:hyperlink>
      <w:r w:rsidRPr="00164469">
        <w:rPr>
          <w:rFonts w:cs="Arial"/>
        </w:rPr>
        <w:t xml:space="preserve"> and </w:t>
      </w:r>
      <w:hyperlink r:id="rId18" w:history="1">
        <w:r w:rsidRPr="00164469">
          <w:rPr>
            <w:rStyle w:val="Hyperlink"/>
            <w:rFonts w:cs="Arial"/>
          </w:rPr>
          <w:t>The Accessible Digital Documents Company</w:t>
        </w:r>
      </w:hyperlink>
      <w:r w:rsidRPr="00164469">
        <w:rPr>
          <w:rFonts w:cs="Arial"/>
        </w:rPr>
        <w:t>.</w:t>
      </w:r>
    </w:p>
    <w:p w14:paraId="3D4F3D4F" w14:textId="77777777" w:rsidR="00A103BE" w:rsidRPr="00164469" w:rsidRDefault="00A103BE" w:rsidP="00A103BE">
      <w:pPr>
        <w:rPr>
          <w:rFonts w:cs="Arial"/>
        </w:rPr>
      </w:pPr>
    </w:p>
    <w:p w14:paraId="23EFE275" w14:textId="77777777" w:rsidR="00A103BE" w:rsidRPr="00164469" w:rsidRDefault="008B189F" w:rsidP="00A103BE">
      <w:pPr>
        <w:rPr>
          <w:rFonts w:cs="Arial"/>
        </w:rPr>
      </w:pPr>
      <w:r>
        <w:rPr>
          <w:rFonts w:cs="Arial"/>
        </w:rPr>
        <w:t>NHMF</w:t>
      </w:r>
      <w:r w:rsidR="00A103BE" w:rsidRPr="00164469">
        <w:rPr>
          <w:rFonts w:cs="Arial"/>
        </w:rPr>
        <w:t xml:space="preserve"> retains the right to amend documents in order to create accessible versions for publishing.</w:t>
      </w:r>
    </w:p>
    <w:p w14:paraId="2DC2E8C3" w14:textId="7CB997CD" w:rsidR="00BB45AB" w:rsidRPr="00FE4369" w:rsidRDefault="00BB45AB" w:rsidP="00FE4369">
      <w:pPr>
        <w:rPr>
          <w:rFonts w:cs="Arial"/>
          <w:szCs w:val="22"/>
        </w:rPr>
      </w:pPr>
    </w:p>
    <w:sectPr w:rsidR="00BB45AB" w:rsidRPr="00FE4369" w:rsidSect="00372811">
      <w:footerReference w:type="even" r:id="rId19"/>
      <w:footerReference w:type="default" r:id="rId20"/>
      <w:headerReference w:type="first" r:id="rId21"/>
      <w:footerReference w:type="first" r:id="rId22"/>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6155" w14:textId="77777777" w:rsidR="00856E50" w:rsidRDefault="00856E50">
      <w:r>
        <w:separator/>
      </w:r>
    </w:p>
  </w:endnote>
  <w:endnote w:type="continuationSeparator" w:id="0">
    <w:p w14:paraId="1BA5C11A" w14:textId="77777777" w:rsidR="00856E50" w:rsidRDefault="0085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3BD2"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B9A2A"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75C9"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8B189F">
      <w:rPr>
        <w:rStyle w:val="PageNumber"/>
        <w:rFonts w:cs="Arial"/>
        <w:noProof/>
        <w:sz w:val="20"/>
      </w:rPr>
      <w:t>2</w:t>
    </w:r>
    <w:r w:rsidRPr="00FE2F89">
      <w:rPr>
        <w:rStyle w:val="PageNumber"/>
        <w:rFonts w:cs="Arial"/>
        <w:sz w:val="20"/>
      </w:rPr>
      <w:fldChar w:fldCharType="end"/>
    </w:r>
  </w:p>
  <w:p w14:paraId="615F9F9F"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5CC5" w14:textId="77777777" w:rsidR="00847015" w:rsidRDefault="33A3A1F5" w:rsidP="00D27190">
    <w:pPr>
      <w:pStyle w:val="Footer"/>
      <w:tabs>
        <w:tab w:val="clear" w:pos="4153"/>
        <w:tab w:val="clear" w:pos="8306"/>
        <w:tab w:val="left" w:pos="2552"/>
      </w:tabs>
      <w:ind w:right="-1"/>
    </w:pPr>
    <w:r>
      <w:rPr>
        <w:noProof/>
      </w:rPr>
      <w:drawing>
        <wp:inline distT="0" distB="0" distL="0" distR="0" wp14:anchorId="1B08C63D" wp14:editId="1EB0F3CA">
          <wp:extent cx="6067424"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067424" cy="390525"/>
                  </a:xfrm>
                  <a:prstGeom prst="rect">
                    <a:avLst/>
                  </a:prstGeom>
                </pic:spPr>
              </pic:pic>
            </a:graphicData>
          </a:graphic>
        </wp:inline>
      </w:drawing>
    </w:r>
  </w:p>
  <w:p w14:paraId="3BD6A7F7" w14:textId="77777777" w:rsidR="00847015" w:rsidRPr="00DC45DF" w:rsidRDefault="00847015" w:rsidP="00C93A35">
    <w:pPr>
      <w:pStyle w:val="Footer"/>
      <w:ind w:left="-1260" w:right="-1176"/>
      <w:jc w:val="center"/>
      <w:rPr>
        <w:sz w:val="20"/>
      </w:rPr>
    </w:pPr>
  </w:p>
  <w:p w14:paraId="34F683A0"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412F" w14:textId="77777777" w:rsidR="00856E50" w:rsidRDefault="00856E50">
      <w:r>
        <w:separator/>
      </w:r>
    </w:p>
  </w:footnote>
  <w:footnote w:type="continuationSeparator" w:id="0">
    <w:p w14:paraId="07B737ED" w14:textId="77777777" w:rsidR="00856E50" w:rsidRDefault="0085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3" w:type="dxa"/>
      <w:tblLook w:val="04A0" w:firstRow="1" w:lastRow="0" w:firstColumn="1" w:lastColumn="0" w:noHBand="0" w:noVBand="1"/>
    </w:tblPr>
    <w:tblGrid>
      <w:gridCol w:w="1657"/>
      <w:gridCol w:w="1284"/>
      <w:gridCol w:w="2351"/>
      <w:gridCol w:w="5051"/>
    </w:tblGrid>
    <w:tr w:rsidR="00972B6B" w14:paraId="532764E4" w14:textId="77777777" w:rsidTr="33A3A1F5">
      <w:tc>
        <w:tcPr>
          <w:tcW w:w="0" w:type="auto"/>
          <w:tcBorders>
            <w:top w:val="nil"/>
            <w:left w:val="nil"/>
            <w:bottom w:val="nil"/>
            <w:right w:val="nil"/>
          </w:tcBorders>
        </w:tcPr>
        <w:p w14:paraId="18871F81" w14:textId="77777777" w:rsidR="00972B6B" w:rsidRPr="00972B6B" w:rsidRDefault="00972B6B" w:rsidP="00972B6B">
          <w:pPr>
            <w:pStyle w:val="Header"/>
            <w:rPr>
              <w:color w:val="A6A6A6" w:themeColor="background1" w:themeShade="A6"/>
              <w:sz w:val="16"/>
              <w:szCs w:val="16"/>
            </w:rPr>
          </w:pPr>
        </w:p>
        <w:p w14:paraId="12D06318"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7 Holbein Place</w:t>
          </w:r>
        </w:p>
        <w:p w14:paraId="5F765148"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London SW1W 8NR</w:t>
          </w:r>
        </w:p>
        <w:p w14:paraId="59190E85" w14:textId="77777777" w:rsidR="00972B6B" w:rsidRPr="00972B6B" w:rsidRDefault="00972B6B" w:rsidP="00972B6B">
          <w:pPr>
            <w:pStyle w:val="Header"/>
            <w:rPr>
              <w:color w:val="A6A6A6" w:themeColor="background1" w:themeShade="A6"/>
              <w:sz w:val="16"/>
              <w:szCs w:val="16"/>
            </w:rPr>
          </w:pPr>
        </w:p>
        <w:p w14:paraId="314EFC94" w14:textId="77777777" w:rsidR="00972B6B" w:rsidRPr="00972B6B" w:rsidRDefault="00972B6B" w:rsidP="00972B6B">
          <w:pPr>
            <w:pStyle w:val="Header"/>
            <w:rPr>
              <w:b/>
              <w:color w:val="A6A6A6" w:themeColor="background1" w:themeShade="A6"/>
              <w:sz w:val="16"/>
              <w:szCs w:val="16"/>
            </w:rPr>
          </w:pPr>
          <w:r w:rsidRPr="00972B6B">
            <w:rPr>
              <w:b/>
              <w:color w:val="A6A6A6" w:themeColor="background1" w:themeShade="A6"/>
              <w:sz w:val="16"/>
              <w:szCs w:val="16"/>
            </w:rPr>
            <w:t>Telephone</w:t>
          </w:r>
        </w:p>
        <w:p w14:paraId="3E3C81B2"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020 7591 6000</w:t>
          </w:r>
        </w:p>
      </w:tc>
      <w:tc>
        <w:tcPr>
          <w:tcW w:w="0" w:type="auto"/>
          <w:tcBorders>
            <w:top w:val="nil"/>
            <w:left w:val="nil"/>
            <w:bottom w:val="nil"/>
            <w:right w:val="nil"/>
          </w:tcBorders>
        </w:tcPr>
        <w:p w14:paraId="324871E4" w14:textId="77777777" w:rsidR="00972B6B" w:rsidRPr="00972B6B" w:rsidRDefault="00972B6B" w:rsidP="00972B6B">
          <w:pPr>
            <w:pStyle w:val="Header"/>
            <w:rPr>
              <w:b/>
              <w:color w:val="A6A6A6" w:themeColor="background1" w:themeShade="A6"/>
              <w:sz w:val="16"/>
              <w:szCs w:val="16"/>
            </w:rPr>
          </w:pPr>
        </w:p>
        <w:p w14:paraId="204604B5" w14:textId="77777777" w:rsidR="00972B6B" w:rsidRPr="00972B6B" w:rsidRDefault="00972B6B" w:rsidP="00972B6B">
          <w:pPr>
            <w:pStyle w:val="Header"/>
            <w:rPr>
              <w:b/>
              <w:color w:val="A6A6A6" w:themeColor="background1" w:themeShade="A6"/>
              <w:sz w:val="16"/>
              <w:szCs w:val="16"/>
            </w:rPr>
          </w:pPr>
          <w:r w:rsidRPr="00972B6B">
            <w:rPr>
              <w:b/>
              <w:color w:val="A6A6A6" w:themeColor="background1" w:themeShade="A6"/>
              <w:sz w:val="16"/>
              <w:szCs w:val="16"/>
            </w:rPr>
            <w:t>Facsimile</w:t>
          </w:r>
        </w:p>
        <w:p w14:paraId="392F552B"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020 7591 6001</w:t>
          </w:r>
        </w:p>
        <w:p w14:paraId="67E31C0C" w14:textId="77777777" w:rsidR="00972B6B" w:rsidRPr="00972B6B" w:rsidRDefault="00972B6B" w:rsidP="00972B6B">
          <w:pPr>
            <w:pStyle w:val="Header"/>
            <w:rPr>
              <w:b/>
              <w:color w:val="A6A6A6" w:themeColor="background1" w:themeShade="A6"/>
              <w:sz w:val="16"/>
              <w:szCs w:val="16"/>
            </w:rPr>
          </w:pPr>
        </w:p>
        <w:p w14:paraId="0EB7F8DD" w14:textId="77777777" w:rsidR="00972B6B" w:rsidRPr="00972B6B" w:rsidRDefault="00972B6B" w:rsidP="00972B6B">
          <w:pPr>
            <w:pStyle w:val="Header"/>
            <w:rPr>
              <w:b/>
              <w:color w:val="A6A6A6" w:themeColor="background1" w:themeShade="A6"/>
              <w:sz w:val="16"/>
              <w:szCs w:val="16"/>
            </w:rPr>
          </w:pPr>
          <w:r w:rsidRPr="00972B6B">
            <w:rPr>
              <w:b/>
              <w:color w:val="A6A6A6" w:themeColor="background1" w:themeShade="A6"/>
              <w:sz w:val="16"/>
              <w:szCs w:val="16"/>
            </w:rPr>
            <w:t>Textphone</w:t>
          </w:r>
        </w:p>
        <w:p w14:paraId="42D2FD78"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020 7591 6255</w:t>
          </w:r>
        </w:p>
      </w:tc>
      <w:tc>
        <w:tcPr>
          <w:tcW w:w="0" w:type="auto"/>
          <w:tcBorders>
            <w:top w:val="nil"/>
            <w:left w:val="nil"/>
            <w:bottom w:val="nil"/>
            <w:right w:val="nil"/>
          </w:tcBorders>
        </w:tcPr>
        <w:p w14:paraId="3352AD80" w14:textId="77777777" w:rsidR="00972B6B" w:rsidRPr="00972B6B" w:rsidRDefault="00972B6B" w:rsidP="00972B6B">
          <w:pPr>
            <w:pStyle w:val="Header"/>
            <w:rPr>
              <w:b/>
              <w:color w:val="A6A6A6" w:themeColor="background1" w:themeShade="A6"/>
              <w:sz w:val="16"/>
              <w:szCs w:val="16"/>
            </w:rPr>
          </w:pPr>
        </w:p>
        <w:p w14:paraId="05D6D73A" w14:textId="77777777" w:rsidR="00972B6B" w:rsidRPr="00972B6B" w:rsidRDefault="00972B6B" w:rsidP="00972B6B">
          <w:pPr>
            <w:pStyle w:val="Header"/>
            <w:rPr>
              <w:b/>
              <w:color w:val="A6A6A6" w:themeColor="background1" w:themeShade="A6"/>
              <w:sz w:val="16"/>
              <w:szCs w:val="16"/>
            </w:rPr>
          </w:pPr>
          <w:r w:rsidRPr="00972B6B">
            <w:rPr>
              <w:b/>
              <w:color w:val="A6A6A6" w:themeColor="background1" w:themeShade="A6"/>
              <w:sz w:val="16"/>
              <w:szCs w:val="16"/>
            </w:rPr>
            <w:t>Website</w:t>
          </w:r>
        </w:p>
        <w:p w14:paraId="1E0B89BD"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www.heritagefund.org.uk</w:t>
          </w:r>
        </w:p>
        <w:p w14:paraId="3BAFDDF2" w14:textId="77777777" w:rsidR="00972B6B" w:rsidRPr="00972B6B" w:rsidRDefault="00972B6B" w:rsidP="00972B6B">
          <w:pPr>
            <w:pStyle w:val="Header"/>
            <w:rPr>
              <w:color w:val="A6A6A6" w:themeColor="background1" w:themeShade="A6"/>
              <w:sz w:val="16"/>
              <w:szCs w:val="16"/>
            </w:rPr>
          </w:pPr>
        </w:p>
        <w:p w14:paraId="64E24EED" w14:textId="77777777" w:rsidR="00972B6B" w:rsidRPr="00972B6B" w:rsidRDefault="00972B6B" w:rsidP="00972B6B">
          <w:pPr>
            <w:pStyle w:val="Header"/>
            <w:rPr>
              <w:b/>
              <w:color w:val="A6A6A6" w:themeColor="background1" w:themeShade="A6"/>
              <w:sz w:val="16"/>
              <w:szCs w:val="16"/>
            </w:rPr>
          </w:pPr>
          <w:r w:rsidRPr="00972B6B">
            <w:rPr>
              <w:b/>
              <w:color w:val="A6A6A6" w:themeColor="background1" w:themeShade="A6"/>
              <w:sz w:val="16"/>
              <w:szCs w:val="16"/>
            </w:rPr>
            <w:t>Social</w:t>
          </w:r>
        </w:p>
        <w:p w14:paraId="58FAB4E9" w14:textId="77777777" w:rsidR="00972B6B" w:rsidRPr="00972B6B" w:rsidRDefault="00972B6B" w:rsidP="00972B6B">
          <w:pPr>
            <w:pStyle w:val="Header"/>
            <w:rPr>
              <w:color w:val="A6A6A6" w:themeColor="background1" w:themeShade="A6"/>
              <w:sz w:val="16"/>
              <w:szCs w:val="16"/>
            </w:rPr>
          </w:pPr>
          <w:r w:rsidRPr="00972B6B">
            <w:rPr>
              <w:color w:val="A6A6A6" w:themeColor="background1" w:themeShade="A6"/>
              <w:sz w:val="16"/>
              <w:szCs w:val="16"/>
            </w:rPr>
            <w:t>#NationalLotteryHeritageFund</w:t>
          </w:r>
        </w:p>
      </w:tc>
      <w:tc>
        <w:tcPr>
          <w:tcW w:w="5051" w:type="dxa"/>
          <w:tcBorders>
            <w:top w:val="nil"/>
            <w:left w:val="nil"/>
            <w:bottom w:val="nil"/>
            <w:right w:val="nil"/>
          </w:tcBorders>
        </w:tcPr>
        <w:p w14:paraId="24FB2E2E" w14:textId="77777777" w:rsidR="00972B6B" w:rsidRPr="00F84D10" w:rsidRDefault="33A3A1F5" w:rsidP="00972B6B">
          <w:pPr>
            <w:pStyle w:val="Header"/>
            <w:rPr>
              <w:b/>
              <w:sz w:val="16"/>
              <w:szCs w:val="16"/>
            </w:rPr>
          </w:pPr>
          <w:r>
            <w:rPr>
              <w:noProof/>
            </w:rPr>
            <w:drawing>
              <wp:inline distT="0" distB="0" distL="0" distR="0" wp14:anchorId="08594926" wp14:editId="7E55C6D3">
                <wp:extent cx="2131408" cy="811558"/>
                <wp:effectExtent l="0" t="0" r="2540" b="7620"/>
                <wp:docPr id="3" name="Picture 3" descr="C:\Users\jcrisp\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31408" cy="811558"/>
                        </a:xfrm>
                        <a:prstGeom prst="rect">
                          <a:avLst/>
                        </a:prstGeom>
                      </pic:spPr>
                    </pic:pic>
                  </a:graphicData>
                </a:graphic>
              </wp:inline>
            </w:drawing>
          </w:r>
        </w:p>
      </w:tc>
    </w:tr>
  </w:tbl>
  <w:p w14:paraId="295651ED" w14:textId="77777777" w:rsidR="00972B6B" w:rsidRDefault="00972B6B" w:rsidP="00972B6B">
    <w:pPr>
      <w:pStyle w:val="Header"/>
    </w:pPr>
  </w:p>
  <w:p w14:paraId="6F91B56E" w14:textId="77777777" w:rsidR="00847015" w:rsidRDefault="00847015"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F48CBA"/>
    <w:lvl w:ilvl="0">
      <w:start w:val="1"/>
      <w:numFmt w:val="decimal"/>
      <w:pStyle w:val="ListNumber"/>
      <w:lvlText w:val="%1."/>
      <w:lvlJc w:val="left"/>
      <w:pPr>
        <w:ind w:left="360" w:hanging="360"/>
      </w:pPr>
    </w:lvl>
  </w:abstractNum>
  <w:abstractNum w:abstractNumId="1" w15:restartNumberingAfterBreak="0">
    <w:nsid w:val="06DC552C"/>
    <w:multiLevelType w:val="hybridMultilevel"/>
    <w:tmpl w:val="A2423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10075"/>
    <w:multiLevelType w:val="hybridMultilevel"/>
    <w:tmpl w:val="6ABC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A5D45"/>
    <w:multiLevelType w:val="hybridMultilevel"/>
    <w:tmpl w:val="B694E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26075"/>
    <w:multiLevelType w:val="hybridMultilevel"/>
    <w:tmpl w:val="63064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6820CD3"/>
    <w:multiLevelType w:val="multilevel"/>
    <w:tmpl w:val="955A03F0"/>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8" w15:restartNumberingAfterBreak="0">
    <w:nsid w:val="363F5093"/>
    <w:multiLevelType w:val="hybridMultilevel"/>
    <w:tmpl w:val="F81869F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39907BEE"/>
    <w:multiLevelType w:val="hybridMultilevel"/>
    <w:tmpl w:val="5838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3" w15:restartNumberingAfterBreak="0">
    <w:nsid w:val="59F30D2F"/>
    <w:multiLevelType w:val="multilevel"/>
    <w:tmpl w:val="6C9AB5D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BAD4722"/>
    <w:multiLevelType w:val="hybridMultilevel"/>
    <w:tmpl w:val="2D74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44CD5"/>
    <w:multiLevelType w:val="hybridMultilevel"/>
    <w:tmpl w:val="B52AA7C2"/>
    <w:lvl w:ilvl="0" w:tplc="5552AB5E">
      <w:start w:val="1"/>
      <w:numFmt w:val="bullet"/>
      <w:lvlText w:val=""/>
      <w:lvlJc w:val="left"/>
      <w:pPr>
        <w:ind w:left="720" w:hanging="360"/>
      </w:pPr>
      <w:rPr>
        <w:rFonts w:ascii="Symbol" w:hAnsi="Symbol" w:hint="default"/>
      </w:rPr>
    </w:lvl>
    <w:lvl w:ilvl="1" w:tplc="AF24881A">
      <w:start w:val="1"/>
      <w:numFmt w:val="bullet"/>
      <w:lvlText w:val="o"/>
      <w:lvlJc w:val="left"/>
      <w:pPr>
        <w:ind w:left="1440" w:hanging="360"/>
      </w:pPr>
      <w:rPr>
        <w:rFonts w:ascii="Courier New" w:hAnsi="Courier New" w:hint="default"/>
      </w:rPr>
    </w:lvl>
    <w:lvl w:ilvl="2" w:tplc="E8780A6A">
      <w:start w:val="1"/>
      <w:numFmt w:val="bullet"/>
      <w:lvlText w:val=""/>
      <w:lvlJc w:val="left"/>
      <w:pPr>
        <w:ind w:left="2160" w:hanging="360"/>
      </w:pPr>
      <w:rPr>
        <w:rFonts w:ascii="Wingdings" w:hAnsi="Wingdings" w:hint="default"/>
      </w:rPr>
    </w:lvl>
    <w:lvl w:ilvl="3" w:tplc="D3864F06">
      <w:start w:val="1"/>
      <w:numFmt w:val="bullet"/>
      <w:lvlText w:val=""/>
      <w:lvlJc w:val="left"/>
      <w:pPr>
        <w:ind w:left="2880" w:hanging="360"/>
      </w:pPr>
      <w:rPr>
        <w:rFonts w:ascii="Symbol" w:hAnsi="Symbol" w:hint="default"/>
      </w:rPr>
    </w:lvl>
    <w:lvl w:ilvl="4" w:tplc="E78A1732">
      <w:start w:val="1"/>
      <w:numFmt w:val="bullet"/>
      <w:lvlText w:val="o"/>
      <w:lvlJc w:val="left"/>
      <w:pPr>
        <w:ind w:left="3600" w:hanging="360"/>
      </w:pPr>
      <w:rPr>
        <w:rFonts w:ascii="Courier New" w:hAnsi="Courier New" w:hint="default"/>
      </w:rPr>
    </w:lvl>
    <w:lvl w:ilvl="5" w:tplc="37D0A438">
      <w:start w:val="1"/>
      <w:numFmt w:val="bullet"/>
      <w:lvlText w:val=""/>
      <w:lvlJc w:val="left"/>
      <w:pPr>
        <w:ind w:left="4320" w:hanging="360"/>
      </w:pPr>
      <w:rPr>
        <w:rFonts w:ascii="Wingdings" w:hAnsi="Wingdings" w:hint="default"/>
      </w:rPr>
    </w:lvl>
    <w:lvl w:ilvl="6" w:tplc="A8381DC0">
      <w:start w:val="1"/>
      <w:numFmt w:val="bullet"/>
      <w:lvlText w:val=""/>
      <w:lvlJc w:val="left"/>
      <w:pPr>
        <w:ind w:left="5040" w:hanging="360"/>
      </w:pPr>
      <w:rPr>
        <w:rFonts w:ascii="Symbol" w:hAnsi="Symbol" w:hint="default"/>
      </w:rPr>
    </w:lvl>
    <w:lvl w:ilvl="7" w:tplc="D1902122">
      <w:start w:val="1"/>
      <w:numFmt w:val="bullet"/>
      <w:lvlText w:val="o"/>
      <w:lvlJc w:val="left"/>
      <w:pPr>
        <w:ind w:left="5760" w:hanging="360"/>
      </w:pPr>
      <w:rPr>
        <w:rFonts w:ascii="Courier New" w:hAnsi="Courier New" w:hint="default"/>
      </w:rPr>
    </w:lvl>
    <w:lvl w:ilvl="8" w:tplc="8020C590">
      <w:start w:val="1"/>
      <w:numFmt w:val="bullet"/>
      <w:lvlText w:val=""/>
      <w:lvlJc w:val="left"/>
      <w:pPr>
        <w:ind w:left="6480" w:hanging="360"/>
      </w:pPr>
      <w:rPr>
        <w:rFonts w:ascii="Wingdings" w:hAnsi="Wingdings" w:hint="default"/>
      </w:rPr>
    </w:lvl>
  </w:abstractNum>
  <w:abstractNum w:abstractNumId="16" w15:restartNumberingAfterBreak="0">
    <w:nsid w:val="619C6B88"/>
    <w:multiLevelType w:val="hybridMultilevel"/>
    <w:tmpl w:val="24B456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3DA5C43"/>
    <w:multiLevelType w:val="hybridMultilevel"/>
    <w:tmpl w:val="962ED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87CB2"/>
    <w:multiLevelType w:val="hybridMultilevel"/>
    <w:tmpl w:val="3CEC77E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3"/>
  </w:num>
  <w:num w:numId="3">
    <w:abstractNumId w:val="20"/>
  </w:num>
  <w:num w:numId="4">
    <w:abstractNumId w:val="12"/>
  </w:num>
  <w:num w:numId="5">
    <w:abstractNumId w:val="7"/>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18"/>
  </w:num>
  <w:num w:numId="9">
    <w:abstractNumId w:val="11"/>
  </w:num>
  <w:num w:numId="10">
    <w:abstractNumId w:val="17"/>
  </w:num>
  <w:num w:numId="11">
    <w:abstractNumId w:val="8"/>
  </w:num>
  <w:num w:numId="12">
    <w:abstractNumId w:val="19"/>
  </w:num>
  <w:num w:numId="13">
    <w:abstractNumId w:val="5"/>
  </w:num>
  <w:num w:numId="14">
    <w:abstractNumId w:val="16"/>
  </w:num>
  <w:num w:numId="15">
    <w:abstractNumId w:val="4"/>
  </w:num>
  <w:num w:numId="16">
    <w:abstractNumId w:val="2"/>
  </w:num>
  <w:num w:numId="17">
    <w:abstractNumId w:val="14"/>
  </w:num>
  <w:num w:numId="18">
    <w:abstractNumId w:val="0"/>
    <w:lvlOverride w:ilvl="0">
      <w:startOverride w:val="1"/>
    </w:lvlOverride>
  </w:num>
  <w:num w:numId="19">
    <w:abstractNumId w:val="0"/>
    <w:lvlOverride w:ilvl="0">
      <w:startOverride w:val="1"/>
    </w:lvlOverride>
  </w:num>
  <w:num w:numId="20">
    <w:abstractNumId w:val="1"/>
  </w:num>
  <w:num w:numId="21">
    <w:abstractNumId w:val="3"/>
  </w:num>
  <w:num w:numId="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36"/>
    <w:rsid w:val="00000F95"/>
    <w:rsid w:val="00010655"/>
    <w:rsid w:val="0001354B"/>
    <w:rsid w:val="000232DC"/>
    <w:rsid w:val="00023FF3"/>
    <w:rsid w:val="000302FA"/>
    <w:rsid w:val="00044308"/>
    <w:rsid w:val="00056B22"/>
    <w:rsid w:val="000600B0"/>
    <w:rsid w:val="00065DF2"/>
    <w:rsid w:val="00070839"/>
    <w:rsid w:val="0007195E"/>
    <w:rsid w:val="00080479"/>
    <w:rsid w:val="00083BCF"/>
    <w:rsid w:val="00084D37"/>
    <w:rsid w:val="00087032"/>
    <w:rsid w:val="000B1288"/>
    <w:rsid w:val="000B4E51"/>
    <w:rsid w:val="000C0DC9"/>
    <w:rsid w:val="000C1537"/>
    <w:rsid w:val="000D05FE"/>
    <w:rsid w:val="000E4409"/>
    <w:rsid w:val="00100665"/>
    <w:rsid w:val="00101396"/>
    <w:rsid w:val="0010334A"/>
    <w:rsid w:val="0011075E"/>
    <w:rsid w:val="00113497"/>
    <w:rsid w:val="00114ED3"/>
    <w:rsid w:val="0012514A"/>
    <w:rsid w:val="00130E94"/>
    <w:rsid w:val="00131128"/>
    <w:rsid w:val="001467AF"/>
    <w:rsid w:val="00156E03"/>
    <w:rsid w:val="00157446"/>
    <w:rsid w:val="00162326"/>
    <w:rsid w:val="00164796"/>
    <w:rsid w:val="00175979"/>
    <w:rsid w:val="00183CA1"/>
    <w:rsid w:val="001855AF"/>
    <w:rsid w:val="00185CD5"/>
    <w:rsid w:val="001909C8"/>
    <w:rsid w:val="00193C0A"/>
    <w:rsid w:val="00195A5F"/>
    <w:rsid w:val="001A510E"/>
    <w:rsid w:val="001A5F4A"/>
    <w:rsid w:val="001B0833"/>
    <w:rsid w:val="001B0A45"/>
    <w:rsid w:val="001B3754"/>
    <w:rsid w:val="001B633C"/>
    <w:rsid w:val="001C3408"/>
    <w:rsid w:val="001D088D"/>
    <w:rsid w:val="001D5F79"/>
    <w:rsid w:val="001E0220"/>
    <w:rsid w:val="001E6A9E"/>
    <w:rsid w:val="0021230D"/>
    <w:rsid w:val="00230F44"/>
    <w:rsid w:val="00234ED8"/>
    <w:rsid w:val="002409F5"/>
    <w:rsid w:val="00245CDA"/>
    <w:rsid w:val="002501E5"/>
    <w:rsid w:val="00252DBB"/>
    <w:rsid w:val="00271353"/>
    <w:rsid w:val="00274270"/>
    <w:rsid w:val="0028545F"/>
    <w:rsid w:val="00286236"/>
    <w:rsid w:val="00286E4F"/>
    <w:rsid w:val="0029057B"/>
    <w:rsid w:val="0029517C"/>
    <w:rsid w:val="002A3C07"/>
    <w:rsid w:val="002B0FB5"/>
    <w:rsid w:val="002B736C"/>
    <w:rsid w:val="002C34F0"/>
    <w:rsid w:val="002D1955"/>
    <w:rsid w:val="002D1E6C"/>
    <w:rsid w:val="002D6957"/>
    <w:rsid w:val="002E6DE0"/>
    <w:rsid w:val="002F2E3D"/>
    <w:rsid w:val="0030091E"/>
    <w:rsid w:val="0030363F"/>
    <w:rsid w:val="00304AC1"/>
    <w:rsid w:val="00310EB0"/>
    <w:rsid w:val="003119D1"/>
    <w:rsid w:val="003213D4"/>
    <w:rsid w:val="0032402A"/>
    <w:rsid w:val="00334094"/>
    <w:rsid w:val="00337632"/>
    <w:rsid w:val="003440FF"/>
    <w:rsid w:val="00346FE0"/>
    <w:rsid w:val="00351BD8"/>
    <w:rsid w:val="003653D3"/>
    <w:rsid w:val="00370C76"/>
    <w:rsid w:val="00372811"/>
    <w:rsid w:val="00374149"/>
    <w:rsid w:val="003853D2"/>
    <w:rsid w:val="00390875"/>
    <w:rsid w:val="003A3FA3"/>
    <w:rsid w:val="003A6577"/>
    <w:rsid w:val="003A6DA0"/>
    <w:rsid w:val="003B180F"/>
    <w:rsid w:val="003C0CAC"/>
    <w:rsid w:val="003C5497"/>
    <w:rsid w:val="003C618B"/>
    <w:rsid w:val="003D688D"/>
    <w:rsid w:val="003E0579"/>
    <w:rsid w:val="003E1863"/>
    <w:rsid w:val="003F6938"/>
    <w:rsid w:val="00406171"/>
    <w:rsid w:val="00410299"/>
    <w:rsid w:val="0042281E"/>
    <w:rsid w:val="004328A0"/>
    <w:rsid w:val="00437E6F"/>
    <w:rsid w:val="00441942"/>
    <w:rsid w:val="00446AB8"/>
    <w:rsid w:val="00457454"/>
    <w:rsid w:val="00481446"/>
    <w:rsid w:val="00481AC9"/>
    <w:rsid w:val="00485DF2"/>
    <w:rsid w:val="004A1711"/>
    <w:rsid w:val="004A57F3"/>
    <w:rsid w:val="004A60CE"/>
    <w:rsid w:val="004B3DC9"/>
    <w:rsid w:val="004B6D24"/>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1022"/>
    <w:rsid w:val="00533801"/>
    <w:rsid w:val="00543341"/>
    <w:rsid w:val="00551B6E"/>
    <w:rsid w:val="00551CF6"/>
    <w:rsid w:val="00586075"/>
    <w:rsid w:val="0058712E"/>
    <w:rsid w:val="0059222F"/>
    <w:rsid w:val="005949B6"/>
    <w:rsid w:val="005956B7"/>
    <w:rsid w:val="005A5561"/>
    <w:rsid w:val="005C1CA2"/>
    <w:rsid w:val="005C39F5"/>
    <w:rsid w:val="005C5052"/>
    <w:rsid w:val="005D78CC"/>
    <w:rsid w:val="005E2B6C"/>
    <w:rsid w:val="005F01C7"/>
    <w:rsid w:val="005F3B9A"/>
    <w:rsid w:val="005F7F3F"/>
    <w:rsid w:val="00601065"/>
    <w:rsid w:val="006018FA"/>
    <w:rsid w:val="006101AF"/>
    <w:rsid w:val="0061033A"/>
    <w:rsid w:val="0061657B"/>
    <w:rsid w:val="00617D51"/>
    <w:rsid w:val="00635984"/>
    <w:rsid w:val="0063699D"/>
    <w:rsid w:val="0063783B"/>
    <w:rsid w:val="0064695C"/>
    <w:rsid w:val="00646D58"/>
    <w:rsid w:val="00654CF2"/>
    <w:rsid w:val="0066134A"/>
    <w:rsid w:val="0066252D"/>
    <w:rsid w:val="00671D59"/>
    <w:rsid w:val="00690EA9"/>
    <w:rsid w:val="00691EC0"/>
    <w:rsid w:val="00696D57"/>
    <w:rsid w:val="00697E37"/>
    <w:rsid w:val="006B27B4"/>
    <w:rsid w:val="006B62F2"/>
    <w:rsid w:val="006D3573"/>
    <w:rsid w:val="006D4828"/>
    <w:rsid w:val="006E4C66"/>
    <w:rsid w:val="006F16CA"/>
    <w:rsid w:val="006F375E"/>
    <w:rsid w:val="006F41A3"/>
    <w:rsid w:val="006F47FA"/>
    <w:rsid w:val="00701F0C"/>
    <w:rsid w:val="0070362F"/>
    <w:rsid w:val="00705DBB"/>
    <w:rsid w:val="00711011"/>
    <w:rsid w:val="00715F12"/>
    <w:rsid w:val="007202AB"/>
    <w:rsid w:val="00720BF1"/>
    <w:rsid w:val="00734E40"/>
    <w:rsid w:val="00743E11"/>
    <w:rsid w:val="00752D5F"/>
    <w:rsid w:val="00770D2E"/>
    <w:rsid w:val="00774489"/>
    <w:rsid w:val="007763F6"/>
    <w:rsid w:val="00785B3B"/>
    <w:rsid w:val="007938D6"/>
    <w:rsid w:val="00794A25"/>
    <w:rsid w:val="007A096A"/>
    <w:rsid w:val="007A3B89"/>
    <w:rsid w:val="007A3EF2"/>
    <w:rsid w:val="007AD170"/>
    <w:rsid w:val="007B4B9B"/>
    <w:rsid w:val="007C0317"/>
    <w:rsid w:val="007C29BF"/>
    <w:rsid w:val="007C40BC"/>
    <w:rsid w:val="007C42CF"/>
    <w:rsid w:val="007D5EE0"/>
    <w:rsid w:val="007D7154"/>
    <w:rsid w:val="007D750C"/>
    <w:rsid w:val="007E2B81"/>
    <w:rsid w:val="007F22D4"/>
    <w:rsid w:val="00807DE0"/>
    <w:rsid w:val="0082194B"/>
    <w:rsid w:val="0082540F"/>
    <w:rsid w:val="008336B2"/>
    <w:rsid w:val="008341BC"/>
    <w:rsid w:val="0084478B"/>
    <w:rsid w:val="00847015"/>
    <w:rsid w:val="0085292D"/>
    <w:rsid w:val="00856E50"/>
    <w:rsid w:val="0086443C"/>
    <w:rsid w:val="0087078E"/>
    <w:rsid w:val="00871A60"/>
    <w:rsid w:val="00876BE1"/>
    <w:rsid w:val="00893E4C"/>
    <w:rsid w:val="00895A89"/>
    <w:rsid w:val="008A039F"/>
    <w:rsid w:val="008A4DA4"/>
    <w:rsid w:val="008A5F51"/>
    <w:rsid w:val="008B189F"/>
    <w:rsid w:val="008B2B1E"/>
    <w:rsid w:val="008B67BA"/>
    <w:rsid w:val="008C347C"/>
    <w:rsid w:val="008C4A94"/>
    <w:rsid w:val="008D4111"/>
    <w:rsid w:val="008E4937"/>
    <w:rsid w:val="009012D3"/>
    <w:rsid w:val="00905F4D"/>
    <w:rsid w:val="00914043"/>
    <w:rsid w:val="00916ECA"/>
    <w:rsid w:val="00933D4B"/>
    <w:rsid w:val="00934EBB"/>
    <w:rsid w:val="00960582"/>
    <w:rsid w:val="00972B6B"/>
    <w:rsid w:val="0097623A"/>
    <w:rsid w:val="009772DF"/>
    <w:rsid w:val="00986A1B"/>
    <w:rsid w:val="009901B6"/>
    <w:rsid w:val="009970CC"/>
    <w:rsid w:val="009A0AFE"/>
    <w:rsid w:val="009B0D88"/>
    <w:rsid w:val="009B4BB1"/>
    <w:rsid w:val="009B6BB1"/>
    <w:rsid w:val="009D7BCE"/>
    <w:rsid w:val="009E147C"/>
    <w:rsid w:val="009E7000"/>
    <w:rsid w:val="009F4E1B"/>
    <w:rsid w:val="009F733A"/>
    <w:rsid w:val="00A05123"/>
    <w:rsid w:val="00A06A66"/>
    <w:rsid w:val="00A103BE"/>
    <w:rsid w:val="00A229AD"/>
    <w:rsid w:val="00A234FD"/>
    <w:rsid w:val="00A25CBC"/>
    <w:rsid w:val="00A263F6"/>
    <w:rsid w:val="00A26601"/>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1A7A"/>
    <w:rsid w:val="00AB6493"/>
    <w:rsid w:val="00AC002B"/>
    <w:rsid w:val="00AC14FF"/>
    <w:rsid w:val="00AC368F"/>
    <w:rsid w:val="00AE0C61"/>
    <w:rsid w:val="00AE2088"/>
    <w:rsid w:val="00AE436A"/>
    <w:rsid w:val="00AF57EC"/>
    <w:rsid w:val="00AF5FDB"/>
    <w:rsid w:val="00B11CB8"/>
    <w:rsid w:val="00B2662F"/>
    <w:rsid w:val="00B3228E"/>
    <w:rsid w:val="00B336D2"/>
    <w:rsid w:val="00B42AA0"/>
    <w:rsid w:val="00B47373"/>
    <w:rsid w:val="00B50AEE"/>
    <w:rsid w:val="00B52005"/>
    <w:rsid w:val="00B61E0C"/>
    <w:rsid w:val="00B62348"/>
    <w:rsid w:val="00B63A91"/>
    <w:rsid w:val="00B66C11"/>
    <w:rsid w:val="00B77150"/>
    <w:rsid w:val="00B831A0"/>
    <w:rsid w:val="00B86FAF"/>
    <w:rsid w:val="00BA1623"/>
    <w:rsid w:val="00BA6125"/>
    <w:rsid w:val="00BB1CA2"/>
    <w:rsid w:val="00BB427C"/>
    <w:rsid w:val="00BB45AB"/>
    <w:rsid w:val="00BB6D82"/>
    <w:rsid w:val="00BC0577"/>
    <w:rsid w:val="00BC6770"/>
    <w:rsid w:val="00BD163B"/>
    <w:rsid w:val="00BD4BBE"/>
    <w:rsid w:val="00BE7CD9"/>
    <w:rsid w:val="00BF47C0"/>
    <w:rsid w:val="00C10E1D"/>
    <w:rsid w:val="00C231DD"/>
    <w:rsid w:val="00C26086"/>
    <w:rsid w:val="00C43DE6"/>
    <w:rsid w:val="00C507FB"/>
    <w:rsid w:val="00C53228"/>
    <w:rsid w:val="00C608B0"/>
    <w:rsid w:val="00C61FAA"/>
    <w:rsid w:val="00C75004"/>
    <w:rsid w:val="00C75AE9"/>
    <w:rsid w:val="00C819A0"/>
    <w:rsid w:val="00C93A35"/>
    <w:rsid w:val="00CB4ACA"/>
    <w:rsid w:val="00CB6EA7"/>
    <w:rsid w:val="00CC7597"/>
    <w:rsid w:val="00CD6F79"/>
    <w:rsid w:val="00CD7B50"/>
    <w:rsid w:val="00CF0490"/>
    <w:rsid w:val="00CF116D"/>
    <w:rsid w:val="00CF253B"/>
    <w:rsid w:val="00CF3EFA"/>
    <w:rsid w:val="00CF6323"/>
    <w:rsid w:val="00D00803"/>
    <w:rsid w:val="00D07124"/>
    <w:rsid w:val="00D13DCB"/>
    <w:rsid w:val="00D162D1"/>
    <w:rsid w:val="00D22C1B"/>
    <w:rsid w:val="00D23D3E"/>
    <w:rsid w:val="00D27190"/>
    <w:rsid w:val="00D32ACE"/>
    <w:rsid w:val="00D54BBE"/>
    <w:rsid w:val="00D56044"/>
    <w:rsid w:val="00D61E71"/>
    <w:rsid w:val="00D62225"/>
    <w:rsid w:val="00D721B9"/>
    <w:rsid w:val="00D74D78"/>
    <w:rsid w:val="00D74FFB"/>
    <w:rsid w:val="00D80A15"/>
    <w:rsid w:val="00D83401"/>
    <w:rsid w:val="00D92A41"/>
    <w:rsid w:val="00DA0AEF"/>
    <w:rsid w:val="00DB2497"/>
    <w:rsid w:val="00DB5DDE"/>
    <w:rsid w:val="00DC350E"/>
    <w:rsid w:val="00DC45DF"/>
    <w:rsid w:val="00DC5411"/>
    <w:rsid w:val="00DD0D84"/>
    <w:rsid w:val="00DD29EF"/>
    <w:rsid w:val="00DD60E7"/>
    <w:rsid w:val="00DD78BF"/>
    <w:rsid w:val="00DF0940"/>
    <w:rsid w:val="00DF17DC"/>
    <w:rsid w:val="00DF1B4E"/>
    <w:rsid w:val="00DF34A0"/>
    <w:rsid w:val="00DF3BDB"/>
    <w:rsid w:val="00E00936"/>
    <w:rsid w:val="00E01E77"/>
    <w:rsid w:val="00E041AC"/>
    <w:rsid w:val="00E04BF0"/>
    <w:rsid w:val="00E13B2A"/>
    <w:rsid w:val="00E3305D"/>
    <w:rsid w:val="00E446E6"/>
    <w:rsid w:val="00E4627B"/>
    <w:rsid w:val="00E5645D"/>
    <w:rsid w:val="00E61EE1"/>
    <w:rsid w:val="00E63058"/>
    <w:rsid w:val="00E7611E"/>
    <w:rsid w:val="00E83D56"/>
    <w:rsid w:val="00E83D68"/>
    <w:rsid w:val="00E87C87"/>
    <w:rsid w:val="00E91339"/>
    <w:rsid w:val="00EA3ED2"/>
    <w:rsid w:val="00EA7234"/>
    <w:rsid w:val="00ED091E"/>
    <w:rsid w:val="00ED3A60"/>
    <w:rsid w:val="00ED5E78"/>
    <w:rsid w:val="00EE21A0"/>
    <w:rsid w:val="00EF0AA1"/>
    <w:rsid w:val="00EF1286"/>
    <w:rsid w:val="00EF24DE"/>
    <w:rsid w:val="00EF48E1"/>
    <w:rsid w:val="00F03DBE"/>
    <w:rsid w:val="00F041C0"/>
    <w:rsid w:val="00F14023"/>
    <w:rsid w:val="00F2798F"/>
    <w:rsid w:val="00F45311"/>
    <w:rsid w:val="00F471F2"/>
    <w:rsid w:val="00F52988"/>
    <w:rsid w:val="00F55F4A"/>
    <w:rsid w:val="00F61389"/>
    <w:rsid w:val="00F61636"/>
    <w:rsid w:val="00F70CBA"/>
    <w:rsid w:val="00F721AD"/>
    <w:rsid w:val="00F75A7D"/>
    <w:rsid w:val="00FA3F8F"/>
    <w:rsid w:val="00FB5F73"/>
    <w:rsid w:val="00FC222D"/>
    <w:rsid w:val="00FC65FA"/>
    <w:rsid w:val="00FC6B0C"/>
    <w:rsid w:val="00FD3FFC"/>
    <w:rsid w:val="00FE2F89"/>
    <w:rsid w:val="00FE4369"/>
    <w:rsid w:val="00FE7438"/>
    <w:rsid w:val="00FF33F4"/>
    <w:rsid w:val="00FF3935"/>
    <w:rsid w:val="018C4335"/>
    <w:rsid w:val="02F90BC0"/>
    <w:rsid w:val="067B7878"/>
    <w:rsid w:val="0743229B"/>
    <w:rsid w:val="124AD966"/>
    <w:rsid w:val="14E8810C"/>
    <w:rsid w:val="1858F9E7"/>
    <w:rsid w:val="19A0C5F2"/>
    <w:rsid w:val="20772071"/>
    <w:rsid w:val="20AC6C48"/>
    <w:rsid w:val="22EA8615"/>
    <w:rsid w:val="2A81DE1C"/>
    <w:rsid w:val="2FC88668"/>
    <w:rsid w:val="3105B476"/>
    <w:rsid w:val="33A3A1F5"/>
    <w:rsid w:val="39182606"/>
    <w:rsid w:val="3D4DF372"/>
    <w:rsid w:val="3FB56226"/>
    <w:rsid w:val="40522F85"/>
    <w:rsid w:val="428C0082"/>
    <w:rsid w:val="46595BE1"/>
    <w:rsid w:val="46C9E3F9"/>
    <w:rsid w:val="472E472E"/>
    <w:rsid w:val="49C11467"/>
    <w:rsid w:val="4A9BBBE9"/>
    <w:rsid w:val="4AB4E472"/>
    <w:rsid w:val="4B74EA26"/>
    <w:rsid w:val="4E225897"/>
    <w:rsid w:val="4F06FF3F"/>
    <w:rsid w:val="521BF566"/>
    <w:rsid w:val="52311AB7"/>
    <w:rsid w:val="5741A308"/>
    <w:rsid w:val="586F42EA"/>
    <w:rsid w:val="5B0D1ABA"/>
    <w:rsid w:val="5E411BB0"/>
    <w:rsid w:val="5EA3631A"/>
    <w:rsid w:val="631B8FE8"/>
    <w:rsid w:val="665FF30D"/>
    <w:rsid w:val="66B59554"/>
    <w:rsid w:val="6F054419"/>
    <w:rsid w:val="6F33CA9A"/>
    <w:rsid w:val="71E0F814"/>
    <w:rsid w:val="728EB5EB"/>
    <w:rsid w:val="72CD9054"/>
    <w:rsid w:val="736698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86DC7E"/>
  <w15:docId w15:val="{3DE04683-1DDF-4233-BF49-3C19388C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3"/>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A229AD"/>
    <w:rPr>
      <w:color w:val="605E5C"/>
      <w:shd w:val="clear" w:color="auto" w:fill="E1DFDD"/>
    </w:rPr>
  </w:style>
  <w:style w:type="paragraph" w:styleId="ListNumber">
    <w:name w:val="List Number"/>
    <w:basedOn w:val="Normal"/>
    <w:uiPriority w:val="99"/>
    <w:semiHidden/>
    <w:unhideWhenUsed/>
    <w:qFormat/>
    <w:rsid w:val="00C608B0"/>
    <w:pPr>
      <w:numPr>
        <w:numId w:val="18"/>
      </w:numPr>
      <w:spacing w:after="200"/>
    </w:pPr>
    <w:rPr>
      <w:rFonts w:asciiTheme="minorHAnsi" w:eastAsiaTheme="minorEastAsia" w:hAnsiTheme="minorHAnsi" w:cstheme="minorBidi"/>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90778717">
      <w:bodyDiv w:val="1"/>
      <w:marLeft w:val="0"/>
      <w:marRight w:val="0"/>
      <w:marTop w:val="0"/>
      <w:marBottom w:val="0"/>
      <w:divBdr>
        <w:top w:val="none" w:sz="0" w:space="0" w:color="auto"/>
        <w:left w:val="none" w:sz="0" w:space="0" w:color="auto"/>
        <w:bottom w:val="none" w:sz="0" w:space="0" w:color="auto"/>
        <w:right w:val="none" w:sz="0" w:space="0" w:color="auto"/>
      </w:divBdr>
    </w:div>
    <w:div w:id="296491574">
      <w:bodyDiv w:val="1"/>
      <w:marLeft w:val="0"/>
      <w:marRight w:val="0"/>
      <w:marTop w:val="0"/>
      <w:marBottom w:val="0"/>
      <w:divBdr>
        <w:top w:val="none" w:sz="0" w:space="0" w:color="auto"/>
        <w:left w:val="none" w:sz="0" w:space="0" w:color="auto"/>
        <w:bottom w:val="none" w:sz="0" w:space="0" w:color="auto"/>
        <w:right w:val="none" w:sz="0" w:space="0" w:color="auto"/>
      </w:divBdr>
    </w:div>
    <w:div w:id="691299324">
      <w:bodyDiv w:val="1"/>
      <w:marLeft w:val="0"/>
      <w:marRight w:val="0"/>
      <w:marTop w:val="0"/>
      <w:marBottom w:val="0"/>
      <w:divBdr>
        <w:top w:val="none" w:sz="0" w:space="0" w:color="auto"/>
        <w:left w:val="none" w:sz="0" w:space="0" w:color="auto"/>
        <w:bottom w:val="none" w:sz="0" w:space="0" w:color="auto"/>
        <w:right w:val="none" w:sz="0" w:space="0" w:color="auto"/>
      </w:divBdr>
    </w:div>
    <w:div w:id="1130519059">
      <w:bodyDiv w:val="1"/>
      <w:marLeft w:val="0"/>
      <w:marRight w:val="0"/>
      <w:marTop w:val="0"/>
      <w:marBottom w:val="0"/>
      <w:divBdr>
        <w:top w:val="none" w:sz="0" w:space="0" w:color="auto"/>
        <w:left w:val="none" w:sz="0" w:space="0" w:color="auto"/>
        <w:bottom w:val="none" w:sz="0" w:space="0" w:color="auto"/>
        <w:right w:val="none" w:sz="0" w:space="0" w:color="auto"/>
      </w:divBdr>
    </w:div>
    <w:div w:id="1244485183">
      <w:bodyDiv w:val="1"/>
      <w:marLeft w:val="0"/>
      <w:marRight w:val="0"/>
      <w:marTop w:val="0"/>
      <w:marBottom w:val="0"/>
      <w:divBdr>
        <w:top w:val="none" w:sz="0" w:space="0" w:color="auto"/>
        <w:left w:val="none" w:sz="0" w:space="0" w:color="auto"/>
        <w:bottom w:val="none" w:sz="0" w:space="0" w:color="auto"/>
        <w:right w:val="none" w:sz="0" w:space="0" w:color="auto"/>
      </w:divBdr>
    </w:div>
    <w:div w:id="1603953812">
      <w:bodyDiv w:val="1"/>
      <w:marLeft w:val="0"/>
      <w:marRight w:val="0"/>
      <w:marTop w:val="0"/>
      <w:marBottom w:val="0"/>
      <w:divBdr>
        <w:top w:val="none" w:sz="0" w:space="0" w:color="auto"/>
        <w:left w:val="none" w:sz="0" w:space="0" w:color="auto"/>
        <w:bottom w:val="none" w:sz="0" w:space="0" w:color="auto"/>
        <w:right w:val="none" w:sz="0" w:space="0" w:color="auto"/>
      </w:divBdr>
    </w:div>
    <w:div w:id="17668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ib.org.uk/Pages/Home.aspx" TargetMode="External"/><Relationship Id="rId18" Type="http://schemas.openxmlformats.org/officeDocument/2006/relationships/hyperlink" Target="http://www.accessible-digital-document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lf.org.uk/Pages/Home.aspx" TargetMode="External"/><Relationship Id="rId17" Type="http://schemas.openxmlformats.org/officeDocument/2006/relationships/hyperlink" Target="http://webacc.shaw-trust.org.uk/" TargetMode="External"/><Relationship Id="rId2" Type="http://schemas.openxmlformats.org/officeDocument/2006/relationships/customXml" Target="../customXml/item2.xml"/><Relationship Id="rId16" Type="http://schemas.openxmlformats.org/officeDocument/2006/relationships/hyperlink" Target="https://www.gov.uk/guidance/how-to-publish-on-gov-uk/accessible-pdf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ie.Mcgarrigle@heritagefund.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ebaim.org/techniques/wor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lf.org.uk/grantholders/acknowledgement/Pages/Logosandacknowledgement.aspx"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isp\Desktop\Template%20Brief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78C589A8AFB45B9D8C3829DB73F27" ma:contentTypeVersion="13" ma:contentTypeDescription="Create a new document." ma:contentTypeScope="" ma:versionID="1f5beb687716d95bd62e381ffd7b7137">
  <xsd:schema xmlns:xsd="http://www.w3.org/2001/XMLSchema" xmlns:xs="http://www.w3.org/2001/XMLSchema" xmlns:p="http://schemas.microsoft.com/office/2006/metadata/properties" xmlns:ns3="c8c967ee-e41f-4bf4-a8e9-2bf560bab313" xmlns:ns4="17a0f8b4-c3b8-4c33-ae78-8094674b929f" targetNamespace="http://schemas.microsoft.com/office/2006/metadata/properties" ma:root="true" ma:fieldsID="83646a13ba5c21e7717cb045ff34d318" ns3:_="" ns4:_="">
    <xsd:import namespace="c8c967ee-e41f-4bf4-a8e9-2bf560bab313"/>
    <xsd:import namespace="17a0f8b4-c3b8-4c33-ae78-8094674b92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67ee-e41f-4bf4-a8e9-2bf560ba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0f8b4-c3b8-4c33-ae78-8094674b92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8B9DC-1EB7-4328-B023-E748867CD48B}">
  <ds:schemaRefs>
    <ds:schemaRef ds:uri="http://schemas.openxmlformats.org/officeDocument/2006/bibliography"/>
  </ds:schemaRefs>
</ds:datastoreItem>
</file>

<file path=customXml/itemProps2.xml><?xml version="1.0" encoding="utf-8"?>
<ds:datastoreItem xmlns:ds="http://schemas.openxmlformats.org/officeDocument/2006/customXml" ds:itemID="{F86A56F9-6DDA-497F-92D2-1A1873A05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D1596C-C36F-4B45-BE18-EB0D338D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967ee-e41f-4bf4-a8e9-2bf560bab313"/>
    <ds:schemaRef ds:uri="17a0f8b4-c3b8-4c33-ae78-8094674b9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F3445-3282-4A5E-B950-ACBA5CE16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Brief_accessible.dotx</Template>
  <TotalTime>0</TotalTime>
  <Pages>9</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7</cp:revision>
  <cp:lastPrinted>2012-10-15T14:38:00Z</cp:lastPrinted>
  <dcterms:created xsi:type="dcterms:W3CDTF">2021-09-20T15:20:00Z</dcterms:created>
  <dcterms:modified xsi:type="dcterms:W3CDTF">2021-09-30T11:35:00Z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0x01010069378C589A8AFB45B9D8C3829DB73F27</vt:lpwstr>
  </property>
  <property fmtid="{D5CDD505-2E9C-101B-9397-08002B2CF9AE}" pid="3" name="MSIP_Label_ff78e5dd-8e6f-4dda-9e9f-f996b0ed9132_Enabled">
    <vt:lpwstr>true</vt:lpwstr>
  </property>
  <property fmtid="{D5CDD505-2E9C-101B-9397-08002B2CF9AE}" pid="4" name="MSIP_Label_ff78e5dd-8e6f-4dda-9e9f-f996b0ed9132_SetDate">
    <vt:lpwstr>2021-09-30T11:20:51Z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cd8372a7-325e-4882-b6ef-f552fafc8eae</vt:lpwstr>
  </property>
  <property fmtid="{D5CDD505-2E9C-101B-9397-08002B2CF9AE}" pid="9" name="MSIP_Label_ff78e5dd-8e6f-4dda-9e9f-f996b0ed9132_ContentBits">
    <vt:lpwstr>0</vt:lpwstr>
  </property>
</Properties>
</file>