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3680A" w14:textId="7A5D5708" w:rsidR="00475FD9" w:rsidRPr="00EE5AE1" w:rsidRDefault="00475FD9" w:rsidP="00475FD9">
      <w:pPr>
        <w:pStyle w:val="Chapter"/>
      </w:pPr>
      <w:bookmarkStart w:id="0" w:name="_Toc439113"/>
      <w:bookmarkStart w:id="1" w:name="_Toc278544909"/>
      <w:bookmarkStart w:id="2" w:name="_GoBack"/>
      <w:bookmarkEnd w:id="2"/>
      <w:r>
        <w:t>Service Description</w:t>
      </w:r>
      <w:bookmarkEnd w:id="0"/>
    </w:p>
    <w:p w14:paraId="263B1BC7" w14:textId="77777777" w:rsidR="00475FD9" w:rsidRDefault="00475FD9" w:rsidP="00FA5229">
      <w:pPr>
        <w:pStyle w:val="bodystrongcentred"/>
        <w:rPr>
          <w:rFonts w:ascii="Calibri" w:hAnsi="Calibri"/>
        </w:rPr>
      </w:pPr>
    </w:p>
    <w:p w14:paraId="44A57A75" w14:textId="77777777" w:rsidR="00910C2D" w:rsidRDefault="00910C2D" w:rsidP="00910C2D">
      <w:pPr>
        <w:pStyle w:val="bodystrongcentred"/>
        <w:jc w:val="left"/>
        <w:rPr>
          <w:rStyle w:val="Emphasis"/>
        </w:rPr>
      </w:pPr>
    </w:p>
    <w:p w14:paraId="1B57BA31" w14:textId="77777777" w:rsidR="00FA5229" w:rsidRDefault="00FA5229" w:rsidP="00910C2D">
      <w:pPr>
        <w:pStyle w:val="bodystrongcentred"/>
        <w:jc w:val="left"/>
        <w:rPr>
          <w:rStyle w:val="Emphasis"/>
        </w:rPr>
      </w:pPr>
      <w:r w:rsidRPr="00910C2D">
        <w:rPr>
          <w:rStyle w:val="Emphasis"/>
        </w:rPr>
        <w:t>CONTENTS</w:t>
      </w:r>
    </w:p>
    <w:p w14:paraId="0F8E9B8E" w14:textId="77777777" w:rsidR="00910C2D" w:rsidRPr="00910C2D" w:rsidRDefault="00910C2D" w:rsidP="00910C2D">
      <w:pPr>
        <w:pStyle w:val="bodystrongcentred"/>
        <w:jc w:val="left"/>
        <w:rPr>
          <w:rStyle w:val="Emphasis"/>
        </w:rPr>
      </w:pPr>
    </w:p>
    <w:p w14:paraId="6CF26170" w14:textId="77777777" w:rsidR="00FA5229" w:rsidRPr="00B3136B" w:rsidRDefault="00FA5229" w:rsidP="00FA5229">
      <w:pPr>
        <w:rPr>
          <w:rFonts w:ascii="Calibri" w:hAnsi="Calibri"/>
        </w:rPr>
      </w:pPr>
    </w:p>
    <w:p w14:paraId="093E7CDE" w14:textId="4C0BEEDF" w:rsidR="00E82C1F"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439113" w:history="1">
        <w:r w:rsidR="00E82C1F" w:rsidRPr="008C727A">
          <w:rPr>
            <w:rStyle w:val="Hyperlink"/>
            <w:noProof/>
          </w:rPr>
          <w:t>Service Description</w:t>
        </w:r>
        <w:r w:rsidR="00E82C1F">
          <w:rPr>
            <w:noProof/>
            <w:webHidden/>
          </w:rPr>
          <w:tab/>
        </w:r>
        <w:r w:rsidR="00E82C1F">
          <w:rPr>
            <w:noProof/>
            <w:webHidden/>
          </w:rPr>
          <w:fldChar w:fldCharType="begin"/>
        </w:r>
        <w:r w:rsidR="00E82C1F">
          <w:rPr>
            <w:noProof/>
            <w:webHidden/>
          </w:rPr>
          <w:instrText xml:space="preserve"> PAGEREF _Toc439113 \h </w:instrText>
        </w:r>
        <w:r w:rsidR="00E82C1F">
          <w:rPr>
            <w:noProof/>
            <w:webHidden/>
          </w:rPr>
        </w:r>
        <w:r w:rsidR="00E82C1F">
          <w:rPr>
            <w:noProof/>
            <w:webHidden/>
          </w:rPr>
          <w:fldChar w:fldCharType="separate"/>
        </w:r>
        <w:r w:rsidR="00E82C1F">
          <w:rPr>
            <w:noProof/>
            <w:webHidden/>
          </w:rPr>
          <w:t>1</w:t>
        </w:r>
        <w:r w:rsidR="00E82C1F">
          <w:rPr>
            <w:noProof/>
            <w:webHidden/>
          </w:rPr>
          <w:fldChar w:fldCharType="end"/>
        </w:r>
      </w:hyperlink>
    </w:p>
    <w:p w14:paraId="3D48F9C9" w14:textId="3BCC08E7" w:rsidR="00E82C1F" w:rsidRDefault="00A2528A">
      <w:pPr>
        <w:pStyle w:val="TOC1"/>
        <w:rPr>
          <w:rFonts w:asciiTheme="minorHAnsi" w:eastAsiaTheme="minorEastAsia" w:hAnsiTheme="minorHAnsi" w:cstheme="minorBidi"/>
          <w:caps w:val="0"/>
          <w:noProof/>
          <w:sz w:val="22"/>
          <w:lang w:eastAsia="en-GB"/>
        </w:rPr>
      </w:pPr>
      <w:hyperlink w:anchor="_Toc439114" w:history="1">
        <w:r w:rsidR="00E82C1F" w:rsidRPr="008C727A">
          <w:rPr>
            <w:rStyle w:val="Hyperlink"/>
            <w:noProof/>
          </w:rPr>
          <w:t>1.</w:t>
        </w:r>
        <w:r w:rsidR="00E82C1F">
          <w:rPr>
            <w:rFonts w:asciiTheme="minorHAnsi" w:eastAsiaTheme="minorEastAsia" w:hAnsiTheme="minorHAnsi" w:cstheme="minorBidi"/>
            <w:caps w:val="0"/>
            <w:noProof/>
            <w:sz w:val="22"/>
            <w:lang w:eastAsia="en-GB"/>
          </w:rPr>
          <w:tab/>
        </w:r>
        <w:r w:rsidR="00E82C1F" w:rsidRPr="008C727A">
          <w:rPr>
            <w:rStyle w:val="Hyperlink"/>
            <w:noProof/>
          </w:rPr>
          <w:t>INTRODUCTION</w:t>
        </w:r>
        <w:r w:rsidR="00E82C1F">
          <w:rPr>
            <w:noProof/>
            <w:webHidden/>
          </w:rPr>
          <w:tab/>
        </w:r>
        <w:r w:rsidR="00E82C1F">
          <w:rPr>
            <w:noProof/>
            <w:webHidden/>
          </w:rPr>
          <w:fldChar w:fldCharType="begin"/>
        </w:r>
        <w:r w:rsidR="00E82C1F">
          <w:rPr>
            <w:noProof/>
            <w:webHidden/>
          </w:rPr>
          <w:instrText xml:space="preserve"> PAGEREF _Toc439114 \h </w:instrText>
        </w:r>
        <w:r w:rsidR="00E82C1F">
          <w:rPr>
            <w:noProof/>
            <w:webHidden/>
          </w:rPr>
        </w:r>
        <w:r w:rsidR="00E82C1F">
          <w:rPr>
            <w:noProof/>
            <w:webHidden/>
          </w:rPr>
          <w:fldChar w:fldCharType="separate"/>
        </w:r>
        <w:r w:rsidR="00E82C1F">
          <w:rPr>
            <w:noProof/>
            <w:webHidden/>
          </w:rPr>
          <w:t>2</w:t>
        </w:r>
        <w:r w:rsidR="00E82C1F">
          <w:rPr>
            <w:noProof/>
            <w:webHidden/>
          </w:rPr>
          <w:fldChar w:fldCharType="end"/>
        </w:r>
      </w:hyperlink>
    </w:p>
    <w:p w14:paraId="33A36325" w14:textId="06D1E256" w:rsidR="00E82C1F" w:rsidRDefault="00A2528A">
      <w:pPr>
        <w:pStyle w:val="TOC1"/>
        <w:rPr>
          <w:rFonts w:asciiTheme="minorHAnsi" w:eastAsiaTheme="minorEastAsia" w:hAnsiTheme="minorHAnsi" w:cstheme="minorBidi"/>
          <w:caps w:val="0"/>
          <w:noProof/>
          <w:sz w:val="22"/>
          <w:lang w:eastAsia="en-GB"/>
        </w:rPr>
      </w:pPr>
      <w:hyperlink w:anchor="_Toc439115" w:history="1">
        <w:r w:rsidR="00E82C1F" w:rsidRPr="008C727A">
          <w:rPr>
            <w:rStyle w:val="Hyperlink"/>
            <w:noProof/>
          </w:rPr>
          <w:t>2.</w:t>
        </w:r>
        <w:r w:rsidR="00E82C1F">
          <w:rPr>
            <w:rFonts w:asciiTheme="minorHAnsi" w:eastAsiaTheme="minorEastAsia" w:hAnsiTheme="minorHAnsi" w:cstheme="minorBidi"/>
            <w:caps w:val="0"/>
            <w:noProof/>
            <w:sz w:val="22"/>
            <w:lang w:eastAsia="en-GB"/>
          </w:rPr>
          <w:tab/>
        </w:r>
        <w:r w:rsidR="00E82C1F" w:rsidRPr="008C727A">
          <w:rPr>
            <w:rStyle w:val="Hyperlink"/>
            <w:noProof/>
          </w:rPr>
          <w:t>PURPOSE</w:t>
        </w:r>
        <w:r w:rsidR="00E82C1F">
          <w:rPr>
            <w:noProof/>
            <w:webHidden/>
          </w:rPr>
          <w:tab/>
        </w:r>
        <w:r w:rsidR="00E82C1F">
          <w:rPr>
            <w:noProof/>
            <w:webHidden/>
          </w:rPr>
          <w:fldChar w:fldCharType="begin"/>
        </w:r>
        <w:r w:rsidR="00E82C1F">
          <w:rPr>
            <w:noProof/>
            <w:webHidden/>
          </w:rPr>
          <w:instrText xml:space="preserve"> PAGEREF _Toc439115 \h </w:instrText>
        </w:r>
        <w:r w:rsidR="00E82C1F">
          <w:rPr>
            <w:noProof/>
            <w:webHidden/>
          </w:rPr>
        </w:r>
        <w:r w:rsidR="00E82C1F">
          <w:rPr>
            <w:noProof/>
            <w:webHidden/>
          </w:rPr>
          <w:fldChar w:fldCharType="separate"/>
        </w:r>
        <w:r w:rsidR="00E82C1F">
          <w:rPr>
            <w:noProof/>
            <w:webHidden/>
          </w:rPr>
          <w:t>2</w:t>
        </w:r>
        <w:r w:rsidR="00E82C1F">
          <w:rPr>
            <w:noProof/>
            <w:webHidden/>
          </w:rPr>
          <w:fldChar w:fldCharType="end"/>
        </w:r>
      </w:hyperlink>
    </w:p>
    <w:p w14:paraId="1E1F5517" w14:textId="57CF0B95" w:rsidR="00E82C1F" w:rsidRDefault="00A2528A">
      <w:pPr>
        <w:pStyle w:val="TOC1"/>
        <w:rPr>
          <w:rFonts w:asciiTheme="minorHAnsi" w:eastAsiaTheme="minorEastAsia" w:hAnsiTheme="minorHAnsi" w:cstheme="minorBidi"/>
          <w:caps w:val="0"/>
          <w:noProof/>
          <w:sz w:val="22"/>
          <w:lang w:eastAsia="en-GB"/>
        </w:rPr>
      </w:pPr>
      <w:hyperlink w:anchor="_Toc439116" w:history="1">
        <w:r w:rsidR="00E82C1F" w:rsidRPr="008C727A">
          <w:rPr>
            <w:rStyle w:val="Hyperlink"/>
            <w:noProof/>
          </w:rPr>
          <w:t>3.</w:t>
        </w:r>
        <w:r w:rsidR="00E82C1F">
          <w:rPr>
            <w:rFonts w:asciiTheme="minorHAnsi" w:eastAsiaTheme="minorEastAsia" w:hAnsiTheme="minorHAnsi" w:cstheme="minorBidi"/>
            <w:caps w:val="0"/>
            <w:noProof/>
            <w:sz w:val="22"/>
            <w:lang w:eastAsia="en-GB"/>
          </w:rPr>
          <w:tab/>
        </w:r>
        <w:r w:rsidR="00E82C1F" w:rsidRPr="008C727A">
          <w:rPr>
            <w:rStyle w:val="Hyperlink"/>
            <w:noProof/>
          </w:rPr>
          <w:t>background</w:t>
        </w:r>
        <w:r w:rsidR="00E82C1F">
          <w:rPr>
            <w:noProof/>
            <w:webHidden/>
          </w:rPr>
          <w:tab/>
        </w:r>
        <w:r w:rsidR="00E82C1F">
          <w:rPr>
            <w:noProof/>
            <w:webHidden/>
          </w:rPr>
          <w:fldChar w:fldCharType="begin"/>
        </w:r>
        <w:r w:rsidR="00E82C1F">
          <w:rPr>
            <w:noProof/>
            <w:webHidden/>
          </w:rPr>
          <w:instrText xml:space="preserve"> PAGEREF _Toc439116 \h </w:instrText>
        </w:r>
        <w:r w:rsidR="00E82C1F">
          <w:rPr>
            <w:noProof/>
            <w:webHidden/>
          </w:rPr>
        </w:r>
        <w:r w:rsidR="00E82C1F">
          <w:rPr>
            <w:noProof/>
            <w:webHidden/>
          </w:rPr>
          <w:fldChar w:fldCharType="separate"/>
        </w:r>
        <w:r w:rsidR="00E82C1F">
          <w:rPr>
            <w:noProof/>
            <w:webHidden/>
          </w:rPr>
          <w:t>2</w:t>
        </w:r>
        <w:r w:rsidR="00E82C1F">
          <w:rPr>
            <w:noProof/>
            <w:webHidden/>
          </w:rPr>
          <w:fldChar w:fldCharType="end"/>
        </w:r>
      </w:hyperlink>
    </w:p>
    <w:p w14:paraId="3310143F" w14:textId="5640F631" w:rsidR="00E82C1F" w:rsidRDefault="00A2528A">
      <w:pPr>
        <w:pStyle w:val="TOC1"/>
        <w:rPr>
          <w:rFonts w:asciiTheme="minorHAnsi" w:eastAsiaTheme="minorEastAsia" w:hAnsiTheme="minorHAnsi" w:cstheme="minorBidi"/>
          <w:caps w:val="0"/>
          <w:noProof/>
          <w:sz w:val="22"/>
          <w:lang w:eastAsia="en-GB"/>
        </w:rPr>
      </w:pPr>
      <w:hyperlink w:anchor="_Toc439117" w:history="1">
        <w:r w:rsidR="00E82C1F" w:rsidRPr="008C727A">
          <w:rPr>
            <w:rStyle w:val="Hyperlink"/>
            <w:noProof/>
          </w:rPr>
          <w:t>4.</w:t>
        </w:r>
        <w:r w:rsidR="00E82C1F">
          <w:rPr>
            <w:rFonts w:asciiTheme="minorHAnsi" w:eastAsiaTheme="minorEastAsia" w:hAnsiTheme="minorHAnsi" w:cstheme="minorBidi"/>
            <w:caps w:val="0"/>
            <w:noProof/>
            <w:sz w:val="22"/>
            <w:lang w:eastAsia="en-GB"/>
          </w:rPr>
          <w:tab/>
        </w:r>
        <w:r w:rsidR="00E82C1F" w:rsidRPr="008C727A">
          <w:rPr>
            <w:rStyle w:val="Hyperlink"/>
            <w:noProof/>
          </w:rPr>
          <w:t>scope of requirement</w:t>
        </w:r>
        <w:r w:rsidR="00E82C1F">
          <w:rPr>
            <w:noProof/>
            <w:webHidden/>
          </w:rPr>
          <w:tab/>
        </w:r>
        <w:r w:rsidR="00E82C1F">
          <w:rPr>
            <w:noProof/>
            <w:webHidden/>
          </w:rPr>
          <w:fldChar w:fldCharType="begin"/>
        </w:r>
        <w:r w:rsidR="00E82C1F">
          <w:rPr>
            <w:noProof/>
            <w:webHidden/>
          </w:rPr>
          <w:instrText xml:space="preserve"> PAGEREF _Toc439117 \h </w:instrText>
        </w:r>
        <w:r w:rsidR="00E82C1F">
          <w:rPr>
            <w:noProof/>
            <w:webHidden/>
          </w:rPr>
        </w:r>
        <w:r w:rsidR="00E82C1F">
          <w:rPr>
            <w:noProof/>
            <w:webHidden/>
          </w:rPr>
          <w:fldChar w:fldCharType="separate"/>
        </w:r>
        <w:r w:rsidR="00E82C1F">
          <w:rPr>
            <w:noProof/>
            <w:webHidden/>
          </w:rPr>
          <w:t>4</w:t>
        </w:r>
        <w:r w:rsidR="00E82C1F">
          <w:rPr>
            <w:noProof/>
            <w:webHidden/>
          </w:rPr>
          <w:fldChar w:fldCharType="end"/>
        </w:r>
      </w:hyperlink>
    </w:p>
    <w:p w14:paraId="0AE573E8" w14:textId="50A3950F" w:rsidR="00E82C1F" w:rsidRDefault="00A2528A">
      <w:pPr>
        <w:pStyle w:val="TOC1"/>
        <w:rPr>
          <w:rFonts w:asciiTheme="minorHAnsi" w:eastAsiaTheme="minorEastAsia" w:hAnsiTheme="minorHAnsi" w:cstheme="minorBidi"/>
          <w:caps w:val="0"/>
          <w:noProof/>
          <w:sz w:val="22"/>
          <w:lang w:eastAsia="en-GB"/>
        </w:rPr>
      </w:pPr>
      <w:hyperlink w:anchor="_Toc439118" w:history="1">
        <w:r w:rsidR="00E82C1F" w:rsidRPr="008C727A">
          <w:rPr>
            <w:rStyle w:val="Hyperlink"/>
            <w:noProof/>
          </w:rPr>
          <w:t>5.</w:t>
        </w:r>
        <w:r w:rsidR="00E82C1F">
          <w:rPr>
            <w:rFonts w:asciiTheme="minorHAnsi" w:eastAsiaTheme="minorEastAsia" w:hAnsiTheme="minorHAnsi" w:cstheme="minorBidi"/>
            <w:caps w:val="0"/>
            <w:noProof/>
            <w:sz w:val="22"/>
            <w:lang w:eastAsia="en-GB"/>
          </w:rPr>
          <w:tab/>
        </w:r>
        <w:r w:rsidR="00E82C1F" w:rsidRPr="008C727A">
          <w:rPr>
            <w:rStyle w:val="Hyperlink"/>
            <w:noProof/>
          </w:rPr>
          <w:t>service levels and performance</w:t>
        </w:r>
        <w:r w:rsidR="00E82C1F">
          <w:rPr>
            <w:noProof/>
            <w:webHidden/>
          </w:rPr>
          <w:tab/>
        </w:r>
        <w:r w:rsidR="00E82C1F">
          <w:rPr>
            <w:noProof/>
            <w:webHidden/>
          </w:rPr>
          <w:fldChar w:fldCharType="begin"/>
        </w:r>
        <w:r w:rsidR="00E82C1F">
          <w:rPr>
            <w:noProof/>
            <w:webHidden/>
          </w:rPr>
          <w:instrText xml:space="preserve"> PAGEREF _Toc439118 \h </w:instrText>
        </w:r>
        <w:r w:rsidR="00E82C1F">
          <w:rPr>
            <w:noProof/>
            <w:webHidden/>
          </w:rPr>
        </w:r>
        <w:r w:rsidR="00E82C1F">
          <w:rPr>
            <w:noProof/>
            <w:webHidden/>
          </w:rPr>
          <w:fldChar w:fldCharType="separate"/>
        </w:r>
        <w:r w:rsidR="00E82C1F">
          <w:rPr>
            <w:noProof/>
            <w:webHidden/>
          </w:rPr>
          <w:t>6</w:t>
        </w:r>
        <w:r w:rsidR="00E82C1F">
          <w:rPr>
            <w:noProof/>
            <w:webHidden/>
          </w:rPr>
          <w:fldChar w:fldCharType="end"/>
        </w:r>
      </w:hyperlink>
    </w:p>
    <w:p w14:paraId="1F9C358B" w14:textId="28E5764C" w:rsidR="00E82C1F" w:rsidRDefault="00A2528A">
      <w:pPr>
        <w:pStyle w:val="TOC1"/>
        <w:rPr>
          <w:rFonts w:asciiTheme="minorHAnsi" w:eastAsiaTheme="minorEastAsia" w:hAnsiTheme="minorHAnsi" w:cstheme="minorBidi"/>
          <w:caps w:val="0"/>
          <w:noProof/>
          <w:sz w:val="22"/>
          <w:lang w:eastAsia="en-GB"/>
        </w:rPr>
      </w:pPr>
      <w:hyperlink w:anchor="_Toc439119" w:history="1">
        <w:r w:rsidR="00E82C1F" w:rsidRPr="008C727A">
          <w:rPr>
            <w:rStyle w:val="Hyperlink"/>
            <w:noProof/>
          </w:rPr>
          <w:t>6.</w:t>
        </w:r>
        <w:r w:rsidR="00E82C1F">
          <w:rPr>
            <w:rFonts w:asciiTheme="minorHAnsi" w:eastAsiaTheme="minorEastAsia" w:hAnsiTheme="minorHAnsi" w:cstheme="minorBidi"/>
            <w:caps w:val="0"/>
            <w:noProof/>
            <w:sz w:val="22"/>
            <w:lang w:eastAsia="en-GB"/>
          </w:rPr>
          <w:tab/>
        </w:r>
        <w:r w:rsidR="00E82C1F" w:rsidRPr="008C727A">
          <w:rPr>
            <w:rStyle w:val="Hyperlink"/>
            <w:noProof/>
          </w:rPr>
          <w:t>Security requirements</w:t>
        </w:r>
        <w:r w:rsidR="00E82C1F">
          <w:rPr>
            <w:noProof/>
            <w:webHidden/>
          </w:rPr>
          <w:tab/>
        </w:r>
        <w:r w:rsidR="00E82C1F">
          <w:rPr>
            <w:noProof/>
            <w:webHidden/>
          </w:rPr>
          <w:fldChar w:fldCharType="begin"/>
        </w:r>
        <w:r w:rsidR="00E82C1F">
          <w:rPr>
            <w:noProof/>
            <w:webHidden/>
          </w:rPr>
          <w:instrText xml:space="preserve"> PAGEREF _Toc439119 \h </w:instrText>
        </w:r>
        <w:r w:rsidR="00E82C1F">
          <w:rPr>
            <w:noProof/>
            <w:webHidden/>
          </w:rPr>
        </w:r>
        <w:r w:rsidR="00E82C1F">
          <w:rPr>
            <w:noProof/>
            <w:webHidden/>
          </w:rPr>
          <w:fldChar w:fldCharType="separate"/>
        </w:r>
        <w:r w:rsidR="00E82C1F">
          <w:rPr>
            <w:noProof/>
            <w:webHidden/>
          </w:rPr>
          <w:t>9</w:t>
        </w:r>
        <w:r w:rsidR="00E82C1F">
          <w:rPr>
            <w:noProof/>
            <w:webHidden/>
          </w:rPr>
          <w:fldChar w:fldCharType="end"/>
        </w:r>
      </w:hyperlink>
    </w:p>
    <w:p w14:paraId="46BEDA0E" w14:textId="05166647" w:rsidR="00E82C1F" w:rsidRDefault="00A2528A">
      <w:pPr>
        <w:pStyle w:val="TOC1"/>
        <w:rPr>
          <w:rFonts w:asciiTheme="minorHAnsi" w:eastAsiaTheme="minorEastAsia" w:hAnsiTheme="minorHAnsi" w:cstheme="minorBidi"/>
          <w:caps w:val="0"/>
          <w:noProof/>
          <w:sz w:val="22"/>
          <w:lang w:eastAsia="en-GB"/>
        </w:rPr>
      </w:pPr>
      <w:hyperlink w:anchor="_Toc439120" w:history="1">
        <w:r w:rsidR="00E82C1F" w:rsidRPr="008C727A">
          <w:rPr>
            <w:rStyle w:val="Hyperlink"/>
            <w:noProof/>
          </w:rPr>
          <w:t>7.</w:t>
        </w:r>
        <w:r w:rsidR="00E82C1F">
          <w:rPr>
            <w:rFonts w:asciiTheme="minorHAnsi" w:eastAsiaTheme="minorEastAsia" w:hAnsiTheme="minorHAnsi" w:cstheme="minorBidi"/>
            <w:caps w:val="0"/>
            <w:noProof/>
            <w:sz w:val="22"/>
            <w:lang w:eastAsia="en-GB"/>
          </w:rPr>
          <w:tab/>
        </w:r>
        <w:r w:rsidR="00E82C1F" w:rsidRPr="008C727A">
          <w:rPr>
            <w:rStyle w:val="Hyperlink"/>
            <w:noProof/>
          </w:rPr>
          <w:t>BUDGET</w:t>
        </w:r>
        <w:r w:rsidR="00E82C1F">
          <w:rPr>
            <w:noProof/>
            <w:webHidden/>
          </w:rPr>
          <w:tab/>
        </w:r>
        <w:r w:rsidR="00E82C1F">
          <w:rPr>
            <w:noProof/>
            <w:webHidden/>
          </w:rPr>
          <w:fldChar w:fldCharType="begin"/>
        </w:r>
        <w:r w:rsidR="00E82C1F">
          <w:rPr>
            <w:noProof/>
            <w:webHidden/>
          </w:rPr>
          <w:instrText xml:space="preserve"> PAGEREF _Toc439120 \h </w:instrText>
        </w:r>
        <w:r w:rsidR="00E82C1F">
          <w:rPr>
            <w:noProof/>
            <w:webHidden/>
          </w:rPr>
        </w:r>
        <w:r w:rsidR="00E82C1F">
          <w:rPr>
            <w:noProof/>
            <w:webHidden/>
          </w:rPr>
          <w:fldChar w:fldCharType="separate"/>
        </w:r>
        <w:r w:rsidR="00E82C1F">
          <w:rPr>
            <w:noProof/>
            <w:webHidden/>
          </w:rPr>
          <w:t>9</w:t>
        </w:r>
        <w:r w:rsidR="00E82C1F">
          <w:rPr>
            <w:noProof/>
            <w:webHidden/>
          </w:rPr>
          <w:fldChar w:fldCharType="end"/>
        </w:r>
      </w:hyperlink>
    </w:p>
    <w:p w14:paraId="511C4C67" w14:textId="0DC2E7AC"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14:paraId="45ABF4B1" w14:textId="77777777" w:rsidR="001530F5" w:rsidRPr="00910C2D" w:rsidRDefault="00FA5229" w:rsidP="00910C2D">
      <w:pPr>
        <w:pStyle w:val="Heading1"/>
      </w:pPr>
      <w:bookmarkStart w:id="3" w:name="_Toc297554772"/>
      <w:bookmarkEnd w:id="1"/>
      <w:r w:rsidRPr="00910C2D">
        <w:br w:type="page"/>
      </w:r>
      <w:bookmarkStart w:id="4" w:name="_Toc439114"/>
      <w:r w:rsidR="001530F5" w:rsidRPr="00910C2D">
        <w:lastRenderedPageBreak/>
        <w:t>INTRODUCTION</w:t>
      </w:r>
      <w:bookmarkEnd w:id="4"/>
      <w:r w:rsidR="001530F5" w:rsidRPr="00910C2D">
        <w:tab/>
      </w:r>
    </w:p>
    <w:p w14:paraId="70D70C01" w14:textId="3101212A" w:rsidR="00681033" w:rsidRDefault="00681033" w:rsidP="00681033">
      <w:pPr>
        <w:pStyle w:val="Heading2"/>
      </w:pPr>
      <w:r>
        <w:t>Ministers</w:t>
      </w:r>
      <w:r w:rsidR="00B81A0D">
        <w:t xml:space="preserve"> </w:t>
      </w:r>
      <w:r>
        <w:t>/</w:t>
      </w:r>
      <w:r w:rsidR="00B81A0D">
        <w:t xml:space="preserve"> </w:t>
      </w:r>
      <w:r w:rsidRPr="00E456B6">
        <w:t>the Department</w:t>
      </w:r>
      <w:r w:rsidR="002A17F9">
        <w:t xml:space="preserve"> of Health and Social Care (DHSC)</w:t>
      </w:r>
      <w:r w:rsidRPr="00E456B6">
        <w:t xml:space="preserve"> are responsible for making non-executive appointments to a range of </w:t>
      </w:r>
      <w:r>
        <w:t xml:space="preserve">DHSC </w:t>
      </w:r>
      <w:r w:rsidR="004B7E3C" w:rsidRPr="00E456B6">
        <w:t>A</w:t>
      </w:r>
      <w:r w:rsidR="004B7E3C">
        <w:t>rm’s Length Bodies</w:t>
      </w:r>
      <w:r w:rsidRPr="00E456B6">
        <w:t xml:space="preserve"> </w:t>
      </w:r>
      <w:r w:rsidR="00055884">
        <w:t xml:space="preserve">(ALBs) </w:t>
      </w:r>
      <w:r w:rsidRPr="00E456B6">
        <w:t>and committees.</w:t>
      </w:r>
      <w:r w:rsidRPr="00681033">
        <w:t xml:space="preserve"> </w:t>
      </w:r>
      <w:r w:rsidR="00A070E5">
        <w:t>DHSC’s</w:t>
      </w:r>
      <w:r w:rsidRPr="00E456B6">
        <w:t xml:space="preserve"> Appointments and Honours </w:t>
      </w:r>
      <w:r>
        <w:t>Unit</w:t>
      </w:r>
      <w:r w:rsidRPr="00E456B6">
        <w:t xml:space="preserve"> is responsible for </w:t>
      </w:r>
      <w:r>
        <w:t>managing these appointments.</w:t>
      </w:r>
    </w:p>
    <w:p w14:paraId="04F47D2D" w14:textId="2111EDE2" w:rsidR="004B7E3C" w:rsidRDefault="002A17F9" w:rsidP="00162C36">
      <w:pPr>
        <w:pStyle w:val="Heading2"/>
      </w:pPr>
      <w:r>
        <w:t>T</w:t>
      </w:r>
      <w:r w:rsidR="00A718ED" w:rsidRPr="00E456B6">
        <w:t>o effectively assess the qual</w:t>
      </w:r>
      <w:r w:rsidR="00440F46">
        <w:t xml:space="preserve">ity and fit of candidates for </w:t>
      </w:r>
      <w:r w:rsidR="008C36F2">
        <w:t xml:space="preserve">public appointment </w:t>
      </w:r>
      <w:r w:rsidR="00A718ED" w:rsidRPr="00E456B6">
        <w:t>role</w:t>
      </w:r>
      <w:r w:rsidR="00440F46">
        <w:t>s</w:t>
      </w:r>
      <w:r w:rsidR="00A718ED" w:rsidRPr="00E456B6">
        <w:t xml:space="preserve">, both </w:t>
      </w:r>
      <w:r w:rsidR="00321CA8">
        <w:t>Advisory A</w:t>
      </w:r>
      <w:r w:rsidR="00A070E5">
        <w:t xml:space="preserve">ssessment </w:t>
      </w:r>
      <w:r w:rsidR="00321CA8">
        <w:t>P</w:t>
      </w:r>
      <w:r w:rsidR="00A718ED" w:rsidRPr="00E456B6">
        <w:t>anels and Ministers require a pre-assessment of candidate’s applications. Pre-assessment captures the high-level candidate biography, and their fit again</w:t>
      </w:r>
      <w:r w:rsidR="00A718ED">
        <w:t>st the person specification</w:t>
      </w:r>
      <w:r w:rsidR="00A718ED" w:rsidRPr="00E456B6">
        <w:t>.</w:t>
      </w:r>
      <w:r w:rsidR="00A718ED">
        <w:t xml:space="preserve"> </w:t>
      </w:r>
      <w:r w:rsidR="00A718ED" w:rsidRPr="00E456B6">
        <w:t>To ensure we recruit openly, all posts need to be advertised</w:t>
      </w:r>
      <w:r w:rsidR="00162C36">
        <w:t>, and</w:t>
      </w:r>
      <w:r w:rsidR="00A718ED" w:rsidRPr="00E456B6">
        <w:t xml:space="preserve"> </w:t>
      </w:r>
      <w:r w:rsidR="00A718ED">
        <w:t xml:space="preserve">sometimes </w:t>
      </w:r>
      <w:r w:rsidR="00162C36">
        <w:t xml:space="preserve">this requires advertising externally </w:t>
      </w:r>
      <w:r w:rsidR="00A718ED" w:rsidRPr="00E456B6">
        <w:t>with different media</w:t>
      </w:r>
      <w:r w:rsidR="00A718ED">
        <w:t>.</w:t>
      </w:r>
    </w:p>
    <w:p w14:paraId="3272CFBC" w14:textId="77777777" w:rsidR="00B9425F" w:rsidRDefault="002C546C" w:rsidP="002A17F9">
      <w:pPr>
        <w:pStyle w:val="Heading1"/>
      </w:pPr>
      <w:bookmarkStart w:id="5" w:name="_Toc439115"/>
      <w:r w:rsidRPr="00910C2D">
        <w:t>PURPOSE</w:t>
      </w:r>
      <w:bookmarkStart w:id="6" w:name="_Toc296415791"/>
      <w:bookmarkEnd w:id="3"/>
      <w:bookmarkEnd w:id="5"/>
    </w:p>
    <w:p w14:paraId="15C9EF32" w14:textId="77777777" w:rsidR="00B81A0D" w:rsidRDefault="00641BEE" w:rsidP="00162C36">
      <w:pPr>
        <w:pStyle w:val="Heading2"/>
      </w:pPr>
      <w:r>
        <w:t>The Department’s Appointments and Honours Unit requires</w:t>
      </w:r>
      <w:r w:rsidR="00421E82">
        <w:t xml:space="preserve"> a</w:t>
      </w:r>
      <w:r w:rsidR="00124AC5">
        <w:t xml:space="preserve"> single contract to </w:t>
      </w:r>
      <w:r w:rsidR="00B81A0D">
        <w:t>provide:</w:t>
      </w:r>
    </w:p>
    <w:p w14:paraId="697FC9CB" w14:textId="77777777" w:rsidR="0031666E" w:rsidRDefault="004B2DD1" w:rsidP="00B81A0D">
      <w:pPr>
        <w:pStyle w:val="Heading2"/>
        <w:numPr>
          <w:ilvl w:val="0"/>
          <w:numId w:val="0"/>
        </w:numPr>
        <w:ind w:left="720"/>
      </w:pPr>
      <w:r>
        <w:t xml:space="preserve">(i) </w:t>
      </w:r>
      <w:r w:rsidR="00162C36">
        <w:t xml:space="preserve">pre-assessment </w:t>
      </w:r>
      <w:r w:rsidR="0031666E">
        <w:t xml:space="preserve">services; </w:t>
      </w:r>
      <w:r w:rsidR="00162C36">
        <w:t xml:space="preserve">and </w:t>
      </w:r>
    </w:p>
    <w:p w14:paraId="79983576" w14:textId="6A877426" w:rsidR="00F634BF" w:rsidRDefault="004B2DD1" w:rsidP="00B81A0D">
      <w:pPr>
        <w:pStyle w:val="Heading2"/>
        <w:numPr>
          <w:ilvl w:val="0"/>
          <w:numId w:val="0"/>
        </w:numPr>
        <w:ind w:left="720"/>
      </w:pPr>
      <w:r>
        <w:t xml:space="preserve">(ii) </w:t>
      </w:r>
      <w:r w:rsidR="00162C36">
        <w:t>external advertising</w:t>
      </w:r>
      <w:r w:rsidR="00055884">
        <w:t xml:space="preserve">, </w:t>
      </w:r>
      <w:r w:rsidR="00A070E5" w:rsidRPr="00A070E5">
        <w:t xml:space="preserve">and </w:t>
      </w:r>
      <w:bookmarkStart w:id="7" w:name="_Hlk173317"/>
      <w:r w:rsidR="00A070E5" w:rsidRPr="00A070E5">
        <w:t>provide alternative formats whe</w:t>
      </w:r>
      <w:r w:rsidR="00A070E5">
        <w:t>n</w:t>
      </w:r>
      <w:r w:rsidR="00A070E5" w:rsidRPr="00A070E5">
        <w:t xml:space="preserve"> required.</w:t>
      </w:r>
      <w:r w:rsidR="00A070E5">
        <w:t xml:space="preserve"> </w:t>
      </w:r>
    </w:p>
    <w:bookmarkEnd w:id="7"/>
    <w:p w14:paraId="5F47EBB9" w14:textId="0B0FA478" w:rsidR="00162C36" w:rsidRDefault="00A070E5" w:rsidP="00162C36">
      <w:pPr>
        <w:pStyle w:val="Heading2"/>
      </w:pPr>
      <w:r>
        <w:t xml:space="preserve">Whilst it is not the primary purpose of the contract, we also want a supplier with the </w:t>
      </w:r>
      <w:r w:rsidR="00124AC5">
        <w:t xml:space="preserve">capacity </w:t>
      </w:r>
      <w:r>
        <w:t xml:space="preserve">and capability </w:t>
      </w:r>
      <w:r w:rsidR="00124AC5" w:rsidRPr="00440F46">
        <w:t xml:space="preserve">to </w:t>
      </w:r>
      <w:r>
        <w:t xml:space="preserve">potentially </w:t>
      </w:r>
      <w:r w:rsidR="00440F46">
        <w:t>assist</w:t>
      </w:r>
      <w:r>
        <w:t>, if required</w:t>
      </w:r>
      <w:r w:rsidR="00440F46">
        <w:t xml:space="preserve"> with </w:t>
      </w:r>
      <w:r w:rsidR="00C9237B" w:rsidRPr="00440F46">
        <w:t xml:space="preserve">promoting </w:t>
      </w:r>
      <w:r w:rsidR="00F634BF">
        <w:t xml:space="preserve">our </w:t>
      </w:r>
      <w:r w:rsidR="00C9237B" w:rsidRPr="00440F46">
        <w:t>roles</w:t>
      </w:r>
      <w:r w:rsidR="00C9237B">
        <w:t xml:space="preserve"> </w:t>
      </w:r>
      <w:r w:rsidR="00F634BF">
        <w:t>t</w:t>
      </w:r>
      <w:r>
        <w:t>hrough ways beyond traditional advertising options.</w:t>
      </w:r>
    </w:p>
    <w:p w14:paraId="652AFBC9" w14:textId="77777777" w:rsidR="004B2DD1" w:rsidRPr="00910C2D" w:rsidRDefault="004B2DD1" w:rsidP="00162C36">
      <w:pPr>
        <w:pStyle w:val="Heading2"/>
      </w:pPr>
      <w:r>
        <w:t>The contract will be effect</w:t>
      </w:r>
      <w:r w:rsidR="00055884">
        <w:t>ive</w:t>
      </w:r>
      <w:r>
        <w:t xml:space="preserve"> from the 1 April 2019 for 12 months, with </w:t>
      </w:r>
      <w:r w:rsidR="009D40B1">
        <w:t>the option</w:t>
      </w:r>
      <w:r w:rsidR="00F300BE">
        <w:t>, subject to approval,</w:t>
      </w:r>
      <w:r>
        <w:t xml:space="preserve"> to extend twice for a further 12 months. </w:t>
      </w:r>
    </w:p>
    <w:p w14:paraId="3D0A3738" w14:textId="77777777" w:rsidR="000C73A3" w:rsidRPr="00910C2D" w:rsidRDefault="000C73A3" w:rsidP="00910C2D">
      <w:pPr>
        <w:pStyle w:val="Heading1"/>
      </w:pPr>
      <w:bookmarkStart w:id="8" w:name="_Toc439116"/>
      <w:bookmarkStart w:id="9" w:name="_Toc297554773"/>
      <w:bookmarkStart w:id="10" w:name="_Toc296415805"/>
      <w:bookmarkStart w:id="11" w:name="_Toc296415793"/>
      <w:bookmarkEnd w:id="6"/>
      <w:r w:rsidRPr="00910C2D">
        <w:t>background</w:t>
      </w:r>
      <w:bookmarkEnd w:id="8"/>
      <w:r w:rsidRPr="00910C2D">
        <w:t xml:space="preserve"> </w:t>
      </w:r>
    </w:p>
    <w:p w14:paraId="4BF53A15" w14:textId="3095BEE5" w:rsidR="00D8047A" w:rsidRPr="00D8047A" w:rsidRDefault="009E7B25" w:rsidP="009E7B25">
      <w:pPr>
        <w:pStyle w:val="Heading2"/>
      </w:pPr>
      <w:bookmarkStart w:id="12" w:name="_Hlk536528751"/>
      <w:bookmarkStart w:id="13" w:name="_Toc297554774"/>
      <w:bookmarkEnd w:id="9"/>
      <w:bookmarkEnd w:id="10"/>
      <w:r w:rsidRPr="00D8047A">
        <w:t>Ministers/the Department are responsible for making non-executive appointments to a range of DHSC ALBs and committees.</w:t>
      </w:r>
      <w:r w:rsidRPr="00E456B6">
        <w:t xml:space="preserve"> Examples include the Chairs and Non-Executive Directors</w:t>
      </w:r>
      <w:r w:rsidR="00D8047A">
        <w:t xml:space="preserve"> (NEDs) of NHS England, NHS Improvement, Care Quality Commission</w:t>
      </w:r>
      <w:r w:rsidR="00C42AD8">
        <w:t xml:space="preserve"> and</w:t>
      </w:r>
      <w:r w:rsidR="00D8047A">
        <w:t xml:space="preserve"> National Institute for Health and Care Excellence</w:t>
      </w:r>
      <w:r w:rsidRPr="00E456B6">
        <w:t xml:space="preserve">. </w:t>
      </w:r>
      <w:r w:rsidRPr="00721FDB">
        <w:t xml:space="preserve">It is a requirement of </w:t>
      </w:r>
      <w:r w:rsidR="00C42AD8" w:rsidRPr="00C42AD8">
        <w:rPr>
          <w:i/>
        </w:rPr>
        <w:t>The Governance Code on Public Appointments</w:t>
      </w:r>
      <w:r w:rsidR="00C42AD8" w:rsidRPr="00C42AD8">
        <w:t xml:space="preserve"> </w:t>
      </w:r>
      <w:r w:rsidR="00C42AD8">
        <w:t>(referred to as ‘the Governance Code’),</w:t>
      </w:r>
      <w:r w:rsidRPr="00721FDB">
        <w:t xml:space="preserve"> that applies to Ministerial appointments and which is regulated by the Commissioner for Public Appointments (CPA), that roles are openly advertised and properly promoted to attract a diverse range of quality candidates.</w:t>
      </w:r>
      <w:r w:rsidRPr="0090141A">
        <w:t xml:space="preserve"> </w:t>
      </w:r>
      <w:r w:rsidRPr="00D8047A">
        <w:t>The Appointments and Honours Unit is responsible for managing these appointments.</w:t>
      </w:r>
    </w:p>
    <w:p w14:paraId="19C21032" w14:textId="77777777" w:rsidR="00D8047A" w:rsidRDefault="009E7B25" w:rsidP="009E7B25">
      <w:pPr>
        <w:pStyle w:val="Heading2"/>
      </w:pPr>
      <w:r w:rsidRPr="00E456B6">
        <w:lastRenderedPageBreak/>
        <w:t xml:space="preserve">Those appointed play a key leadership role not just for the organisation to which they are appointed, but for the whole </w:t>
      </w:r>
      <w:r>
        <w:t xml:space="preserve">health and social care </w:t>
      </w:r>
      <w:r w:rsidRPr="00E456B6">
        <w:t>system</w:t>
      </w:r>
      <w:r>
        <w:t xml:space="preserve">. </w:t>
      </w:r>
    </w:p>
    <w:p w14:paraId="44F41C77" w14:textId="5EF84BF1" w:rsidR="00D8047A" w:rsidRPr="00D8047A" w:rsidRDefault="009E7B25" w:rsidP="009E7B25">
      <w:pPr>
        <w:pStyle w:val="Heading2"/>
      </w:pPr>
      <w:r w:rsidRPr="00E456B6">
        <w:t>Public appointments are the responsibility of Ministers. When we recruit new members, Ministers are expected to abide by</w:t>
      </w:r>
      <w:r w:rsidR="00C42AD8">
        <w:t xml:space="preserve"> the Governance Code,</w:t>
      </w:r>
      <w:r w:rsidRPr="00E456B6">
        <w:t xml:space="preserve"> which requires Departments to recruit openly and transparently and to make appointments based on merit. The Government and the CPA are also committed to attracting and appointing candidates from a diverse range of backgrounds, including targets of 50% of appointees to be women and 14% BAME. </w:t>
      </w:r>
      <w:r>
        <w:t xml:space="preserve">A target </w:t>
      </w:r>
      <w:r w:rsidR="00C42AD8">
        <w:t xml:space="preserve">may be </w:t>
      </w:r>
      <w:r>
        <w:t xml:space="preserve">about to be set for % disabled appointees. </w:t>
      </w:r>
      <w:r w:rsidRPr="00E456B6">
        <w:t xml:space="preserve">DHSC also applies these same principles to appointments to its expert committees. These committees are also subject to similar requirements as set out in the </w:t>
      </w:r>
      <w:r w:rsidRPr="00D8047A">
        <w:rPr>
          <w:i/>
        </w:rPr>
        <w:t>Code of Practice for Scientific Advisory Committees.</w:t>
      </w:r>
    </w:p>
    <w:p w14:paraId="771D8C64" w14:textId="25E9AD33" w:rsidR="004A01AB" w:rsidRDefault="00B233F6" w:rsidP="003E4430">
      <w:pPr>
        <w:pStyle w:val="Heading2"/>
      </w:pPr>
      <w:r w:rsidRPr="00E456B6">
        <w:t>A submission is made to Ministers</w:t>
      </w:r>
      <w:r>
        <w:t>/Senior Officials</w:t>
      </w:r>
      <w:r w:rsidRPr="00E456B6">
        <w:t xml:space="preserve"> at the outset of all public appointment</w:t>
      </w:r>
      <w:r>
        <w:t>/</w:t>
      </w:r>
      <w:r w:rsidRPr="00E456B6">
        <w:t xml:space="preserve"> </w:t>
      </w:r>
      <w:r>
        <w:t xml:space="preserve">expert committee </w:t>
      </w:r>
      <w:r w:rsidRPr="00E456B6">
        <w:t>recruitment campaigns, and Ministers</w:t>
      </w:r>
      <w:r>
        <w:t>/Senior Officials</w:t>
      </w:r>
      <w:r w:rsidRPr="00E456B6">
        <w:t xml:space="preserve"> are required to agree all</w:t>
      </w:r>
      <w:r>
        <w:t xml:space="preserve"> elements of the process (e.g. </w:t>
      </w:r>
      <w:r w:rsidRPr="00E456B6">
        <w:t xml:space="preserve">advertising, </w:t>
      </w:r>
      <w:r>
        <w:t xml:space="preserve">assessment, </w:t>
      </w:r>
      <w:r w:rsidRPr="00E456B6">
        <w:t>role descriptions, selection panels, timings, etc.) and all the associated expected expenditure.</w:t>
      </w:r>
      <w:r>
        <w:t xml:space="preserve"> </w:t>
      </w:r>
      <w:r w:rsidRPr="00E456B6">
        <w:t xml:space="preserve">Cabinet Office are also closely engaged with and interested </w:t>
      </w:r>
      <w:r>
        <w:t>in most of our public appointments.</w:t>
      </w:r>
    </w:p>
    <w:p w14:paraId="1B4FB8B9" w14:textId="77777777" w:rsidR="003E4430" w:rsidRPr="00787CCB" w:rsidRDefault="004A01AB" w:rsidP="003E4430">
      <w:pPr>
        <w:pStyle w:val="Heading2"/>
        <w:numPr>
          <w:ilvl w:val="0"/>
          <w:numId w:val="0"/>
        </w:numPr>
        <w:rPr>
          <w:b/>
          <w:u w:val="single"/>
        </w:rPr>
      </w:pPr>
      <w:r w:rsidRPr="00787CCB">
        <w:rPr>
          <w:b/>
          <w:u w:val="single"/>
        </w:rPr>
        <w:t>Pre-assessment</w:t>
      </w:r>
    </w:p>
    <w:p w14:paraId="64EF7A69" w14:textId="714BAEBA" w:rsidR="00D8047A" w:rsidRDefault="003E4430" w:rsidP="009E7B25">
      <w:pPr>
        <w:pStyle w:val="Heading2"/>
      </w:pPr>
      <w:r>
        <w:t>T</w:t>
      </w:r>
      <w:r w:rsidR="009E7B25" w:rsidRPr="00D8047A">
        <w:t xml:space="preserve">o </w:t>
      </w:r>
      <w:r w:rsidR="004A01AB">
        <w:t xml:space="preserve">support </w:t>
      </w:r>
      <w:r w:rsidR="00B233F6">
        <w:t>Advisory A</w:t>
      </w:r>
      <w:r w:rsidR="004A01AB">
        <w:t xml:space="preserve">ssessment </w:t>
      </w:r>
      <w:r w:rsidR="00B233F6">
        <w:t>P</w:t>
      </w:r>
      <w:r w:rsidR="004A01AB">
        <w:t xml:space="preserve">anels and Ministers </w:t>
      </w:r>
      <w:r w:rsidR="009E7B25" w:rsidRPr="00D8047A">
        <w:t xml:space="preserve">effectively assess the quality and fit of candidates for </w:t>
      </w:r>
      <w:r w:rsidR="002B74D5">
        <w:t>public appointment</w:t>
      </w:r>
      <w:r w:rsidR="004A01AB">
        <w:t>s</w:t>
      </w:r>
      <w:r w:rsidR="009E7B25" w:rsidRPr="00D8047A">
        <w:t xml:space="preserve">, </w:t>
      </w:r>
      <w:r w:rsidR="004A01AB">
        <w:t>we are seeking a supplier</w:t>
      </w:r>
      <w:r w:rsidR="009E7B25" w:rsidRPr="00D8047A">
        <w:t xml:space="preserve"> </w:t>
      </w:r>
      <w:r w:rsidR="004A01AB">
        <w:t>to</w:t>
      </w:r>
      <w:r w:rsidR="009E7B25" w:rsidRPr="00D8047A">
        <w:t xml:space="preserve"> pre-assess</w:t>
      </w:r>
      <w:r w:rsidR="0075682E">
        <w:t xml:space="preserve"> </w:t>
      </w:r>
      <w:r w:rsidR="004A01AB">
        <w:t>all</w:t>
      </w:r>
      <w:r w:rsidR="009E7B25" w:rsidRPr="00D8047A">
        <w:t xml:space="preserve"> candidate’s applications</w:t>
      </w:r>
      <w:r w:rsidR="004A01AB">
        <w:t xml:space="preserve"> for all roles</w:t>
      </w:r>
      <w:r w:rsidR="009E7B25" w:rsidRPr="00D8047A">
        <w:t>. Pre-assessment captures the high-level candidate biography</w:t>
      </w:r>
      <w:r w:rsidR="004A01AB">
        <w:t>;</w:t>
      </w:r>
      <w:r w:rsidR="009E7B25" w:rsidRPr="00D8047A">
        <w:t xml:space="preserve"> their fit against the person specification</w:t>
      </w:r>
      <w:r w:rsidR="004A01AB">
        <w:t>;</w:t>
      </w:r>
      <w:r w:rsidR="009E7B25" w:rsidRPr="00D8047A">
        <w:t xml:space="preserve"> </w:t>
      </w:r>
      <w:r w:rsidR="009E7B25" w:rsidRPr="0090141A">
        <w:t>provid</w:t>
      </w:r>
      <w:r w:rsidR="002B74D5">
        <w:t>es a rating (A, B or C) and</w:t>
      </w:r>
      <w:r w:rsidR="009E7B25" w:rsidRPr="0090141A">
        <w:t xml:space="preserve"> completes a ‘tick-box’ exercise on the candidate’s main skills/experience (e.g. ‘finance’; ‘lawyer’; ‘clinical’; etc) – which allows our database to be more easily interrogated when looking for potential candidates for other recruitments.</w:t>
      </w:r>
    </w:p>
    <w:p w14:paraId="5238086D" w14:textId="77777777" w:rsidR="004A01AB" w:rsidRPr="00787CCB" w:rsidRDefault="004A01AB" w:rsidP="003E4430">
      <w:pPr>
        <w:pStyle w:val="Heading2"/>
        <w:numPr>
          <w:ilvl w:val="0"/>
          <w:numId w:val="0"/>
        </w:numPr>
        <w:rPr>
          <w:b/>
          <w:u w:val="single"/>
        </w:rPr>
      </w:pPr>
      <w:r w:rsidRPr="00787CCB">
        <w:rPr>
          <w:b/>
          <w:u w:val="single"/>
        </w:rPr>
        <w:t>Advertising</w:t>
      </w:r>
    </w:p>
    <w:p w14:paraId="301BD864" w14:textId="1F435C73" w:rsidR="00D8047A" w:rsidRDefault="009E7B25" w:rsidP="003E4430">
      <w:pPr>
        <w:pStyle w:val="Heading2"/>
      </w:pPr>
      <w:r w:rsidRPr="00D8047A">
        <w:t xml:space="preserve">To ensure we recruit openly, all posts need to be advertised. </w:t>
      </w:r>
      <w:r w:rsidR="00B233F6">
        <w:t xml:space="preserve">We are seeking a supplier to support us in this. </w:t>
      </w:r>
      <w:r w:rsidR="00D8047A">
        <w:t xml:space="preserve">This will include </w:t>
      </w:r>
      <w:r w:rsidR="004A01AB">
        <w:t xml:space="preserve">potential </w:t>
      </w:r>
      <w:r w:rsidR="00D8047A">
        <w:t>support</w:t>
      </w:r>
      <w:r w:rsidRPr="00D8047A">
        <w:t xml:space="preserve"> in the preparation of adverts and in engaging with different media </w:t>
      </w:r>
      <w:r w:rsidR="004A01AB">
        <w:t>for the advert to be place</w:t>
      </w:r>
      <w:r w:rsidR="00321CA8">
        <w:t>d</w:t>
      </w:r>
      <w:r w:rsidR="004A01AB">
        <w:t xml:space="preserve"> </w:t>
      </w:r>
      <w:r w:rsidRPr="00D8047A">
        <w:t>e.</w:t>
      </w:r>
      <w:r w:rsidRPr="00E456B6">
        <w:t xml:space="preserve">g. Sunday Times, </w:t>
      </w:r>
      <w:r>
        <w:t>specialist journals, etc</w:t>
      </w:r>
      <w:r w:rsidR="00B233F6">
        <w:t>, and providing</w:t>
      </w:r>
      <w:r w:rsidR="00B233F6" w:rsidRPr="00A070E5">
        <w:t xml:space="preserve"> alternative formats whe</w:t>
      </w:r>
      <w:r w:rsidR="00B233F6">
        <w:t>n</w:t>
      </w:r>
      <w:r w:rsidR="00B233F6" w:rsidRPr="00A070E5">
        <w:t xml:space="preserve"> required.</w:t>
      </w:r>
      <w:r w:rsidR="00B233F6">
        <w:t xml:space="preserve"> </w:t>
      </w:r>
    </w:p>
    <w:p w14:paraId="37494B52" w14:textId="77777777" w:rsidR="00D8047A" w:rsidRDefault="009E7B25" w:rsidP="009E7B25">
      <w:pPr>
        <w:pStyle w:val="Heading2"/>
      </w:pPr>
      <w:r w:rsidRPr="00E456B6">
        <w:t xml:space="preserve">Online advertising is now our default position and we </w:t>
      </w:r>
      <w:r w:rsidR="00D8047A">
        <w:t xml:space="preserve">are </w:t>
      </w:r>
      <w:r w:rsidRPr="00E456B6">
        <w:t>continually explor</w:t>
      </w:r>
      <w:r w:rsidR="00D8047A">
        <w:t>ing</w:t>
      </w:r>
      <w:r w:rsidRPr="00E456B6">
        <w:t xml:space="preserve"> options for utilising social media to target potential candidates with the relevant skills and expertise. </w:t>
      </w:r>
    </w:p>
    <w:p w14:paraId="11DB5E36" w14:textId="77777777" w:rsidR="004A01AB" w:rsidRDefault="004A01AB" w:rsidP="009E7B25">
      <w:pPr>
        <w:pStyle w:val="Heading2"/>
      </w:pPr>
      <w:r>
        <w:lastRenderedPageBreak/>
        <w:t>We may also be interested in exploring in the future</w:t>
      </w:r>
      <w:r w:rsidR="00B233F6" w:rsidRPr="00B233F6">
        <w:rPr>
          <w:rFonts w:eastAsia="SimSun" w:cs="Arial"/>
          <w:szCs w:val="22"/>
          <w:lang w:eastAsia="en-GB"/>
        </w:rPr>
        <w:t xml:space="preserve"> </w:t>
      </w:r>
      <w:r w:rsidR="00B233F6" w:rsidRPr="00B233F6">
        <w:t>with the supplier</w:t>
      </w:r>
      <w:r>
        <w:t xml:space="preserve">, </w:t>
      </w:r>
      <w:r w:rsidR="00B233F6">
        <w:t xml:space="preserve">any </w:t>
      </w:r>
      <w:r>
        <w:t xml:space="preserve">alternative or additional ways to promote our roles such as through social media, networks or other options. This may be to help generate candidates for specific roles or to help generate </w:t>
      </w:r>
      <w:r w:rsidR="00AA6842">
        <w:t xml:space="preserve">a </w:t>
      </w:r>
      <w:r>
        <w:t>talent pool or pipeline for numerous roles.</w:t>
      </w:r>
      <w:r w:rsidR="00AA6842">
        <w:t xml:space="preserve"> Candidates may be targeted based on their particular skills or experience or diversity characteristics or a combination. Whilst this work is not </w:t>
      </w:r>
      <w:r w:rsidR="00B233F6">
        <w:t>t</w:t>
      </w:r>
      <w:r w:rsidR="00AA6842">
        <w:t xml:space="preserve">he primary focus of this </w:t>
      </w:r>
      <w:r w:rsidR="00B233F6">
        <w:t>contract we want to appoint a supplier who has capacity, capability and a track record in such work and who could help shape our thinking and potentially deliver some services.</w:t>
      </w:r>
    </w:p>
    <w:p w14:paraId="28A074C8" w14:textId="77777777" w:rsidR="00316D27" w:rsidRPr="00910C2D" w:rsidRDefault="002C546C" w:rsidP="00910C2D">
      <w:pPr>
        <w:pStyle w:val="Heading1"/>
      </w:pPr>
      <w:bookmarkStart w:id="14" w:name="_Toc439117"/>
      <w:bookmarkEnd w:id="12"/>
      <w:r w:rsidRPr="00910C2D">
        <w:t>scope of requirement</w:t>
      </w:r>
      <w:bookmarkEnd w:id="13"/>
      <w:bookmarkEnd w:id="14"/>
    </w:p>
    <w:bookmarkEnd w:id="11"/>
    <w:p w14:paraId="2EACF85F" w14:textId="1399C988" w:rsidR="002B74D5" w:rsidRDefault="006A057D" w:rsidP="002B74D5">
      <w:pPr>
        <w:pStyle w:val="Heading2"/>
      </w:pPr>
      <w:r>
        <w:t>Th</w:t>
      </w:r>
      <w:r w:rsidR="00517AE8">
        <w:t>is</w:t>
      </w:r>
      <w:r>
        <w:t xml:space="preserve"> requirement is for the provision of pre-assessment se</w:t>
      </w:r>
      <w:r w:rsidR="002B74D5">
        <w:t>rvices and external advertising</w:t>
      </w:r>
      <w:r w:rsidR="00B233F6">
        <w:t xml:space="preserve"> support</w:t>
      </w:r>
      <w:r w:rsidR="002B74D5">
        <w:t xml:space="preserve">, including the capacity </w:t>
      </w:r>
      <w:r w:rsidR="00B233F6">
        <w:t xml:space="preserve">and capability </w:t>
      </w:r>
      <w:r w:rsidR="002B74D5" w:rsidRPr="00440F46">
        <w:t xml:space="preserve">to </w:t>
      </w:r>
      <w:r w:rsidR="002B74D5">
        <w:t xml:space="preserve">assist with </w:t>
      </w:r>
      <w:r w:rsidR="002B74D5" w:rsidRPr="00440F46">
        <w:t>promoting roles</w:t>
      </w:r>
      <w:r w:rsidR="002B74D5">
        <w:t xml:space="preserve"> and provide alternative formats </w:t>
      </w:r>
      <w:r w:rsidR="001945B4">
        <w:t>for adverts and</w:t>
      </w:r>
      <w:r w:rsidR="00584BD5">
        <w:t>/or</w:t>
      </w:r>
      <w:r w:rsidR="001945B4">
        <w:t xml:space="preserve"> Candidate Information Packs </w:t>
      </w:r>
      <w:r w:rsidR="002B74D5">
        <w:t xml:space="preserve">where required. </w:t>
      </w:r>
    </w:p>
    <w:p w14:paraId="3CC11493" w14:textId="77777777" w:rsidR="006A057D" w:rsidRDefault="00EE3230" w:rsidP="00F72419">
      <w:pPr>
        <w:pStyle w:val="Heading2"/>
      </w:pPr>
      <w:r>
        <w:t>The provider sh</w:t>
      </w:r>
      <w:r w:rsidR="00517AE8">
        <w:t>ould</w:t>
      </w:r>
      <w:r>
        <w:t xml:space="preserve"> deliver an overall value for money service in terms of savings achieved through innovation, efficiencies and continuous improvement. </w:t>
      </w:r>
    </w:p>
    <w:p w14:paraId="563F30DB" w14:textId="1B4FDE3E" w:rsidR="006A057D" w:rsidRPr="002B74D5" w:rsidRDefault="00EE3230" w:rsidP="00EE3230">
      <w:pPr>
        <w:pStyle w:val="Heading2"/>
      </w:pPr>
      <w:r w:rsidRPr="002B74D5">
        <w:t xml:space="preserve">Although </w:t>
      </w:r>
      <w:r w:rsidR="004E50E0">
        <w:t>the plan is</w:t>
      </w:r>
      <w:r w:rsidRPr="002B74D5">
        <w:t xml:space="preserve"> that the successful bidder will carry out support for all appointments requiring the pre-assessment and </w:t>
      </w:r>
      <w:r w:rsidR="002B74D5">
        <w:t xml:space="preserve">external </w:t>
      </w:r>
      <w:r w:rsidRPr="002B74D5">
        <w:t>advertising services,</w:t>
      </w:r>
      <w:r w:rsidR="00B233F6">
        <w:t xml:space="preserve"> and potentially provide support for other ways to promote roles,</w:t>
      </w:r>
      <w:r w:rsidRPr="002B74D5">
        <w:t xml:space="preserve"> DHSC reserves the right to contract with a different organisation </w:t>
      </w:r>
      <w:r w:rsidR="004E50E0">
        <w:t xml:space="preserve">on the odd occasion </w:t>
      </w:r>
      <w:r w:rsidRPr="002B74D5">
        <w:t xml:space="preserve">if it feels that the successful bidder is unable to meet its requirements. </w:t>
      </w:r>
    </w:p>
    <w:p w14:paraId="51421926" w14:textId="77777777" w:rsidR="007937E7" w:rsidRPr="00787CCB" w:rsidRDefault="007937E7" w:rsidP="007937E7">
      <w:pPr>
        <w:pStyle w:val="Heading2"/>
        <w:numPr>
          <w:ilvl w:val="0"/>
          <w:numId w:val="0"/>
        </w:numPr>
        <w:rPr>
          <w:b/>
          <w:u w:val="single"/>
        </w:rPr>
      </w:pPr>
      <w:r w:rsidRPr="00787CCB">
        <w:rPr>
          <w:b/>
          <w:u w:val="single"/>
        </w:rPr>
        <w:t>Pre-assessment</w:t>
      </w:r>
    </w:p>
    <w:p w14:paraId="6FCBAD9B" w14:textId="77777777" w:rsidR="007937E7" w:rsidRDefault="00F72419" w:rsidP="00F72419">
      <w:pPr>
        <w:pStyle w:val="Heading2"/>
      </w:pPr>
      <w:r w:rsidRPr="00E456B6">
        <w:t>Regarding pre-assessment services, the supplier will</w:t>
      </w:r>
      <w:r w:rsidR="00517AE8">
        <w:t xml:space="preserve"> for all public appointment campaigns</w:t>
      </w:r>
      <w:r w:rsidR="002B74D5">
        <w:t>:</w:t>
      </w:r>
    </w:p>
    <w:p w14:paraId="73CFF53D" w14:textId="77777777" w:rsidR="004B28F8" w:rsidRDefault="004B28F8" w:rsidP="007937E7">
      <w:pPr>
        <w:numPr>
          <w:ilvl w:val="0"/>
          <w:numId w:val="24"/>
        </w:numPr>
        <w:spacing w:after="200" w:line="276" w:lineRule="auto"/>
        <w:jc w:val="both"/>
      </w:pPr>
      <w:r>
        <w:t>P</w:t>
      </w:r>
      <w:r w:rsidR="007937E7" w:rsidRPr="00E456B6">
        <w:t xml:space="preserve">roduce a </w:t>
      </w:r>
      <w:r w:rsidR="007937E7" w:rsidRPr="00646A8F">
        <w:t xml:space="preserve">pre-assessment </w:t>
      </w:r>
      <w:r w:rsidR="007937E7" w:rsidRPr="00E456B6">
        <w:t>(or</w:t>
      </w:r>
      <w:r w:rsidR="007937E7">
        <w:t xml:space="preserve"> “long-listing”</w:t>
      </w:r>
      <w:r w:rsidR="007937E7" w:rsidRPr="00E456B6">
        <w:t>) report to support the selection panel in shortlisting candida</w:t>
      </w:r>
      <w:r w:rsidR="007937E7">
        <w:t>tes for interview, completing a pro-forma supplied by DHSC</w:t>
      </w:r>
      <w:r w:rsidR="00197E40">
        <w:t>.</w:t>
      </w:r>
    </w:p>
    <w:p w14:paraId="0C000E96" w14:textId="77777777" w:rsidR="00197E40" w:rsidRDefault="00197E40" w:rsidP="007937E7">
      <w:pPr>
        <w:numPr>
          <w:ilvl w:val="0"/>
          <w:numId w:val="24"/>
        </w:numPr>
        <w:spacing w:after="200" w:line="276" w:lineRule="auto"/>
        <w:jc w:val="both"/>
      </w:pPr>
      <w:r>
        <w:t>Review each application and provide:</w:t>
      </w:r>
    </w:p>
    <w:p w14:paraId="793C59D8" w14:textId="77777777" w:rsidR="00197E40" w:rsidRDefault="00197E40" w:rsidP="00197E40">
      <w:pPr>
        <w:numPr>
          <w:ilvl w:val="1"/>
          <w:numId w:val="24"/>
        </w:numPr>
        <w:spacing w:after="200" w:line="276" w:lineRule="auto"/>
        <w:jc w:val="both"/>
      </w:pPr>
      <w:r>
        <w:t>a short biography that briefly captures the key elements of their biog/CV – up to a maximum of 50 words;</w:t>
      </w:r>
    </w:p>
    <w:p w14:paraId="1B4FAD01" w14:textId="77777777" w:rsidR="00197E40" w:rsidRDefault="00197E40" w:rsidP="00197E40">
      <w:pPr>
        <w:numPr>
          <w:ilvl w:val="1"/>
          <w:numId w:val="24"/>
        </w:numPr>
        <w:spacing w:after="200" w:line="276" w:lineRule="auto"/>
        <w:jc w:val="both"/>
      </w:pPr>
      <w:r>
        <w:t>a rating of A, B or C assessed against the descriptions</w:t>
      </w:r>
      <w:r w:rsidR="001945B4">
        <w:t xml:space="preserve"> for A, B and C levels</w:t>
      </w:r>
      <w:r w:rsidR="002B74D5">
        <w:t>;</w:t>
      </w:r>
    </w:p>
    <w:p w14:paraId="5AACCAD1" w14:textId="77777777" w:rsidR="00197E40" w:rsidRDefault="00197E40" w:rsidP="00197E40">
      <w:pPr>
        <w:numPr>
          <w:ilvl w:val="1"/>
          <w:numId w:val="24"/>
        </w:numPr>
        <w:spacing w:after="200" w:line="276" w:lineRule="auto"/>
        <w:jc w:val="both"/>
      </w:pPr>
      <w:r>
        <w:lastRenderedPageBreak/>
        <w:t xml:space="preserve">the fit against the criteria for the role; around 100 words for A; 50 words for B; 25 words for C; and </w:t>
      </w:r>
    </w:p>
    <w:p w14:paraId="31ED8A65" w14:textId="1252AE2F" w:rsidR="004B28F8" w:rsidRDefault="00A40718" w:rsidP="00197E40">
      <w:pPr>
        <w:numPr>
          <w:ilvl w:val="1"/>
          <w:numId w:val="24"/>
        </w:numPr>
        <w:spacing w:after="200" w:line="276" w:lineRule="auto"/>
        <w:jc w:val="both"/>
      </w:pPr>
      <w:r>
        <w:t xml:space="preserve">a </w:t>
      </w:r>
      <w:r w:rsidR="00197E40">
        <w:t xml:space="preserve">tick </w:t>
      </w:r>
      <w:r>
        <w:t xml:space="preserve">against </w:t>
      </w:r>
      <w:r w:rsidR="00197E40">
        <w:t xml:space="preserve">all the relevant boxes from </w:t>
      </w:r>
      <w:r w:rsidR="001945B4">
        <w:t>a</w:t>
      </w:r>
      <w:r w:rsidR="00197E40">
        <w:t xml:space="preserve"> list </w:t>
      </w:r>
      <w:r w:rsidR="001945B4">
        <w:t xml:space="preserve">supplied by DHSC </w:t>
      </w:r>
      <w:r w:rsidR="00197E40">
        <w:t xml:space="preserve">for the substantive skills or experience the candidate has. </w:t>
      </w:r>
    </w:p>
    <w:p w14:paraId="00E30FB3" w14:textId="77777777" w:rsidR="007937E7" w:rsidRDefault="004B28F8" w:rsidP="007937E7">
      <w:pPr>
        <w:numPr>
          <w:ilvl w:val="0"/>
          <w:numId w:val="24"/>
        </w:numPr>
        <w:spacing w:after="200" w:line="276" w:lineRule="auto"/>
        <w:jc w:val="both"/>
      </w:pPr>
      <w:r>
        <w:t>Input the report onto the Department’s system; DHSC eXchange initially and then onto the Appointments Database once the facility is up and running</w:t>
      </w:r>
      <w:r w:rsidR="00197E40">
        <w:t xml:space="preserve"> (likely to be in Quarter 1 of 2019-20)</w:t>
      </w:r>
      <w:r>
        <w:t xml:space="preserve">, both are web-based systems.   </w:t>
      </w:r>
    </w:p>
    <w:p w14:paraId="21DDF2B0" w14:textId="08F10E54" w:rsidR="00D30D09" w:rsidRDefault="00A40718" w:rsidP="00A40718">
      <w:pPr>
        <w:numPr>
          <w:ilvl w:val="0"/>
          <w:numId w:val="24"/>
        </w:numPr>
        <w:spacing w:after="200" w:line="276" w:lineRule="auto"/>
        <w:jc w:val="both"/>
      </w:pPr>
      <w:r>
        <w:t xml:space="preserve">If needed, provide brief additional </w:t>
      </w:r>
      <w:r w:rsidR="001945B4">
        <w:t xml:space="preserve">assessment </w:t>
      </w:r>
      <w:r>
        <w:t xml:space="preserve">material for candidates requesting feedback following </w:t>
      </w:r>
      <w:r w:rsidR="001945B4">
        <w:t>the panel’s formal assessment</w:t>
      </w:r>
      <w:r>
        <w:t xml:space="preserve"> (where possible the pre-assessment report will be used in the first instance to provide any feedback).</w:t>
      </w:r>
    </w:p>
    <w:p w14:paraId="5AB4074E" w14:textId="625DD5B2" w:rsidR="006D07E2" w:rsidRDefault="006D07E2" w:rsidP="00A40718">
      <w:pPr>
        <w:numPr>
          <w:ilvl w:val="0"/>
          <w:numId w:val="24"/>
        </w:numPr>
        <w:spacing w:after="200" w:line="276" w:lineRule="auto"/>
        <w:jc w:val="both"/>
      </w:pPr>
      <w:r>
        <w:t>At the end of the year we would welcome summary information/data from the ‘tick box’ exercise that captures the types of applicants who have applied for our roles over the year</w:t>
      </w:r>
      <w:r w:rsidR="0075682E">
        <w:t>.</w:t>
      </w:r>
    </w:p>
    <w:p w14:paraId="4789179C" w14:textId="77777777" w:rsidR="007937E7" w:rsidRPr="00787CCB" w:rsidRDefault="00BC37F0" w:rsidP="007937E7">
      <w:pPr>
        <w:spacing w:after="200" w:line="276" w:lineRule="auto"/>
        <w:jc w:val="both"/>
        <w:rPr>
          <w:b/>
          <w:u w:val="single"/>
        </w:rPr>
      </w:pPr>
      <w:r w:rsidRPr="00787CCB">
        <w:rPr>
          <w:b/>
          <w:u w:val="single"/>
        </w:rPr>
        <w:t>External A</w:t>
      </w:r>
      <w:r w:rsidR="007937E7" w:rsidRPr="00787CCB">
        <w:rPr>
          <w:b/>
          <w:u w:val="single"/>
        </w:rPr>
        <w:t xml:space="preserve">dvertising </w:t>
      </w:r>
    </w:p>
    <w:p w14:paraId="715B9CC7" w14:textId="77777777" w:rsidR="00F72419" w:rsidRDefault="00F72419" w:rsidP="00F72419">
      <w:pPr>
        <w:pStyle w:val="Heading2"/>
      </w:pPr>
      <w:r w:rsidRPr="00E456B6">
        <w:t xml:space="preserve">Regarding </w:t>
      </w:r>
      <w:r>
        <w:t>e</w:t>
      </w:r>
      <w:r w:rsidRPr="00E456B6">
        <w:t xml:space="preserve">xternal </w:t>
      </w:r>
      <w:r>
        <w:t>a</w:t>
      </w:r>
      <w:r w:rsidRPr="00E456B6">
        <w:t>dvertising</w:t>
      </w:r>
      <w:r>
        <w:t xml:space="preserve">, </w:t>
      </w:r>
      <w:r w:rsidRPr="00C759DD">
        <w:t>the supplier will:</w:t>
      </w:r>
    </w:p>
    <w:p w14:paraId="629A67B7" w14:textId="22BF6A69" w:rsidR="00901EBE" w:rsidRDefault="00901EBE" w:rsidP="00901EBE">
      <w:pPr>
        <w:numPr>
          <w:ilvl w:val="0"/>
          <w:numId w:val="25"/>
        </w:numPr>
        <w:spacing w:after="200" w:line="276" w:lineRule="auto"/>
        <w:jc w:val="both"/>
      </w:pPr>
      <w:r>
        <w:t>M</w:t>
      </w:r>
      <w:r w:rsidRPr="00E456B6">
        <w:t xml:space="preserve">anage the advertising process on our behalf - from </w:t>
      </w:r>
      <w:r w:rsidR="00FC7C67">
        <w:t>preparing</w:t>
      </w:r>
      <w:r w:rsidR="00FC7C67" w:rsidRPr="00E456B6">
        <w:t xml:space="preserve"> </w:t>
      </w:r>
      <w:r w:rsidRPr="00E456B6">
        <w:t>the advert</w:t>
      </w:r>
      <w:r>
        <w:t>, in line with DHSC style guidance</w:t>
      </w:r>
      <w:r w:rsidRPr="00E456B6">
        <w:t>; liaising with the press/publications to negotiate the best advertising rates; booking the space; and uploading the advert</w:t>
      </w:r>
      <w:r>
        <w:t>.</w:t>
      </w:r>
    </w:p>
    <w:p w14:paraId="5889C733" w14:textId="57B217BF" w:rsidR="00901EBE" w:rsidRDefault="00901EBE" w:rsidP="00901EBE">
      <w:pPr>
        <w:numPr>
          <w:ilvl w:val="0"/>
          <w:numId w:val="25"/>
        </w:numPr>
        <w:jc w:val="both"/>
      </w:pPr>
      <w:r>
        <w:t>Prepare adverts we send and return these to us within 24 hours or less</w:t>
      </w:r>
      <w:r w:rsidR="00FC7C67">
        <w:t xml:space="preserve">; ensuring </w:t>
      </w:r>
      <w:r>
        <w:t>DHSC material is of a high quality and with attention to detail to ensure accuracy; as well as following the DHSC Brand Guidelines.  Due to the nature of our work, we also require a supplier who can be flexible and respond to requests at short notice, whilst meeting strict deadlines for uploading and placing adverts.</w:t>
      </w:r>
    </w:p>
    <w:p w14:paraId="38ABC2B3" w14:textId="77777777" w:rsidR="00901EBE" w:rsidRPr="00E456B6" w:rsidRDefault="00901EBE" w:rsidP="00901EBE">
      <w:pPr>
        <w:jc w:val="both"/>
      </w:pPr>
    </w:p>
    <w:p w14:paraId="30591855" w14:textId="77777777" w:rsidR="00901EBE" w:rsidRDefault="00901EBE" w:rsidP="00901EBE">
      <w:pPr>
        <w:numPr>
          <w:ilvl w:val="0"/>
          <w:numId w:val="25"/>
        </w:numPr>
        <w:spacing w:after="200" w:line="276" w:lineRule="auto"/>
        <w:jc w:val="both"/>
      </w:pPr>
      <w:r>
        <w:t>T</w:t>
      </w:r>
      <w:r w:rsidRPr="00654AE1">
        <w:t>o offer advice and strategies on effective ad</w:t>
      </w:r>
      <w:r>
        <w:t xml:space="preserve">vertising routes and scope to assist with </w:t>
      </w:r>
      <w:r w:rsidRPr="00440F46">
        <w:t>promoting roles</w:t>
      </w:r>
      <w:r>
        <w:t xml:space="preserve"> to help generate a diverse range of applicants (including via the use of social media). </w:t>
      </w:r>
    </w:p>
    <w:p w14:paraId="65073D68" w14:textId="29BC1D85" w:rsidR="00901EBE" w:rsidRPr="00E456B6" w:rsidRDefault="00901EBE" w:rsidP="00901EBE">
      <w:pPr>
        <w:numPr>
          <w:ilvl w:val="0"/>
          <w:numId w:val="25"/>
        </w:numPr>
        <w:spacing w:after="200" w:line="276" w:lineRule="auto"/>
        <w:jc w:val="both"/>
      </w:pPr>
      <w:r>
        <w:lastRenderedPageBreak/>
        <w:t>T</w:t>
      </w:r>
      <w:r w:rsidRPr="00E456B6">
        <w:t xml:space="preserve">o arrange </w:t>
      </w:r>
      <w:r>
        <w:t xml:space="preserve">a wider range of options for </w:t>
      </w:r>
      <w:r w:rsidRPr="00E456B6">
        <w:t xml:space="preserve">alternative formats </w:t>
      </w:r>
      <w:r>
        <w:t xml:space="preserve">where required </w:t>
      </w:r>
      <w:r w:rsidRPr="00E456B6">
        <w:t xml:space="preserve">of </w:t>
      </w:r>
      <w:r w:rsidR="00584BD5">
        <w:t xml:space="preserve">adverts and/or </w:t>
      </w:r>
      <w:r w:rsidRPr="00E456B6">
        <w:t xml:space="preserve">Candidate Information </w:t>
      </w:r>
      <w:r w:rsidR="00A934F9">
        <w:t>P</w:t>
      </w:r>
      <w:r w:rsidR="00A934F9" w:rsidRPr="00E456B6">
        <w:t>ack</w:t>
      </w:r>
      <w:r w:rsidR="00A934F9">
        <w:t>s</w:t>
      </w:r>
      <w:r w:rsidR="00A934F9" w:rsidRPr="00E456B6">
        <w:t xml:space="preserve"> </w:t>
      </w:r>
      <w:r w:rsidRPr="00E456B6">
        <w:t>and the conversion of candidate application</w:t>
      </w:r>
      <w:r>
        <w:t>s</w:t>
      </w:r>
      <w:r w:rsidRPr="00E456B6">
        <w:t xml:space="preserve"> to/from</w:t>
      </w:r>
      <w:r>
        <w:t xml:space="preserve"> for example</w:t>
      </w:r>
      <w:r w:rsidRPr="00E456B6">
        <w:t>:</w:t>
      </w:r>
    </w:p>
    <w:p w14:paraId="61CBB863" w14:textId="77777777" w:rsidR="00901EBE" w:rsidRPr="00E456B6" w:rsidRDefault="00901EBE" w:rsidP="00901EBE">
      <w:pPr>
        <w:numPr>
          <w:ilvl w:val="0"/>
          <w:numId w:val="26"/>
        </w:numPr>
        <w:spacing w:after="200" w:line="276" w:lineRule="auto"/>
        <w:jc w:val="both"/>
      </w:pPr>
      <w:r w:rsidRPr="00E456B6">
        <w:t>Braille</w:t>
      </w:r>
    </w:p>
    <w:p w14:paraId="5F6DA699" w14:textId="77777777" w:rsidR="00901EBE" w:rsidRDefault="00901EBE" w:rsidP="00901EBE">
      <w:pPr>
        <w:numPr>
          <w:ilvl w:val="0"/>
          <w:numId w:val="26"/>
        </w:numPr>
        <w:spacing w:after="200" w:line="276" w:lineRule="auto"/>
        <w:jc w:val="both"/>
      </w:pPr>
      <w:r w:rsidRPr="00E456B6">
        <w:t>Audio</w:t>
      </w:r>
    </w:p>
    <w:p w14:paraId="0C9D265C" w14:textId="77777777" w:rsidR="00901EBE" w:rsidRDefault="00901EBE" w:rsidP="00901EBE">
      <w:pPr>
        <w:spacing w:after="200" w:line="276" w:lineRule="auto"/>
        <w:ind w:firstLine="720"/>
      </w:pPr>
      <w:r w:rsidRPr="00E456B6">
        <w:t>and provide Translation Services e.g. Welsh/English</w:t>
      </w:r>
      <w:r>
        <w:t>.</w:t>
      </w:r>
    </w:p>
    <w:p w14:paraId="03D544AF" w14:textId="6C30999E" w:rsidR="00853F20" w:rsidRPr="00853F20" w:rsidRDefault="00B803A3" w:rsidP="00853F20">
      <w:pPr>
        <w:pStyle w:val="Heading2"/>
        <w:spacing w:after="200" w:line="276" w:lineRule="auto"/>
      </w:pPr>
      <w:r w:rsidRPr="00901EBE">
        <w:t>We estimate we may requi</w:t>
      </w:r>
      <w:r w:rsidR="00901EBE" w:rsidRPr="00901EBE">
        <w:t xml:space="preserve">re external advertising for </w:t>
      </w:r>
      <w:r w:rsidR="00901EBE">
        <w:t xml:space="preserve">up to </w:t>
      </w:r>
      <w:r w:rsidR="00901EBE" w:rsidRPr="00901EBE">
        <w:t>75%</w:t>
      </w:r>
      <w:r w:rsidR="00055884">
        <w:t xml:space="preserve"> (40),</w:t>
      </w:r>
      <w:r w:rsidR="00901EBE" w:rsidRPr="00901EBE">
        <w:t xml:space="preserve"> of</w:t>
      </w:r>
      <w:r w:rsidRPr="00853F20">
        <w:rPr>
          <w:b/>
        </w:rPr>
        <w:t xml:space="preserve"> </w:t>
      </w:r>
      <w:r w:rsidR="00901EBE" w:rsidRPr="00901EBE">
        <w:t xml:space="preserve">campaigns </w:t>
      </w:r>
      <w:r w:rsidR="00901EBE">
        <w:t xml:space="preserve">in 2019/20 </w:t>
      </w:r>
      <w:r w:rsidR="00901EBE" w:rsidRPr="00901EBE">
        <w:t>and that t</w:t>
      </w:r>
      <w:r w:rsidRPr="00901EBE">
        <w:t>here could be</w:t>
      </w:r>
      <w:r w:rsidR="00901EBE" w:rsidRPr="00901EBE">
        <w:t xml:space="preserve"> up to 3</w:t>
      </w:r>
      <w:r w:rsidRPr="00901EBE">
        <w:t xml:space="preserve"> requests for alternative</w:t>
      </w:r>
      <w:r w:rsidR="00901EBE" w:rsidRPr="00901EBE">
        <w:t xml:space="preserve"> formats</w:t>
      </w:r>
      <w:r w:rsidRPr="00901EBE">
        <w:t xml:space="preserve">. </w:t>
      </w:r>
      <w:r w:rsidR="00853F20">
        <w:t xml:space="preserve">In terms of pre-assessment, we estimate </w:t>
      </w:r>
      <w:r w:rsidR="00901EBE" w:rsidRPr="00853F20">
        <w:t xml:space="preserve">potentially around 600 candidates will need pre-assessing in 2019/20. </w:t>
      </w:r>
      <w:r w:rsidR="001945B4">
        <w:t>These are only outline planning assumptions and DHSC cannot commit to meeting these numbers or limiting activity to these numbers. If our numbers are to become significantly higher for any reason we will ensure we alert the supplier at the earliest opportunity so they can plan accordingly</w:t>
      </w:r>
      <w:r w:rsidR="003E4430">
        <w:t>.</w:t>
      </w:r>
    </w:p>
    <w:p w14:paraId="27B895F6" w14:textId="30C5538E" w:rsidR="00B803A3" w:rsidRDefault="00853F20" w:rsidP="00853F20">
      <w:pPr>
        <w:pStyle w:val="Heading2"/>
        <w:spacing w:after="200" w:line="276" w:lineRule="auto"/>
      </w:pPr>
      <w:r>
        <w:t>DHSC will inform the Contractor when an advert is due to go live, along with the planned closing date and when the expected deadline is for pre-assessment to be complete. The Contractor will receive or have access to the applications</w:t>
      </w:r>
      <w:r w:rsidR="00434EAE">
        <w:t xml:space="preserve"> either be</w:t>
      </w:r>
      <w:r w:rsidR="006D07E2">
        <w:t>fore</w:t>
      </w:r>
      <w:r w:rsidR="00434EAE">
        <w:t xml:space="preserve"> and/or when the advert closes</w:t>
      </w:r>
      <w:r>
        <w:t xml:space="preserve">. </w:t>
      </w:r>
    </w:p>
    <w:p w14:paraId="6F5DD488" w14:textId="3AB7BF71" w:rsidR="00853F20" w:rsidRDefault="00853F20" w:rsidP="00853F20">
      <w:pPr>
        <w:pStyle w:val="Heading2"/>
      </w:pPr>
      <w:r>
        <w:t>DHSC will work together with the Contractor to look at media options for targeted advertising of our publi</w:t>
      </w:r>
      <w:r w:rsidR="003E4430">
        <w:t xml:space="preserve">c appointments, with particular </w:t>
      </w:r>
      <w:r>
        <w:t>focus on attracting diverse candidates</w:t>
      </w:r>
      <w:r w:rsidR="006D07E2">
        <w:t>,</w:t>
      </w:r>
      <w:r>
        <w:t xml:space="preserve"> with the Contractor advising on relevant publications. </w:t>
      </w:r>
    </w:p>
    <w:p w14:paraId="7DAF6142" w14:textId="77777777" w:rsidR="00960156" w:rsidRDefault="00E72845" w:rsidP="00853F20">
      <w:pPr>
        <w:pStyle w:val="Heading2"/>
        <w:spacing w:after="200" w:line="276" w:lineRule="auto"/>
      </w:pPr>
      <w:r>
        <w:t xml:space="preserve">It is vital to ensure that all skills and knowledge gained by the above requirements are retained by the DHSC for the longer term. Any skills and/or knowledge will be transferred by lessons learned sessions between DHSC and the Contractor, and the provision of pre-assessment reports throughout campaigns. </w:t>
      </w:r>
    </w:p>
    <w:p w14:paraId="4C332AEB" w14:textId="77777777" w:rsidR="00A028E8" w:rsidRPr="00910C2D" w:rsidRDefault="00A028E8" w:rsidP="00910C2D">
      <w:pPr>
        <w:pStyle w:val="Heading1"/>
      </w:pPr>
      <w:bookmarkStart w:id="15" w:name="_Toc302637211"/>
      <w:bookmarkStart w:id="16" w:name="_Toc439118"/>
      <w:r w:rsidRPr="00910C2D">
        <w:t>service levels and performance</w:t>
      </w:r>
      <w:bookmarkEnd w:id="15"/>
      <w:bookmarkEnd w:id="16"/>
    </w:p>
    <w:p w14:paraId="620262A5" w14:textId="77777777" w:rsidR="00CD6CB8" w:rsidRDefault="00C24031" w:rsidP="00CD6CB8">
      <w:pPr>
        <w:pStyle w:val="Heading2"/>
      </w:pPr>
      <w:r>
        <w:t xml:space="preserve">The Contractor should appoint a Supplier Contract Manager to oversee the work and liaise with/report as DHSC requires to DHSC’s Contract Manager. </w:t>
      </w:r>
    </w:p>
    <w:p w14:paraId="397DD172" w14:textId="368538A5" w:rsidR="00B236D1" w:rsidRDefault="00C24031" w:rsidP="00B236D1">
      <w:pPr>
        <w:pStyle w:val="Heading2"/>
        <w:spacing w:after="200" w:line="276" w:lineRule="auto"/>
      </w:pPr>
      <w:r w:rsidRPr="00303DF7">
        <w:lastRenderedPageBreak/>
        <w:t>The Supplier Contract Manager will</w:t>
      </w:r>
      <w:r>
        <w:t>:</w:t>
      </w:r>
      <w:r w:rsidRPr="00303DF7">
        <w:t xml:space="preserve"> </w:t>
      </w:r>
    </w:p>
    <w:p w14:paraId="37069B49" w14:textId="4BC44B91" w:rsidR="00B236D1" w:rsidRDefault="00CD6CB8" w:rsidP="00B236D1">
      <w:pPr>
        <w:pStyle w:val="Heading2"/>
        <w:numPr>
          <w:ilvl w:val="0"/>
          <w:numId w:val="42"/>
        </w:numPr>
        <w:spacing w:after="200" w:line="276" w:lineRule="auto"/>
      </w:pPr>
      <w:r w:rsidRPr="00303DF7">
        <w:t>Perform quality assurance on all aspects of the progra</w:t>
      </w:r>
      <w:r w:rsidR="00E55DA2">
        <w:t>mme.</w:t>
      </w:r>
    </w:p>
    <w:p w14:paraId="025E88D8" w14:textId="26A8442D" w:rsidR="00B236D1" w:rsidRDefault="00B236D1" w:rsidP="00B236D1">
      <w:pPr>
        <w:pStyle w:val="Heading2"/>
        <w:numPr>
          <w:ilvl w:val="0"/>
          <w:numId w:val="42"/>
        </w:numPr>
        <w:spacing w:after="200" w:line="276" w:lineRule="auto"/>
      </w:pPr>
      <w:r w:rsidRPr="00303DF7">
        <w:t>Provide the Department with timely and ongoing evaluation and quality assurance information relating to the programme</w:t>
      </w:r>
      <w:r w:rsidR="00E55DA2">
        <w:t>.</w:t>
      </w:r>
    </w:p>
    <w:p w14:paraId="5AB7F93D" w14:textId="2F4BEF81" w:rsidR="00B236D1" w:rsidRDefault="00B236D1" w:rsidP="00B236D1">
      <w:pPr>
        <w:pStyle w:val="Heading2"/>
        <w:numPr>
          <w:ilvl w:val="0"/>
          <w:numId w:val="42"/>
        </w:numPr>
        <w:spacing w:after="200" w:line="276" w:lineRule="auto"/>
      </w:pPr>
      <w:r w:rsidRPr="00303DF7">
        <w:t>Provide monthly</w:t>
      </w:r>
      <w:r w:rsidR="00E55DA2">
        <w:t xml:space="preserve"> updates on costs.</w:t>
      </w:r>
    </w:p>
    <w:p w14:paraId="4B1D8BE0" w14:textId="584175BA" w:rsidR="00B236D1" w:rsidRDefault="00B236D1" w:rsidP="00B236D1">
      <w:pPr>
        <w:pStyle w:val="Heading2"/>
        <w:numPr>
          <w:ilvl w:val="0"/>
          <w:numId w:val="42"/>
        </w:numPr>
        <w:spacing w:after="200" w:line="276" w:lineRule="auto"/>
      </w:pPr>
      <w:r w:rsidRPr="00D9615C">
        <w:t>Provide</w:t>
      </w:r>
      <w:r w:rsidR="00E55DA2">
        <w:t xml:space="preserve"> feedback from key stakeholders.</w:t>
      </w:r>
    </w:p>
    <w:p w14:paraId="2E9F5B46" w14:textId="5F69FCBF" w:rsidR="003E4430" w:rsidRPr="0031666E" w:rsidRDefault="00CD6CB8" w:rsidP="00B236D1">
      <w:pPr>
        <w:pStyle w:val="Heading3"/>
        <w:keepNext/>
        <w:numPr>
          <w:ilvl w:val="0"/>
          <w:numId w:val="42"/>
        </w:numPr>
        <w:adjustRightInd/>
        <w:spacing w:after="200" w:line="276" w:lineRule="auto"/>
      </w:pPr>
      <w:r w:rsidRPr="0031666E">
        <w:t>Provide management information, within reasonable time scale (ideally within 3 working days), in a format that it can be easily manipulated (e.g. MS Office applications) and at no ad</w:t>
      </w:r>
      <w:r w:rsidR="00E55DA2" w:rsidRPr="0031666E">
        <w:t>ditional cost to the Department.</w:t>
      </w:r>
    </w:p>
    <w:p w14:paraId="436BD0FF" w14:textId="69C420AA" w:rsidR="00CD6CB8" w:rsidRPr="0031666E" w:rsidRDefault="00CD6CB8" w:rsidP="00B236D1">
      <w:pPr>
        <w:pStyle w:val="Heading3"/>
        <w:numPr>
          <w:ilvl w:val="0"/>
          <w:numId w:val="42"/>
        </w:numPr>
        <w:tabs>
          <w:tab w:val="left" w:pos="1843"/>
        </w:tabs>
        <w:spacing w:after="200" w:line="276" w:lineRule="auto"/>
      </w:pPr>
      <w:r w:rsidRPr="0031666E">
        <w:t xml:space="preserve">Hold quarterly review meetings with the Departmental Contract Manager to discuss, which may include but not limited to: </w:t>
      </w:r>
    </w:p>
    <w:p w14:paraId="1A3D93E4" w14:textId="77777777" w:rsidR="00CD6CB8" w:rsidRPr="00CD6CB8" w:rsidRDefault="00CD6CB8" w:rsidP="00CD6CB8">
      <w:pPr>
        <w:pStyle w:val="Heading3"/>
        <w:keepNext/>
        <w:numPr>
          <w:ilvl w:val="0"/>
          <w:numId w:val="31"/>
        </w:numPr>
        <w:tabs>
          <w:tab w:val="left" w:pos="1843"/>
        </w:tabs>
        <w:adjustRightInd/>
        <w:spacing w:before="20" w:after="20"/>
        <w:jc w:val="left"/>
        <w:rPr>
          <w:i/>
        </w:rPr>
      </w:pPr>
      <w:r w:rsidRPr="00D93C99">
        <w:t>Service delivery and any issues</w:t>
      </w:r>
      <w:r>
        <w:t xml:space="preserve"> </w:t>
      </w:r>
      <w:r w:rsidRPr="00D93C99">
        <w:t>(including any complaints of poor performance and any actions taken);</w:t>
      </w:r>
    </w:p>
    <w:p w14:paraId="475F4FB8" w14:textId="77777777" w:rsidR="00CD6CB8" w:rsidRPr="00CD6CB8" w:rsidRDefault="00CD6CB8" w:rsidP="00CD6CB8">
      <w:pPr>
        <w:pStyle w:val="Heading3"/>
        <w:keepNext/>
        <w:numPr>
          <w:ilvl w:val="0"/>
          <w:numId w:val="31"/>
        </w:numPr>
        <w:tabs>
          <w:tab w:val="left" w:pos="1843"/>
        </w:tabs>
        <w:adjustRightInd/>
        <w:spacing w:before="20" w:after="20"/>
        <w:jc w:val="left"/>
        <w:rPr>
          <w:i/>
        </w:rPr>
      </w:pPr>
      <w:r>
        <w:t>Consideration of any improvements or developments;</w:t>
      </w:r>
    </w:p>
    <w:p w14:paraId="513A0BEB" w14:textId="427EE8B4" w:rsidR="00CD6CB8" w:rsidRDefault="00CD6CB8" w:rsidP="00B236D1">
      <w:pPr>
        <w:pStyle w:val="Heading3"/>
        <w:keepNext/>
        <w:numPr>
          <w:ilvl w:val="0"/>
          <w:numId w:val="31"/>
        </w:numPr>
        <w:tabs>
          <w:tab w:val="left" w:pos="1843"/>
        </w:tabs>
        <w:adjustRightInd/>
        <w:spacing w:before="20" w:after="20"/>
        <w:jc w:val="left"/>
        <w:rPr>
          <w:i/>
        </w:rPr>
      </w:pPr>
      <w:r>
        <w:t>Any changes to key personn</w:t>
      </w:r>
      <w:r w:rsidR="00111F2F">
        <w:t>el, processes, or delivery, etc.</w:t>
      </w:r>
    </w:p>
    <w:p w14:paraId="19B21C95" w14:textId="77777777" w:rsidR="00B236D1" w:rsidRPr="00B236D1" w:rsidRDefault="00B236D1" w:rsidP="00B236D1">
      <w:pPr>
        <w:pStyle w:val="Heading3"/>
        <w:keepNext/>
        <w:numPr>
          <w:ilvl w:val="0"/>
          <w:numId w:val="0"/>
        </w:numPr>
        <w:tabs>
          <w:tab w:val="left" w:pos="1843"/>
        </w:tabs>
        <w:adjustRightInd/>
        <w:spacing w:before="20" w:after="20"/>
        <w:ind w:left="1440"/>
        <w:jc w:val="left"/>
        <w:rPr>
          <w:i/>
        </w:rPr>
      </w:pPr>
    </w:p>
    <w:p w14:paraId="3AE8124F" w14:textId="77777777" w:rsidR="00CD6CB8" w:rsidRDefault="00CD6CB8" w:rsidP="00CD6CB8">
      <w:pPr>
        <w:pStyle w:val="Heading2"/>
      </w:pPr>
      <w:r>
        <w:t>The key performance indicators that will be used to measure the success of the contract</w:t>
      </w:r>
      <w:r w:rsidR="00111F2F">
        <w:t xml:space="preserve"> will be as follows</w:t>
      </w:r>
      <w:r>
        <w:t>:</w:t>
      </w:r>
    </w:p>
    <w:p w14:paraId="741335AA" w14:textId="77777777" w:rsidR="00997E21" w:rsidRPr="00997E21" w:rsidRDefault="00997E21" w:rsidP="00997E21">
      <w:pPr>
        <w:pStyle w:val="Heading2"/>
        <w:numPr>
          <w:ilvl w:val="0"/>
          <w:numId w:val="0"/>
        </w:numPr>
        <w:ind w:firstLine="720"/>
        <w:rPr>
          <w:b/>
        </w:rPr>
      </w:pPr>
      <w:r w:rsidRPr="00997E21">
        <w:rPr>
          <w:b/>
        </w:rPr>
        <w:t>Pre-assessment</w:t>
      </w:r>
    </w:p>
    <w:p w14:paraId="1FFEBA37" w14:textId="6B5109C7" w:rsidR="00997E21" w:rsidRDefault="00997E21" w:rsidP="003071B6">
      <w:pPr>
        <w:pStyle w:val="Heading2"/>
        <w:numPr>
          <w:ilvl w:val="0"/>
          <w:numId w:val="38"/>
        </w:numPr>
      </w:pPr>
      <w:r>
        <w:t xml:space="preserve">Prepare pre-assessment (or longlisting) reports for all public appointment recruitment campaigns </w:t>
      </w:r>
      <w:r w:rsidRPr="00B802CF">
        <w:t xml:space="preserve">within </w:t>
      </w:r>
      <w:r w:rsidR="006D07E2">
        <w:t>3</w:t>
      </w:r>
      <w:r w:rsidRPr="00B802CF">
        <w:t xml:space="preserve"> working days</w:t>
      </w:r>
      <w:r w:rsidRPr="004C1504">
        <w:t xml:space="preserve"> </w:t>
      </w:r>
      <w:r w:rsidRPr="00111F2F">
        <w:t xml:space="preserve">of </w:t>
      </w:r>
      <w:r w:rsidR="006D07E2">
        <w:t>receiving applications</w:t>
      </w:r>
      <w:r w:rsidR="00912BB4">
        <w:t xml:space="preserve"> and </w:t>
      </w:r>
      <w:r w:rsidR="001107BA">
        <w:t>inpu</w:t>
      </w:r>
      <w:r w:rsidR="00912BB4">
        <w:t>t</w:t>
      </w:r>
      <w:r w:rsidR="001107BA">
        <w:t xml:space="preserve"> on</w:t>
      </w:r>
      <w:r w:rsidR="004C1504">
        <w:t>to</w:t>
      </w:r>
      <w:r w:rsidR="001107BA">
        <w:t xml:space="preserve"> the Department’s</w:t>
      </w:r>
      <w:r w:rsidR="00912BB4">
        <w:t xml:space="preserve"> system. </w:t>
      </w:r>
      <w:r>
        <w:t xml:space="preserve"> </w:t>
      </w:r>
    </w:p>
    <w:p w14:paraId="0A3A8269" w14:textId="77777777" w:rsidR="00912BB4" w:rsidRDefault="001107BA" w:rsidP="00912BB4">
      <w:pPr>
        <w:pStyle w:val="Heading2"/>
        <w:numPr>
          <w:ilvl w:val="0"/>
          <w:numId w:val="38"/>
        </w:numPr>
      </w:pPr>
      <w:r>
        <w:t xml:space="preserve">Ensure </w:t>
      </w:r>
      <w:r w:rsidR="00997E21">
        <w:t>reports</w:t>
      </w:r>
      <w:r w:rsidR="00912BB4">
        <w:t xml:space="preserve"> </w:t>
      </w:r>
      <w:r>
        <w:t>are</w:t>
      </w:r>
      <w:r w:rsidR="00912BB4">
        <w:t xml:space="preserve"> set </w:t>
      </w:r>
      <w:r>
        <w:t xml:space="preserve">out in the agreed </w:t>
      </w:r>
      <w:r w:rsidR="00912BB4">
        <w:t>pro-forma and are of a high quality with attention to detail to ensure accuracy.</w:t>
      </w:r>
    </w:p>
    <w:p w14:paraId="01A9B2FE" w14:textId="77777777" w:rsidR="00912BB4" w:rsidRDefault="001107BA" w:rsidP="00912BB4">
      <w:pPr>
        <w:pStyle w:val="Heading2"/>
        <w:numPr>
          <w:ilvl w:val="0"/>
          <w:numId w:val="38"/>
        </w:numPr>
      </w:pPr>
      <w:r>
        <w:t xml:space="preserve">Ensure </w:t>
      </w:r>
      <w:r w:rsidR="00912BB4">
        <w:t xml:space="preserve">pre-assessment </w:t>
      </w:r>
      <w:r>
        <w:t xml:space="preserve">of candidates </w:t>
      </w:r>
      <w:r w:rsidR="00912BB4">
        <w:t xml:space="preserve">is </w:t>
      </w:r>
      <w:r>
        <w:t>done</w:t>
      </w:r>
      <w:r w:rsidR="00912BB4">
        <w:t xml:space="preserve"> against the agreed person specification for roles. </w:t>
      </w:r>
    </w:p>
    <w:p w14:paraId="66445A44" w14:textId="77777777" w:rsidR="00912BB4" w:rsidRDefault="00912BB4" w:rsidP="00912BB4">
      <w:pPr>
        <w:pStyle w:val="Heading2"/>
        <w:numPr>
          <w:ilvl w:val="0"/>
          <w:numId w:val="38"/>
        </w:numPr>
      </w:pPr>
      <w:r>
        <w:lastRenderedPageBreak/>
        <w:t xml:space="preserve">Be flexible and respond to requests at short notice, for example to changes to the </w:t>
      </w:r>
      <w:r w:rsidR="001107BA">
        <w:t xml:space="preserve">pre-assessment </w:t>
      </w:r>
      <w:r>
        <w:t xml:space="preserve">report or requests for further information to inform feedback to candidates. </w:t>
      </w:r>
    </w:p>
    <w:p w14:paraId="6747D20C" w14:textId="77777777" w:rsidR="001107BA" w:rsidRPr="001107BA" w:rsidRDefault="001C791E" w:rsidP="001107BA">
      <w:pPr>
        <w:pStyle w:val="Heading2"/>
        <w:numPr>
          <w:ilvl w:val="0"/>
          <w:numId w:val="0"/>
        </w:numPr>
        <w:ind w:left="720"/>
        <w:rPr>
          <w:b/>
        </w:rPr>
      </w:pPr>
      <w:r>
        <w:rPr>
          <w:b/>
        </w:rPr>
        <w:t xml:space="preserve">External </w:t>
      </w:r>
      <w:r w:rsidR="001107BA" w:rsidRPr="001107BA">
        <w:rPr>
          <w:b/>
        </w:rPr>
        <w:t xml:space="preserve">Advertising </w:t>
      </w:r>
    </w:p>
    <w:p w14:paraId="4951F884" w14:textId="1EF117DF" w:rsidR="003071B6" w:rsidRDefault="003071B6" w:rsidP="001107BA">
      <w:pPr>
        <w:pStyle w:val="Heading2"/>
        <w:numPr>
          <w:ilvl w:val="0"/>
          <w:numId w:val="38"/>
        </w:numPr>
      </w:pPr>
      <w:r>
        <w:t xml:space="preserve">Prepare adverts and return these to us within 24 hours or less via email for amendment and approval during office hours. </w:t>
      </w:r>
    </w:p>
    <w:p w14:paraId="68B7B7D8" w14:textId="77777777" w:rsidR="003071B6" w:rsidRDefault="003071B6" w:rsidP="001107BA">
      <w:pPr>
        <w:pStyle w:val="Heading2"/>
        <w:numPr>
          <w:ilvl w:val="0"/>
          <w:numId w:val="38"/>
        </w:numPr>
      </w:pPr>
      <w:r>
        <w:t xml:space="preserve">Provide concepts and copy for one-off creative or large-scale composite adverts within 5 working days of brief. </w:t>
      </w:r>
    </w:p>
    <w:p w14:paraId="3B7B4F5E" w14:textId="77777777" w:rsidR="003071B6" w:rsidRDefault="003071B6" w:rsidP="001107BA">
      <w:pPr>
        <w:pStyle w:val="Heading2"/>
        <w:numPr>
          <w:ilvl w:val="0"/>
          <w:numId w:val="38"/>
        </w:numPr>
      </w:pPr>
      <w:r>
        <w:t xml:space="preserve">Provide a summary of media schedules (media costs only) within 24 hours of request and a full media schedule (media, costs and detailed rationales) within 2-3 working days dependent on complexity.  </w:t>
      </w:r>
    </w:p>
    <w:p w14:paraId="04A0AAB6" w14:textId="77777777" w:rsidR="003071B6" w:rsidRDefault="003071B6" w:rsidP="001107BA">
      <w:pPr>
        <w:pStyle w:val="Heading2"/>
        <w:numPr>
          <w:ilvl w:val="0"/>
          <w:numId w:val="38"/>
        </w:numPr>
      </w:pPr>
      <w:r>
        <w:t>Upload basic online advertising within 24/48 hours of approval</w:t>
      </w:r>
      <w:r w:rsidR="005B297B">
        <w:t xml:space="preserve"> and provide DHSC with the link (online publications)</w:t>
      </w:r>
      <w:r>
        <w:t xml:space="preserve">. </w:t>
      </w:r>
    </w:p>
    <w:p w14:paraId="22C1A843" w14:textId="77777777" w:rsidR="003071B6" w:rsidRDefault="003071B6" w:rsidP="001107BA">
      <w:pPr>
        <w:pStyle w:val="Heading2"/>
        <w:numPr>
          <w:ilvl w:val="0"/>
          <w:numId w:val="38"/>
        </w:numPr>
      </w:pPr>
      <w:r>
        <w:t xml:space="preserve">Book advertisements with the relevant media and despatch when approved by </w:t>
      </w:r>
      <w:r w:rsidR="005B297B">
        <w:t>DHSC.</w:t>
      </w:r>
      <w:r>
        <w:t xml:space="preserve"> </w:t>
      </w:r>
    </w:p>
    <w:p w14:paraId="7A60E941" w14:textId="77777777" w:rsidR="003071B6" w:rsidRDefault="003071B6" w:rsidP="001107BA">
      <w:pPr>
        <w:pStyle w:val="Heading2"/>
        <w:numPr>
          <w:ilvl w:val="0"/>
          <w:numId w:val="38"/>
        </w:numPr>
      </w:pPr>
      <w:r>
        <w:t xml:space="preserve">Ensure adverts are of a high quality with attention to detail to ensure accuracy. </w:t>
      </w:r>
    </w:p>
    <w:p w14:paraId="72E1576C" w14:textId="77777777" w:rsidR="003071B6" w:rsidRDefault="003071B6" w:rsidP="001107BA">
      <w:pPr>
        <w:pStyle w:val="Heading2"/>
        <w:numPr>
          <w:ilvl w:val="0"/>
          <w:numId w:val="38"/>
        </w:numPr>
      </w:pPr>
      <w:r>
        <w:t xml:space="preserve">Ensure due attention to DHSC Branding Guidelines. </w:t>
      </w:r>
    </w:p>
    <w:p w14:paraId="49E3D154" w14:textId="77777777" w:rsidR="003071B6" w:rsidRDefault="003071B6" w:rsidP="001107BA">
      <w:pPr>
        <w:pStyle w:val="Heading2"/>
        <w:numPr>
          <w:ilvl w:val="0"/>
          <w:numId w:val="38"/>
        </w:numPr>
      </w:pPr>
      <w:r>
        <w:t xml:space="preserve">Be flexible and respond to requests at short notice, whilst meeting strict deadlines for uploading and placing adverts. </w:t>
      </w:r>
    </w:p>
    <w:p w14:paraId="61041C9F" w14:textId="0BCA3411" w:rsidR="003071B6" w:rsidRDefault="003071B6" w:rsidP="001107BA">
      <w:pPr>
        <w:pStyle w:val="Heading2"/>
        <w:numPr>
          <w:ilvl w:val="0"/>
          <w:numId w:val="38"/>
        </w:numPr>
      </w:pPr>
      <w:r>
        <w:t>On occasion</w:t>
      </w:r>
      <w:r w:rsidR="005B297B">
        <w:t>, where requested</w:t>
      </w:r>
      <w:r>
        <w:t xml:space="preserve"> provide our adverts and/or </w:t>
      </w:r>
      <w:r w:rsidR="00A934F9">
        <w:t>Candidate I</w:t>
      </w:r>
      <w:r>
        <w:t xml:space="preserve">nformation </w:t>
      </w:r>
      <w:r w:rsidR="00A934F9">
        <w:t>P</w:t>
      </w:r>
      <w:r>
        <w:t xml:space="preserve">acks in alternative formats. We would require these to be delivered within 3-5 working days. </w:t>
      </w:r>
    </w:p>
    <w:p w14:paraId="75CAEC54" w14:textId="77777777" w:rsidR="00104C46" w:rsidRDefault="003071B6" w:rsidP="00104C46">
      <w:pPr>
        <w:pStyle w:val="Heading2"/>
        <w:numPr>
          <w:ilvl w:val="0"/>
          <w:numId w:val="38"/>
        </w:numPr>
      </w:pPr>
      <w:r w:rsidRPr="00FC4903">
        <w:t>I</w:t>
      </w:r>
      <w:r w:rsidR="005B297B">
        <w:t>f</w:t>
      </w:r>
      <w:r w:rsidRPr="00FC4903">
        <w:t xml:space="preserve"> there</w:t>
      </w:r>
      <w:r w:rsidR="001107BA">
        <w:t xml:space="preserve"> are</w:t>
      </w:r>
      <w:r w:rsidRPr="00FC4903">
        <w:t xml:space="preserve"> </w:t>
      </w:r>
      <w:r>
        <w:t xml:space="preserve">issues with service delivery, the Supplier Contract Manager will acknowledge the </w:t>
      </w:r>
      <w:r w:rsidR="005B297B">
        <w:t>DHSC</w:t>
      </w:r>
      <w:r>
        <w:t xml:space="preserve"> Programme Manager’s concerns/issues within 24 hours and will propose a series of remedial actions within 72 hours, to prevent further occurrences.</w:t>
      </w:r>
      <w:r w:rsidR="00104C46" w:rsidRPr="00104C46">
        <w:t xml:space="preserve"> </w:t>
      </w:r>
    </w:p>
    <w:p w14:paraId="21698175" w14:textId="6647D2FE" w:rsidR="003071B6" w:rsidRDefault="00104C46" w:rsidP="00787CCB">
      <w:pPr>
        <w:pStyle w:val="Heading2"/>
        <w:numPr>
          <w:ilvl w:val="0"/>
          <w:numId w:val="38"/>
        </w:numPr>
      </w:pPr>
      <w:r w:rsidRPr="004C1504">
        <w:lastRenderedPageBreak/>
        <w:t xml:space="preserve">Respond to requests for </w:t>
      </w:r>
      <w:r>
        <w:t xml:space="preserve">wider </w:t>
      </w:r>
      <w:r w:rsidRPr="004C1504">
        <w:t xml:space="preserve">assistance in promoting roles, including via the use of alternative media/social media for targeting specific candidates within 2-5 working days. </w:t>
      </w:r>
    </w:p>
    <w:p w14:paraId="67981E4C" w14:textId="77777777" w:rsidR="00CD6CB8" w:rsidRDefault="003071B6" w:rsidP="003071B6">
      <w:pPr>
        <w:pStyle w:val="Heading2"/>
      </w:pPr>
      <w:r>
        <w:t xml:space="preserve">The </w:t>
      </w:r>
      <w:r w:rsidR="005B297B">
        <w:t>C</w:t>
      </w:r>
      <w:r>
        <w:t xml:space="preserve">ontractor will: </w:t>
      </w:r>
    </w:p>
    <w:p w14:paraId="51CF3DAC" w14:textId="77777777" w:rsidR="00CD6CB8" w:rsidRDefault="003071B6" w:rsidP="00CD6CB8">
      <w:pPr>
        <w:pStyle w:val="Heading2"/>
        <w:numPr>
          <w:ilvl w:val="0"/>
          <w:numId w:val="39"/>
        </w:numPr>
      </w:pPr>
      <w:r>
        <w:t xml:space="preserve">Monitor the quality of the service provision to ensure customer satisfaction in accordance with the key performance indicators outlined in the Contract, unless otherwise approved by the </w:t>
      </w:r>
      <w:r w:rsidR="005B297B">
        <w:t xml:space="preserve">DHSC </w:t>
      </w:r>
      <w:r>
        <w:t>Pro</w:t>
      </w:r>
      <w:r w:rsidR="005B297B">
        <w:t>gramme</w:t>
      </w:r>
      <w:r>
        <w:t xml:space="preserve"> Manager. </w:t>
      </w:r>
    </w:p>
    <w:p w14:paraId="167DD730" w14:textId="77777777" w:rsidR="00CD6CB8" w:rsidRDefault="003071B6" w:rsidP="00CD6CB8">
      <w:pPr>
        <w:pStyle w:val="Heading2"/>
        <w:numPr>
          <w:ilvl w:val="0"/>
          <w:numId w:val="39"/>
        </w:numPr>
      </w:pPr>
      <w:r>
        <w:t xml:space="preserve">Provide a report on progress in delivering the requirement to the </w:t>
      </w:r>
      <w:r w:rsidR="005B297B">
        <w:t xml:space="preserve">DHSC </w:t>
      </w:r>
      <w:r>
        <w:t>Pro</w:t>
      </w:r>
      <w:r w:rsidR="005B297B">
        <w:t>gramme</w:t>
      </w:r>
      <w:r>
        <w:t xml:space="preserve"> Manager on a regular basis, at least quarterly. </w:t>
      </w:r>
    </w:p>
    <w:p w14:paraId="74B50EE5" w14:textId="77777777" w:rsidR="003071B6" w:rsidRDefault="003071B6" w:rsidP="00CD6CB8">
      <w:pPr>
        <w:pStyle w:val="Heading2"/>
        <w:numPr>
          <w:ilvl w:val="0"/>
          <w:numId w:val="39"/>
        </w:numPr>
      </w:pPr>
      <w:r>
        <w:t xml:space="preserve">Attend meetings to review progress and discuss the service, as required by the </w:t>
      </w:r>
      <w:r w:rsidR="005B297B">
        <w:t>DHSC Programme</w:t>
      </w:r>
      <w:r>
        <w:t xml:space="preserve"> Manager. </w:t>
      </w:r>
    </w:p>
    <w:p w14:paraId="61096BD0" w14:textId="77777777" w:rsidR="00C73E22" w:rsidRDefault="003071B6" w:rsidP="00262C28">
      <w:pPr>
        <w:pStyle w:val="Heading2"/>
        <w:numPr>
          <w:ilvl w:val="0"/>
          <w:numId w:val="39"/>
        </w:numPr>
      </w:pPr>
      <w:r>
        <w:t>Attend a post contract review with the Department to review whether th</w:t>
      </w:r>
      <w:r w:rsidR="00262C28">
        <w:t xml:space="preserve">e objectives of the contract were met, to review the benefits achieved and to identify any lessons learnt for future projects. </w:t>
      </w:r>
    </w:p>
    <w:p w14:paraId="4179F7E2" w14:textId="77777777" w:rsidR="000C73A3" w:rsidRPr="00910C2D" w:rsidRDefault="000C73A3" w:rsidP="00910C2D">
      <w:pPr>
        <w:pStyle w:val="Heading1"/>
      </w:pPr>
      <w:bookmarkStart w:id="17" w:name="_Toc439119"/>
      <w:r w:rsidRPr="00910C2D">
        <w:t>Security requirements</w:t>
      </w:r>
      <w:bookmarkEnd w:id="17"/>
    </w:p>
    <w:p w14:paraId="7F277376" w14:textId="77777777" w:rsidR="00B85142" w:rsidRPr="007F7EB6" w:rsidRDefault="00287DA0" w:rsidP="00910C2D">
      <w:pPr>
        <w:pStyle w:val="Heading2"/>
      </w:pPr>
      <w:r>
        <w:t>Information regarding candidates is confidential and re</w:t>
      </w:r>
      <w:r w:rsidRPr="00287DA0">
        <w:t xml:space="preserve">quirements of the General Data </w:t>
      </w:r>
      <w:r w:rsidRPr="007F7EB6">
        <w:t xml:space="preserve">Protection Regulations </w:t>
      </w:r>
      <w:r w:rsidR="007F7EB6">
        <w:t xml:space="preserve">(GDPR) need to be followed. The DHSC Appointments and Honours Unit will agree a process with the </w:t>
      </w:r>
      <w:r w:rsidR="005B297B">
        <w:t>Contractor</w:t>
      </w:r>
      <w:r w:rsidR="002A17F9">
        <w:t xml:space="preserve"> to ensure compliance with GDPR</w:t>
      </w:r>
      <w:r w:rsidR="007F7EB6">
        <w:t xml:space="preserve"> Regulations</w:t>
      </w:r>
      <w:r w:rsidRPr="007F7EB6">
        <w:t xml:space="preserve">. </w:t>
      </w:r>
    </w:p>
    <w:p w14:paraId="27857852" w14:textId="77777777" w:rsidR="00B459C5" w:rsidRPr="007F7EB6" w:rsidRDefault="00B459C5" w:rsidP="00910C2D">
      <w:pPr>
        <w:pStyle w:val="Heading1"/>
      </w:pPr>
      <w:bookmarkStart w:id="18" w:name="_Toc439120"/>
      <w:r w:rsidRPr="007F7EB6">
        <w:t>BUDGET</w:t>
      </w:r>
      <w:bookmarkEnd w:id="18"/>
    </w:p>
    <w:p w14:paraId="46659E68" w14:textId="0FC89573" w:rsidR="00912038" w:rsidRDefault="00912038" w:rsidP="00910C2D">
      <w:pPr>
        <w:pStyle w:val="Heading2"/>
      </w:pPr>
      <w:r w:rsidRPr="007F7EB6">
        <w:t xml:space="preserve">The </w:t>
      </w:r>
      <w:r w:rsidR="002F2836" w:rsidRPr="007F7EB6">
        <w:t>maximum budget for this contract in 2019/20</w:t>
      </w:r>
      <w:r w:rsidR="00104C46">
        <w:t xml:space="preserve">, and based on the indicative </w:t>
      </w:r>
      <w:r w:rsidR="0075682E">
        <w:t xml:space="preserve">activity </w:t>
      </w:r>
      <w:r w:rsidR="00104C46">
        <w:t>figures highl</w:t>
      </w:r>
      <w:r w:rsidR="00787CCB">
        <w:t xml:space="preserve">ighted in para </w:t>
      </w:r>
      <w:r w:rsidR="0075682E" w:rsidRPr="00787CCB">
        <w:t>4.6</w:t>
      </w:r>
      <w:r w:rsidR="00104C46" w:rsidRPr="00787CCB">
        <w:t>,</w:t>
      </w:r>
      <w:r w:rsidR="00946BC7">
        <w:t xml:space="preserve"> is £24,</w:t>
      </w:r>
      <w:r w:rsidR="004E50E0">
        <w:t>8</w:t>
      </w:r>
      <w:r w:rsidR="004E50E0" w:rsidRPr="007F7EB6">
        <w:t xml:space="preserve">00 </w:t>
      </w:r>
      <w:r w:rsidR="002F2836" w:rsidRPr="007F7EB6">
        <w:t xml:space="preserve">(excluding VAT). </w:t>
      </w:r>
    </w:p>
    <w:p w14:paraId="7E383574" w14:textId="4E9BDBA9" w:rsidR="00EC01E4" w:rsidRPr="007F7EB6" w:rsidRDefault="00584BD5" w:rsidP="00EC01E4">
      <w:pPr>
        <w:pStyle w:val="Heading2"/>
      </w:pPr>
      <w:r>
        <w:rPr>
          <w:rFonts w:eastAsia="Times New Roman"/>
        </w:rPr>
        <w:t xml:space="preserve">In terms of advertising, costs should cover the preparation/upload fee </w:t>
      </w:r>
      <w:r w:rsidR="003E4430">
        <w:rPr>
          <w:rFonts w:eastAsia="Times New Roman"/>
        </w:rPr>
        <w:t xml:space="preserve">only </w:t>
      </w:r>
      <w:r>
        <w:rPr>
          <w:rFonts w:eastAsia="Times New Roman"/>
        </w:rPr>
        <w:t>and not the individual costs of the advert itsel</w:t>
      </w:r>
      <w:r w:rsidR="00EC01E4">
        <w:rPr>
          <w:rFonts w:eastAsia="Times New Roman"/>
        </w:rPr>
        <w:t>f, i.e. publication or journal.</w:t>
      </w:r>
    </w:p>
    <w:sectPr w:rsidR="00EC01E4" w:rsidRPr="007F7EB6"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77FDE" w14:textId="77777777" w:rsidR="001B7630" w:rsidRDefault="001B7630">
      <w:pPr>
        <w:spacing w:line="20" w:lineRule="exact"/>
      </w:pPr>
    </w:p>
  </w:endnote>
  <w:endnote w:type="continuationSeparator" w:id="0">
    <w:p w14:paraId="6CC278D3" w14:textId="77777777" w:rsidR="001B7630" w:rsidRDefault="001B7630">
      <w:pPr>
        <w:spacing w:line="20" w:lineRule="exact"/>
      </w:pPr>
      <w:r>
        <w:t xml:space="preserve"> </w:t>
      </w:r>
    </w:p>
  </w:endnote>
  <w:endnote w:type="continuationNotice" w:id="1">
    <w:p w14:paraId="14B87401" w14:textId="77777777"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272C" w14:textId="77777777"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14:paraId="24E8A571" w14:textId="22181046"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A2528A">
      <w:rPr>
        <w:rFonts w:cstheme="minorHAnsi"/>
        <w:noProof/>
        <w:szCs w:val="20"/>
      </w:rPr>
      <w:t>8</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A2528A">
      <w:rPr>
        <w:rFonts w:cstheme="minorHAnsi"/>
        <w:noProof/>
        <w:szCs w:val="20"/>
      </w:rPr>
      <w:t>9</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2AB2" w14:textId="77777777" w:rsidR="001B7630" w:rsidRDefault="001B7630">
      <w:r>
        <w:separator/>
      </w:r>
    </w:p>
  </w:footnote>
  <w:footnote w:type="continuationSeparator" w:id="0">
    <w:p w14:paraId="1F8FF9FE" w14:textId="77777777" w:rsidR="001B7630" w:rsidRDefault="001B7630">
      <w:r>
        <w:continuationSeparator/>
      </w:r>
    </w:p>
  </w:footnote>
  <w:footnote w:type="continuationNotice" w:id="1">
    <w:p w14:paraId="5FE4A9FD" w14:textId="77777777" w:rsidR="001B7630" w:rsidRDefault="001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E027" w14:textId="77777777" w:rsidR="009D4478" w:rsidRPr="00475FD9" w:rsidRDefault="009D4478" w:rsidP="00806295">
    <w:pPr>
      <w:pStyle w:val="Header"/>
      <w:jc w:val="center"/>
      <w:rPr>
        <w:rFonts w:cstheme="minorHAnsi"/>
        <w:b/>
        <w:szCs w:val="20"/>
      </w:rPr>
    </w:pPr>
  </w:p>
  <w:p w14:paraId="6FFE25F0" w14:textId="77777777" w:rsidR="00475FD9" w:rsidRPr="007A3343" w:rsidRDefault="00475FD9" w:rsidP="00475FD9">
    <w:pPr>
      <w:pStyle w:val="Header"/>
      <w:jc w:val="center"/>
    </w:pPr>
  </w:p>
  <w:p w14:paraId="15F71123" w14:textId="419B1C32" w:rsidR="00EC01E4" w:rsidRDefault="00EC01E4" w:rsidP="00EC01E4">
    <w:pPr>
      <w:pStyle w:val="Header"/>
      <w:jc w:val="center"/>
    </w:pPr>
    <w:r>
      <w:t>I</w:t>
    </w:r>
    <w:r w:rsidRPr="00AB18B9">
      <w:t xml:space="preserve">TT 226 – SERVICES TO SUPPORT RECRUITMENT OF NON-EXECUTIVE APPOINTMENTS TO </w:t>
    </w:r>
  </w:p>
  <w:p w14:paraId="45AA0F7D" w14:textId="098D8A16" w:rsidR="00EC01E4" w:rsidRDefault="00EC01E4" w:rsidP="00EC01E4">
    <w:pPr>
      <w:pStyle w:val="Header"/>
      <w:jc w:val="center"/>
    </w:pPr>
    <w:r w:rsidRPr="00AB18B9">
      <w:t>DHSC’S</w:t>
    </w:r>
    <w:r>
      <w:t xml:space="preserve"> ALBs</w:t>
    </w:r>
  </w:p>
  <w:p w14:paraId="69B6A9BB" w14:textId="21F64282" w:rsidR="009D4478" w:rsidRPr="00475FD9" w:rsidRDefault="009D4478" w:rsidP="00074357">
    <w:pPr>
      <w:pStyle w:val="Header"/>
      <w:jc w:val="center"/>
      <w:rPr>
        <w:rFonts w:cstheme="minorHAnsi"/>
        <w:szCs w:val="20"/>
      </w:rPr>
    </w:pPr>
    <w:r w:rsidRPr="00475FD9">
      <w:rPr>
        <w:rFonts w:cstheme="minorHAnsi"/>
        <w:szCs w:val="20"/>
      </w:rPr>
      <w:t>Service Description</w:t>
    </w:r>
  </w:p>
  <w:p w14:paraId="1F9A57E2" w14:textId="77777777" w:rsidR="009D4478" w:rsidRDefault="009D4478" w:rsidP="00074357">
    <w:pPr>
      <w:pStyle w:val="Header"/>
      <w:tabs>
        <w:tab w:val="clear" w:pos="4153"/>
        <w:tab w:val="clear" w:pos="8306"/>
        <w:tab w:val="center" w:pos="4514"/>
      </w:tabs>
    </w:pPr>
    <w:r>
      <w:tab/>
    </w:r>
  </w:p>
  <w:p w14:paraId="7F2A309F" w14:textId="77777777"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6A6E2B09" wp14:editId="1F75FB65">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30F2A"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10B24EB"/>
    <w:multiLevelType w:val="hybridMultilevel"/>
    <w:tmpl w:val="0B484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13617E1"/>
    <w:multiLevelType w:val="hybridMultilevel"/>
    <w:tmpl w:val="0640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9F73CC"/>
    <w:multiLevelType w:val="hybridMultilevel"/>
    <w:tmpl w:val="8BD4B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14DD0"/>
    <w:multiLevelType w:val="hybridMultilevel"/>
    <w:tmpl w:val="BF5812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221D726B"/>
    <w:multiLevelType w:val="hybridMultilevel"/>
    <w:tmpl w:val="4A6A3F8E"/>
    <w:lvl w:ilvl="0" w:tplc="B6E28014">
      <w:start w:val="1"/>
      <w:numFmt w:val="lowerLetter"/>
      <w:lvlText w:val="%1)"/>
      <w:lvlJc w:val="left"/>
      <w:pPr>
        <w:ind w:left="4680" w:hanging="360"/>
      </w:pPr>
      <w:rPr>
        <w:i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6"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3FB08FA"/>
    <w:multiLevelType w:val="hybridMultilevel"/>
    <w:tmpl w:val="D89C7EB6"/>
    <w:lvl w:ilvl="0" w:tplc="18E20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56261DB"/>
    <w:multiLevelType w:val="hybridMultilevel"/>
    <w:tmpl w:val="49441C10"/>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BC26F3F"/>
    <w:multiLevelType w:val="hybridMultilevel"/>
    <w:tmpl w:val="B128CF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E2B5D6E"/>
    <w:multiLevelType w:val="hybridMultilevel"/>
    <w:tmpl w:val="3FA04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53A3595"/>
    <w:multiLevelType w:val="hybridMultilevel"/>
    <w:tmpl w:val="A15267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2F6617"/>
    <w:multiLevelType w:val="hybridMultilevel"/>
    <w:tmpl w:val="7AF22FBA"/>
    <w:lvl w:ilvl="0" w:tplc="47889F24">
      <w:start w:val="2"/>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120646"/>
    <w:multiLevelType w:val="hybridMultilevel"/>
    <w:tmpl w:val="7D9EA2EA"/>
    <w:lvl w:ilvl="0" w:tplc="33BE8BA8">
      <w:start w:val="1"/>
      <w:numFmt w:val="lowerLetter"/>
      <w:lvlText w:val="(%1)"/>
      <w:lvlJc w:val="right"/>
      <w:pPr>
        <w:ind w:left="1800" w:hanging="360"/>
      </w:pPr>
      <w:rPr>
        <w:rFonts w:ascii="Arial" w:hAnsi="Arial" w:hint="default"/>
        <w:b w:val="0"/>
        <w:i w:val="0"/>
        <w:iCs/>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345C9D"/>
    <w:multiLevelType w:val="hybridMultilevel"/>
    <w:tmpl w:val="65B40C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BB05872"/>
    <w:multiLevelType w:val="hybridMultilevel"/>
    <w:tmpl w:val="87FC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35" w15:restartNumberingAfterBreak="0">
    <w:nsid w:val="50965CCA"/>
    <w:multiLevelType w:val="multilevel"/>
    <w:tmpl w:val="1332CCD4"/>
    <w:name w:val="Plato Schedule Numbering List"/>
    <w:numStyleLink w:val="111111"/>
  </w:abstractNum>
  <w:abstractNum w:abstractNumId="36" w15:restartNumberingAfterBreak="0">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7"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9" w15:restartNumberingAfterBreak="0">
    <w:nsid w:val="5F68625A"/>
    <w:multiLevelType w:val="multilevel"/>
    <w:tmpl w:val="21C4CED0"/>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B12443E"/>
    <w:multiLevelType w:val="hybridMultilevel"/>
    <w:tmpl w:val="745201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20"/>
  </w:num>
  <w:num w:numId="3">
    <w:abstractNumId w:val="23"/>
  </w:num>
  <w:num w:numId="4">
    <w:abstractNumId w:val="8"/>
  </w:num>
  <w:num w:numId="5">
    <w:abstractNumId w:val="31"/>
  </w:num>
  <w:num w:numId="6">
    <w:abstractNumId w:val="25"/>
  </w:num>
  <w:num w:numId="7">
    <w:abstractNumId w:val="5"/>
  </w:num>
  <w:num w:numId="8">
    <w:abstractNumId w:val="3"/>
  </w:num>
  <w:num w:numId="9">
    <w:abstractNumId w:val="2"/>
  </w:num>
  <w:num w:numId="10">
    <w:abstractNumId w:val="1"/>
  </w:num>
  <w:num w:numId="11">
    <w:abstractNumId w:val="0"/>
  </w:num>
  <w:num w:numId="12">
    <w:abstractNumId w:val="42"/>
  </w:num>
  <w:num w:numId="13">
    <w:abstractNumId w:val="14"/>
  </w:num>
  <w:num w:numId="14">
    <w:abstractNumId w:val="40"/>
  </w:num>
  <w:num w:numId="15">
    <w:abstractNumId w:val="13"/>
  </w:num>
  <w:num w:numId="16">
    <w:abstractNumId w:val="28"/>
  </w:num>
  <w:num w:numId="17">
    <w:abstractNumId w:val="24"/>
  </w:num>
  <w:num w:numId="18">
    <w:abstractNumId w:val="38"/>
  </w:num>
  <w:num w:numId="19">
    <w:abstractNumId w:val="16"/>
  </w:num>
  <w:num w:numId="20">
    <w:abstractNumId w:val="27"/>
  </w:num>
  <w:num w:numId="21">
    <w:abstractNumId w:val="36"/>
  </w:num>
  <w:num w:numId="22">
    <w:abstractNumId w:val="17"/>
  </w:num>
  <w:num w:numId="23">
    <w:abstractNumId w:val="22"/>
  </w:num>
  <w:num w:numId="24">
    <w:abstractNumId w:val="11"/>
  </w:num>
  <w:num w:numId="25">
    <w:abstractNumId w:val="7"/>
  </w:num>
  <w:num w:numId="26">
    <w:abstractNumId w:val="43"/>
  </w:num>
  <w:num w:numId="27">
    <w:abstractNumId w:val="19"/>
  </w:num>
  <w:num w:numId="28">
    <w:abstractNumId w:val="29"/>
  </w:num>
  <w:num w:numId="29">
    <w:abstractNumId w:val="33"/>
  </w:num>
  <w:num w:numId="30">
    <w:abstractNumId w:val="18"/>
  </w:num>
  <w:num w:numId="31">
    <w:abstractNumId w:val="6"/>
  </w:num>
  <w:num w:numId="32">
    <w:abstractNumId w:val="3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0"/>
  </w:num>
  <w:num w:numId="38">
    <w:abstractNumId w:val="12"/>
  </w:num>
  <w:num w:numId="39">
    <w:abstractNumId w:val="32"/>
  </w:num>
  <w:num w:numId="40">
    <w:abstractNumId w:val="21"/>
  </w:num>
  <w:num w:numId="41">
    <w:abstractNumId w:val="15"/>
  </w:num>
  <w:num w:numId="42">
    <w:abstractNumId w:val="26"/>
  </w:num>
  <w:num w:numId="4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5884"/>
    <w:rsid w:val="00056F7F"/>
    <w:rsid w:val="00060D0E"/>
    <w:rsid w:val="00066D70"/>
    <w:rsid w:val="0007280F"/>
    <w:rsid w:val="00074357"/>
    <w:rsid w:val="00074D97"/>
    <w:rsid w:val="000763EA"/>
    <w:rsid w:val="000812AE"/>
    <w:rsid w:val="0008330B"/>
    <w:rsid w:val="00083C43"/>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4C46"/>
    <w:rsid w:val="0010577C"/>
    <w:rsid w:val="00105FBC"/>
    <w:rsid w:val="00106AAD"/>
    <w:rsid w:val="001107BA"/>
    <w:rsid w:val="00110F67"/>
    <w:rsid w:val="00111F2F"/>
    <w:rsid w:val="00113459"/>
    <w:rsid w:val="001173D2"/>
    <w:rsid w:val="001223EC"/>
    <w:rsid w:val="0012345C"/>
    <w:rsid w:val="00123FAD"/>
    <w:rsid w:val="001245F5"/>
    <w:rsid w:val="00124AC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2C36"/>
    <w:rsid w:val="0016383C"/>
    <w:rsid w:val="00163E79"/>
    <w:rsid w:val="00166299"/>
    <w:rsid w:val="0017225B"/>
    <w:rsid w:val="00173352"/>
    <w:rsid w:val="0017368C"/>
    <w:rsid w:val="00173AA5"/>
    <w:rsid w:val="00176DF8"/>
    <w:rsid w:val="00181D58"/>
    <w:rsid w:val="00183EB0"/>
    <w:rsid w:val="00184673"/>
    <w:rsid w:val="001863E6"/>
    <w:rsid w:val="0018756A"/>
    <w:rsid w:val="001945B4"/>
    <w:rsid w:val="001962E6"/>
    <w:rsid w:val="00197E40"/>
    <w:rsid w:val="001A1234"/>
    <w:rsid w:val="001A1780"/>
    <w:rsid w:val="001A3C4D"/>
    <w:rsid w:val="001A7AB1"/>
    <w:rsid w:val="001B2EA8"/>
    <w:rsid w:val="001B38BD"/>
    <w:rsid w:val="001B3C1C"/>
    <w:rsid w:val="001B485F"/>
    <w:rsid w:val="001B4B79"/>
    <w:rsid w:val="001B52D8"/>
    <w:rsid w:val="001B7630"/>
    <w:rsid w:val="001B7875"/>
    <w:rsid w:val="001C1372"/>
    <w:rsid w:val="001C18A7"/>
    <w:rsid w:val="001C210F"/>
    <w:rsid w:val="001C4CDC"/>
    <w:rsid w:val="001C609B"/>
    <w:rsid w:val="001C63F8"/>
    <w:rsid w:val="001C791E"/>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4A3E"/>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2C28"/>
    <w:rsid w:val="002630FA"/>
    <w:rsid w:val="002634FE"/>
    <w:rsid w:val="0027062E"/>
    <w:rsid w:val="00273C21"/>
    <w:rsid w:val="00274416"/>
    <w:rsid w:val="00275B97"/>
    <w:rsid w:val="00277524"/>
    <w:rsid w:val="002802B6"/>
    <w:rsid w:val="00280B5B"/>
    <w:rsid w:val="002848C1"/>
    <w:rsid w:val="0028697F"/>
    <w:rsid w:val="00286F62"/>
    <w:rsid w:val="002876FE"/>
    <w:rsid w:val="00287DA0"/>
    <w:rsid w:val="00293E2C"/>
    <w:rsid w:val="002A08BF"/>
    <w:rsid w:val="002A17F9"/>
    <w:rsid w:val="002A4485"/>
    <w:rsid w:val="002A5258"/>
    <w:rsid w:val="002A7D10"/>
    <w:rsid w:val="002A7DA6"/>
    <w:rsid w:val="002B1E1B"/>
    <w:rsid w:val="002B43BE"/>
    <w:rsid w:val="002B55ED"/>
    <w:rsid w:val="002B5AEB"/>
    <w:rsid w:val="002B5C29"/>
    <w:rsid w:val="002B6278"/>
    <w:rsid w:val="002B744B"/>
    <w:rsid w:val="002B74D5"/>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2836"/>
    <w:rsid w:val="002F42F4"/>
    <w:rsid w:val="002F4D97"/>
    <w:rsid w:val="0030141E"/>
    <w:rsid w:val="0030285B"/>
    <w:rsid w:val="003071B6"/>
    <w:rsid w:val="00311429"/>
    <w:rsid w:val="00314691"/>
    <w:rsid w:val="0031666E"/>
    <w:rsid w:val="00316D27"/>
    <w:rsid w:val="00321CA8"/>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074D"/>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979"/>
    <w:rsid w:val="003D6D0B"/>
    <w:rsid w:val="003E17EB"/>
    <w:rsid w:val="003E4430"/>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1E82"/>
    <w:rsid w:val="00422823"/>
    <w:rsid w:val="0042602C"/>
    <w:rsid w:val="00426AB4"/>
    <w:rsid w:val="00427A64"/>
    <w:rsid w:val="0043067F"/>
    <w:rsid w:val="004324B4"/>
    <w:rsid w:val="00434EAE"/>
    <w:rsid w:val="00440F46"/>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01AB"/>
    <w:rsid w:val="004A1958"/>
    <w:rsid w:val="004A225E"/>
    <w:rsid w:val="004A2D0B"/>
    <w:rsid w:val="004A31F5"/>
    <w:rsid w:val="004A4371"/>
    <w:rsid w:val="004B28F8"/>
    <w:rsid w:val="004B2DD1"/>
    <w:rsid w:val="004B4E34"/>
    <w:rsid w:val="004B6951"/>
    <w:rsid w:val="004B7E3C"/>
    <w:rsid w:val="004C0636"/>
    <w:rsid w:val="004C1460"/>
    <w:rsid w:val="004C1504"/>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50E0"/>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17AE8"/>
    <w:rsid w:val="00520FDA"/>
    <w:rsid w:val="00522AAC"/>
    <w:rsid w:val="00527040"/>
    <w:rsid w:val="00531360"/>
    <w:rsid w:val="0053220D"/>
    <w:rsid w:val="00533F76"/>
    <w:rsid w:val="005364E3"/>
    <w:rsid w:val="00542AF8"/>
    <w:rsid w:val="0054536C"/>
    <w:rsid w:val="00545E13"/>
    <w:rsid w:val="00561BB6"/>
    <w:rsid w:val="00564096"/>
    <w:rsid w:val="00564CCA"/>
    <w:rsid w:val="005710A4"/>
    <w:rsid w:val="005713C4"/>
    <w:rsid w:val="005750D7"/>
    <w:rsid w:val="005750F5"/>
    <w:rsid w:val="005759DD"/>
    <w:rsid w:val="00576C34"/>
    <w:rsid w:val="005770EC"/>
    <w:rsid w:val="005821EF"/>
    <w:rsid w:val="0058297A"/>
    <w:rsid w:val="0058409F"/>
    <w:rsid w:val="00584BD5"/>
    <w:rsid w:val="00585D06"/>
    <w:rsid w:val="00586CC2"/>
    <w:rsid w:val="005924FF"/>
    <w:rsid w:val="00593CFF"/>
    <w:rsid w:val="005942CA"/>
    <w:rsid w:val="00595C15"/>
    <w:rsid w:val="00597B02"/>
    <w:rsid w:val="005B28B1"/>
    <w:rsid w:val="005B297B"/>
    <w:rsid w:val="005B2BA5"/>
    <w:rsid w:val="005B466A"/>
    <w:rsid w:val="005C084E"/>
    <w:rsid w:val="005C2951"/>
    <w:rsid w:val="005C3B95"/>
    <w:rsid w:val="005C6291"/>
    <w:rsid w:val="005C6503"/>
    <w:rsid w:val="005D2362"/>
    <w:rsid w:val="005D5659"/>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184D"/>
    <w:rsid w:val="00627B4B"/>
    <w:rsid w:val="0063134B"/>
    <w:rsid w:val="00632838"/>
    <w:rsid w:val="006373DB"/>
    <w:rsid w:val="00641ACD"/>
    <w:rsid w:val="00641BEE"/>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1033"/>
    <w:rsid w:val="00682503"/>
    <w:rsid w:val="00682677"/>
    <w:rsid w:val="00683380"/>
    <w:rsid w:val="006849F7"/>
    <w:rsid w:val="00684CF6"/>
    <w:rsid w:val="0068585D"/>
    <w:rsid w:val="0068678A"/>
    <w:rsid w:val="0069053C"/>
    <w:rsid w:val="0069239F"/>
    <w:rsid w:val="00693308"/>
    <w:rsid w:val="006A057D"/>
    <w:rsid w:val="006A385C"/>
    <w:rsid w:val="006B1F15"/>
    <w:rsid w:val="006B32CD"/>
    <w:rsid w:val="006B3676"/>
    <w:rsid w:val="006B4F77"/>
    <w:rsid w:val="006C0828"/>
    <w:rsid w:val="006C2069"/>
    <w:rsid w:val="006C3FE6"/>
    <w:rsid w:val="006C466F"/>
    <w:rsid w:val="006C7377"/>
    <w:rsid w:val="006D07E2"/>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5682E"/>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87CCB"/>
    <w:rsid w:val="007909FC"/>
    <w:rsid w:val="00791568"/>
    <w:rsid w:val="007915BD"/>
    <w:rsid w:val="00792A76"/>
    <w:rsid w:val="00792F41"/>
    <w:rsid w:val="007937E7"/>
    <w:rsid w:val="00793CFE"/>
    <w:rsid w:val="007948B4"/>
    <w:rsid w:val="007957E7"/>
    <w:rsid w:val="007A1810"/>
    <w:rsid w:val="007A1EDB"/>
    <w:rsid w:val="007A4212"/>
    <w:rsid w:val="007A5E7A"/>
    <w:rsid w:val="007B22E8"/>
    <w:rsid w:val="007B3FCD"/>
    <w:rsid w:val="007B5019"/>
    <w:rsid w:val="007B52CD"/>
    <w:rsid w:val="007B7B17"/>
    <w:rsid w:val="007C33F9"/>
    <w:rsid w:val="007C389F"/>
    <w:rsid w:val="007C79FC"/>
    <w:rsid w:val="007D04CE"/>
    <w:rsid w:val="007D1C75"/>
    <w:rsid w:val="007D3DA3"/>
    <w:rsid w:val="007D5356"/>
    <w:rsid w:val="007D59EF"/>
    <w:rsid w:val="007D5C41"/>
    <w:rsid w:val="007D7AF4"/>
    <w:rsid w:val="007D7EEC"/>
    <w:rsid w:val="007E3BEA"/>
    <w:rsid w:val="007E4B21"/>
    <w:rsid w:val="007E4D19"/>
    <w:rsid w:val="007E581E"/>
    <w:rsid w:val="007E5ED3"/>
    <w:rsid w:val="007E69D2"/>
    <w:rsid w:val="007E6E3C"/>
    <w:rsid w:val="007F062B"/>
    <w:rsid w:val="007F521C"/>
    <w:rsid w:val="007F78F3"/>
    <w:rsid w:val="007F7EB6"/>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3F20"/>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36F2"/>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1EBE"/>
    <w:rsid w:val="009021F5"/>
    <w:rsid w:val="009024C9"/>
    <w:rsid w:val="0090447A"/>
    <w:rsid w:val="00905BFB"/>
    <w:rsid w:val="009064EA"/>
    <w:rsid w:val="009066E0"/>
    <w:rsid w:val="00910C2D"/>
    <w:rsid w:val="00910C56"/>
    <w:rsid w:val="00911C93"/>
    <w:rsid w:val="00912038"/>
    <w:rsid w:val="00912B1E"/>
    <w:rsid w:val="00912BB4"/>
    <w:rsid w:val="0091531E"/>
    <w:rsid w:val="00915583"/>
    <w:rsid w:val="00923A8C"/>
    <w:rsid w:val="00923ACC"/>
    <w:rsid w:val="00926AFD"/>
    <w:rsid w:val="00932346"/>
    <w:rsid w:val="00932D6C"/>
    <w:rsid w:val="00934359"/>
    <w:rsid w:val="009448C5"/>
    <w:rsid w:val="0094512F"/>
    <w:rsid w:val="00946BC7"/>
    <w:rsid w:val="00951437"/>
    <w:rsid w:val="00951FEC"/>
    <w:rsid w:val="009572E2"/>
    <w:rsid w:val="00960156"/>
    <w:rsid w:val="00964906"/>
    <w:rsid w:val="0096553E"/>
    <w:rsid w:val="00965F55"/>
    <w:rsid w:val="00970943"/>
    <w:rsid w:val="00970C86"/>
    <w:rsid w:val="00971A11"/>
    <w:rsid w:val="009738CD"/>
    <w:rsid w:val="0097525F"/>
    <w:rsid w:val="009758F3"/>
    <w:rsid w:val="0097705B"/>
    <w:rsid w:val="0098237E"/>
    <w:rsid w:val="00983AEF"/>
    <w:rsid w:val="00985591"/>
    <w:rsid w:val="00985750"/>
    <w:rsid w:val="00986DDB"/>
    <w:rsid w:val="00992F47"/>
    <w:rsid w:val="00993750"/>
    <w:rsid w:val="00995864"/>
    <w:rsid w:val="00996944"/>
    <w:rsid w:val="00997A9A"/>
    <w:rsid w:val="00997E21"/>
    <w:rsid w:val="009A041A"/>
    <w:rsid w:val="009A0DA6"/>
    <w:rsid w:val="009A177B"/>
    <w:rsid w:val="009A28B5"/>
    <w:rsid w:val="009A3653"/>
    <w:rsid w:val="009A37CD"/>
    <w:rsid w:val="009B0A14"/>
    <w:rsid w:val="009B0E63"/>
    <w:rsid w:val="009B2117"/>
    <w:rsid w:val="009B5FC0"/>
    <w:rsid w:val="009C2B62"/>
    <w:rsid w:val="009C3578"/>
    <w:rsid w:val="009C3DAF"/>
    <w:rsid w:val="009D08E6"/>
    <w:rsid w:val="009D12CD"/>
    <w:rsid w:val="009D29AF"/>
    <w:rsid w:val="009D40B1"/>
    <w:rsid w:val="009D4478"/>
    <w:rsid w:val="009D7801"/>
    <w:rsid w:val="009E2289"/>
    <w:rsid w:val="009E22EF"/>
    <w:rsid w:val="009E38B3"/>
    <w:rsid w:val="009E46E8"/>
    <w:rsid w:val="009E7B25"/>
    <w:rsid w:val="009E7CA6"/>
    <w:rsid w:val="009F0DAB"/>
    <w:rsid w:val="00A028E8"/>
    <w:rsid w:val="00A03D60"/>
    <w:rsid w:val="00A04242"/>
    <w:rsid w:val="00A055F2"/>
    <w:rsid w:val="00A06EEA"/>
    <w:rsid w:val="00A070E5"/>
    <w:rsid w:val="00A07797"/>
    <w:rsid w:val="00A07BA2"/>
    <w:rsid w:val="00A11943"/>
    <w:rsid w:val="00A126CF"/>
    <w:rsid w:val="00A13177"/>
    <w:rsid w:val="00A150ED"/>
    <w:rsid w:val="00A163C2"/>
    <w:rsid w:val="00A203DA"/>
    <w:rsid w:val="00A2190A"/>
    <w:rsid w:val="00A2528A"/>
    <w:rsid w:val="00A26DB5"/>
    <w:rsid w:val="00A3180D"/>
    <w:rsid w:val="00A33F0B"/>
    <w:rsid w:val="00A3630D"/>
    <w:rsid w:val="00A363DA"/>
    <w:rsid w:val="00A37384"/>
    <w:rsid w:val="00A4055F"/>
    <w:rsid w:val="00A40718"/>
    <w:rsid w:val="00A413AE"/>
    <w:rsid w:val="00A425FC"/>
    <w:rsid w:val="00A454BC"/>
    <w:rsid w:val="00A45A30"/>
    <w:rsid w:val="00A46AE8"/>
    <w:rsid w:val="00A50DAC"/>
    <w:rsid w:val="00A520BB"/>
    <w:rsid w:val="00A53C90"/>
    <w:rsid w:val="00A544DF"/>
    <w:rsid w:val="00A54C8F"/>
    <w:rsid w:val="00A5594A"/>
    <w:rsid w:val="00A57890"/>
    <w:rsid w:val="00A6238E"/>
    <w:rsid w:val="00A63F3F"/>
    <w:rsid w:val="00A646DE"/>
    <w:rsid w:val="00A718ED"/>
    <w:rsid w:val="00A72352"/>
    <w:rsid w:val="00A73E58"/>
    <w:rsid w:val="00A81243"/>
    <w:rsid w:val="00A845EC"/>
    <w:rsid w:val="00A852B4"/>
    <w:rsid w:val="00A90772"/>
    <w:rsid w:val="00A9295D"/>
    <w:rsid w:val="00A934F9"/>
    <w:rsid w:val="00A949A8"/>
    <w:rsid w:val="00A959B8"/>
    <w:rsid w:val="00A9628B"/>
    <w:rsid w:val="00A96390"/>
    <w:rsid w:val="00AA196D"/>
    <w:rsid w:val="00AA220C"/>
    <w:rsid w:val="00AA31FA"/>
    <w:rsid w:val="00AA341B"/>
    <w:rsid w:val="00AA4F8E"/>
    <w:rsid w:val="00AA6842"/>
    <w:rsid w:val="00AA7115"/>
    <w:rsid w:val="00AB0220"/>
    <w:rsid w:val="00AB1D5F"/>
    <w:rsid w:val="00AB262A"/>
    <w:rsid w:val="00AB4B48"/>
    <w:rsid w:val="00AB4FFF"/>
    <w:rsid w:val="00AB55DE"/>
    <w:rsid w:val="00AB656C"/>
    <w:rsid w:val="00AB66B3"/>
    <w:rsid w:val="00AB68CF"/>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3F6"/>
    <w:rsid w:val="00B236D1"/>
    <w:rsid w:val="00B238B0"/>
    <w:rsid w:val="00B240CE"/>
    <w:rsid w:val="00B242B1"/>
    <w:rsid w:val="00B2505F"/>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02CF"/>
    <w:rsid w:val="00B803A3"/>
    <w:rsid w:val="00B81A0D"/>
    <w:rsid w:val="00B81D11"/>
    <w:rsid w:val="00B82F46"/>
    <w:rsid w:val="00B85142"/>
    <w:rsid w:val="00B8687D"/>
    <w:rsid w:val="00B8725B"/>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37F0"/>
    <w:rsid w:val="00BC44B6"/>
    <w:rsid w:val="00BC4E67"/>
    <w:rsid w:val="00BC79C0"/>
    <w:rsid w:val="00BD1D37"/>
    <w:rsid w:val="00BD42DB"/>
    <w:rsid w:val="00BD6245"/>
    <w:rsid w:val="00BE09FE"/>
    <w:rsid w:val="00BE1049"/>
    <w:rsid w:val="00BE17A9"/>
    <w:rsid w:val="00BE7C8B"/>
    <w:rsid w:val="00BF19C4"/>
    <w:rsid w:val="00BF3BAD"/>
    <w:rsid w:val="00BF3CBD"/>
    <w:rsid w:val="00BF423A"/>
    <w:rsid w:val="00C02A15"/>
    <w:rsid w:val="00C02C4F"/>
    <w:rsid w:val="00C048CC"/>
    <w:rsid w:val="00C12346"/>
    <w:rsid w:val="00C1747F"/>
    <w:rsid w:val="00C24031"/>
    <w:rsid w:val="00C25BEE"/>
    <w:rsid w:val="00C26F1C"/>
    <w:rsid w:val="00C35E26"/>
    <w:rsid w:val="00C36C28"/>
    <w:rsid w:val="00C3701E"/>
    <w:rsid w:val="00C42AD8"/>
    <w:rsid w:val="00C43D32"/>
    <w:rsid w:val="00C44DC2"/>
    <w:rsid w:val="00C5443A"/>
    <w:rsid w:val="00C613B7"/>
    <w:rsid w:val="00C61512"/>
    <w:rsid w:val="00C61ED0"/>
    <w:rsid w:val="00C63BFD"/>
    <w:rsid w:val="00C644A6"/>
    <w:rsid w:val="00C64CE8"/>
    <w:rsid w:val="00C67D1A"/>
    <w:rsid w:val="00C704B7"/>
    <w:rsid w:val="00C71D94"/>
    <w:rsid w:val="00C73155"/>
    <w:rsid w:val="00C73E22"/>
    <w:rsid w:val="00C7447E"/>
    <w:rsid w:val="00C76852"/>
    <w:rsid w:val="00C7767B"/>
    <w:rsid w:val="00C77D9C"/>
    <w:rsid w:val="00C81EC7"/>
    <w:rsid w:val="00C847AF"/>
    <w:rsid w:val="00C8752E"/>
    <w:rsid w:val="00C901B4"/>
    <w:rsid w:val="00C9237B"/>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D6CB8"/>
    <w:rsid w:val="00CE2942"/>
    <w:rsid w:val="00CE43E0"/>
    <w:rsid w:val="00CE650D"/>
    <w:rsid w:val="00CF09E4"/>
    <w:rsid w:val="00CF199D"/>
    <w:rsid w:val="00CF39FC"/>
    <w:rsid w:val="00CF7B6A"/>
    <w:rsid w:val="00CF7DAD"/>
    <w:rsid w:val="00D01126"/>
    <w:rsid w:val="00D02587"/>
    <w:rsid w:val="00D03382"/>
    <w:rsid w:val="00D038AC"/>
    <w:rsid w:val="00D056A2"/>
    <w:rsid w:val="00D10BD3"/>
    <w:rsid w:val="00D12A9F"/>
    <w:rsid w:val="00D178E0"/>
    <w:rsid w:val="00D21E06"/>
    <w:rsid w:val="00D23214"/>
    <w:rsid w:val="00D30D09"/>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047A"/>
    <w:rsid w:val="00D8251C"/>
    <w:rsid w:val="00D82A24"/>
    <w:rsid w:val="00D82DB4"/>
    <w:rsid w:val="00D83B95"/>
    <w:rsid w:val="00D846CA"/>
    <w:rsid w:val="00D84A3C"/>
    <w:rsid w:val="00D92179"/>
    <w:rsid w:val="00D94567"/>
    <w:rsid w:val="00D95287"/>
    <w:rsid w:val="00D9647E"/>
    <w:rsid w:val="00DA5C32"/>
    <w:rsid w:val="00DA6D7B"/>
    <w:rsid w:val="00DA70DE"/>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5DA2"/>
    <w:rsid w:val="00E57A45"/>
    <w:rsid w:val="00E57EE4"/>
    <w:rsid w:val="00E613F6"/>
    <w:rsid w:val="00E63383"/>
    <w:rsid w:val="00E63E21"/>
    <w:rsid w:val="00E7010B"/>
    <w:rsid w:val="00E70BA3"/>
    <w:rsid w:val="00E7139A"/>
    <w:rsid w:val="00E7148B"/>
    <w:rsid w:val="00E72845"/>
    <w:rsid w:val="00E7286E"/>
    <w:rsid w:val="00E82C1F"/>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01E4"/>
    <w:rsid w:val="00EC1B98"/>
    <w:rsid w:val="00EC212C"/>
    <w:rsid w:val="00EC3A14"/>
    <w:rsid w:val="00EC57AA"/>
    <w:rsid w:val="00EC6DAB"/>
    <w:rsid w:val="00ED08E0"/>
    <w:rsid w:val="00ED0E52"/>
    <w:rsid w:val="00ED208B"/>
    <w:rsid w:val="00ED3242"/>
    <w:rsid w:val="00ED3ECF"/>
    <w:rsid w:val="00ED6D4F"/>
    <w:rsid w:val="00EE2602"/>
    <w:rsid w:val="00EE3230"/>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17A4"/>
    <w:rsid w:val="00F26236"/>
    <w:rsid w:val="00F26367"/>
    <w:rsid w:val="00F267CA"/>
    <w:rsid w:val="00F2778E"/>
    <w:rsid w:val="00F300B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34BF"/>
    <w:rsid w:val="00F6463B"/>
    <w:rsid w:val="00F70732"/>
    <w:rsid w:val="00F718BA"/>
    <w:rsid w:val="00F722CD"/>
    <w:rsid w:val="00F72419"/>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4903"/>
    <w:rsid w:val="00FC7C67"/>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CBDA7DF"/>
  <w15:docId w15:val="{BE70242F-3C4C-4698-9158-DF71B1ED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InA">
    <w:name w:val="In_A"/>
    <w:basedOn w:val="Normal"/>
    <w:rsid w:val="00641BEE"/>
    <w:pPr>
      <w:spacing w:before="60" w:after="60"/>
      <w:ind w:left="709"/>
      <w:jc w:val="both"/>
    </w:pPr>
    <w:rPr>
      <w:rFonts w:ascii="Arial" w:eastAsia="Times New Roman" w:hAnsi="Arial"/>
      <w:i/>
      <w:iCs/>
      <w:sz w:val="22"/>
      <w:szCs w:val="20"/>
      <w:lang w:eastAsia="en-US"/>
    </w:rPr>
  </w:style>
  <w:style w:type="paragraph" w:customStyle="1" w:styleId="THREEH1">
    <w:name w:val="THREE_H1"/>
    <w:basedOn w:val="Heading1"/>
    <w:next w:val="Normal"/>
    <w:rsid w:val="00CD6CB8"/>
    <w:pPr>
      <w:numPr>
        <w:numId w:val="0"/>
      </w:numPr>
      <w:tabs>
        <w:tab w:val="clear" w:pos="851"/>
        <w:tab w:val="num" w:pos="720"/>
      </w:tabs>
      <w:adjustRightInd/>
      <w:spacing w:before="120" w:after="60"/>
      <w:ind w:left="709" w:hanging="709"/>
      <w:jc w:val="left"/>
    </w:pPr>
    <w:rPr>
      <w:rFonts w:ascii="Arial Bold" w:eastAsia="Times New Roman" w:hAnsi="Arial Bold"/>
      <w:bCs/>
      <w:caps w:val="0"/>
      <w:smallCaps/>
      <w:color w:val="auto"/>
      <w:sz w:val="28"/>
      <w:szCs w:val="28"/>
      <w:lang w:eastAsia="en-US"/>
    </w:rPr>
  </w:style>
  <w:style w:type="paragraph" w:customStyle="1" w:styleId="THREEH2">
    <w:name w:val="THREE_H2"/>
    <w:basedOn w:val="Normal"/>
    <w:autoRedefine/>
    <w:rsid w:val="00CD6CB8"/>
    <w:pPr>
      <w:tabs>
        <w:tab w:val="left" w:pos="851"/>
        <w:tab w:val="num" w:pos="1222"/>
      </w:tabs>
      <w:spacing w:before="60" w:after="60"/>
      <w:ind w:left="574" w:hanging="432"/>
      <w:jc w:val="both"/>
    </w:pPr>
    <w:rPr>
      <w:rFonts w:ascii="Arial" w:eastAsia="Times New Roman" w:hAnsi="Arial"/>
      <w:sz w:val="22"/>
      <w:szCs w:val="20"/>
      <w:lang w:eastAsia="en-US"/>
    </w:rPr>
  </w:style>
  <w:style w:type="paragraph" w:customStyle="1" w:styleId="General2">
    <w:name w:val="General 2"/>
    <w:basedOn w:val="Normal"/>
    <w:rsid w:val="00CD6CB8"/>
    <w:pPr>
      <w:numPr>
        <w:ilvl w:val="1"/>
        <w:numId w:val="32"/>
      </w:numPr>
      <w:spacing w:after="240"/>
      <w:jc w:val="both"/>
    </w:pPr>
    <w:rPr>
      <w:rFonts w:ascii="Arial" w:eastAsia="Times New Roman" w:hAnsi="Arial" w:cs="Times New Roman"/>
      <w:sz w:val="22"/>
      <w:szCs w:val="20"/>
      <w:lang w:eastAsia="en-US"/>
    </w:rPr>
  </w:style>
  <w:style w:type="paragraph" w:customStyle="1" w:styleId="General3">
    <w:name w:val="General 3"/>
    <w:basedOn w:val="Normal"/>
    <w:rsid w:val="00CD6CB8"/>
    <w:pPr>
      <w:numPr>
        <w:ilvl w:val="2"/>
        <w:numId w:val="32"/>
      </w:numPr>
      <w:spacing w:after="240"/>
      <w:jc w:val="both"/>
    </w:pPr>
    <w:rPr>
      <w:rFonts w:ascii="Arial" w:eastAsia="Times New Roman" w:hAnsi="Arial" w:cs="Times New Roman"/>
      <w:sz w:val="22"/>
      <w:szCs w:val="20"/>
      <w:lang w:eastAsia="en-US"/>
    </w:rPr>
  </w:style>
  <w:style w:type="paragraph" w:customStyle="1" w:styleId="General4">
    <w:name w:val="General 4"/>
    <w:basedOn w:val="Normal"/>
    <w:rsid w:val="00CD6CB8"/>
    <w:pPr>
      <w:numPr>
        <w:ilvl w:val="3"/>
        <w:numId w:val="32"/>
      </w:numPr>
      <w:spacing w:after="240"/>
      <w:jc w:val="both"/>
    </w:pPr>
    <w:rPr>
      <w:rFonts w:ascii="Arial" w:eastAsia="Times New Roman" w:hAnsi="Arial" w:cs="Times New Roman"/>
      <w:sz w:val="22"/>
      <w:szCs w:val="20"/>
      <w:lang w:eastAsia="en-US"/>
    </w:rPr>
  </w:style>
  <w:style w:type="paragraph" w:customStyle="1" w:styleId="General5">
    <w:name w:val="General 5"/>
    <w:basedOn w:val="Normal"/>
    <w:rsid w:val="00CD6CB8"/>
    <w:pPr>
      <w:numPr>
        <w:ilvl w:val="4"/>
        <w:numId w:val="32"/>
      </w:numPr>
      <w:tabs>
        <w:tab w:val="left" w:pos="2835"/>
      </w:tabs>
      <w:spacing w:after="240"/>
      <w:jc w:val="both"/>
    </w:pPr>
    <w:rPr>
      <w:rFonts w:ascii="Arial" w:eastAsia="Times New Roman" w:hAnsi="Arial" w:cs="Times New Roman"/>
      <w:sz w:val="22"/>
      <w:szCs w:val="20"/>
      <w:lang w:eastAsia="en-US"/>
    </w:rPr>
  </w:style>
  <w:style w:type="paragraph" w:customStyle="1" w:styleId="GeneralInd2">
    <w:name w:val="General Ind 2"/>
    <w:basedOn w:val="Normal"/>
    <w:rsid w:val="00CD6CB8"/>
    <w:pPr>
      <w:numPr>
        <w:ilvl w:val="5"/>
        <w:numId w:val="32"/>
      </w:numPr>
      <w:spacing w:after="240"/>
      <w:jc w:val="both"/>
    </w:pPr>
    <w:rPr>
      <w:rFonts w:ascii="Arial" w:eastAsia="Times New Roman" w:hAnsi="Arial" w:cs="Times New Roman"/>
      <w:sz w:val="22"/>
      <w:szCs w:val="20"/>
      <w:lang w:eastAsia="en-US"/>
    </w:rPr>
  </w:style>
  <w:style w:type="paragraph" w:customStyle="1" w:styleId="GeneralInd3">
    <w:name w:val="General Ind 3"/>
    <w:basedOn w:val="Normal"/>
    <w:rsid w:val="00CD6CB8"/>
    <w:pPr>
      <w:numPr>
        <w:ilvl w:val="6"/>
        <w:numId w:val="32"/>
      </w:numPr>
      <w:spacing w:after="240"/>
      <w:jc w:val="both"/>
    </w:pPr>
    <w:rPr>
      <w:rFonts w:ascii="Arial" w:eastAsia="Times New Roman" w:hAnsi="Arial" w:cs="Times New Roman"/>
      <w:sz w:val="22"/>
      <w:szCs w:val="20"/>
      <w:lang w:eastAsia="en-US"/>
    </w:rPr>
  </w:style>
  <w:style w:type="paragraph" w:customStyle="1" w:styleId="GeneralInd4">
    <w:name w:val="General Ind 4"/>
    <w:basedOn w:val="Normal"/>
    <w:rsid w:val="00CD6CB8"/>
    <w:pPr>
      <w:numPr>
        <w:ilvl w:val="7"/>
        <w:numId w:val="32"/>
      </w:numPr>
      <w:spacing w:after="240"/>
      <w:jc w:val="both"/>
    </w:pPr>
    <w:rPr>
      <w:rFonts w:ascii="Arial" w:eastAsia="Times New Roman" w:hAnsi="Arial" w:cs="Times New Roman"/>
      <w:sz w:val="22"/>
      <w:szCs w:val="20"/>
      <w:lang w:eastAsia="en-US"/>
    </w:rPr>
  </w:style>
  <w:style w:type="paragraph" w:customStyle="1" w:styleId="GeneralInd5">
    <w:name w:val="General Ind 5"/>
    <w:basedOn w:val="Normal"/>
    <w:rsid w:val="00CD6CB8"/>
    <w:pPr>
      <w:numPr>
        <w:ilvl w:val="8"/>
        <w:numId w:val="32"/>
      </w:numPr>
      <w:tabs>
        <w:tab w:val="left" w:pos="3686"/>
      </w:tabs>
      <w:spacing w:after="240"/>
      <w:jc w:val="both"/>
    </w:pPr>
    <w:rPr>
      <w:rFonts w:ascii="Arial" w:eastAsia="Times New Roman" w:hAnsi="Arial"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9B9F-39DF-4C7C-A941-3A3603D8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95</TotalTime>
  <Pages>9</Pages>
  <Words>2258</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14940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2013-09-19T08:38:00Z</cp:lastPrinted>
  <dcterms:created xsi:type="dcterms:W3CDTF">2019-02-07T12:01:00Z</dcterms:created>
  <dcterms:modified xsi:type="dcterms:W3CDTF">2019-02-07T14:37:00Z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