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tabs>
          <w:tab w:val="left" w:pos="851"/>
        </w:tabs>
        <w:ind w:left="1440" w:firstLine="720"/>
        <w:rPr>
          <w:sz w:val="22"/>
          <w:szCs w:val="22"/>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2540</wp:posOffset>
            </wp:positionV>
            <wp:extent cx="1047750" cy="906145"/>
            <wp:effectExtent b="0" l="0" r="0" t="0"/>
            <wp:wrapSquare wrapText="bothSides" distB="0" distT="0" distL="114300" distR="114300"/>
            <wp:docPr id="2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47750" cy="9061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4997450</wp:posOffset>
            </wp:positionH>
            <wp:positionV relativeFrom="paragraph">
              <wp:posOffset>2540</wp:posOffset>
            </wp:positionV>
            <wp:extent cx="977900" cy="927100"/>
            <wp:effectExtent b="0" l="0" r="0" t="0"/>
            <wp:wrapSquare wrapText="bothSides" distB="0" distT="0" distL="114300" distR="114300"/>
            <wp:docPr id="2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977900" cy="927100"/>
                    </a:xfrm>
                    <a:prstGeom prst="rect"/>
                    <a:ln/>
                  </pic:spPr>
                </pic:pic>
              </a:graphicData>
            </a:graphic>
          </wp:anchor>
        </w:drawing>
      </w:r>
    </w:p>
    <w:p w:rsidR="00000000" w:rsidDel="00000000" w:rsidP="00000000" w:rsidRDefault="00000000" w:rsidRPr="00000000" w14:paraId="00000002">
      <w:pPr>
        <w:spacing w:before="400" w:lineRule="auto"/>
        <w:jc w:val="both"/>
        <w:rPr>
          <w:rFonts w:ascii="Arial" w:cs="Arial" w:eastAsia="Arial" w:hAnsi="Arial"/>
          <w:b w:val="1"/>
        </w:rPr>
      </w:pPr>
      <w:bookmarkStart w:colFirst="0" w:colLast="0" w:name="_heading=h.c1ewern6v6b" w:id="1"/>
      <w:bookmarkEnd w:id="1"/>
      <w:r w:rsidDel="00000000" w:rsidR="00000000" w:rsidRPr="00000000">
        <w:rPr>
          <w:rtl w:val="0"/>
        </w:rPr>
      </w:r>
    </w:p>
    <w:p w:rsidR="00000000" w:rsidDel="00000000" w:rsidP="00000000" w:rsidRDefault="00000000" w:rsidRPr="00000000" w14:paraId="00000003">
      <w:pPr>
        <w:spacing w:before="40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b w:val="1"/>
          <w:smallCaps w:val="1"/>
          <w:color w:val="000000"/>
          <w:rtl w:val="0"/>
        </w:rPr>
        <w:br w:type="textWrapping"/>
      </w:r>
      <w:r w:rsidDel="00000000" w:rsidR="00000000" w:rsidRPr="00000000">
        <w:rPr>
          <w:rtl w:val="0"/>
        </w:rPr>
      </w:r>
    </w:p>
    <w:p w:rsidR="00000000" w:rsidDel="00000000" w:rsidP="00000000" w:rsidRDefault="00000000" w:rsidRPr="00000000" w14:paraId="0000000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r>
    </w:p>
    <w:p w:rsidR="00000000" w:rsidDel="00000000" w:rsidP="00000000" w:rsidRDefault="00000000" w:rsidRPr="00000000" w14:paraId="00000006">
      <w:pPr>
        <w:spacing w:before="240" w:line="240" w:lineRule="auto"/>
        <w:jc w:val="center"/>
        <w:rPr>
          <w:rFonts w:ascii="Times New Roman" w:cs="Times New Roman" w:eastAsia="Times New Roman" w:hAnsi="Times New Roman"/>
          <w:sz w:val="24"/>
          <w:szCs w:val="24"/>
        </w:rPr>
      </w:pPr>
      <w:r w:rsidDel="00000000" w:rsidR="00000000" w:rsidRPr="00000000">
        <w:rPr>
          <w:b w:val="1"/>
          <w:smallCaps w:val="1"/>
          <w:color w:val="000000"/>
          <w:rtl w:val="0"/>
        </w:rPr>
        <w:t xml:space="preserve">GOVERNMENT PROPERTY AGENCY (GPA)</w:t>
      </w:r>
      <w:r w:rsidDel="00000000" w:rsidR="00000000" w:rsidRPr="00000000">
        <w:rPr>
          <w:rtl w:val="0"/>
        </w:rPr>
      </w:r>
    </w:p>
    <w:p w:rsidR="00000000" w:rsidDel="00000000" w:rsidP="00000000" w:rsidRDefault="00000000" w:rsidRPr="00000000" w14:paraId="00000007">
      <w:pPr>
        <w:spacing w:before="240" w:line="240" w:lineRule="auto"/>
        <w:jc w:val="center"/>
        <w:rPr>
          <w:rFonts w:ascii="Times New Roman" w:cs="Times New Roman" w:eastAsia="Times New Roman" w:hAnsi="Times New Roman"/>
          <w:sz w:val="24"/>
          <w:szCs w:val="24"/>
        </w:rPr>
      </w:pPr>
      <w:r w:rsidDel="00000000" w:rsidR="00000000" w:rsidRPr="00000000">
        <w:rPr>
          <w:b w:val="1"/>
          <w:smallCaps w:val="1"/>
          <w:color w:val="000000"/>
          <w:rtl w:val="0"/>
        </w:rPr>
        <w:t xml:space="preserve">AND</w:t>
      </w:r>
      <w:r w:rsidDel="00000000" w:rsidR="00000000" w:rsidRPr="00000000">
        <w:rPr>
          <w:rtl w:val="0"/>
        </w:rPr>
      </w:r>
    </w:p>
    <w:p w:rsidR="00000000" w:rsidDel="00000000" w:rsidP="00000000" w:rsidRDefault="00000000" w:rsidRPr="00000000" w14:paraId="00000008">
      <w:pPr>
        <w:spacing w:before="240" w:line="240" w:lineRule="auto"/>
        <w:jc w:val="center"/>
        <w:rPr>
          <w:rFonts w:ascii="Times New Roman" w:cs="Times New Roman" w:eastAsia="Times New Roman" w:hAnsi="Times New Roman"/>
          <w:sz w:val="24"/>
          <w:szCs w:val="24"/>
        </w:rPr>
      </w:pPr>
      <w:r w:rsidDel="00000000" w:rsidR="00000000" w:rsidRPr="00000000">
        <w:rPr>
          <w:b w:val="1"/>
          <w:smallCaps w:val="1"/>
          <w:color w:val="000000"/>
          <w:rtl w:val="0"/>
        </w:rPr>
        <w:t xml:space="preserve">ISS MEDICLEAN</w:t>
      </w:r>
      <w:r w:rsidDel="00000000" w:rsidR="00000000" w:rsidRPr="00000000">
        <w:rPr>
          <w:b w:val="1"/>
          <w:smallCaps w:val="1"/>
          <w:rtl w:val="0"/>
        </w:rPr>
        <w:t xml:space="preserve"> LIMITED</w:t>
      </w:r>
      <w:r w:rsidDel="00000000" w:rsidR="00000000" w:rsidRPr="00000000">
        <w:rPr>
          <w:rtl w:val="0"/>
        </w:rPr>
      </w:r>
    </w:p>
    <w:p w:rsidR="00000000" w:rsidDel="00000000" w:rsidP="00000000" w:rsidRDefault="00000000" w:rsidRPr="00000000" w14:paraId="00000009">
      <w:pPr>
        <w:spacing w:after="240" w:before="240" w:line="240" w:lineRule="auto"/>
        <w:jc w:val="center"/>
        <w:rPr>
          <w:rFonts w:ascii="Times New Roman" w:cs="Times New Roman" w:eastAsia="Times New Roman" w:hAnsi="Times New Roman"/>
          <w:sz w:val="24"/>
          <w:szCs w:val="24"/>
        </w:rPr>
      </w:pPr>
      <w:r w:rsidDel="00000000" w:rsidR="00000000" w:rsidRPr="00000000">
        <w:rPr>
          <w:b w:val="1"/>
          <w:smallCaps w:val="1"/>
          <w:color w:val="000000"/>
          <w:rtl w:val="0"/>
        </w:rPr>
        <w:t xml:space="preserve">PROVISION OF TOTAL FACILITIES MANAGEMENT SERVICES FOR GPA SITES</w:t>
      </w:r>
      <w:r w:rsidDel="00000000" w:rsidR="00000000" w:rsidRPr="00000000">
        <w:rPr>
          <w:rtl w:val="0"/>
        </w:rPr>
      </w:r>
    </w:p>
    <w:p w:rsidR="00000000" w:rsidDel="00000000" w:rsidP="00000000" w:rsidRDefault="00000000" w:rsidRPr="00000000" w14:paraId="0000000A">
      <w:pPr>
        <w:spacing w:after="240" w:before="240" w:line="240" w:lineRule="auto"/>
        <w:jc w:val="center"/>
        <w:rPr>
          <w:rFonts w:ascii="Times New Roman" w:cs="Times New Roman" w:eastAsia="Times New Roman" w:hAnsi="Times New Roman"/>
          <w:sz w:val="24"/>
          <w:szCs w:val="24"/>
        </w:rPr>
      </w:pPr>
      <w:r w:rsidDel="00000000" w:rsidR="00000000" w:rsidRPr="00000000">
        <w:rPr>
          <w:b w:val="1"/>
          <w:smallCaps w:val="1"/>
          <w:color w:val="000000"/>
          <w:rtl w:val="0"/>
        </w:rPr>
        <w:t xml:space="preserve">LOT 1B</w:t>
      </w:r>
      <w:r w:rsidDel="00000000" w:rsidR="00000000" w:rsidRPr="00000000">
        <w:rPr>
          <w:rtl w:val="0"/>
        </w:rPr>
      </w:r>
    </w:p>
    <w:p w:rsidR="00000000" w:rsidDel="00000000" w:rsidP="00000000" w:rsidRDefault="00000000" w:rsidRPr="00000000" w14:paraId="0000000B">
      <w:pPr>
        <w:spacing w:before="240" w:line="240" w:lineRule="auto"/>
        <w:jc w:val="center"/>
        <w:rPr>
          <w:rFonts w:ascii="Times New Roman" w:cs="Times New Roman" w:eastAsia="Times New Roman" w:hAnsi="Times New Roman"/>
          <w:sz w:val="24"/>
          <w:szCs w:val="24"/>
        </w:rPr>
      </w:pPr>
      <w:r w:rsidDel="00000000" w:rsidR="00000000" w:rsidRPr="00000000">
        <w:rPr>
          <w:b w:val="1"/>
          <w:smallCaps w:val="1"/>
          <w:color w:val="000000"/>
          <w:rtl w:val="0"/>
        </w:rPr>
        <w:t xml:space="preserve">FACILITIES MANAGEMENT MARKETPLACE CONTRACT</w:t>
      </w:r>
      <w:r w:rsidDel="00000000" w:rsidR="00000000" w:rsidRPr="00000000">
        <w:rPr>
          <w:rtl w:val="0"/>
        </w:rPr>
      </w:r>
    </w:p>
    <w:p w:rsidR="00000000" w:rsidDel="00000000" w:rsidP="00000000" w:rsidRDefault="00000000" w:rsidRPr="00000000" w14:paraId="0000000C">
      <w:pPr>
        <w:spacing w:before="240" w:line="240" w:lineRule="auto"/>
        <w:jc w:val="center"/>
        <w:rPr>
          <w:rFonts w:ascii="Times New Roman" w:cs="Times New Roman" w:eastAsia="Times New Roman" w:hAnsi="Times New Roman"/>
          <w:sz w:val="24"/>
          <w:szCs w:val="24"/>
        </w:rPr>
      </w:pPr>
      <w:r w:rsidDel="00000000" w:rsidR="00000000" w:rsidRPr="00000000">
        <w:rPr>
          <w:b w:val="1"/>
          <w:smallCaps w:val="1"/>
          <w:color w:val="000000"/>
          <w:rtl w:val="0"/>
        </w:rPr>
        <w:t xml:space="preserve">REF: RM3830</w:t>
      </w:r>
      <w:r w:rsidDel="00000000" w:rsidR="00000000" w:rsidRPr="00000000">
        <w:rPr>
          <w:rtl w:val="0"/>
        </w:rPr>
      </w:r>
    </w:p>
    <w:p w:rsidR="00000000" w:rsidDel="00000000" w:rsidP="00000000" w:rsidRDefault="00000000" w:rsidRPr="00000000" w14:paraId="0000000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0F">
      <w:pPr>
        <w:tabs>
          <w:tab w:val="left" w:pos="1125"/>
        </w:tabs>
        <w:spacing w:after="120" w:line="240" w:lineRule="auto"/>
        <w:rPr>
          <w:rFonts w:ascii="Arial" w:cs="Arial" w:eastAsia="Arial" w:hAnsi="Arial"/>
          <w:b w:val="1"/>
        </w:rPr>
      </w:pPr>
      <w:r w:rsidDel="00000000" w:rsidR="00000000" w:rsidRPr="00000000">
        <w:rPr>
          <w:rFonts w:ascii="Arial" w:cs="Arial" w:eastAsia="Arial" w:hAnsi="Arial"/>
          <w:b w:val="1"/>
          <w:rtl w:val="0"/>
        </w:rPr>
        <w:t xml:space="preserve">Contents</w:t>
      </w:r>
    </w:p>
    <w:p w:rsidR="00000000" w:rsidDel="00000000" w:rsidP="00000000" w:rsidRDefault="00000000" w:rsidRPr="00000000" w14:paraId="00000010">
      <w:pPr>
        <w:spacing w:after="120" w:line="240" w:lineRule="auto"/>
        <w:rPr>
          <w:rFonts w:ascii="Arial" w:cs="Arial" w:eastAsia="Arial" w:hAnsi="Arial"/>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720"/>
              <w:tab w:val="right" w:pos="9029"/>
            </w:tabs>
            <w:spacing w:after="120" w:line="240" w:lineRule="auto"/>
            <w:ind w:left="720" w:hanging="720"/>
            <w:rPr>
              <w:rFonts w:ascii="Arial" w:cs="Arial" w:eastAsia="Arial" w:hAnsi="Arial"/>
              <w:color w:val="000000"/>
            </w:rPr>
          </w:pPr>
          <w:r w:rsidDel="00000000" w:rsidR="00000000" w:rsidRPr="00000000">
            <w:fldChar w:fldCharType="begin"/>
            <w:instrText xml:space="preserve"> TOC \h \u \z </w:instrText>
            <w:fldChar w:fldCharType="separate"/>
          </w:r>
          <w:hyperlink w:anchor="_heading=h.1fob9te">
            <w:r w:rsidDel="00000000" w:rsidR="00000000" w:rsidRPr="00000000">
              <w:rPr>
                <w:rFonts w:ascii="Arial" w:cs="Arial" w:eastAsia="Arial" w:hAnsi="Arial"/>
                <w:smallCaps w:val="1"/>
                <w:color w:val="000000"/>
                <w:rtl w:val="0"/>
              </w:rPr>
              <w:t xml:space="preserve">1.</w:t>
            </w:r>
          </w:hyperlink>
          <w:hyperlink w:anchor="_heading=h.1fob9te">
            <w:r w:rsidDel="00000000" w:rsidR="00000000" w:rsidRPr="00000000">
              <w:rPr>
                <w:rFonts w:ascii="Arial" w:cs="Arial" w:eastAsia="Arial" w:hAnsi="Arial"/>
                <w:color w:val="000000"/>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smallCaps w:val="1"/>
              <w:color w:val="000000"/>
              <w:rtl w:val="0"/>
            </w:rPr>
            <w:t xml:space="preserve">purpose</w:t>
            <w:tab/>
            <w:t xml:space="preserve">3</w:t>
          </w:r>
          <w:r w:rsidDel="00000000" w:rsidR="00000000" w:rsidRPr="00000000">
            <w:fldChar w:fldCharType="begin"/>
            <w:instrText xml:space="preserve"> HYPERLINK \l "_heading=h.1fob9te"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720"/>
              <w:tab w:val="right" w:pos="9029"/>
            </w:tabs>
            <w:spacing w:after="120" w:line="240" w:lineRule="auto"/>
            <w:ind w:left="720" w:hanging="720"/>
            <w:rPr>
              <w:rFonts w:ascii="Arial" w:cs="Arial" w:eastAsia="Arial" w:hAnsi="Arial"/>
              <w:color w:val="000000"/>
            </w:rPr>
          </w:pPr>
          <w:r w:rsidDel="00000000" w:rsidR="00000000" w:rsidRPr="00000000">
            <w:fldChar w:fldCharType="end"/>
          </w:r>
          <w:hyperlink w:anchor="_heading=h.1fob9te">
            <w:r w:rsidDel="00000000" w:rsidR="00000000" w:rsidRPr="00000000">
              <w:rPr>
                <w:rFonts w:ascii="Arial" w:cs="Arial" w:eastAsia="Arial" w:hAnsi="Arial"/>
                <w:smallCaps w:val="1"/>
                <w:color w:val="000000"/>
                <w:rtl w:val="0"/>
              </w:rPr>
              <w:t xml:space="preserve">2.</w:t>
            </w:r>
          </w:hyperlink>
          <w:hyperlink w:anchor="_heading=h.1fob9te">
            <w:r w:rsidDel="00000000" w:rsidR="00000000" w:rsidRPr="00000000">
              <w:rPr>
                <w:rFonts w:ascii="Arial" w:cs="Arial" w:eastAsia="Arial" w:hAnsi="Arial"/>
                <w:color w:val="000000"/>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smallCaps w:val="1"/>
              <w:color w:val="000000"/>
              <w:rtl w:val="0"/>
            </w:rPr>
            <w:t xml:space="preserve">Background to the opportunity</w:t>
            <w:tab/>
            <w:t xml:space="preserve">4</w:t>
          </w:r>
          <w:r w:rsidDel="00000000" w:rsidR="00000000" w:rsidRPr="00000000">
            <w:fldChar w:fldCharType="begin"/>
            <w:instrText xml:space="preserve"> HYPERLINK \l "_heading=h.1fob9te"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720"/>
              <w:tab w:val="right" w:pos="9029"/>
            </w:tabs>
            <w:spacing w:after="120" w:line="240" w:lineRule="auto"/>
            <w:ind w:left="720" w:hanging="720"/>
            <w:rPr>
              <w:rFonts w:ascii="Arial" w:cs="Arial" w:eastAsia="Arial" w:hAnsi="Arial"/>
              <w:color w:val="000000"/>
            </w:rPr>
          </w:pPr>
          <w:r w:rsidDel="00000000" w:rsidR="00000000" w:rsidRPr="00000000">
            <w:fldChar w:fldCharType="end"/>
          </w:r>
          <w:hyperlink w:anchor="_heading=h.3znysh7">
            <w:r w:rsidDel="00000000" w:rsidR="00000000" w:rsidRPr="00000000">
              <w:rPr>
                <w:rFonts w:ascii="Arial" w:cs="Arial" w:eastAsia="Arial" w:hAnsi="Arial"/>
                <w:smallCaps w:val="1"/>
                <w:color w:val="000000"/>
                <w:rtl w:val="0"/>
              </w:rPr>
              <w:t xml:space="preserve">3.</w:t>
            </w:r>
          </w:hyperlink>
          <w:hyperlink w:anchor="_heading=h.3znysh7">
            <w:r w:rsidDel="00000000" w:rsidR="00000000" w:rsidRPr="00000000">
              <w:rPr>
                <w:rFonts w:ascii="Arial" w:cs="Arial" w:eastAsia="Arial" w:hAnsi="Arial"/>
                <w:color w:val="000000"/>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smallCaps w:val="1"/>
              <w:color w:val="000000"/>
              <w:rtl w:val="0"/>
            </w:rPr>
            <w:t xml:space="preserve">Specification structure</w:t>
            <w:tab/>
            <w:t xml:space="preserve">6</w:t>
          </w:r>
          <w:r w:rsidDel="00000000" w:rsidR="00000000" w:rsidRPr="00000000">
            <w:fldChar w:fldCharType="begin"/>
            <w:instrText xml:space="preserve"> HYPERLINK \l "_heading=h.3znysh7"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720"/>
              <w:tab w:val="right" w:pos="9029"/>
            </w:tabs>
            <w:spacing w:after="120" w:line="240" w:lineRule="auto"/>
            <w:ind w:left="720" w:hanging="720"/>
            <w:rPr>
              <w:rFonts w:ascii="Arial" w:cs="Arial" w:eastAsia="Arial" w:hAnsi="Arial"/>
              <w:color w:val="000000"/>
            </w:rPr>
          </w:pPr>
          <w:r w:rsidDel="00000000" w:rsidR="00000000" w:rsidRPr="00000000">
            <w:fldChar w:fldCharType="end"/>
          </w:r>
          <w:hyperlink w:anchor="_heading=h.2et92p0">
            <w:r w:rsidDel="00000000" w:rsidR="00000000" w:rsidRPr="00000000">
              <w:rPr>
                <w:rFonts w:ascii="Arial" w:cs="Arial" w:eastAsia="Arial" w:hAnsi="Arial"/>
                <w:smallCaps w:val="1"/>
                <w:color w:val="000000"/>
                <w:rtl w:val="0"/>
              </w:rPr>
              <w:t xml:space="preserve">4.</w:t>
            </w:r>
          </w:hyperlink>
          <w:hyperlink w:anchor="_heading=h.2et92p0">
            <w:r w:rsidDel="00000000" w:rsidR="00000000" w:rsidRPr="00000000">
              <w:rPr>
                <w:rFonts w:ascii="Arial" w:cs="Arial" w:eastAsia="Arial" w:hAnsi="Arial"/>
                <w:color w:val="000000"/>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smallCaps w:val="1"/>
              <w:color w:val="000000"/>
              <w:rtl w:val="0"/>
            </w:rPr>
            <w:t xml:space="preserve">Definitions</w:t>
            <w:tab/>
            <w:t xml:space="preserve">6</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720"/>
              <w:tab w:val="right" w:pos="9029"/>
            </w:tabs>
            <w:spacing w:after="120" w:line="240" w:lineRule="auto"/>
            <w:ind w:left="720" w:hanging="720"/>
            <w:rPr>
              <w:rFonts w:ascii="Arial" w:cs="Arial" w:eastAsia="Arial" w:hAnsi="Arial"/>
              <w:color w:val="000000"/>
            </w:rPr>
          </w:pPr>
          <w:r w:rsidDel="00000000" w:rsidR="00000000" w:rsidRPr="00000000">
            <w:fldChar w:fldCharType="end"/>
          </w:r>
          <w:hyperlink w:anchor="_heading=h.tyjcwt">
            <w:r w:rsidDel="00000000" w:rsidR="00000000" w:rsidRPr="00000000">
              <w:rPr>
                <w:rFonts w:ascii="Arial" w:cs="Arial" w:eastAsia="Arial" w:hAnsi="Arial"/>
                <w:smallCaps w:val="1"/>
                <w:color w:val="000000"/>
                <w:rtl w:val="0"/>
              </w:rPr>
              <w:t xml:space="preserve">5.</w:t>
            </w:r>
          </w:hyperlink>
          <w:hyperlink w:anchor="_heading=h.tyjcwt">
            <w:r w:rsidDel="00000000" w:rsidR="00000000" w:rsidRPr="00000000">
              <w:rPr>
                <w:rFonts w:ascii="Arial" w:cs="Arial" w:eastAsia="Arial" w:hAnsi="Arial"/>
                <w:color w:val="000000"/>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smallCaps w:val="1"/>
              <w:color w:val="000000"/>
              <w:rtl w:val="0"/>
            </w:rPr>
            <w:t xml:space="preserve">Standards</w:t>
            <w:tab/>
            <w:t xml:space="preserve">6</w:t>
          </w:r>
          <w:r w:rsidDel="00000000" w:rsidR="00000000" w:rsidRPr="00000000">
            <w:fldChar w:fldCharType="begin"/>
            <w:instrText xml:space="preserve"> HYPERLINK \l "_heading=h.tyjcwt"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720"/>
              <w:tab w:val="right" w:pos="9029"/>
            </w:tabs>
            <w:spacing w:after="120" w:line="240" w:lineRule="auto"/>
            <w:ind w:left="720" w:hanging="720"/>
            <w:rPr>
              <w:rFonts w:ascii="Arial" w:cs="Arial" w:eastAsia="Arial" w:hAnsi="Arial"/>
              <w:color w:val="000000"/>
            </w:rPr>
          </w:pPr>
          <w:r w:rsidDel="00000000" w:rsidR="00000000" w:rsidRPr="00000000">
            <w:fldChar w:fldCharType="end"/>
          </w:r>
          <w:hyperlink w:anchor="_heading=h.3dy6vkm">
            <w:r w:rsidDel="00000000" w:rsidR="00000000" w:rsidRPr="00000000">
              <w:rPr>
                <w:rFonts w:ascii="Arial" w:cs="Arial" w:eastAsia="Arial" w:hAnsi="Arial"/>
                <w:smallCaps w:val="1"/>
                <w:color w:val="000000"/>
                <w:rtl w:val="0"/>
              </w:rPr>
              <w:t xml:space="preserve">6.</w:t>
            </w:r>
          </w:hyperlink>
          <w:hyperlink w:anchor="_heading=h.3dy6vkm">
            <w:r w:rsidDel="00000000" w:rsidR="00000000" w:rsidRPr="00000000">
              <w:rPr>
                <w:rFonts w:ascii="Arial" w:cs="Arial" w:eastAsia="Arial" w:hAnsi="Arial"/>
                <w:color w:val="000000"/>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smallCaps w:val="1"/>
              <w:color w:val="000000"/>
              <w:rtl w:val="0"/>
            </w:rPr>
            <w:t xml:space="preserve">Gainshare</w:t>
            <w:tab/>
            <w:t xml:space="preserve">7</w:t>
          </w:r>
          <w:r w:rsidDel="00000000" w:rsidR="00000000" w:rsidRPr="00000000">
            <w:fldChar w:fldCharType="begin"/>
            <w:instrText xml:space="preserve"> HYPERLINK \l "_heading=h.3dy6vkm"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720"/>
              <w:tab w:val="right" w:pos="9029"/>
            </w:tabs>
            <w:spacing w:after="120" w:line="240" w:lineRule="auto"/>
            <w:ind w:left="720" w:hanging="720"/>
            <w:rPr>
              <w:rFonts w:ascii="Arial" w:cs="Arial" w:eastAsia="Arial" w:hAnsi="Arial"/>
              <w:color w:val="000000"/>
            </w:rPr>
          </w:pPr>
          <w:r w:rsidDel="00000000" w:rsidR="00000000" w:rsidRPr="00000000">
            <w:fldChar w:fldCharType="end"/>
          </w:r>
          <w:hyperlink w:anchor="_heading=h.1t3h5sf">
            <w:r w:rsidDel="00000000" w:rsidR="00000000" w:rsidRPr="00000000">
              <w:rPr>
                <w:rFonts w:ascii="Arial" w:cs="Arial" w:eastAsia="Arial" w:hAnsi="Arial"/>
                <w:smallCaps w:val="1"/>
                <w:color w:val="000000"/>
                <w:rtl w:val="0"/>
              </w:rPr>
              <w:t xml:space="preserve">7.</w:t>
            </w:r>
          </w:hyperlink>
          <w:hyperlink w:anchor="_heading=h.1t3h5sf">
            <w:r w:rsidDel="00000000" w:rsidR="00000000" w:rsidRPr="00000000">
              <w:rPr>
                <w:rFonts w:ascii="Arial" w:cs="Arial" w:eastAsia="Arial" w:hAnsi="Arial"/>
                <w:color w:val="000000"/>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smallCaps w:val="1"/>
              <w:color w:val="000000"/>
              <w:rtl w:val="0"/>
            </w:rPr>
            <w:t xml:space="preserve">Award</w:t>
            <w:tab/>
            <w:t xml:space="preserve">7</w:t>
          </w:r>
          <w:r w:rsidDel="00000000" w:rsidR="00000000" w:rsidRPr="00000000">
            <w:fldChar w:fldCharType="begin"/>
            <w:instrText xml:space="preserve"> HYPERLINK \l "_heading=h.1t3h5sf"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720"/>
              <w:tab w:val="right" w:pos="9029"/>
            </w:tabs>
            <w:spacing w:after="120" w:line="240" w:lineRule="auto"/>
            <w:ind w:left="720" w:hanging="720"/>
            <w:rPr>
              <w:rFonts w:ascii="Arial" w:cs="Arial" w:eastAsia="Arial" w:hAnsi="Arial"/>
              <w:color w:val="000000"/>
            </w:rPr>
          </w:pPr>
          <w:r w:rsidDel="00000000" w:rsidR="00000000" w:rsidRPr="00000000">
            <w:fldChar w:fldCharType="end"/>
          </w:r>
          <w:hyperlink w:anchor="_heading=h.2s8eyo1">
            <w:r w:rsidDel="00000000" w:rsidR="00000000" w:rsidRPr="00000000">
              <w:rPr>
                <w:rFonts w:ascii="Arial" w:cs="Arial" w:eastAsia="Arial" w:hAnsi="Arial"/>
                <w:smallCaps w:val="1"/>
                <w:color w:val="000000"/>
                <w:rtl w:val="0"/>
              </w:rPr>
              <w:t xml:space="preserve">8.</w:t>
            </w:r>
          </w:hyperlink>
          <w:hyperlink w:anchor="_heading=h.2s8eyo1">
            <w:r w:rsidDel="00000000" w:rsidR="00000000" w:rsidRPr="00000000">
              <w:rPr>
                <w:rFonts w:ascii="Arial" w:cs="Arial" w:eastAsia="Arial" w:hAnsi="Arial"/>
                <w:color w:val="000000"/>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smallCaps w:val="1"/>
              <w:color w:val="000000"/>
              <w:rtl w:val="0"/>
            </w:rPr>
            <w:t xml:space="preserve">Variation to Services</w:t>
            <w:tab/>
            <w:t xml:space="preserve">7</w:t>
          </w:r>
          <w:r w:rsidDel="00000000" w:rsidR="00000000" w:rsidRPr="00000000">
            <w:fldChar w:fldCharType="begin"/>
            <w:instrText xml:space="preserve"> HYPERLINK \l "_heading=h.2s8eyo1"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9">
          <w:pPr>
            <w:spacing w:after="120" w:line="240" w:lineRule="auto"/>
            <w:rPr>
              <w:rFonts w:ascii="Arial" w:cs="Arial" w:eastAsia="Arial" w:hAnsi="Arial"/>
              <w:smallCaps w:val="1"/>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spacing w:after="120" w:line="240" w:lineRule="auto"/>
        <w:rPr>
          <w:rFonts w:ascii="Arial" w:cs="Arial" w:eastAsia="Arial" w:hAnsi="Arial"/>
          <w:smallCaps w:val="1"/>
        </w:rPr>
      </w:pPr>
      <w:r w:rsidDel="00000000" w:rsidR="00000000" w:rsidRPr="00000000">
        <w:rPr>
          <w:rtl w:val="0"/>
        </w:rPr>
      </w:r>
    </w:p>
    <w:p w:rsidR="00000000" w:rsidDel="00000000" w:rsidP="00000000" w:rsidRDefault="00000000" w:rsidRPr="00000000" w14:paraId="0000001B">
      <w:pPr>
        <w:tabs>
          <w:tab w:val="left" w:pos="1125"/>
        </w:tabs>
        <w:spacing w:after="120" w:line="240" w:lineRule="auto"/>
        <w:rPr>
          <w:rFonts w:ascii="Arial" w:cs="Arial" w:eastAsia="Arial" w:hAnsi="Arial"/>
          <w:b w:val="1"/>
        </w:rPr>
      </w:pPr>
      <w:r w:rsidDel="00000000" w:rsidR="00000000" w:rsidRPr="00000000">
        <w:rPr>
          <w:rFonts w:ascii="Arial" w:cs="Arial" w:eastAsia="Arial" w:hAnsi="Arial"/>
          <w:b w:val="1"/>
          <w:rtl w:val="0"/>
        </w:rPr>
        <w:t xml:space="preserve">Annexes</w:t>
      </w:r>
    </w:p>
    <w:p w:rsidR="00000000" w:rsidDel="00000000" w:rsidP="00000000" w:rsidRDefault="00000000" w:rsidRPr="00000000" w14:paraId="0000001C">
      <w:pPr>
        <w:spacing w:after="120" w:line="240" w:lineRule="auto"/>
        <w:rPr>
          <w:rFonts w:ascii="Arial" w:cs="Arial" w:eastAsia="Arial" w:hAnsi="Arial"/>
          <w:smallCaps w:val="1"/>
        </w:rPr>
      </w:pPr>
      <w:r w:rsidDel="00000000" w:rsidR="00000000" w:rsidRPr="00000000">
        <w:rPr>
          <w:rtl w:val="0"/>
        </w:rPr>
      </w:r>
    </w:p>
    <w:p w:rsidR="00000000" w:rsidDel="00000000" w:rsidP="00000000" w:rsidRDefault="00000000" w:rsidRPr="00000000" w14:paraId="0000001D">
      <w:pPr>
        <w:pStyle w:val="Heading2"/>
        <w:numPr>
          <w:ilvl w:val="1"/>
          <w:numId w:val="2"/>
        </w:numPr>
        <w:tabs>
          <w:tab w:val="left" w:pos="851"/>
        </w:tabs>
        <w:ind w:left="737" w:hanging="737"/>
        <w:rPr>
          <w:sz w:val="22"/>
          <w:szCs w:val="22"/>
        </w:rPr>
      </w:pPr>
      <w:r w:rsidDel="00000000" w:rsidR="00000000" w:rsidRPr="00000000">
        <w:rPr>
          <w:sz w:val="22"/>
          <w:szCs w:val="22"/>
          <w:rtl w:val="0"/>
        </w:rPr>
        <w:t xml:space="preserve">Annex A Matrix of Deliverables</w:t>
      </w:r>
    </w:p>
    <w:p w:rsidR="00000000" w:rsidDel="00000000" w:rsidP="00000000" w:rsidRDefault="00000000" w:rsidRPr="00000000" w14:paraId="0000001E">
      <w:pPr>
        <w:pStyle w:val="Heading2"/>
        <w:numPr>
          <w:ilvl w:val="1"/>
          <w:numId w:val="2"/>
        </w:numPr>
        <w:tabs>
          <w:tab w:val="left" w:pos="851"/>
        </w:tabs>
        <w:ind w:left="737" w:hanging="737"/>
        <w:rPr>
          <w:sz w:val="22"/>
          <w:szCs w:val="22"/>
        </w:rPr>
      </w:pPr>
      <w:r w:rsidDel="00000000" w:rsidR="00000000" w:rsidRPr="00000000">
        <w:rPr>
          <w:sz w:val="22"/>
          <w:szCs w:val="22"/>
          <w:rtl w:val="0"/>
        </w:rPr>
        <w:t xml:space="preserve">Annex  B Standards and Processes</w:t>
      </w:r>
    </w:p>
    <w:p w:rsidR="00000000" w:rsidDel="00000000" w:rsidP="00000000" w:rsidRDefault="00000000" w:rsidRPr="00000000" w14:paraId="0000001F">
      <w:pPr>
        <w:pStyle w:val="Heading2"/>
        <w:numPr>
          <w:ilvl w:val="1"/>
          <w:numId w:val="2"/>
        </w:numPr>
        <w:tabs>
          <w:tab w:val="left" w:pos="851"/>
        </w:tabs>
        <w:ind w:left="737" w:hanging="737"/>
        <w:rPr>
          <w:sz w:val="22"/>
          <w:szCs w:val="22"/>
        </w:rPr>
      </w:pPr>
      <w:r w:rsidDel="00000000" w:rsidR="00000000" w:rsidRPr="00000000">
        <w:rPr>
          <w:sz w:val="22"/>
          <w:szCs w:val="22"/>
          <w:rtl w:val="0"/>
        </w:rPr>
        <w:t xml:space="preserve">Annex C Please see Call-Off Schedule 14 Annex A</w:t>
      </w:r>
    </w:p>
    <w:p w:rsidR="00000000" w:rsidDel="00000000" w:rsidP="00000000" w:rsidRDefault="00000000" w:rsidRPr="00000000" w14:paraId="00000020">
      <w:pPr>
        <w:pStyle w:val="Heading2"/>
        <w:numPr>
          <w:ilvl w:val="1"/>
          <w:numId w:val="2"/>
        </w:numPr>
        <w:tabs>
          <w:tab w:val="left" w:pos="851"/>
        </w:tabs>
        <w:ind w:left="737" w:hanging="737"/>
        <w:rPr>
          <w:sz w:val="22"/>
          <w:szCs w:val="22"/>
        </w:rPr>
      </w:pPr>
      <w:r w:rsidDel="00000000" w:rsidR="00000000" w:rsidRPr="00000000">
        <w:rPr>
          <w:sz w:val="22"/>
          <w:szCs w:val="22"/>
          <w:rtl w:val="0"/>
        </w:rPr>
        <w:t xml:space="preserve">Annex D Please see Call off Schedule 14 Annex B</w:t>
      </w:r>
    </w:p>
    <w:p w:rsidR="00000000" w:rsidDel="00000000" w:rsidP="00000000" w:rsidRDefault="00000000" w:rsidRPr="00000000" w14:paraId="00000021">
      <w:pPr>
        <w:pStyle w:val="Heading2"/>
        <w:numPr>
          <w:ilvl w:val="1"/>
          <w:numId w:val="2"/>
        </w:numPr>
        <w:tabs>
          <w:tab w:val="left" w:pos="851"/>
        </w:tabs>
        <w:ind w:left="737" w:hanging="737"/>
        <w:rPr>
          <w:sz w:val="22"/>
          <w:szCs w:val="22"/>
        </w:rPr>
      </w:pPr>
      <w:r w:rsidDel="00000000" w:rsidR="00000000" w:rsidRPr="00000000">
        <w:rPr>
          <w:sz w:val="22"/>
          <w:szCs w:val="22"/>
          <w:rtl w:val="0"/>
        </w:rPr>
        <w:t xml:space="preserve">Annex E Buyer Specific requirements </w:t>
      </w:r>
    </w:p>
    <w:p w:rsidR="00000000" w:rsidDel="00000000" w:rsidP="00000000" w:rsidRDefault="00000000" w:rsidRPr="00000000" w14:paraId="00000022">
      <w:pPr>
        <w:pStyle w:val="Heading2"/>
        <w:numPr>
          <w:ilvl w:val="1"/>
          <w:numId w:val="2"/>
        </w:numPr>
        <w:tabs>
          <w:tab w:val="left" w:pos="851"/>
        </w:tabs>
        <w:ind w:left="737" w:hanging="737"/>
        <w:rPr>
          <w:sz w:val="22"/>
          <w:szCs w:val="22"/>
        </w:rPr>
      </w:pPr>
      <w:r w:rsidDel="00000000" w:rsidR="00000000" w:rsidRPr="00000000">
        <w:rPr>
          <w:sz w:val="22"/>
          <w:szCs w:val="22"/>
          <w:rtl w:val="0"/>
        </w:rPr>
        <w:t xml:space="preserve">Annex F Service Requirements </w:t>
      </w:r>
    </w:p>
    <w:p w:rsidR="00000000" w:rsidDel="00000000" w:rsidP="00000000" w:rsidRDefault="00000000" w:rsidRPr="00000000" w14:paraId="00000023">
      <w:pPr>
        <w:pStyle w:val="Heading2"/>
        <w:numPr>
          <w:ilvl w:val="1"/>
          <w:numId w:val="2"/>
        </w:numPr>
        <w:tabs>
          <w:tab w:val="left" w:pos="851"/>
        </w:tabs>
        <w:ind w:left="737" w:hanging="737"/>
        <w:rPr>
          <w:sz w:val="22"/>
          <w:szCs w:val="22"/>
        </w:rPr>
      </w:pPr>
      <w:r w:rsidDel="00000000" w:rsidR="00000000" w:rsidRPr="00000000">
        <w:rPr>
          <w:sz w:val="22"/>
          <w:szCs w:val="22"/>
          <w:rtl w:val="0"/>
        </w:rPr>
        <w:t xml:space="preserve">Annex G Customer insights Process Map</w:t>
      </w:r>
    </w:p>
    <w:p w:rsidR="00000000" w:rsidDel="00000000" w:rsidP="00000000" w:rsidRDefault="00000000" w:rsidRPr="00000000" w14:paraId="00000024">
      <w:pPr>
        <w:pStyle w:val="Heading2"/>
        <w:numPr>
          <w:ilvl w:val="1"/>
          <w:numId w:val="2"/>
        </w:numPr>
        <w:tabs>
          <w:tab w:val="left" w:pos="851"/>
        </w:tabs>
        <w:ind w:left="737" w:hanging="737"/>
        <w:rPr>
          <w:sz w:val="22"/>
          <w:szCs w:val="22"/>
        </w:rPr>
      </w:pPr>
      <w:r w:rsidDel="00000000" w:rsidR="00000000" w:rsidRPr="00000000">
        <w:rPr>
          <w:sz w:val="22"/>
          <w:szCs w:val="22"/>
          <w:rtl w:val="0"/>
        </w:rPr>
        <w:t xml:space="preserve">Annex H B2IM Condition Surveying LCR – Policy Guidance </w:t>
      </w:r>
    </w:p>
    <w:p w:rsidR="00000000" w:rsidDel="00000000" w:rsidP="00000000" w:rsidRDefault="00000000" w:rsidRPr="00000000" w14:paraId="00000025">
      <w:pPr>
        <w:pStyle w:val="Heading2"/>
        <w:numPr>
          <w:ilvl w:val="1"/>
          <w:numId w:val="2"/>
        </w:numPr>
        <w:tabs>
          <w:tab w:val="left" w:pos="851"/>
        </w:tabs>
        <w:ind w:left="737" w:hanging="737"/>
        <w:rPr>
          <w:sz w:val="22"/>
          <w:szCs w:val="22"/>
        </w:rPr>
      </w:pPr>
      <w:r w:rsidDel="00000000" w:rsidR="00000000" w:rsidRPr="00000000">
        <w:rPr>
          <w:sz w:val="22"/>
          <w:szCs w:val="22"/>
          <w:rtl w:val="0"/>
        </w:rPr>
        <w:t xml:space="preserve">Annex I Floor Plans</w:t>
      </w:r>
    </w:p>
    <w:p w:rsidR="00000000" w:rsidDel="00000000" w:rsidP="00000000" w:rsidRDefault="00000000" w:rsidRPr="00000000" w14:paraId="00000026">
      <w:pPr>
        <w:pStyle w:val="Heading2"/>
        <w:numPr>
          <w:ilvl w:val="1"/>
          <w:numId w:val="2"/>
        </w:numPr>
        <w:tabs>
          <w:tab w:val="left" w:pos="851"/>
        </w:tabs>
        <w:ind w:left="737" w:hanging="737"/>
        <w:rPr>
          <w:sz w:val="22"/>
          <w:szCs w:val="22"/>
        </w:rPr>
      </w:pPr>
      <w:r w:rsidDel="00000000" w:rsidR="00000000" w:rsidRPr="00000000">
        <w:rPr>
          <w:sz w:val="22"/>
          <w:szCs w:val="22"/>
          <w:rtl w:val="0"/>
        </w:rPr>
        <w:t xml:space="preserve">Annex J SFG20 Functional Office Rask SChedules </w:t>
      </w:r>
    </w:p>
    <w:p w:rsidR="00000000" w:rsidDel="00000000" w:rsidP="00000000" w:rsidRDefault="00000000" w:rsidRPr="00000000" w14:paraId="00000027">
      <w:pPr>
        <w:pStyle w:val="Heading2"/>
        <w:numPr>
          <w:ilvl w:val="1"/>
          <w:numId w:val="2"/>
        </w:numPr>
        <w:tabs>
          <w:tab w:val="left" w:pos="851"/>
        </w:tabs>
        <w:ind w:left="737" w:hanging="737"/>
        <w:rPr>
          <w:sz w:val="22"/>
          <w:szCs w:val="22"/>
        </w:rPr>
      </w:pPr>
      <w:bookmarkStart w:colFirst="0" w:colLast="0" w:name="_heading=h.30j0zll" w:id="2"/>
      <w:bookmarkEnd w:id="2"/>
      <w:r w:rsidDel="00000000" w:rsidR="00000000" w:rsidRPr="00000000">
        <w:rPr>
          <w:sz w:val="22"/>
          <w:szCs w:val="22"/>
          <w:rtl w:val="0"/>
        </w:rPr>
        <w:t xml:space="preserve">Annex K Government Functional Property Standard</w:t>
      </w:r>
    </w:p>
    <w:p w:rsidR="00000000" w:rsidDel="00000000" w:rsidP="00000000" w:rsidRDefault="00000000" w:rsidRPr="00000000" w14:paraId="00000028">
      <w:pPr>
        <w:pStyle w:val="Heading2"/>
        <w:numPr>
          <w:ilvl w:val="1"/>
          <w:numId w:val="2"/>
        </w:numPr>
        <w:tabs>
          <w:tab w:val="left" w:pos="851"/>
        </w:tabs>
        <w:ind w:left="737" w:hanging="737"/>
        <w:rPr>
          <w:sz w:val="22"/>
          <w:szCs w:val="22"/>
        </w:rPr>
      </w:pPr>
      <w:r w:rsidDel="00000000" w:rsidR="00000000" w:rsidRPr="00000000">
        <w:rPr>
          <w:sz w:val="22"/>
          <w:szCs w:val="22"/>
          <w:rtl w:val="0"/>
        </w:rPr>
        <w:t xml:space="preserve">Annex L Catering Strategy for Government Hubs</w:t>
      </w:r>
    </w:p>
    <w:p w:rsidR="00000000" w:rsidDel="00000000" w:rsidP="00000000" w:rsidRDefault="00000000" w:rsidRPr="00000000" w14:paraId="00000029">
      <w:pPr>
        <w:pStyle w:val="Heading2"/>
        <w:numPr>
          <w:ilvl w:val="1"/>
          <w:numId w:val="2"/>
        </w:numPr>
        <w:tabs>
          <w:tab w:val="left" w:pos="851"/>
        </w:tabs>
        <w:ind w:left="737" w:hanging="737"/>
        <w:rPr>
          <w:sz w:val="22"/>
          <w:szCs w:val="22"/>
        </w:rPr>
      </w:pPr>
      <w:r w:rsidDel="00000000" w:rsidR="00000000" w:rsidRPr="00000000">
        <w:rPr>
          <w:sz w:val="22"/>
          <w:szCs w:val="22"/>
          <w:rtl w:val="0"/>
        </w:rPr>
        <w:t xml:space="preserve">Annex M Sites </w:t>
      </w:r>
    </w:p>
    <w:p w:rsidR="00000000" w:rsidDel="00000000" w:rsidP="00000000" w:rsidRDefault="00000000" w:rsidRPr="00000000" w14:paraId="0000002A">
      <w:pPr>
        <w:pStyle w:val="Heading2"/>
        <w:numPr>
          <w:ilvl w:val="1"/>
          <w:numId w:val="2"/>
        </w:numPr>
        <w:tabs>
          <w:tab w:val="left" w:pos="851"/>
        </w:tabs>
        <w:ind w:left="737" w:hanging="737"/>
        <w:rPr>
          <w:sz w:val="22"/>
          <w:szCs w:val="22"/>
        </w:rPr>
      </w:pPr>
      <w:r w:rsidDel="00000000" w:rsidR="00000000" w:rsidRPr="00000000">
        <w:rPr>
          <w:sz w:val="22"/>
          <w:szCs w:val="22"/>
          <w:rtl w:val="0"/>
        </w:rPr>
        <w:t xml:space="preserve">Annex N Additional Sites </w:t>
      </w:r>
    </w:p>
    <w:p w:rsidR="00000000" w:rsidDel="00000000" w:rsidP="00000000" w:rsidRDefault="00000000" w:rsidRPr="00000000" w14:paraId="0000002B">
      <w:pPr>
        <w:pStyle w:val="Heading2"/>
        <w:numPr>
          <w:ilvl w:val="1"/>
          <w:numId w:val="2"/>
        </w:numPr>
        <w:tabs>
          <w:tab w:val="left" w:pos="851"/>
        </w:tabs>
        <w:ind w:left="737" w:hanging="737"/>
        <w:rPr>
          <w:smallCaps w:val="1"/>
        </w:rPr>
      </w:pPr>
      <w:bookmarkStart w:colFirst="0" w:colLast="0" w:name="_heading=h.4d34og8" w:id="3"/>
      <w:bookmarkEnd w:id="3"/>
      <w:r w:rsidDel="00000000" w:rsidR="00000000" w:rsidRPr="00000000">
        <w:rPr>
          <w:sz w:val="22"/>
          <w:szCs w:val="22"/>
          <w:rtl w:val="0"/>
        </w:rPr>
        <w:t xml:space="preserve">Annex O Peterborough Site Plans </w:t>
      </w: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2"/>
        <w:tabs>
          <w:tab w:val="left" w:pos="851"/>
        </w:tabs>
        <w:ind w:left="737" w:firstLine="719.9999999999999"/>
        <w:rPr>
          <w:smallCaps w:val="1"/>
        </w:rPr>
      </w:pPr>
      <w:r w:rsidDel="00000000" w:rsidR="00000000" w:rsidRPr="00000000">
        <w:rPr>
          <w:rtl w:val="0"/>
        </w:rPr>
      </w:r>
    </w:p>
    <w:p w:rsidR="00000000" w:rsidDel="00000000" w:rsidP="00000000" w:rsidRDefault="00000000" w:rsidRPr="00000000" w14:paraId="0000002D">
      <w:pPr>
        <w:pStyle w:val="Heading1"/>
        <w:numPr>
          <w:ilvl w:val="0"/>
          <w:numId w:val="1"/>
        </w:numPr>
        <w:tabs>
          <w:tab w:val="left" w:pos="851"/>
        </w:tabs>
        <w:spacing w:after="0" w:lineRule="auto"/>
        <w:ind w:left="426" w:hanging="426"/>
        <w:rPr>
          <w:sz w:val="22"/>
          <w:szCs w:val="22"/>
        </w:rPr>
      </w:pPr>
      <w:bookmarkStart w:colFirst="0" w:colLast="0" w:name="_heading=h.1fob9te" w:id="4"/>
      <w:bookmarkEnd w:id="4"/>
      <w:r w:rsidDel="00000000" w:rsidR="00000000" w:rsidRPr="00000000">
        <w:rPr>
          <w:sz w:val="22"/>
          <w:szCs w:val="22"/>
          <w:rtl w:val="0"/>
        </w:rPr>
        <w:t xml:space="preserve">Purpose</w:t>
      </w:r>
    </w:p>
    <w:p w:rsidR="00000000" w:rsidDel="00000000" w:rsidP="00000000" w:rsidRDefault="00000000" w:rsidRPr="00000000" w14:paraId="0000002E">
      <w:pPr>
        <w:pStyle w:val="Heading1"/>
        <w:tabs>
          <w:tab w:val="left" w:pos="851"/>
        </w:tabs>
        <w:spacing w:after="0" w:lineRule="auto"/>
        <w:ind w:left="737" w:firstLine="0"/>
        <w:rPr>
          <w:b w:val="0"/>
          <w:sz w:val="22"/>
          <w:szCs w:val="22"/>
        </w:rPr>
      </w:pPr>
      <w:r w:rsidDel="00000000" w:rsidR="00000000" w:rsidRPr="00000000">
        <w:rPr>
          <w:rtl w:val="0"/>
        </w:rPr>
      </w:r>
    </w:p>
    <w:p w:rsidR="00000000" w:rsidDel="00000000" w:rsidP="00000000" w:rsidRDefault="00000000" w:rsidRPr="00000000" w14:paraId="0000002F">
      <w:pPr>
        <w:pStyle w:val="Heading2"/>
        <w:numPr>
          <w:ilvl w:val="1"/>
          <w:numId w:val="1"/>
        </w:numPr>
        <w:tabs>
          <w:tab w:val="left" w:pos="851"/>
        </w:tabs>
        <w:spacing w:after="0" w:lineRule="auto"/>
        <w:ind w:left="737" w:hanging="737"/>
        <w:rPr>
          <w:sz w:val="22"/>
          <w:szCs w:val="22"/>
        </w:rPr>
      </w:pPr>
      <w:r w:rsidDel="00000000" w:rsidR="00000000" w:rsidRPr="00000000">
        <w:rPr>
          <w:sz w:val="22"/>
          <w:szCs w:val="22"/>
          <w:rtl w:val="0"/>
        </w:rPr>
        <w:t xml:space="preserve">The purpose of this document is to provide Suppliers with full details of the Buyer’s requirements by detailing Deliverables, Standards and supplementary information.</w:t>
      </w:r>
    </w:p>
    <w:p w:rsidR="00000000" w:rsidDel="00000000" w:rsidP="00000000" w:rsidRDefault="00000000" w:rsidRPr="00000000" w14:paraId="00000030">
      <w:pPr>
        <w:pStyle w:val="Heading2"/>
        <w:tabs>
          <w:tab w:val="left" w:pos="851"/>
        </w:tabs>
        <w:spacing w:after="0" w:lineRule="auto"/>
        <w:ind w:left="737" w:firstLine="719.9999999999999"/>
        <w:rPr>
          <w:sz w:val="22"/>
          <w:szCs w:val="22"/>
        </w:rPr>
      </w:pPr>
      <w:r w:rsidDel="00000000" w:rsidR="00000000" w:rsidRPr="00000000">
        <w:rPr>
          <w:rtl w:val="0"/>
        </w:rPr>
      </w:r>
    </w:p>
    <w:p w:rsidR="00000000" w:rsidDel="00000000" w:rsidP="00000000" w:rsidRDefault="00000000" w:rsidRPr="00000000" w14:paraId="00000031">
      <w:pPr>
        <w:pStyle w:val="Heading1"/>
        <w:numPr>
          <w:ilvl w:val="0"/>
          <w:numId w:val="1"/>
        </w:numPr>
        <w:tabs>
          <w:tab w:val="left" w:pos="851"/>
        </w:tabs>
        <w:spacing w:after="0" w:lineRule="auto"/>
        <w:ind w:left="426" w:hanging="426"/>
        <w:rPr>
          <w:sz w:val="22"/>
          <w:szCs w:val="22"/>
        </w:rPr>
      </w:pPr>
      <w:r w:rsidDel="00000000" w:rsidR="00000000" w:rsidRPr="00000000">
        <w:rPr>
          <w:sz w:val="22"/>
          <w:szCs w:val="22"/>
          <w:rtl w:val="0"/>
        </w:rPr>
        <w:t xml:space="preserve">Background to the opportunity</w:t>
      </w:r>
    </w:p>
    <w:p w:rsidR="00000000" w:rsidDel="00000000" w:rsidP="00000000" w:rsidRDefault="00000000" w:rsidRPr="00000000" w14:paraId="00000032">
      <w:pPr>
        <w:pStyle w:val="Heading1"/>
        <w:tabs>
          <w:tab w:val="left" w:pos="851"/>
        </w:tabs>
        <w:spacing w:after="0" w:lineRule="auto"/>
        <w:ind w:left="426" w:firstLine="0"/>
        <w:rPr>
          <w:b w:val="0"/>
          <w:sz w:val="22"/>
          <w:szCs w:val="22"/>
        </w:rPr>
      </w:pPr>
      <w:r w:rsidDel="00000000" w:rsidR="00000000" w:rsidRPr="00000000">
        <w:rPr>
          <w:rtl w:val="0"/>
        </w:rPr>
      </w:r>
    </w:p>
    <w:p w:rsidR="00000000" w:rsidDel="00000000" w:rsidP="00000000" w:rsidRDefault="00000000" w:rsidRPr="00000000" w14:paraId="00000033">
      <w:pPr>
        <w:pStyle w:val="Heading2"/>
        <w:numPr>
          <w:ilvl w:val="1"/>
          <w:numId w:val="1"/>
        </w:numPr>
        <w:tabs>
          <w:tab w:val="left" w:pos="851"/>
        </w:tabs>
        <w:ind w:left="737" w:hanging="737"/>
        <w:rPr>
          <w:sz w:val="22"/>
          <w:szCs w:val="22"/>
        </w:rPr>
      </w:pPr>
      <w:r w:rsidDel="00000000" w:rsidR="00000000" w:rsidRPr="00000000">
        <w:rPr>
          <w:sz w:val="22"/>
          <w:szCs w:val="22"/>
          <w:rtl w:val="0"/>
        </w:rPr>
        <w:t xml:space="preserve">The Buyer has identified a requirement for an interim provision of total facilities management (TFM) Services for several GPA Sites. The Buyer aims to establish a single Supplier Contract to deliver these requirements. </w:t>
      </w:r>
    </w:p>
    <w:p w:rsidR="00000000" w:rsidDel="00000000" w:rsidP="00000000" w:rsidRDefault="00000000" w:rsidRPr="00000000" w14:paraId="00000034">
      <w:pPr>
        <w:pStyle w:val="Heading2"/>
        <w:numPr>
          <w:ilvl w:val="1"/>
          <w:numId w:val="1"/>
        </w:numPr>
        <w:tabs>
          <w:tab w:val="left" w:pos="851"/>
        </w:tabs>
        <w:ind w:left="737" w:hanging="737"/>
        <w:rPr>
          <w:sz w:val="22"/>
          <w:szCs w:val="22"/>
        </w:rPr>
      </w:pPr>
      <w:r w:rsidDel="00000000" w:rsidR="00000000" w:rsidRPr="00000000">
        <w:rPr>
          <w:sz w:val="22"/>
          <w:szCs w:val="22"/>
          <w:rtl w:val="0"/>
        </w:rPr>
        <w:t xml:space="preserve">This is a tactical procurement to meet the growing demands of the organisation’s portfolio for an interim period whilst the strategic Workplace Services Transformation Programme (WSTP) is underway.</w:t>
      </w:r>
    </w:p>
    <w:p w:rsidR="00000000" w:rsidDel="00000000" w:rsidP="00000000" w:rsidRDefault="00000000" w:rsidRPr="00000000" w14:paraId="00000035">
      <w:pPr>
        <w:pStyle w:val="Heading2"/>
        <w:numPr>
          <w:ilvl w:val="1"/>
          <w:numId w:val="1"/>
        </w:numPr>
        <w:tabs>
          <w:tab w:val="left" w:pos="851"/>
        </w:tabs>
        <w:ind w:left="737" w:hanging="737"/>
        <w:rPr>
          <w:sz w:val="22"/>
          <w:szCs w:val="22"/>
        </w:rPr>
      </w:pPr>
      <w:r w:rsidDel="00000000" w:rsidR="00000000" w:rsidRPr="00000000">
        <w:rPr>
          <w:sz w:val="22"/>
          <w:szCs w:val="22"/>
          <w:rtl w:val="0"/>
        </w:rPr>
        <w:t xml:space="preserve">Services are required to be delivered to three Sites:</w:t>
      </w:r>
    </w:p>
    <w:p w:rsidR="00000000" w:rsidDel="00000000" w:rsidP="00000000" w:rsidRDefault="00000000" w:rsidRPr="00000000" w14:paraId="00000036">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Piccadilly Gate, Store Street, Manchester, M1 2RP (Office)</w:t>
      </w:r>
    </w:p>
    <w:p w:rsidR="00000000" w:rsidDel="00000000" w:rsidP="00000000" w:rsidRDefault="00000000" w:rsidRPr="00000000" w14:paraId="00000037">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Feethams House, Beaumont Street, Darlington, DL1 5AD (Temporary Economic Hub)</w:t>
      </w:r>
    </w:p>
    <w:p w:rsidR="00000000" w:rsidDel="00000000" w:rsidP="00000000" w:rsidRDefault="00000000" w:rsidRPr="00000000" w14:paraId="00000038">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Plot 2, East Station Road, Fletton Quays, Peterborough (Hub)</w:t>
      </w:r>
    </w:p>
    <w:p w:rsidR="00000000" w:rsidDel="00000000" w:rsidP="00000000" w:rsidRDefault="00000000" w:rsidRPr="00000000" w14:paraId="00000039">
      <w:pPr>
        <w:pStyle w:val="Heading2"/>
        <w:numPr>
          <w:ilvl w:val="1"/>
          <w:numId w:val="1"/>
        </w:numPr>
        <w:tabs>
          <w:tab w:val="left" w:pos="851"/>
        </w:tabs>
        <w:ind w:left="737" w:hanging="737"/>
        <w:rPr>
          <w:sz w:val="22"/>
          <w:szCs w:val="22"/>
        </w:rPr>
      </w:pPr>
      <w:r w:rsidDel="00000000" w:rsidR="00000000" w:rsidRPr="00000000">
        <w:rPr>
          <w:sz w:val="22"/>
          <w:szCs w:val="22"/>
          <w:rtl w:val="0"/>
        </w:rPr>
        <w:t xml:space="preserve">The government hubs programme aims to transform the central government's office estate by accommodating departmental workforces in shared regional hubs and supporting office estate. The Government Property Agency, (GPA), as part of its remit to drive savings across the government estate intends to create 17 strategic hubs across the UK in major city centre conurbations and in secondary towns and cities. </w:t>
      </w:r>
    </w:p>
    <w:p w:rsidR="00000000" w:rsidDel="00000000" w:rsidP="00000000" w:rsidRDefault="00000000" w:rsidRPr="00000000" w14:paraId="0000003A">
      <w:pPr>
        <w:pStyle w:val="Heading2"/>
        <w:numPr>
          <w:ilvl w:val="1"/>
          <w:numId w:val="1"/>
        </w:numPr>
        <w:tabs>
          <w:tab w:val="left" w:pos="851"/>
        </w:tabs>
        <w:ind w:left="737" w:hanging="737"/>
        <w:rPr>
          <w:sz w:val="22"/>
          <w:szCs w:val="22"/>
        </w:rPr>
      </w:pPr>
      <w:r w:rsidDel="00000000" w:rsidR="00000000" w:rsidRPr="00000000">
        <w:rPr>
          <w:sz w:val="22"/>
          <w:szCs w:val="22"/>
          <w:rtl w:val="0"/>
        </w:rPr>
        <w:t xml:space="preserve">The aim is to relocate Civil Servants from existing, often fragmented office locations, to modern, cross-departmental workplaces which will make the most of emerging working practices and technology. Government Hubs will be located close to public transport connections, local amenities and offer modern working environments.</w:t>
      </w:r>
    </w:p>
    <w:p w:rsidR="00000000" w:rsidDel="00000000" w:rsidP="00000000" w:rsidRDefault="00000000" w:rsidRPr="00000000" w14:paraId="0000003B">
      <w:pPr>
        <w:pStyle w:val="Heading2"/>
        <w:numPr>
          <w:ilvl w:val="1"/>
          <w:numId w:val="1"/>
        </w:numPr>
        <w:tabs>
          <w:tab w:val="left" w:pos="851"/>
        </w:tabs>
        <w:ind w:left="737" w:hanging="737"/>
        <w:rPr>
          <w:sz w:val="22"/>
          <w:szCs w:val="22"/>
        </w:rPr>
      </w:pPr>
      <w:r w:rsidDel="00000000" w:rsidR="00000000" w:rsidRPr="00000000">
        <w:rPr>
          <w:sz w:val="22"/>
          <w:szCs w:val="22"/>
          <w:rtl w:val="0"/>
        </w:rPr>
        <w:t xml:space="preserve">The Hubs programme will provide a modern, smaller, less dispersed and more economic office estate that will support news ways of working. These shared office spaces will be occupied by multiple departments which will enable increased sharing of skills and experience, leading to an office estate that is better able to attract and retain high calibre staff.  This team is responsible for the delivery of Hubs both those delivered directly by GPA and maintain oversight of those delivered by OGD partners, through the Hubs Design Authority.</w:t>
      </w:r>
    </w:p>
    <w:p w:rsidR="00000000" w:rsidDel="00000000" w:rsidP="00000000" w:rsidRDefault="00000000" w:rsidRPr="00000000" w14:paraId="0000003C">
      <w:pPr>
        <w:pStyle w:val="Heading2"/>
        <w:numPr>
          <w:ilvl w:val="1"/>
          <w:numId w:val="1"/>
        </w:numPr>
        <w:tabs>
          <w:tab w:val="left" w:pos="851"/>
        </w:tabs>
        <w:ind w:left="737" w:hanging="737"/>
        <w:rPr>
          <w:sz w:val="22"/>
          <w:szCs w:val="22"/>
        </w:rPr>
      </w:pPr>
      <w:r w:rsidDel="00000000" w:rsidR="00000000" w:rsidRPr="00000000">
        <w:rPr>
          <w:sz w:val="22"/>
          <w:szCs w:val="22"/>
          <w:rtl w:val="0"/>
        </w:rPr>
        <w:t xml:space="preserve">The agreed Government Hubs Programme mission is:</w:t>
      </w:r>
    </w:p>
    <w:p w:rsidR="00000000" w:rsidDel="00000000" w:rsidP="00000000" w:rsidRDefault="00000000" w:rsidRPr="00000000" w14:paraId="0000003D">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‘Hubs will be ‘Great Places to work’ where our future workforce will want to collaborate in strategic locations across all four nations; strengthening the union and aiding the government priority of ‘levelling up’. Spreading growth beyond London and the South-East boosting productivity and balancing the economy.  Creating public sector communities, with local amenities and providing a modern inclusive working environment with a focus on the health and wellbeing of our staff learning lessons from the impact of Covid-19, including technology that supports Smarter Working and the delivery of better public services. The Government Hubs Programme will transform central government’s aging office estate by consolidating departments into local and shared regional carbon net zero buildings. It will provide significant investment in the regions helping to stimulate economies post Covid-19.’</w:t>
      </w:r>
    </w:p>
    <w:p w:rsidR="00000000" w:rsidDel="00000000" w:rsidP="00000000" w:rsidRDefault="00000000" w:rsidRPr="00000000" w14:paraId="0000003E">
      <w:pPr>
        <w:pStyle w:val="Heading2"/>
        <w:numPr>
          <w:ilvl w:val="1"/>
          <w:numId w:val="1"/>
        </w:numPr>
        <w:tabs>
          <w:tab w:val="left" w:pos="851"/>
        </w:tabs>
        <w:ind w:left="737" w:hanging="737"/>
        <w:rPr>
          <w:sz w:val="22"/>
          <w:szCs w:val="22"/>
        </w:rPr>
      </w:pPr>
      <w:r w:rsidDel="00000000" w:rsidR="00000000" w:rsidRPr="00000000">
        <w:rPr>
          <w:sz w:val="22"/>
          <w:szCs w:val="22"/>
          <w:rtl w:val="0"/>
        </w:rPr>
        <w:t xml:space="preserve">Both the Economic Campus in Darlington and Peterborough, Fletton Quays will increase opportunities for people from different backgrounds to join Other Government Departments (OGDs), widening the range of talent, perspectives and experience we are able to draw on to deliver high quality policy advice to Ministers. </w:t>
      </w:r>
    </w:p>
    <w:p w:rsidR="00000000" w:rsidDel="00000000" w:rsidP="00000000" w:rsidRDefault="00000000" w:rsidRPr="00000000" w14:paraId="0000003F">
      <w:pPr>
        <w:pStyle w:val="Heading2"/>
        <w:numPr>
          <w:ilvl w:val="1"/>
          <w:numId w:val="1"/>
        </w:numPr>
        <w:tabs>
          <w:tab w:val="left" w:pos="851"/>
        </w:tabs>
        <w:ind w:left="737" w:hanging="737"/>
        <w:rPr>
          <w:sz w:val="22"/>
          <w:szCs w:val="22"/>
        </w:rPr>
      </w:pPr>
      <w:r w:rsidDel="00000000" w:rsidR="00000000" w:rsidRPr="00000000">
        <w:rPr>
          <w:sz w:val="22"/>
          <w:szCs w:val="22"/>
          <w:rtl w:val="0"/>
        </w:rPr>
        <w:t xml:space="preserve">There are a number of existing programmes and commitments which provide further strategic context for these sites:  </w:t>
      </w:r>
    </w:p>
    <w:p w:rsidR="00000000" w:rsidDel="00000000" w:rsidP="00000000" w:rsidRDefault="00000000" w:rsidRPr="00000000" w14:paraId="00000040">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Places for Growth Programme: all government departments have been tasked with contributing to the overall target to move 22,000 Civil Service roles out of central London to other regions and nations of the UK by 2030. The establishment of a new economic campus in Darlington and a strategic Hub in Peterborough is part of this commitment. </w:t>
      </w:r>
    </w:p>
    <w:p w:rsidR="00000000" w:rsidDel="00000000" w:rsidP="00000000" w:rsidRDefault="00000000" w:rsidRPr="00000000" w14:paraId="00000041">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Commitment to a permanent economic campus in Darlington: The government has committed to establishing an economic campus in Darlington by the end of this Parliament (May 2024)</w:t>
      </w:r>
    </w:p>
    <w:p w:rsidR="00000000" w:rsidDel="00000000" w:rsidP="00000000" w:rsidRDefault="00000000" w:rsidRPr="00000000" w14:paraId="00000042">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A strategic hub in Peterborough will consolidate the government estate in the local area. This will be a newly constructed building acquired on a leasehold basis, accommodating c.1,000 full-time equivalent employees (FTEs) from December 2022.  The new hub will allow Her Majesty's Passport Office (HMPO) and Department for Environment, Food &amp; Rural Affairs  (DEFRA) (including 3 of their agencies) to be brought together in a single location, releasing 2 leasehold properties and 1 freehold </w:t>
      </w:r>
    </w:p>
    <w:p w:rsidR="00000000" w:rsidDel="00000000" w:rsidP="00000000" w:rsidRDefault="00000000" w:rsidRPr="00000000" w14:paraId="00000043">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Introducing a hybrid working model in OGDs (in line with GPA Smarter Working  Programme): there are a number of drivers to ensuring OGD staff can work and collaborate  effectively across locations and remotely, including alignment with governmental smarter  working policy, changing staff preferences for a greater mix of at home and in office  working after the pandemic.</w:t>
      </w:r>
    </w:p>
    <w:p w:rsidR="00000000" w:rsidDel="00000000" w:rsidP="00000000" w:rsidRDefault="00000000" w:rsidRPr="00000000" w14:paraId="00000044">
      <w:pPr>
        <w:pStyle w:val="Heading2"/>
        <w:numPr>
          <w:ilvl w:val="1"/>
          <w:numId w:val="1"/>
        </w:numPr>
        <w:tabs>
          <w:tab w:val="left" w:pos="851"/>
        </w:tabs>
        <w:ind w:left="737" w:hanging="737"/>
        <w:rPr>
          <w:sz w:val="22"/>
          <w:szCs w:val="22"/>
        </w:rPr>
      </w:pPr>
      <w:r w:rsidDel="00000000" w:rsidR="00000000" w:rsidRPr="00000000">
        <w:rPr>
          <w:color w:val="000000"/>
          <w:sz w:val="22"/>
          <w:szCs w:val="22"/>
          <w:rtl w:val="0"/>
        </w:rPr>
        <w:t xml:space="preserve">The full service requirements can be found in the Annexes to this schedule.     </w:t>
      </w:r>
      <w:r w:rsidDel="00000000" w:rsidR="00000000" w:rsidRPr="00000000">
        <w:rPr>
          <w:rtl w:val="0"/>
        </w:rPr>
      </w:r>
    </w:p>
    <w:p w:rsidR="00000000" w:rsidDel="00000000" w:rsidP="00000000" w:rsidRDefault="00000000" w:rsidRPr="00000000" w14:paraId="00000045">
      <w:pPr>
        <w:pStyle w:val="Heading2"/>
        <w:tabs>
          <w:tab w:val="left" w:pos="851"/>
        </w:tabs>
        <w:spacing w:after="0" w:lineRule="auto"/>
        <w:ind w:left="737" w:firstLine="719.9999999999999"/>
        <w:rPr>
          <w:sz w:val="22"/>
          <w:szCs w:val="22"/>
        </w:rPr>
      </w:pPr>
      <w:r w:rsidDel="00000000" w:rsidR="00000000" w:rsidRPr="00000000">
        <w:rPr>
          <w:rtl w:val="0"/>
        </w:rPr>
      </w:r>
    </w:p>
    <w:p w:rsidR="00000000" w:rsidDel="00000000" w:rsidP="00000000" w:rsidRDefault="00000000" w:rsidRPr="00000000" w14:paraId="00000046">
      <w:pPr>
        <w:pStyle w:val="Heading1"/>
        <w:numPr>
          <w:ilvl w:val="0"/>
          <w:numId w:val="1"/>
        </w:numPr>
        <w:tabs>
          <w:tab w:val="left" w:pos="851"/>
        </w:tabs>
        <w:spacing w:after="0" w:lineRule="auto"/>
        <w:ind w:left="426" w:hanging="426"/>
        <w:rPr>
          <w:sz w:val="22"/>
          <w:szCs w:val="22"/>
        </w:rPr>
      </w:pPr>
      <w:bookmarkStart w:colFirst="0" w:colLast="0" w:name="_heading=h.3znysh7" w:id="5"/>
      <w:bookmarkEnd w:id="5"/>
      <w:r w:rsidDel="00000000" w:rsidR="00000000" w:rsidRPr="00000000">
        <w:rPr>
          <w:sz w:val="22"/>
          <w:szCs w:val="22"/>
          <w:rtl w:val="0"/>
        </w:rPr>
        <w:t xml:space="preserve">Specification structure </w:t>
      </w:r>
    </w:p>
    <w:p w:rsidR="00000000" w:rsidDel="00000000" w:rsidP="00000000" w:rsidRDefault="00000000" w:rsidRPr="00000000" w14:paraId="00000047">
      <w:pPr>
        <w:pStyle w:val="Heading1"/>
        <w:tabs>
          <w:tab w:val="left" w:pos="851"/>
        </w:tabs>
        <w:spacing w:after="0" w:lineRule="auto"/>
        <w:ind w:left="737" w:firstLine="0"/>
        <w:rPr>
          <w:b w:val="0"/>
          <w:sz w:val="22"/>
          <w:szCs w:val="22"/>
        </w:rPr>
      </w:pPr>
      <w:r w:rsidDel="00000000" w:rsidR="00000000" w:rsidRPr="00000000">
        <w:rPr>
          <w:rtl w:val="0"/>
        </w:rPr>
      </w:r>
    </w:p>
    <w:p w:rsidR="00000000" w:rsidDel="00000000" w:rsidP="00000000" w:rsidRDefault="00000000" w:rsidRPr="00000000" w14:paraId="00000048">
      <w:pPr>
        <w:pStyle w:val="Heading2"/>
        <w:numPr>
          <w:ilvl w:val="1"/>
          <w:numId w:val="1"/>
        </w:numPr>
        <w:tabs>
          <w:tab w:val="left" w:pos="851"/>
        </w:tabs>
        <w:spacing w:after="0" w:lineRule="auto"/>
        <w:ind w:left="737" w:hanging="737"/>
        <w:rPr>
          <w:sz w:val="22"/>
          <w:szCs w:val="22"/>
        </w:rPr>
      </w:pPr>
      <w:r w:rsidDel="00000000" w:rsidR="00000000" w:rsidRPr="00000000">
        <w:rPr>
          <w:sz w:val="22"/>
          <w:szCs w:val="22"/>
          <w:rtl w:val="0"/>
        </w:rPr>
        <w:t xml:space="preserve">The Specification is made up of the following annexes:</w:t>
      </w:r>
    </w:p>
    <w:p w:rsidR="00000000" w:rsidDel="00000000" w:rsidP="00000000" w:rsidRDefault="00000000" w:rsidRPr="00000000" w14:paraId="00000049">
      <w:pPr>
        <w:pStyle w:val="Heading2"/>
        <w:tabs>
          <w:tab w:val="left" w:pos="851"/>
        </w:tabs>
        <w:spacing w:after="0" w:lineRule="auto"/>
        <w:ind w:left="737" w:firstLine="719.9999999999999"/>
        <w:rPr>
          <w:sz w:val="22"/>
          <w:szCs w:val="22"/>
        </w:rPr>
      </w:pPr>
      <w:r w:rsidDel="00000000" w:rsidR="00000000" w:rsidRPr="00000000">
        <w:rPr>
          <w:rtl w:val="0"/>
        </w:rPr>
      </w:r>
    </w:p>
    <w:p w:rsidR="00000000" w:rsidDel="00000000" w:rsidP="00000000" w:rsidRDefault="00000000" w:rsidRPr="00000000" w14:paraId="0000004A">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Annex A – Deliverables Matrix (excluding “Requirements” tab”)</w:t>
      </w:r>
    </w:p>
    <w:p w:rsidR="00000000" w:rsidDel="00000000" w:rsidP="00000000" w:rsidRDefault="00000000" w:rsidRPr="00000000" w14:paraId="0000004B">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Annex B - Standards and Processes </w:t>
      </w:r>
    </w:p>
    <w:p w:rsidR="00000000" w:rsidDel="00000000" w:rsidP="00000000" w:rsidRDefault="00000000" w:rsidRPr="00000000" w14:paraId="0000004C">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Annex C - Key Performance Indicators</w:t>
      </w:r>
      <w:r w:rsidDel="00000000" w:rsidR="00000000" w:rsidRPr="00000000">
        <w:rPr>
          <w:color w:val="ff0000"/>
          <w:sz w:val="22"/>
          <w:szCs w:val="22"/>
          <w:rtl w:val="0"/>
        </w:rPr>
        <w:t xml:space="preserve"> </w:t>
      </w:r>
    </w:p>
    <w:p w:rsidR="00000000" w:rsidDel="00000000" w:rsidP="00000000" w:rsidRDefault="00000000" w:rsidRPr="00000000" w14:paraId="0000004D">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Annex D - Pay Mechanism </w:t>
      </w:r>
    </w:p>
    <w:p w:rsidR="00000000" w:rsidDel="00000000" w:rsidP="00000000" w:rsidRDefault="00000000" w:rsidRPr="00000000" w14:paraId="0000004E">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Annex E – Buyer Specific Requirements </w:t>
      </w:r>
    </w:p>
    <w:p w:rsidR="00000000" w:rsidDel="00000000" w:rsidP="00000000" w:rsidRDefault="00000000" w:rsidRPr="00000000" w14:paraId="0000004F">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Annex F – Service Requirements</w:t>
      </w:r>
    </w:p>
    <w:p w:rsidR="00000000" w:rsidDel="00000000" w:rsidP="00000000" w:rsidRDefault="00000000" w:rsidRPr="00000000" w14:paraId="00000050">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Annex G - Customer Insights Process Map</w:t>
      </w:r>
    </w:p>
    <w:p w:rsidR="00000000" w:rsidDel="00000000" w:rsidP="00000000" w:rsidRDefault="00000000" w:rsidRPr="00000000" w14:paraId="00000051">
      <w:pPr>
        <w:pStyle w:val="Heading3"/>
        <w:numPr>
          <w:ilvl w:val="2"/>
          <w:numId w:val="1"/>
        </w:numPr>
        <w:tabs>
          <w:tab w:val="left" w:pos="1418"/>
        </w:tabs>
        <w:ind w:left="1588" w:hanging="737"/>
        <w:rPr>
          <w:sz w:val="22"/>
          <w:szCs w:val="22"/>
        </w:rPr>
      </w:pPr>
      <w:bookmarkStart w:colFirst="0" w:colLast="0" w:name="_heading=h.a2940ypx3bc6" w:id="6"/>
      <w:bookmarkEnd w:id="6"/>
      <w:r w:rsidDel="00000000" w:rsidR="00000000" w:rsidRPr="00000000">
        <w:rPr>
          <w:sz w:val="22"/>
          <w:szCs w:val="22"/>
          <w:rtl w:val="0"/>
        </w:rPr>
        <w:t xml:space="preserve">Annex H - </w:t>
      </w:r>
      <w:r w:rsidDel="00000000" w:rsidR="00000000" w:rsidRPr="00000000">
        <w:rPr>
          <w:sz w:val="22"/>
          <w:szCs w:val="22"/>
          <w:highlight w:val="white"/>
          <w:rtl w:val="0"/>
        </w:rPr>
        <w:t xml:space="preserve">GPA B2IM Condition Surveying LCR Policy Guidance</w:t>
      </w:r>
      <w:r w:rsidDel="00000000" w:rsidR="00000000" w:rsidRPr="00000000">
        <w:rPr>
          <w:rtl w:val="0"/>
        </w:rPr>
      </w:r>
    </w:p>
    <w:p w:rsidR="00000000" w:rsidDel="00000000" w:rsidP="00000000" w:rsidRDefault="00000000" w:rsidRPr="00000000" w14:paraId="00000052">
      <w:pPr>
        <w:pStyle w:val="Heading3"/>
        <w:numPr>
          <w:ilvl w:val="2"/>
          <w:numId w:val="1"/>
        </w:numPr>
        <w:tabs>
          <w:tab w:val="left" w:pos="1418"/>
        </w:tabs>
        <w:ind w:left="1588" w:hanging="737"/>
        <w:rPr>
          <w:sz w:val="22"/>
          <w:szCs w:val="22"/>
        </w:rPr>
      </w:pPr>
      <w:bookmarkStart w:colFirst="0" w:colLast="0" w:name="_heading=h.df561yi9r6i3" w:id="7"/>
      <w:bookmarkEnd w:id="7"/>
      <w:r w:rsidDel="00000000" w:rsidR="00000000" w:rsidRPr="00000000">
        <w:rPr>
          <w:sz w:val="22"/>
          <w:szCs w:val="22"/>
          <w:rtl w:val="0"/>
        </w:rPr>
        <w:t xml:space="preserve">Annex I - Floor Plans (Zipped folder containing floor plans for each site)</w:t>
      </w:r>
    </w:p>
    <w:p w:rsidR="00000000" w:rsidDel="00000000" w:rsidP="00000000" w:rsidRDefault="00000000" w:rsidRPr="00000000" w14:paraId="00000053">
      <w:pPr>
        <w:pStyle w:val="Heading3"/>
        <w:numPr>
          <w:ilvl w:val="2"/>
          <w:numId w:val="2"/>
        </w:numPr>
        <w:tabs>
          <w:tab w:val="left" w:pos="1418"/>
        </w:tabs>
        <w:ind w:left="851" w:firstLine="851"/>
        <w:rPr>
          <w:color w:val="000000"/>
          <w:sz w:val="22"/>
          <w:szCs w:val="22"/>
          <w:highlight w:val="white"/>
        </w:rPr>
      </w:pPr>
      <w:r w:rsidDel="00000000" w:rsidR="00000000" w:rsidRPr="00000000">
        <w:rPr>
          <w:sz w:val="22"/>
          <w:szCs w:val="22"/>
          <w:rtl w:val="0"/>
        </w:rPr>
        <w:tab/>
      </w:r>
      <w:r w:rsidDel="00000000" w:rsidR="00000000" w:rsidRPr="00000000">
        <w:rPr>
          <w:color w:val="000000"/>
          <w:sz w:val="22"/>
          <w:szCs w:val="22"/>
          <w:highlight w:val="white"/>
          <w:rtl w:val="0"/>
        </w:rPr>
        <w:t xml:space="preserve">Annex Ii - Floor Plans Darlington Feethams House</w:t>
      </w:r>
    </w:p>
    <w:p w:rsidR="00000000" w:rsidDel="00000000" w:rsidP="00000000" w:rsidRDefault="00000000" w:rsidRPr="00000000" w14:paraId="00000054">
      <w:pPr>
        <w:pStyle w:val="Heading3"/>
        <w:numPr>
          <w:ilvl w:val="2"/>
          <w:numId w:val="2"/>
        </w:numPr>
        <w:tabs>
          <w:tab w:val="left" w:pos="1418"/>
        </w:tabs>
        <w:ind w:left="851" w:firstLine="851"/>
        <w:rPr>
          <w:color w:val="000000"/>
          <w:sz w:val="22"/>
          <w:szCs w:val="22"/>
          <w:highlight w:val="white"/>
        </w:rPr>
      </w:pPr>
      <w:r w:rsidDel="00000000" w:rsidR="00000000" w:rsidRPr="00000000">
        <w:rPr>
          <w:sz w:val="22"/>
          <w:szCs w:val="22"/>
          <w:rtl w:val="0"/>
        </w:rPr>
        <w:tab/>
      </w:r>
      <w:r w:rsidDel="00000000" w:rsidR="00000000" w:rsidRPr="00000000">
        <w:rPr>
          <w:color w:val="000000"/>
          <w:sz w:val="22"/>
          <w:szCs w:val="22"/>
          <w:highlight w:val="white"/>
          <w:rtl w:val="0"/>
        </w:rPr>
        <w:t xml:space="preserve">Annex Iii - Floor Plans Manchester Piccadily Gate</w:t>
      </w:r>
    </w:p>
    <w:p w:rsidR="00000000" w:rsidDel="00000000" w:rsidP="00000000" w:rsidRDefault="00000000" w:rsidRPr="00000000" w14:paraId="00000055">
      <w:pPr>
        <w:pStyle w:val="Heading3"/>
        <w:numPr>
          <w:ilvl w:val="2"/>
          <w:numId w:val="2"/>
        </w:numPr>
        <w:tabs>
          <w:tab w:val="left" w:pos="1418"/>
        </w:tabs>
        <w:ind w:left="851" w:firstLine="851"/>
        <w:rPr>
          <w:sz w:val="22"/>
          <w:szCs w:val="22"/>
        </w:rPr>
      </w:pPr>
      <w:r w:rsidDel="00000000" w:rsidR="00000000" w:rsidRPr="00000000">
        <w:rPr>
          <w:sz w:val="22"/>
          <w:szCs w:val="22"/>
          <w:rtl w:val="0"/>
        </w:rPr>
        <w:tab/>
      </w:r>
      <w:r w:rsidDel="00000000" w:rsidR="00000000" w:rsidRPr="00000000">
        <w:rPr>
          <w:color w:val="000000"/>
          <w:sz w:val="22"/>
          <w:szCs w:val="22"/>
          <w:highlight w:val="white"/>
          <w:rtl w:val="0"/>
        </w:rPr>
        <w:t xml:space="preserve">Annex Iiii - Floor Plans Peterborough Fletham Quays</w:t>
      </w:r>
      <w:r w:rsidDel="00000000" w:rsidR="00000000" w:rsidRPr="00000000">
        <w:rPr>
          <w:rtl w:val="0"/>
        </w:rPr>
      </w:r>
    </w:p>
    <w:p w:rsidR="00000000" w:rsidDel="00000000" w:rsidP="00000000" w:rsidRDefault="00000000" w:rsidRPr="00000000" w14:paraId="00000056">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Annex J - SFG20 Functional Office Task Schedules 10.12.21</w:t>
      </w:r>
    </w:p>
    <w:p w:rsidR="00000000" w:rsidDel="00000000" w:rsidP="00000000" w:rsidRDefault="00000000" w:rsidRPr="00000000" w14:paraId="00000057">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Annex K - Government Functional Standard - Govs4: Property</w:t>
      </w:r>
    </w:p>
    <w:p w:rsidR="00000000" w:rsidDel="00000000" w:rsidP="00000000" w:rsidRDefault="00000000" w:rsidRPr="00000000" w14:paraId="00000058">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Annex L – Catering Strategy for Government Hubs (for the purposes of the bid pack this is named as annex L but please note that separately named annexes contain files in relation to the government catering strategy)</w:t>
      </w:r>
    </w:p>
    <w:p w:rsidR="00000000" w:rsidDel="00000000" w:rsidP="00000000" w:rsidRDefault="00000000" w:rsidRPr="00000000" w14:paraId="00000059">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Annex M - Sites </w:t>
      </w:r>
    </w:p>
    <w:p w:rsidR="00000000" w:rsidDel="00000000" w:rsidP="00000000" w:rsidRDefault="00000000" w:rsidRPr="00000000" w14:paraId="0000005A">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Annex N - Additional Sites</w:t>
      </w:r>
    </w:p>
    <w:p w:rsidR="00000000" w:rsidDel="00000000" w:rsidP="00000000" w:rsidRDefault="00000000" w:rsidRPr="00000000" w14:paraId="0000005B">
      <w:pPr>
        <w:pStyle w:val="Heading3"/>
        <w:numPr>
          <w:ilvl w:val="2"/>
          <w:numId w:val="1"/>
        </w:numPr>
        <w:tabs>
          <w:tab w:val="left" w:pos="1418"/>
        </w:tabs>
        <w:ind w:left="1588" w:hanging="737"/>
        <w:rPr>
          <w:sz w:val="22"/>
          <w:szCs w:val="22"/>
        </w:rPr>
      </w:pPr>
      <w:r w:rsidDel="00000000" w:rsidR="00000000" w:rsidRPr="00000000">
        <w:rPr>
          <w:sz w:val="22"/>
          <w:szCs w:val="22"/>
          <w:rtl w:val="0"/>
        </w:rPr>
        <w:t xml:space="preserve">Annex O - </w:t>
      </w:r>
      <w:r w:rsidDel="00000000" w:rsidR="00000000" w:rsidRPr="00000000">
        <w:rPr>
          <w:color w:val="222222"/>
          <w:highlight w:val="white"/>
          <w:rtl w:val="0"/>
        </w:rPr>
        <w:t xml:space="preserve">Peterborough Site Plans</w:t>
      </w:r>
      <w:r w:rsidDel="00000000" w:rsidR="00000000" w:rsidRPr="00000000">
        <w:rPr>
          <w:rtl w:val="0"/>
        </w:rPr>
      </w:r>
    </w:p>
    <w:p w:rsidR="00000000" w:rsidDel="00000000" w:rsidP="00000000" w:rsidRDefault="00000000" w:rsidRPr="00000000" w14:paraId="0000005C">
      <w:pPr>
        <w:pStyle w:val="Heading2"/>
        <w:tabs>
          <w:tab w:val="left" w:pos="851"/>
        </w:tabs>
        <w:spacing w:after="0" w:lineRule="auto"/>
        <w:ind w:left="1134" w:firstLine="720"/>
        <w:rPr>
          <w:sz w:val="22"/>
          <w:szCs w:val="22"/>
        </w:rPr>
      </w:pPr>
      <w:r w:rsidDel="00000000" w:rsidR="00000000" w:rsidRPr="00000000">
        <w:rPr>
          <w:rtl w:val="0"/>
        </w:rPr>
      </w:r>
    </w:p>
    <w:p w:rsidR="00000000" w:rsidDel="00000000" w:rsidP="00000000" w:rsidRDefault="00000000" w:rsidRPr="00000000" w14:paraId="0000005D">
      <w:pPr>
        <w:pStyle w:val="Heading3"/>
        <w:tabs>
          <w:tab w:val="left" w:pos="1418"/>
        </w:tabs>
        <w:spacing w:after="0" w:lineRule="auto"/>
        <w:ind w:left="2439" w:firstLine="1439.9999999999998"/>
        <w:rPr>
          <w:sz w:val="22"/>
          <w:szCs w:val="22"/>
        </w:rPr>
      </w:pPr>
      <w:r w:rsidDel="00000000" w:rsidR="00000000" w:rsidRPr="00000000">
        <w:rPr>
          <w:rtl w:val="0"/>
        </w:rPr>
      </w:r>
    </w:p>
    <w:p w:rsidR="00000000" w:rsidDel="00000000" w:rsidP="00000000" w:rsidRDefault="00000000" w:rsidRPr="00000000" w14:paraId="0000005E">
      <w:pPr>
        <w:pStyle w:val="Heading1"/>
        <w:numPr>
          <w:ilvl w:val="0"/>
          <w:numId w:val="1"/>
        </w:numPr>
        <w:tabs>
          <w:tab w:val="left" w:pos="851"/>
        </w:tabs>
        <w:spacing w:after="0" w:lineRule="auto"/>
        <w:ind w:left="426" w:hanging="426"/>
        <w:rPr>
          <w:sz w:val="22"/>
          <w:szCs w:val="22"/>
        </w:rPr>
      </w:pPr>
      <w:bookmarkStart w:colFirst="0" w:colLast="0" w:name="_heading=h.2et92p0" w:id="8"/>
      <w:bookmarkEnd w:id="8"/>
      <w:r w:rsidDel="00000000" w:rsidR="00000000" w:rsidRPr="00000000">
        <w:rPr>
          <w:sz w:val="22"/>
          <w:szCs w:val="22"/>
          <w:rtl w:val="0"/>
        </w:rPr>
        <w:t xml:space="preserve">Definitions </w:t>
      </w:r>
    </w:p>
    <w:p w:rsidR="00000000" w:rsidDel="00000000" w:rsidP="00000000" w:rsidRDefault="00000000" w:rsidRPr="00000000" w14:paraId="0000005F">
      <w:pPr>
        <w:pStyle w:val="Heading1"/>
        <w:tabs>
          <w:tab w:val="left" w:pos="851"/>
        </w:tabs>
        <w:spacing w:after="0" w:lineRule="auto"/>
        <w:ind w:left="737" w:firstLine="0"/>
        <w:rPr>
          <w:b w:val="0"/>
          <w:sz w:val="22"/>
          <w:szCs w:val="22"/>
        </w:rPr>
      </w:pPr>
      <w:r w:rsidDel="00000000" w:rsidR="00000000" w:rsidRPr="00000000">
        <w:rPr>
          <w:rtl w:val="0"/>
        </w:rPr>
      </w:r>
    </w:p>
    <w:p w:rsidR="00000000" w:rsidDel="00000000" w:rsidP="00000000" w:rsidRDefault="00000000" w:rsidRPr="00000000" w14:paraId="00000060">
      <w:pPr>
        <w:pStyle w:val="Heading2"/>
        <w:numPr>
          <w:ilvl w:val="1"/>
          <w:numId w:val="1"/>
        </w:numPr>
        <w:tabs>
          <w:tab w:val="left" w:pos="851"/>
        </w:tabs>
        <w:spacing w:after="0" w:lineRule="auto"/>
        <w:ind w:left="737" w:hanging="737"/>
        <w:rPr>
          <w:sz w:val="22"/>
          <w:szCs w:val="22"/>
        </w:rPr>
      </w:pPr>
      <w:r w:rsidDel="00000000" w:rsidR="00000000" w:rsidRPr="00000000">
        <w:rPr>
          <w:sz w:val="22"/>
          <w:szCs w:val="22"/>
          <w:rtl w:val="0"/>
        </w:rPr>
        <w:t xml:space="preserve">Terms used in the Specification and annexes that require further definition are capitalised. For definitions of these terms, you should refer to Joint Schedule J1 – Definitions.</w:t>
      </w:r>
    </w:p>
    <w:p w:rsidR="00000000" w:rsidDel="00000000" w:rsidP="00000000" w:rsidRDefault="00000000" w:rsidRPr="00000000" w14:paraId="00000061">
      <w:pPr>
        <w:pStyle w:val="Heading2"/>
        <w:tabs>
          <w:tab w:val="left" w:pos="851"/>
        </w:tabs>
        <w:spacing w:after="0" w:lineRule="auto"/>
        <w:ind w:left="737" w:firstLine="719.9999999999999"/>
        <w:rPr>
          <w:sz w:val="22"/>
          <w:szCs w:val="22"/>
        </w:rPr>
      </w:pPr>
      <w:r w:rsidDel="00000000" w:rsidR="00000000" w:rsidRPr="00000000">
        <w:rPr>
          <w:rtl w:val="0"/>
        </w:rPr>
      </w:r>
    </w:p>
    <w:p w:rsidR="00000000" w:rsidDel="00000000" w:rsidP="00000000" w:rsidRDefault="00000000" w:rsidRPr="00000000" w14:paraId="00000062">
      <w:pPr>
        <w:pStyle w:val="Heading1"/>
        <w:numPr>
          <w:ilvl w:val="0"/>
          <w:numId w:val="1"/>
        </w:numPr>
        <w:tabs>
          <w:tab w:val="left" w:pos="851"/>
        </w:tabs>
        <w:spacing w:after="0" w:lineRule="auto"/>
        <w:ind w:left="426" w:hanging="426"/>
        <w:rPr>
          <w:sz w:val="22"/>
          <w:szCs w:val="22"/>
        </w:rPr>
      </w:pPr>
      <w:bookmarkStart w:colFirst="0" w:colLast="0" w:name="_heading=h.tyjcwt" w:id="9"/>
      <w:bookmarkEnd w:id="9"/>
      <w:r w:rsidDel="00000000" w:rsidR="00000000" w:rsidRPr="00000000">
        <w:rPr>
          <w:sz w:val="22"/>
          <w:szCs w:val="22"/>
          <w:rtl w:val="0"/>
        </w:rPr>
        <w:t xml:space="preserve">Standards</w:t>
      </w:r>
    </w:p>
    <w:p w:rsidR="00000000" w:rsidDel="00000000" w:rsidP="00000000" w:rsidRDefault="00000000" w:rsidRPr="00000000" w14:paraId="00000063">
      <w:pPr>
        <w:pStyle w:val="Heading1"/>
        <w:tabs>
          <w:tab w:val="left" w:pos="851"/>
        </w:tabs>
        <w:spacing w:after="0" w:lineRule="auto"/>
        <w:ind w:left="737" w:firstLine="0"/>
        <w:rPr>
          <w:b w:val="0"/>
          <w:sz w:val="22"/>
          <w:szCs w:val="22"/>
        </w:rPr>
      </w:pPr>
      <w:r w:rsidDel="00000000" w:rsidR="00000000" w:rsidRPr="00000000">
        <w:rPr>
          <w:rtl w:val="0"/>
        </w:rPr>
      </w:r>
    </w:p>
    <w:p w:rsidR="00000000" w:rsidDel="00000000" w:rsidP="00000000" w:rsidRDefault="00000000" w:rsidRPr="00000000" w14:paraId="00000064">
      <w:pPr>
        <w:pStyle w:val="Heading2"/>
        <w:numPr>
          <w:ilvl w:val="1"/>
          <w:numId w:val="1"/>
        </w:numPr>
        <w:tabs>
          <w:tab w:val="left" w:pos="851"/>
        </w:tabs>
        <w:spacing w:after="0" w:lineRule="auto"/>
        <w:ind w:left="737" w:hanging="737"/>
        <w:rPr>
          <w:sz w:val="22"/>
          <w:szCs w:val="22"/>
        </w:rPr>
      </w:pPr>
      <w:r w:rsidDel="00000000" w:rsidR="00000000" w:rsidRPr="00000000">
        <w:rPr>
          <w:sz w:val="22"/>
          <w:szCs w:val="22"/>
          <w:rtl w:val="0"/>
        </w:rPr>
        <w:t xml:space="preserve">All the FM Standards and processes that the Supplier had to comply with during the procurement of the Facilities Management Marketplace Framework Agreement (RM3830) are required throughout the duration of this Call-Off Contract, unless we tell you otherwise. Please refer Annex B – Standards and Processes.</w:t>
      </w:r>
    </w:p>
    <w:p w:rsidR="00000000" w:rsidDel="00000000" w:rsidP="00000000" w:rsidRDefault="00000000" w:rsidRPr="00000000" w14:paraId="00000065">
      <w:pPr>
        <w:pStyle w:val="Heading2"/>
        <w:tabs>
          <w:tab w:val="left" w:pos="851"/>
        </w:tabs>
        <w:spacing w:after="0" w:lineRule="auto"/>
        <w:ind w:left="737" w:firstLine="719.9999999999999"/>
        <w:rPr>
          <w:sz w:val="22"/>
          <w:szCs w:val="22"/>
        </w:rPr>
      </w:pPr>
      <w:r w:rsidDel="00000000" w:rsidR="00000000" w:rsidRPr="00000000">
        <w:rPr>
          <w:rtl w:val="0"/>
        </w:rPr>
      </w:r>
    </w:p>
    <w:p w:rsidR="00000000" w:rsidDel="00000000" w:rsidP="00000000" w:rsidRDefault="00000000" w:rsidRPr="00000000" w14:paraId="00000066">
      <w:pPr>
        <w:pStyle w:val="Heading1"/>
        <w:numPr>
          <w:ilvl w:val="0"/>
          <w:numId w:val="1"/>
        </w:numPr>
        <w:tabs>
          <w:tab w:val="left" w:pos="851"/>
        </w:tabs>
        <w:spacing w:after="0" w:lineRule="auto"/>
        <w:ind w:left="426" w:hanging="426"/>
        <w:rPr>
          <w:sz w:val="22"/>
          <w:szCs w:val="22"/>
        </w:rPr>
      </w:pPr>
      <w:bookmarkStart w:colFirst="0" w:colLast="0" w:name="_heading=h.3dy6vkm" w:id="10"/>
      <w:bookmarkEnd w:id="10"/>
      <w:r w:rsidDel="00000000" w:rsidR="00000000" w:rsidRPr="00000000">
        <w:rPr>
          <w:sz w:val="22"/>
          <w:szCs w:val="22"/>
          <w:rtl w:val="0"/>
        </w:rPr>
        <w:t xml:space="preserve">Gainshare</w:t>
        <w:tab/>
      </w:r>
    </w:p>
    <w:p w:rsidR="00000000" w:rsidDel="00000000" w:rsidP="00000000" w:rsidRDefault="00000000" w:rsidRPr="00000000" w14:paraId="00000067">
      <w:pPr>
        <w:pStyle w:val="Heading1"/>
        <w:tabs>
          <w:tab w:val="left" w:pos="851"/>
        </w:tabs>
        <w:spacing w:after="0" w:lineRule="auto"/>
        <w:ind w:left="737" w:firstLine="0"/>
        <w:rPr>
          <w:b w:val="0"/>
          <w:sz w:val="22"/>
          <w:szCs w:val="22"/>
        </w:rPr>
      </w:pPr>
      <w:r w:rsidDel="00000000" w:rsidR="00000000" w:rsidRPr="00000000">
        <w:rPr>
          <w:rtl w:val="0"/>
        </w:rPr>
      </w:r>
    </w:p>
    <w:p w:rsidR="00000000" w:rsidDel="00000000" w:rsidP="00000000" w:rsidRDefault="00000000" w:rsidRPr="00000000" w14:paraId="00000068">
      <w:pPr>
        <w:pStyle w:val="Heading2"/>
        <w:numPr>
          <w:ilvl w:val="1"/>
          <w:numId w:val="1"/>
        </w:numPr>
        <w:tabs>
          <w:tab w:val="left" w:pos="851"/>
        </w:tabs>
        <w:spacing w:after="0" w:lineRule="auto"/>
        <w:ind w:left="737" w:hanging="737"/>
        <w:rPr>
          <w:sz w:val="22"/>
          <w:szCs w:val="22"/>
        </w:rPr>
      </w:pPr>
      <w:r w:rsidDel="00000000" w:rsidR="00000000" w:rsidRPr="00000000">
        <w:rPr>
          <w:sz w:val="22"/>
          <w:szCs w:val="22"/>
          <w:rtl w:val="0"/>
        </w:rPr>
        <w:t xml:space="preserve">Information on gainshare can be found at paragraph 2.12 of Call-Off Schedule 3 – Continuous Improvement.</w:t>
      </w:r>
    </w:p>
    <w:p w:rsidR="00000000" w:rsidDel="00000000" w:rsidP="00000000" w:rsidRDefault="00000000" w:rsidRPr="00000000" w14:paraId="00000069">
      <w:pPr>
        <w:pStyle w:val="Heading2"/>
        <w:tabs>
          <w:tab w:val="left" w:pos="851"/>
        </w:tabs>
        <w:spacing w:after="0" w:lineRule="auto"/>
        <w:ind w:left="737" w:firstLine="719.9999999999999"/>
        <w:rPr>
          <w:sz w:val="22"/>
          <w:szCs w:val="22"/>
        </w:rPr>
      </w:pPr>
      <w:r w:rsidDel="00000000" w:rsidR="00000000" w:rsidRPr="00000000">
        <w:rPr>
          <w:rtl w:val="0"/>
        </w:rPr>
      </w:r>
    </w:p>
    <w:p w:rsidR="00000000" w:rsidDel="00000000" w:rsidP="00000000" w:rsidRDefault="00000000" w:rsidRPr="00000000" w14:paraId="0000006A">
      <w:pPr>
        <w:pStyle w:val="Heading1"/>
        <w:numPr>
          <w:ilvl w:val="0"/>
          <w:numId w:val="1"/>
        </w:numPr>
        <w:tabs>
          <w:tab w:val="left" w:pos="851"/>
        </w:tabs>
        <w:spacing w:after="0" w:lineRule="auto"/>
        <w:ind w:left="426" w:hanging="426"/>
        <w:rPr>
          <w:sz w:val="22"/>
          <w:szCs w:val="22"/>
        </w:rPr>
      </w:pPr>
      <w:bookmarkStart w:colFirst="0" w:colLast="0" w:name="_heading=h.1t3h5sf" w:id="11"/>
      <w:bookmarkEnd w:id="11"/>
      <w:r w:rsidDel="00000000" w:rsidR="00000000" w:rsidRPr="00000000">
        <w:rPr>
          <w:sz w:val="22"/>
          <w:szCs w:val="22"/>
          <w:rtl w:val="0"/>
        </w:rPr>
        <w:t xml:space="preserve">Award</w:t>
      </w:r>
    </w:p>
    <w:p w:rsidR="00000000" w:rsidDel="00000000" w:rsidP="00000000" w:rsidRDefault="00000000" w:rsidRPr="00000000" w14:paraId="0000006B">
      <w:pPr>
        <w:pStyle w:val="Heading1"/>
        <w:tabs>
          <w:tab w:val="left" w:pos="851"/>
        </w:tabs>
        <w:spacing w:after="0" w:lineRule="auto"/>
        <w:ind w:left="737" w:firstLine="0"/>
        <w:rPr>
          <w:b w:val="0"/>
          <w:sz w:val="22"/>
          <w:szCs w:val="22"/>
        </w:rPr>
      </w:pPr>
      <w:r w:rsidDel="00000000" w:rsidR="00000000" w:rsidRPr="00000000">
        <w:rPr>
          <w:rtl w:val="0"/>
        </w:rPr>
      </w:r>
    </w:p>
    <w:p w:rsidR="00000000" w:rsidDel="00000000" w:rsidP="00000000" w:rsidRDefault="00000000" w:rsidRPr="00000000" w14:paraId="0000006C">
      <w:pPr>
        <w:pStyle w:val="Heading2"/>
        <w:tabs>
          <w:tab w:val="left" w:pos="851"/>
        </w:tabs>
        <w:spacing w:after="0" w:lineRule="auto"/>
        <w:ind w:left="1440" w:hanging="1440"/>
        <w:rPr>
          <w:sz w:val="22"/>
          <w:szCs w:val="22"/>
        </w:rPr>
      </w:pPr>
      <w:r w:rsidDel="00000000" w:rsidR="00000000" w:rsidRPr="00000000">
        <w:rPr>
          <w:sz w:val="22"/>
          <w:szCs w:val="22"/>
          <w:rtl w:val="0"/>
        </w:rPr>
        <w:t xml:space="preserve">7.1 </w:t>
        <w:tab/>
        <w:t xml:space="preserve">Upon contract award all relevant sections of this Attachment 3 – Specification will feature as Call-Off Schedule 26 of the Order Form. </w:t>
      </w:r>
    </w:p>
    <w:p w:rsidR="00000000" w:rsidDel="00000000" w:rsidP="00000000" w:rsidRDefault="00000000" w:rsidRPr="00000000" w14:paraId="0000006D">
      <w:pPr>
        <w:pStyle w:val="Heading2"/>
        <w:tabs>
          <w:tab w:val="left" w:pos="851"/>
        </w:tabs>
        <w:spacing w:after="0" w:lineRule="auto"/>
        <w:ind w:left="737" w:firstLine="719.9999999999999"/>
        <w:rPr>
          <w:b w:val="1"/>
          <w:sz w:val="22"/>
          <w:szCs w:val="22"/>
        </w:rPr>
      </w:pPr>
      <w:r w:rsidDel="00000000" w:rsidR="00000000" w:rsidRPr="00000000">
        <w:rPr>
          <w:rtl w:val="0"/>
        </w:rPr>
      </w:r>
    </w:p>
    <w:p w:rsidR="00000000" w:rsidDel="00000000" w:rsidP="00000000" w:rsidRDefault="00000000" w:rsidRPr="00000000" w14:paraId="0000006E">
      <w:pPr>
        <w:pStyle w:val="Heading1"/>
        <w:numPr>
          <w:ilvl w:val="0"/>
          <w:numId w:val="1"/>
        </w:numPr>
        <w:tabs>
          <w:tab w:val="left" w:pos="851"/>
        </w:tabs>
        <w:spacing w:after="0" w:lineRule="auto"/>
        <w:ind w:left="426" w:hanging="426"/>
        <w:rPr>
          <w:sz w:val="22"/>
          <w:szCs w:val="22"/>
        </w:rPr>
      </w:pPr>
      <w:r w:rsidDel="00000000" w:rsidR="00000000" w:rsidRPr="00000000">
        <w:rPr>
          <w:sz w:val="22"/>
          <w:szCs w:val="22"/>
          <w:rtl w:val="0"/>
        </w:rPr>
        <w:t xml:space="preserve">Variation to Services</w:t>
      </w:r>
    </w:p>
    <w:p w:rsidR="00000000" w:rsidDel="00000000" w:rsidP="00000000" w:rsidRDefault="00000000" w:rsidRPr="00000000" w14:paraId="0000006F">
      <w:pPr>
        <w:pStyle w:val="Heading2"/>
        <w:tabs>
          <w:tab w:val="left" w:pos="851"/>
        </w:tabs>
        <w:ind w:left="737" w:firstLine="719.9999999999999"/>
        <w:rPr>
          <w:sz w:val="22"/>
          <w:szCs w:val="22"/>
        </w:rPr>
      </w:pPr>
      <w:r w:rsidDel="00000000" w:rsidR="00000000" w:rsidRPr="00000000">
        <w:rPr>
          <w:rtl w:val="0"/>
        </w:rPr>
      </w:r>
    </w:p>
    <w:p w:rsidR="00000000" w:rsidDel="00000000" w:rsidP="00000000" w:rsidRDefault="00000000" w:rsidRPr="00000000" w14:paraId="00000070">
      <w:pPr>
        <w:pStyle w:val="Heading2"/>
        <w:numPr>
          <w:ilvl w:val="1"/>
          <w:numId w:val="1"/>
        </w:numPr>
        <w:tabs>
          <w:tab w:val="left" w:pos="851"/>
        </w:tabs>
        <w:ind w:left="737" w:hanging="737"/>
        <w:rPr>
          <w:sz w:val="22"/>
          <w:szCs w:val="22"/>
        </w:rPr>
      </w:pPr>
      <w:r w:rsidDel="00000000" w:rsidR="00000000" w:rsidRPr="00000000">
        <w:rPr>
          <w:sz w:val="22"/>
          <w:szCs w:val="22"/>
          <w:rtl w:val="0"/>
        </w:rPr>
        <w:t xml:space="preserve">During the Contract Period the Buyer may add or remove any Services and/or Sites from the scope of this Call-Off Contract.  Where the Buyer elects to do so it this shall be implemented in accordance with the variation procedure set out in Clause 24 (Changing the contract) of the Core Terms and Special Terms 1-9 on the Order Form. Any impact on the Charges shall be calculated in accordance with the provisions relating to the Charges and the Framework Prices</w:t>
      </w:r>
    </w:p>
    <w:p w:rsidR="00000000" w:rsidDel="00000000" w:rsidP="00000000" w:rsidRDefault="00000000" w:rsidRPr="00000000" w14:paraId="00000071">
      <w:pPr>
        <w:pStyle w:val="Heading1"/>
        <w:tabs>
          <w:tab w:val="left" w:pos="851"/>
        </w:tabs>
        <w:ind w:left="737" w:firstLine="0"/>
        <w:rPr>
          <w:b w:val="0"/>
          <w:sz w:val="22"/>
          <w:szCs w:val="22"/>
        </w:rPr>
      </w:pPr>
      <w:r w:rsidDel="00000000" w:rsidR="00000000" w:rsidRPr="00000000">
        <w:rPr>
          <w:rtl w:val="0"/>
        </w:rPr>
      </w:r>
    </w:p>
    <w:sectPr>
      <w:headerReference r:id="rId9" w:type="default"/>
      <w:footerReference r:id="rId10" w:type="default"/>
      <w:pgSz w:h="16838" w:w="11906" w:orient="portrait"/>
      <w:pgMar w:bottom="1276" w:top="127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color w:val="000000"/>
        <w:rtl w:val="0"/>
      </w:rPr>
      <w:t xml:space="preserve">Ref: RM3830</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color w:val="000000"/>
        <w:rtl w:val="0"/>
      </w:rPr>
      <w:t xml:space="preserve">Government property Agency NR165/CCOS21A01</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sz w:val="20"/>
        <w:szCs w:val="20"/>
      </w:rPr>
    </w:pPr>
    <w:r w:rsidDel="00000000" w:rsidR="00000000" w:rsidRPr="00000000">
      <w:rPr>
        <w:color w:val="000000"/>
        <w:sz w:val="20"/>
        <w:szCs w:val="20"/>
        <w:rtl w:val="0"/>
      </w:rPr>
      <w:tab/>
      <w:tab/>
      <w:t xml:space="preserve">Page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of </w:t>
    </w: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pos="4513"/>
        <w:tab w:val="right" w:pos="9026"/>
      </w:tabs>
      <w:spacing w:after="0" w:line="240" w:lineRule="auto"/>
      <w:rPr>
        <w:b w:val="1"/>
        <w:color w:val="000000"/>
        <w:sz w:val="20"/>
        <w:szCs w:val="20"/>
      </w:rPr>
    </w:pPr>
    <w:r w:rsidDel="00000000" w:rsidR="00000000" w:rsidRPr="00000000">
      <w:rPr>
        <w:b w:val="1"/>
        <w:color w:val="000000"/>
        <w:sz w:val="20"/>
        <w:szCs w:val="20"/>
        <w:rtl w:val="0"/>
      </w:rPr>
      <w:t xml:space="preserve">Call-Off Schedule 26 - Specification</w: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sz w:val="20"/>
        <w:szCs w:val="20"/>
        <w:rtl w:val="0"/>
      </w:rPr>
      <w:t xml:space="preserve">Crown Copyright 2021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37" w:hanging="737"/>
      </w:pPr>
      <w:rPr>
        <w:smallCaps w:val="0"/>
        <w:sz w:val="22"/>
        <w:szCs w:val="22"/>
      </w:rPr>
    </w:lvl>
    <w:lvl w:ilvl="1">
      <w:start w:val="1"/>
      <w:numFmt w:val="decimal"/>
      <w:lvlText w:val="%1.%2"/>
      <w:lvlJc w:val="left"/>
      <w:pPr>
        <w:ind w:left="737" w:hanging="737"/>
      </w:pPr>
      <w:rPr>
        <w:b w:val="0"/>
        <w:i w:val="0"/>
        <w:smallCaps w:val="0"/>
      </w:rPr>
    </w:lvl>
    <w:lvl w:ilvl="2">
      <w:start w:val="1"/>
      <w:numFmt w:val="decimal"/>
      <w:lvlText w:val="%1.%2.%3"/>
      <w:lvlJc w:val="left"/>
      <w:pPr>
        <w:ind w:left="1588" w:hanging="735.9999999999998"/>
      </w:pPr>
      <w:rPr>
        <w:b w:val="0"/>
        <w:smallCaps w:val="0"/>
        <w:color w:val="000000"/>
        <w:sz w:val="22"/>
        <w:szCs w:val="22"/>
      </w:rPr>
    </w:lvl>
    <w:lvl w:ilvl="3">
      <w:start w:val="1"/>
      <w:numFmt w:val="decimal"/>
      <w:lvlText w:val="%1.%2.%3.%4"/>
      <w:lvlJc w:val="left"/>
      <w:pPr>
        <w:ind w:left="2637" w:hanging="794.0000000000002"/>
      </w:pPr>
      <w:rPr>
        <w:b w:val="0"/>
        <w:smallCaps w:val="0"/>
        <w:sz w:val="22"/>
        <w:szCs w:val="22"/>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851"/>
      </w:tabs>
      <w:spacing w:after="120" w:line="240" w:lineRule="auto"/>
      <w:ind w:left="720" w:hanging="720"/>
      <w:jc w:val="both"/>
    </w:pPr>
    <w:rPr>
      <w:rFonts w:ascii="Arial" w:cs="Arial" w:eastAsia="Arial" w:hAnsi="Arial"/>
      <w:b w:val="1"/>
      <w:smallCaps w:val="1"/>
      <w:sz w:val="20"/>
      <w:szCs w:val="20"/>
    </w:rPr>
  </w:style>
  <w:style w:type="paragraph" w:styleId="Heading2">
    <w:name w:val="heading 2"/>
    <w:basedOn w:val="Normal"/>
    <w:next w:val="Normal"/>
    <w:pPr>
      <w:tabs>
        <w:tab w:val="left" w:pos="851"/>
      </w:tabs>
      <w:spacing w:after="120" w:line="240" w:lineRule="auto"/>
      <w:ind w:left="1440" w:hanging="720"/>
      <w:jc w:val="both"/>
    </w:pPr>
    <w:rPr>
      <w:rFonts w:ascii="Arial" w:cs="Arial" w:eastAsia="Arial" w:hAnsi="Arial"/>
      <w:sz w:val="20"/>
      <w:szCs w:val="20"/>
    </w:rPr>
  </w:style>
  <w:style w:type="paragraph" w:styleId="Heading3">
    <w:name w:val="heading 3"/>
    <w:basedOn w:val="Normal"/>
    <w:next w:val="Normal"/>
    <w:pPr>
      <w:tabs>
        <w:tab w:val="left" w:pos="1418"/>
      </w:tabs>
      <w:spacing w:after="120" w:line="240" w:lineRule="auto"/>
      <w:ind w:left="2160" w:hanging="720"/>
      <w:jc w:val="both"/>
    </w:pPr>
    <w:rPr>
      <w:rFonts w:ascii="Arial" w:cs="Arial" w:eastAsia="Arial" w:hAnsi="Arial"/>
      <w:sz w:val="20"/>
      <w:szCs w:val="20"/>
    </w:rPr>
  </w:style>
  <w:style w:type="paragraph" w:styleId="Heading4">
    <w:name w:val="heading 4"/>
    <w:basedOn w:val="Normal"/>
    <w:next w:val="Normal"/>
    <w:pPr>
      <w:spacing w:after="120" w:line="240" w:lineRule="auto"/>
      <w:ind w:left="2880" w:hanging="720"/>
      <w:jc w:val="both"/>
    </w:pPr>
    <w:rPr>
      <w:rFonts w:ascii="Arial" w:cs="Arial" w:eastAsia="Arial" w:hAnsi="Arial"/>
      <w:sz w:val="20"/>
      <w:szCs w:val="20"/>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spacing w:after="240" w:line="240" w:lineRule="auto"/>
      <w:ind w:left="4320" w:hanging="720"/>
      <w:jc w:val="both"/>
    </w:pPr>
    <w:rPr>
      <w:rFonts w:ascii="Arial" w:cs="Arial" w:eastAsia="Arial" w:hAnsi="Arial"/>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2662F"/>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val="1"/>
    <w:rsid w:val="00AE4296"/>
    <w:pPr>
      <w:keepNext w:val="1"/>
      <w:numPr>
        <w:numId w:val="2"/>
      </w:numPr>
      <w:tabs>
        <w:tab w:val="left" w:pos="851"/>
      </w:tabs>
      <w:adjustRightInd w:val="0"/>
      <w:spacing w:after="120" w:line="240" w:lineRule="auto"/>
      <w:jc w:val="both"/>
      <w:outlineLvl w:val="0"/>
    </w:pPr>
    <w:rPr>
      <w:rFonts w:ascii="Arial" w:cs="Times New Roman" w:eastAsia="STZhongsong" w:hAnsi="Arial"/>
      <w:b w:val="1"/>
      <w:caps w:val="1"/>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val="1"/>
    <w:qFormat w:val="1"/>
    <w:rsid w:val="00AE4296"/>
    <w:pPr>
      <w:numPr>
        <w:ilvl w:val="1"/>
        <w:numId w:val="2"/>
      </w:numPr>
      <w:tabs>
        <w:tab w:val="left" w:pos="851"/>
      </w:tabs>
      <w:adjustRightInd w:val="0"/>
      <w:spacing w:after="120" w:line="240" w:lineRule="auto"/>
      <w:jc w:val="both"/>
      <w:outlineLvl w:val="1"/>
    </w:pPr>
    <w:rPr>
      <w:rFonts w:ascii="Arial" w:cs="Times New Roman" w:eastAsia="STZhongsong" w:hAnsi="Arial"/>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unhideWhenUsed w:val="1"/>
    <w:qFormat w:val="1"/>
    <w:rsid w:val="00AE4296"/>
    <w:pPr>
      <w:numPr>
        <w:ilvl w:val="2"/>
        <w:numId w:val="2"/>
      </w:numPr>
      <w:tabs>
        <w:tab w:val="left" w:pos="1418"/>
      </w:tabs>
      <w:adjustRightInd w:val="0"/>
      <w:spacing w:after="120" w:line="240" w:lineRule="auto"/>
      <w:jc w:val="both"/>
      <w:outlineLvl w:val="2"/>
    </w:pPr>
    <w:rPr>
      <w:rFonts w:ascii="Arial" w:cs="Times New Roman" w:eastAsia="STZhongsong" w:hAnsi="Arial"/>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
    <w:semiHidden w:val="1"/>
    <w:unhideWhenUsed w:val="1"/>
    <w:qFormat w:val="1"/>
    <w:rsid w:val="00AE4296"/>
    <w:pPr>
      <w:numPr>
        <w:ilvl w:val="3"/>
        <w:numId w:val="2"/>
      </w:numPr>
      <w:adjustRightInd w:val="0"/>
      <w:spacing w:after="120" w:line="240" w:lineRule="auto"/>
      <w:jc w:val="both"/>
      <w:outlineLvl w:val="3"/>
    </w:pPr>
    <w:rPr>
      <w:rFonts w:ascii="Arial" w:cs="Times New Roman" w:eastAsia="STZhongsong" w:hAnsi="Arial"/>
      <w:sz w:val="20"/>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semiHidden w:val="1"/>
    <w:unhideWhenUsed w:val="1"/>
    <w:qFormat w:val="1"/>
    <w:rsid w:val="0058734C"/>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aliases w:val="Heading 6 (Do Not Use),Heading 6(unused),Legal Level 1.,L1 PIP,Heading 6  Appendix Y &amp; Z,Lev 6,H6 DO NOT USE,Bullet list,PA Appendix,H6,H61,PR14"/>
    <w:basedOn w:val="Normal"/>
    <w:link w:val="Heading6Char"/>
    <w:uiPriority w:val="9"/>
    <w:semiHidden w:val="1"/>
    <w:unhideWhenUsed w:val="1"/>
    <w:qFormat w:val="1"/>
    <w:rsid w:val="00F15349"/>
    <w:pPr>
      <w:tabs>
        <w:tab w:val="num" w:pos="4320"/>
      </w:tabs>
      <w:adjustRightInd w:val="0"/>
      <w:spacing w:after="240" w:line="240" w:lineRule="auto"/>
      <w:ind w:left="4320" w:hanging="720"/>
      <w:jc w:val="both"/>
      <w:outlineLvl w:val="5"/>
    </w:pPr>
    <w:rPr>
      <w:rFonts w:ascii="Arial" w:cs="Times New Roman" w:eastAsia="STZhongsong" w:hAnsi="Arial"/>
      <w:sz w:val="20"/>
      <w:szCs w:val="20"/>
      <w:lang w:eastAsia="zh-CN"/>
    </w:rPr>
  </w:style>
  <w:style w:type="paragraph" w:styleId="Heading7">
    <w:name w:val="heading 7"/>
    <w:aliases w:val="Heading 7 (Do Not Use),Heading 7(unused),Legal Level 1.1.,L2 PIP,Lev 7,H7DO NOT USE,PA Appendix Major"/>
    <w:basedOn w:val="Normal"/>
    <w:link w:val="Heading7Char"/>
    <w:qFormat w:val="1"/>
    <w:rsid w:val="00F15349"/>
    <w:pPr>
      <w:tabs>
        <w:tab w:val="num" w:pos="5040"/>
      </w:tabs>
      <w:adjustRightInd w:val="0"/>
      <w:spacing w:after="240" w:line="240" w:lineRule="auto"/>
      <w:ind w:left="5040" w:hanging="720"/>
      <w:jc w:val="both"/>
      <w:outlineLvl w:val="6"/>
    </w:pPr>
    <w:rPr>
      <w:rFonts w:ascii="Arial" w:cs="Times New Roman" w:eastAsia="STZhongsong" w:hAnsi="Arial"/>
      <w:sz w:val="20"/>
      <w:szCs w:val="20"/>
      <w:lang w:eastAsia="zh-CN"/>
    </w:rPr>
  </w:style>
  <w:style w:type="paragraph" w:styleId="Heading8">
    <w:name w:val="heading 8"/>
    <w:aliases w:val="Heading 8 (Do Not Use),Legal Level 1.1.1.,Lev 8,h8 DO NOT USE,PA Appendix Minor"/>
    <w:basedOn w:val="Normal"/>
    <w:link w:val="Heading8Char"/>
    <w:qFormat w:val="1"/>
    <w:rsid w:val="00F15349"/>
    <w:pPr>
      <w:tabs>
        <w:tab w:val="num" w:pos="5040"/>
      </w:tabs>
      <w:adjustRightInd w:val="0"/>
      <w:spacing w:after="240" w:line="240" w:lineRule="auto"/>
      <w:ind w:left="5040" w:hanging="720"/>
      <w:jc w:val="both"/>
      <w:outlineLvl w:val="7"/>
    </w:pPr>
    <w:rPr>
      <w:rFonts w:ascii="Arial" w:cs="Times New Roman" w:eastAsia="STZhongsong" w:hAnsi="Arial"/>
      <w:sz w:val="20"/>
      <w:szCs w:val="20"/>
      <w:lang w:eastAsia="zh-CN"/>
    </w:rPr>
  </w:style>
  <w:style w:type="paragraph" w:styleId="Heading9">
    <w:name w:val="heading 9"/>
    <w:aliases w:val="Heading 9 (Do Not Use),Heading 9 (defunct),Legal Level 1.1.1.1.,Lev 9,h9 DO NOT USE,App Heading,Titre 10,App1"/>
    <w:basedOn w:val="Normal"/>
    <w:link w:val="Heading9Char"/>
    <w:qFormat w:val="1"/>
    <w:rsid w:val="00F15349"/>
    <w:pPr>
      <w:tabs>
        <w:tab w:val="num" w:pos="5040"/>
      </w:tabs>
      <w:adjustRightInd w:val="0"/>
      <w:spacing w:after="240" w:line="240" w:lineRule="auto"/>
      <w:ind w:left="5040" w:hanging="720"/>
      <w:jc w:val="both"/>
      <w:outlineLvl w:val="8"/>
    </w:pPr>
    <w:rPr>
      <w:rFonts w:ascii="Arial" w:cs="Times New Roman" w:eastAsia="STZhongsong" w:hAnsi="Arial"/>
      <w:sz w:val="20"/>
      <w:szCs w:val="20"/>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MarginText" w:customStyle="1">
    <w:name w:val="Margin Text"/>
    <w:basedOn w:val="Normal"/>
    <w:link w:val="MarginTextChar"/>
    <w:uiPriority w:val="99"/>
    <w:rsid w:val="00AE4296"/>
    <w:pPr>
      <w:adjustRightInd w:val="0"/>
      <w:spacing w:after="60" w:before="60" w:line="240" w:lineRule="auto"/>
      <w:jc w:val="both"/>
    </w:pPr>
    <w:rPr>
      <w:rFonts w:ascii="Arial" w:cs="Times New Roman" w:eastAsia="STZhongsong" w:hAnsi="Arial"/>
      <w:sz w:val="20"/>
      <w:szCs w:val="20"/>
      <w:lang w:eastAsia="zh-CN"/>
    </w:rPr>
  </w:style>
  <w:style w:type="character" w:styleId="MarginTextChar" w:customStyle="1">
    <w:name w:val="Margin Text Char"/>
    <w:basedOn w:val="DefaultParagraphFont"/>
    <w:link w:val="MarginText"/>
    <w:uiPriority w:val="99"/>
    <w:rsid w:val="00AE4296"/>
    <w:rPr>
      <w:rFonts w:ascii="Arial" w:cs="Times New Roman" w:eastAsia="STZhongsong" w:hAnsi="Arial"/>
      <w:sz w:val="20"/>
      <w:szCs w:val="20"/>
      <w:lang w:eastAsia="zh-CN"/>
    </w:rPr>
  </w:style>
  <w:style w:type="paragraph" w:styleId="Header">
    <w:name w:val="header"/>
    <w:basedOn w:val="Normal"/>
    <w:link w:val="HeaderChar"/>
    <w:uiPriority w:val="99"/>
    <w:unhideWhenUsed w:val="1"/>
    <w:rsid w:val="00AE4296"/>
    <w:pPr>
      <w:tabs>
        <w:tab w:val="center" w:pos="4513"/>
        <w:tab w:val="right" w:pos="9026"/>
      </w:tabs>
      <w:spacing w:after="0" w:line="240" w:lineRule="auto"/>
    </w:pPr>
  </w:style>
  <w:style w:type="character" w:styleId="HeaderChar" w:customStyle="1">
    <w:name w:val="Header Char"/>
    <w:basedOn w:val="DefaultParagraphFont"/>
    <w:link w:val="Header"/>
    <w:uiPriority w:val="99"/>
    <w:rsid w:val="00AE4296"/>
  </w:style>
  <w:style w:type="paragraph" w:styleId="Footer">
    <w:name w:val="footer"/>
    <w:basedOn w:val="Normal"/>
    <w:link w:val="FooterChar"/>
    <w:uiPriority w:val="99"/>
    <w:unhideWhenUsed w:val="1"/>
    <w:rsid w:val="00AE4296"/>
    <w:pPr>
      <w:tabs>
        <w:tab w:val="center" w:pos="4513"/>
        <w:tab w:val="right" w:pos="9026"/>
      </w:tabs>
      <w:spacing w:after="0" w:line="240" w:lineRule="auto"/>
    </w:pPr>
  </w:style>
  <w:style w:type="character" w:styleId="FooterChar" w:customStyle="1">
    <w:name w:val="Footer Char"/>
    <w:basedOn w:val="DefaultParagraphFont"/>
    <w:link w:val="Footer"/>
    <w:uiPriority w:val="99"/>
    <w:rsid w:val="00AE4296"/>
  </w:style>
  <w:style w:type="paragraph" w:styleId="BalloonText">
    <w:name w:val="Balloon Text"/>
    <w:basedOn w:val="Normal"/>
    <w:link w:val="BalloonTextChar"/>
    <w:uiPriority w:val="99"/>
    <w:semiHidden w:val="1"/>
    <w:unhideWhenUsed w:val="1"/>
    <w:rsid w:val="00AE429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E4296"/>
    <w:rPr>
      <w:rFonts w:ascii="Tahoma" w:cs="Tahoma" w:hAnsi="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cs="Times New Roman" w:eastAsia="Times New Roman" w:hAnsi="Arial"/>
      <w:sz w:val="20"/>
      <w:szCs w:val="20"/>
    </w:rPr>
  </w:style>
  <w:style w:type="character" w:styleId="BodyTextChar" w:customStyle="1">
    <w:name w:val="Body Text Char"/>
    <w:basedOn w:val="DefaultParagraphFont"/>
    <w:link w:val="BodyText"/>
    <w:uiPriority w:val="99"/>
    <w:rsid w:val="00AE4296"/>
    <w:rPr>
      <w:rFonts w:ascii="Arial" w:cs="Times New Roman" w:eastAsia="Times New Roman" w:hAnsi="Arial"/>
      <w:sz w:val="20"/>
      <w:szCs w:val="20"/>
    </w:rPr>
  </w:style>
  <w:style w:type="paragraph" w:styleId="bodystrongcentred" w:customStyle="1">
    <w:name w:val="body strong centred"/>
    <w:basedOn w:val="Normal"/>
    <w:uiPriority w:val="99"/>
    <w:rsid w:val="00AE4296"/>
    <w:pPr>
      <w:spacing w:after="120" w:line="240" w:lineRule="auto"/>
      <w:jc w:val="center"/>
    </w:pPr>
    <w:rPr>
      <w:rFonts w:ascii="Arial" w:cs="Times New Roman" w:eastAsia="SimSun" w:hAnsi="Arial"/>
      <w:b w:val="1"/>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cs="Times New Roman" w:eastAsia="STZhongsong" w:hAnsi="Arial"/>
      <w:caps w:val="1"/>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val="1"/>
    <w:unhideWhenUsed w:val="1"/>
    <w:rsid w:val="00AE4296"/>
    <w:pPr>
      <w:spacing w:after="120"/>
      <w:ind w:left="283"/>
    </w:pPr>
  </w:style>
  <w:style w:type="character" w:styleId="BodyTextIndentChar" w:customStyle="1">
    <w:name w:val="Body Text Indent Char"/>
    <w:basedOn w:val="DefaultParagraphFont"/>
    <w:link w:val="BodyTextIndent"/>
    <w:uiPriority w:val="99"/>
    <w:semiHidden w:val="1"/>
    <w:rsid w:val="00AE4296"/>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cs="Times New Roman" w:eastAsia="STZhongsong" w:hAnsi="Arial"/>
      <w:b w:val="1"/>
      <w:caps w:val="1"/>
      <w:sz w:val="20"/>
      <w:szCs w:val="20"/>
      <w:lang w:eastAsia="zh-CN"/>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cs="Times New Roman" w:eastAsia="STZhongsong" w:hAnsi="Arial"/>
      <w:sz w:val="20"/>
      <w:szCs w:val="20"/>
      <w:lang w:eastAsia="zh-CN"/>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E4296"/>
    <w:rPr>
      <w:rFonts w:ascii="Arial" w:cs="Times New Roman" w:eastAsia="STZhongsong" w:hAnsi="Arial"/>
      <w:sz w:val="20"/>
      <w:szCs w:val="20"/>
      <w:lang w:eastAsia="zh-CN"/>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E4296"/>
    <w:rPr>
      <w:rFonts w:ascii="Arial" w:cs="Times New Roman" w:eastAsia="STZhongsong" w:hAnsi="Arial"/>
      <w:sz w:val="20"/>
      <w:szCs w:val="20"/>
      <w:lang w:eastAsia="zh-CN"/>
    </w:rPr>
  </w:style>
  <w:style w:type="numbering" w:styleId="111111">
    <w:name w:val="Outline List 2"/>
    <w:basedOn w:val="NoList"/>
    <w:rsid w:val="00AE4296"/>
  </w:style>
  <w:style w:type="paragraph" w:styleId="BodyTextIndent2">
    <w:name w:val="Body Text Indent 2"/>
    <w:basedOn w:val="Normal"/>
    <w:link w:val="BodyTextIndent2Char"/>
    <w:uiPriority w:val="99"/>
    <w:semiHidden w:val="1"/>
    <w:unhideWhenUsed w:val="1"/>
    <w:rsid w:val="00AE4296"/>
    <w:pPr>
      <w:spacing w:after="120" w:line="480" w:lineRule="auto"/>
      <w:ind w:left="283"/>
    </w:pPr>
  </w:style>
  <w:style w:type="character" w:styleId="BodyTextIndent2Char" w:customStyle="1">
    <w:name w:val="Body Text Indent 2 Char"/>
    <w:basedOn w:val="DefaultParagraphFont"/>
    <w:link w:val="BodyTextIndent2"/>
    <w:rsid w:val="00AE4296"/>
  </w:style>
  <w:style w:type="paragraph" w:styleId="ListParagraph">
    <w:name w:val="List Paragraph"/>
    <w:basedOn w:val="Normal"/>
    <w:link w:val="ListParagraphChar"/>
    <w:uiPriority w:val="34"/>
    <w:qFormat w:val="1"/>
    <w:rsid w:val="00706CC1"/>
    <w:pPr>
      <w:spacing w:after="120" w:before="120" w:line="240" w:lineRule="auto"/>
      <w:ind w:left="720"/>
    </w:pPr>
    <w:rPr>
      <w:rFonts w:ascii="Arial" w:cs="Times New Roman" w:eastAsia="Times New Roman" w:hAnsi="Arial"/>
      <w:sz w:val="20"/>
      <w:szCs w:val="24"/>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val="1"/>
    <w:rsid w:val="0058734C"/>
    <w:rPr>
      <w:rFonts w:asciiTheme="majorHAnsi" w:cstheme="majorBidi" w:eastAsiaTheme="majorEastAsia" w:hAnsiTheme="majorHAnsi"/>
      <w:color w:val="243f60" w:themeColor="accent1" w:themeShade="00007F"/>
    </w:rPr>
  </w:style>
  <w:style w:type="paragraph" w:styleId="BodyTextIndent3">
    <w:name w:val="Body Text Indent 3"/>
    <w:basedOn w:val="Normal"/>
    <w:link w:val="BodyTextIndent3Char"/>
    <w:uiPriority w:val="99"/>
    <w:semiHidden w:val="1"/>
    <w:unhideWhenUsed w:val="1"/>
    <w:rsid w:val="0058734C"/>
    <w:pPr>
      <w:spacing w:after="120"/>
      <w:ind w:left="283"/>
    </w:pPr>
    <w:rPr>
      <w:sz w:val="16"/>
      <w:szCs w:val="16"/>
    </w:rPr>
  </w:style>
  <w:style w:type="character" w:styleId="BodyTextIndent3Char" w:customStyle="1">
    <w:name w:val="Body Text Indent 3 Char"/>
    <w:basedOn w:val="DefaultParagraphFont"/>
    <w:link w:val="BodyTextIndent3"/>
    <w:uiPriority w:val="99"/>
    <w:semiHidden w:val="1"/>
    <w:rsid w:val="0058734C"/>
    <w:rPr>
      <w:sz w:val="16"/>
      <w:szCs w:val="16"/>
    </w:rPr>
  </w:style>
  <w:style w:type="table" w:styleId="TableGrid">
    <w:name w:val="Table Grid"/>
    <w:basedOn w:val="TableNormal"/>
    <w:uiPriority w:val="99"/>
    <w:rsid w:val="0058734C"/>
    <w:pPr>
      <w:overflowPunct w:val="0"/>
      <w:autoSpaceDE w:val="0"/>
      <w:autoSpaceDN w:val="0"/>
      <w:adjustRightInd w:val="0"/>
      <w:spacing w:after="0" w:line="240" w:lineRule="auto"/>
      <w:jc w:val="both"/>
      <w:textAlignment w:val="baseline"/>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2">
    <w:name w:val="toc 2"/>
    <w:basedOn w:val="Normal"/>
    <w:next w:val="Normal"/>
    <w:autoRedefine w:val="1"/>
    <w:uiPriority w:val="39"/>
    <w:unhideWhenUsed w:val="1"/>
    <w:rsid w:val="002E55A9"/>
    <w:pPr>
      <w:overflowPunct w:val="0"/>
      <w:autoSpaceDE w:val="0"/>
      <w:autoSpaceDN w:val="0"/>
      <w:adjustRightInd w:val="0"/>
      <w:spacing w:after="60" w:before="60" w:line="240" w:lineRule="auto"/>
      <w:ind w:left="220" w:hanging="1406"/>
      <w:textAlignment w:val="baseline"/>
    </w:pPr>
    <w:rPr>
      <w:rFonts w:ascii="Arial" w:cs="Arial" w:eastAsia="Times New Roman" w:hAnsi="Arial"/>
      <w:sz w:val="18"/>
      <w:szCs w:val="18"/>
    </w:rPr>
  </w:style>
  <w:style w:type="character" w:styleId="CommentReference">
    <w:name w:val="annotation reference"/>
    <w:basedOn w:val="DefaultParagraphFont"/>
    <w:uiPriority w:val="99"/>
    <w:unhideWhenUsed w:val="1"/>
    <w:rsid w:val="00405EFE"/>
    <w:rPr>
      <w:sz w:val="16"/>
      <w:szCs w:val="16"/>
    </w:rPr>
  </w:style>
  <w:style w:type="paragraph" w:styleId="CommentText">
    <w:name w:val="annotation text"/>
    <w:basedOn w:val="Normal"/>
    <w:link w:val="CommentTextChar"/>
    <w:uiPriority w:val="99"/>
    <w:unhideWhenUsed w:val="1"/>
    <w:rsid w:val="00405EFE"/>
    <w:pPr>
      <w:spacing w:line="240" w:lineRule="auto"/>
    </w:pPr>
    <w:rPr>
      <w:sz w:val="20"/>
      <w:szCs w:val="20"/>
    </w:rPr>
  </w:style>
  <w:style w:type="character" w:styleId="CommentTextChar" w:customStyle="1">
    <w:name w:val="Comment Text Char"/>
    <w:basedOn w:val="DefaultParagraphFont"/>
    <w:link w:val="CommentText"/>
    <w:uiPriority w:val="99"/>
    <w:rsid w:val="00405EFE"/>
    <w:rPr>
      <w:sz w:val="20"/>
      <w:szCs w:val="20"/>
    </w:rPr>
  </w:style>
  <w:style w:type="paragraph" w:styleId="CommentSubject">
    <w:name w:val="annotation subject"/>
    <w:basedOn w:val="CommentText"/>
    <w:next w:val="CommentText"/>
    <w:link w:val="CommentSubjectChar"/>
    <w:uiPriority w:val="99"/>
    <w:semiHidden w:val="1"/>
    <w:unhideWhenUsed w:val="1"/>
    <w:rsid w:val="00405EFE"/>
    <w:rPr>
      <w:b w:val="1"/>
      <w:bCs w:val="1"/>
    </w:rPr>
  </w:style>
  <w:style w:type="character" w:styleId="CommentSubjectChar" w:customStyle="1">
    <w:name w:val="Comment Subject Char"/>
    <w:basedOn w:val="CommentTextChar"/>
    <w:link w:val="CommentSubject"/>
    <w:uiPriority w:val="99"/>
    <w:semiHidden w:val="1"/>
    <w:rsid w:val="00405EFE"/>
    <w:rPr>
      <w:b w:val="1"/>
      <w:bCs w:val="1"/>
      <w:sz w:val="20"/>
      <w:szCs w:val="20"/>
    </w:rPr>
  </w:style>
  <w:style w:type="character" w:styleId="FollowedHyperlink">
    <w:name w:val="FollowedHyperlink"/>
    <w:basedOn w:val="DefaultParagraphFont"/>
    <w:uiPriority w:val="99"/>
    <w:semiHidden w:val="1"/>
    <w:unhideWhenUsed w:val="1"/>
    <w:rsid w:val="002A2319"/>
    <w:rPr>
      <w:color w:val="800080" w:themeColor="followedHyperlink"/>
      <w:u w:val="single"/>
    </w:rPr>
  </w:style>
  <w:style w:type="paragraph" w:styleId="Revision">
    <w:name w:val="Revision"/>
    <w:hidden w:val="1"/>
    <w:uiPriority w:val="99"/>
    <w:semiHidden w:val="1"/>
    <w:rsid w:val="00ED380A"/>
    <w:pPr>
      <w:spacing w:after="0" w:line="240" w:lineRule="auto"/>
    </w:pPr>
  </w:style>
  <w:style w:type="paragraph" w:styleId="ListNumber">
    <w:name w:val="List Number"/>
    <w:basedOn w:val="Normal"/>
    <w:rsid w:val="0025638E"/>
    <w:pPr>
      <w:tabs>
        <w:tab w:val="num" w:pos="720"/>
      </w:tabs>
      <w:spacing w:after="0" w:line="240" w:lineRule="auto"/>
      <w:ind w:left="360" w:hanging="720"/>
    </w:pPr>
    <w:rPr>
      <w:rFonts w:ascii="Arial" w:cs="Times New Roman" w:eastAsia="SimSun" w:hAnsi="Arial"/>
      <w:szCs w:val="24"/>
      <w:lang w:eastAsia="zh-CN"/>
    </w:rPr>
  </w:style>
  <w:style w:type="paragraph" w:styleId="Default" w:customStyle="1">
    <w:name w:val="Default"/>
    <w:rsid w:val="00BE7A7A"/>
    <w:pPr>
      <w:autoSpaceDE w:val="0"/>
      <w:autoSpaceDN w:val="0"/>
      <w:adjustRightInd w:val="0"/>
      <w:spacing w:after="0" w:line="240" w:lineRule="auto"/>
    </w:pPr>
    <w:rPr>
      <w:rFonts w:ascii="Arial" w:cs="Arial" w:hAnsi="Arial"/>
      <w:color w:val="000000"/>
      <w:sz w:val="24"/>
      <w:szCs w:val="24"/>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F15349"/>
    <w:rPr>
      <w:rFonts w:ascii="Arial" w:cs="Times New Roman" w:eastAsia="STZhongsong" w:hAnsi="Arial"/>
      <w:sz w:val="20"/>
      <w:szCs w:val="20"/>
      <w:lang w:eastAsia="zh-CN"/>
    </w:rPr>
  </w:style>
  <w:style w:type="character" w:styleId="Heading7Char" w:customStyle="1">
    <w:name w:val="Heading 7 Char"/>
    <w:aliases w:val="Heading 7 (Do Not Use) Char,Heading 7(unused) Char,Legal Level 1.1. Char,L2 PIP Char,Lev 7 Char,H7DO NOT USE Char,PA Appendix Major Char"/>
    <w:basedOn w:val="DefaultParagraphFont"/>
    <w:link w:val="Heading7"/>
    <w:rsid w:val="00F15349"/>
    <w:rPr>
      <w:rFonts w:ascii="Arial" w:cs="Times New Roman" w:eastAsia="STZhongsong" w:hAnsi="Arial"/>
      <w:sz w:val="20"/>
      <w:szCs w:val="20"/>
      <w:lang w:eastAsia="zh-CN"/>
    </w:rPr>
  </w:style>
  <w:style w:type="character" w:styleId="Heading8Char" w:customStyle="1">
    <w:name w:val="Heading 8 Char"/>
    <w:aliases w:val="Heading 8 (Do Not Use) Char,Legal Level 1.1.1. Char,Lev 8 Char,h8 DO NOT USE Char,PA Appendix Minor Char"/>
    <w:basedOn w:val="DefaultParagraphFont"/>
    <w:link w:val="Heading8"/>
    <w:rsid w:val="00F15349"/>
    <w:rPr>
      <w:rFonts w:ascii="Arial" w:cs="Times New Roman" w:eastAsia="STZhongsong" w:hAnsi="Arial"/>
      <w:sz w:val="20"/>
      <w:szCs w:val="20"/>
      <w:lang w:eastAsia="zh-CN"/>
    </w:rPr>
  </w:style>
  <w:style w:type="character" w:styleId="Heading9Char" w:customStyle="1">
    <w:name w:val="Heading 9 Char"/>
    <w:aliases w:val="Heading 9 (Do Not Use) Char,Heading 9 (defunct) Char,Legal Level 1.1.1.1. Char,Lev 9 Char,h9 DO NOT USE Char,App Heading Char,Titre 10 Char,App1 Char"/>
    <w:basedOn w:val="DefaultParagraphFont"/>
    <w:link w:val="Heading9"/>
    <w:rsid w:val="00F15349"/>
    <w:rPr>
      <w:rFonts w:ascii="Arial" w:cs="Times New Roman" w:eastAsia="STZhongsong" w:hAnsi="Arial"/>
      <w:sz w:val="20"/>
      <w:szCs w:val="20"/>
      <w:lang w:eastAsia="zh-CN"/>
    </w:rPr>
  </w:style>
  <w:style w:type="character" w:styleId="ListParagraphChar" w:customStyle="1">
    <w:name w:val="List Paragraph Char"/>
    <w:basedOn w:val="DefaultParagraphFont"/>
    <w:link w:val="ListParagraph"/>
    <w:uiPriority w:val="34"/>
    <w:locked w:val="1"/>
    <w:rsid w:val="00C73F1E"/>
    <w:rPr>
      <w:rFonts w:ascii="Arial" w:cs="Times New Roman" w:eastAsia="Times New Roman" w:hAnsi="Arial"/>
      <w:sz w:val="20"/>
      <w:szCs w:val="24"/>
    </w:rPr>
  </w:style>
  <w:style w:type="paragraph" w:styleId="GPSL1CLAUSEHEADING" w:customStyle="1">
    <w:name w:val="GPS L1 CLAUSE HEADING"/>
    <w:basedOn w:val="Normal"/>
    <w:next w:val="Normal"/>
    <w:qFormat w:val="1"/>
    <w:rsid w:val="00C73F1E"/>
    <w:pPr>
      <w:tabs>
        <w:tab w:val="left" w:pos="567"/>
        <w:tab w:val="num" w:pos="720"/>
      </w:tabs>
      <w:adjustRightInd w:val="0"/>
      <w:spacing w:after="240" w:before="120" w:line="240" w:lineRule="auto"/>
      <w:ind w:left="720" w:hanging="720"/>
      <w:jc w:val="both"/>
      <w:outlineLvl w:val="1"/>
    </w:pPr>
    <w:rPr>
      <w:rFonts w:ascii="Arial Bold" w:cs="Arial" w:eastAsia="STZhongsong" w:hAnsi="Arial Bold"/>
      <w:b w:val="1"/>
      <w:caps w:val="1"/>
      <w:lang w:eastAsia="zh-CN"/>
    </w:rPr>
  </w:style>
  <w:style w:type="paragraph" w:styleId="GPSL3numberedclause" w:customStyle="1">
    <w:name w:val="GPS L3 numbered clause"/>
    <w:basedOn w:val="Normal"/>
    <w:qFormat w:val="1"/>
    <w:rsid w:val="00C73F1E"/>
    <w:pPr>
      <w:tabs>
        <w:tab w:val="left" w:pos="2127"/>
        <w:tab w:val="num" w:pos="2160"/>
      </w:tabs>
      <w:adjustRightInd w:val="0"/>
      <w:spacing w:after="120" w:before="120" w:line="240" w:lineRule="auto"/>
      <w:ind w:left="2160" w:hanging="720"/>
      <w:jc w:val="both"/>
    </w:pPr>
    <w:rPr>
      <w:rFonts w:ascii="Arial" w:cs="Arial" w:eastAsia="Times New Roman" w:hAnsi="Arial"/>
      <w:lang w:eastAsia="zh-CN"/>
    </w:rPr>
  </w:style>
  <w:style w:type="paragraph" w:styleId="GPSL4numberedclause" w:customStyle="1">
    <w:name w:val="GPS L4 numbered clause"/>
    <w:basedOn w:val="GPSL3numberedclause"/>
    <w:qFormat w:val="1"/>
    <w:rsid w:val="00C73F1E"/>
    <w:pPr>
      <w:numPr>
        <w:ilvl w:val="3"/>
      </w:numPr>
      <w:tabs>
        <w:tab w:val="clear" w:pos="2127"/>
        <w:tab w:val="num" w:pos="2160"/>
        <w:tab w:val="left" w:pos="2694"/>
      </w:tabs>
      <w:ind w:left="2694" w:hanging="567"/>
    </w:pPr>
  </w:style>
  <w:style w:type="paragraph" w:styleId="GPSL5numberedclause" w:customStyle="1">
    <w:name w:val="GPS L5 numbered clause"/>
    <w:basedOn w:val="GPSL4numberedclause"/>
    <w:link w:val="GPSL5numberedclauseChar"/>
    <w:qFormat w:val="1"/>
    <w:rsid w:val="00C73F1E"/>
    <w:pPr>
      <w:numPr>
        <w:ilvl w:val="4"/>
      </w:numPr>
      <w:tabs>
        <w:tab w:val="clear" w:pos="2694"/>
        <w:tab w:val="num" w:pos="2160"/>
        <w:tab w:val="left" w:pos="3119"/>
      </w:tabs>
      <w:ind w:left="3119" w:hanging="425"/>
    </w:pPr>
  </w:style>
  <w:style w:type="paragraph" w:styleId="GPSL2NumberedBoldHeading" w:customStyle="1">
    <w:name w:val="GPS L2 Numbered Bold Heading"/>
    <w:basedOn w:val="Normal"/>
    <w:qFormat w:val="1"/>
    <w:rsid w:val="00C73F1E"/>
    <w:pPr>
      <w:tabs>
        <w:tab w:val="left" w:pos="1134"/>
        <w:tab w:val="num" w:pos="1440"/>
      </w:tabs>
      <w:adjustRightInd w:val="0"/>
      <w:spacing w:after="120" w:before="120" w:line="240" w:lineRule="auto"/>
      <w:ind w:left="1440" w:hanging="720"/>
      <w:jc w:val="both"/>
    </w:pPr>
    <w:rPr>
      <w:rFonts w:ascii="Arial" w:cs="Arial" w:eastAsia="Times New Roman" w:hAnsi="Arial"/>
      <w:b w:val="1"/>
      <w:lang w:eastAsia="zh-CN"/>
    </w:rPr>
  </w:style>
  <w:style w:type="paragraph" w:styleId="GPSL6numbered" w:customStyle="1">
    <w:name w:val="GPS L6 numbered"/>
    <w:basedOn w:val="GPSL5numberedclause"/>
    <w:qFormat w:val="1"/>
    <w:rsid w:val="00C73F1E"/>
    <w:pPr>
      <w:numPr>
        <w:ilvl w:val="5"/>
      </w:numPr>
      <w:tabs>
        <w:tab w:val="clear" w:pos="3119"/>
        <w:tab w:val="num" w:pos="360"/>
        <w:tab w:val="num" w:pos="2160"/>
        <w:tab w:val="left" w:pos="3969"/>
        <w:tab w:val="num" w:pos="4320"/>
      </w:tabs>
      <w:ind w:left="3969" w:hanging="850"/>
    </w:pPr>
  </w:style>
  <w:style w:type="character" w:styleId="GPSL5numberedclauseChar" w:customStyle="1">
    <w:name w:val="GPS L5 numbered clause Char"/>
    <w:basedOn w:val="DefaultParagraphFont"/>
    <w:link w:val="GPSL5numberedclause"/>
    <w:rsid w:val="00C73F1E"/>
    <w:rPr>
      <w:rFonts w:ascii="Arial" w:cs="Arial" w:eastAsia="Times New Roman" w:hAnsi="Arial"/>
      <w:lang w:eastAsia="zh-CN"/>
    </w:rPr>
  </w:style>
  <w:style w:type="paragraph" w:styleId="GPSL2Indent" w:customStyle="1">
    <w:name w:val="GPS L2 Indent"/>
    <w:basedOn w:val="Normal"/>
    <w:qFormat w:val="1"/>
    <w:rsid w:val="00C73F1E"/>
    <w:pPr>
      <w:overflowPunct w:val="0"/>
      <w:autoSpaceDE w:val="0"/>
      <w:autoSpaceDN w:val="0"/>
      <w:adjustRightInd w:val="0"/>
      <w:spacing w:after="220" w:line="240" w:lineRule="auto"/>
      <w:ind w:left="1134"/>
      <w:jc w:val="both"/>
      <w:textAlignment w:val="baseline"/>
    </w:pPr>
    <w:rPr>
      <w:rFonts w:ascii="Arial" w:cs="Arial" w:eastAsia="Times New Roman" w:hAnsi="Arial"/>
      <w:szCs w:val="24"/>
      <w:lang w:eastAsia="en-US"/>
    </w:rPr>
  </w:style>
  <w:style w:type="paragraph" w:styleId="GPSL2Numbered" w:customStyle="1">
    <w:name w:val="GPS L2 Numbered"/>
    <w:basedOn w:val="GPSL2NumberedBoldHeading"/>
    <w:link w:val="GPSL2NumberedChar"/>
    <w:qFormat w:val="1"/>
    <w:rsid w:val="00C73F1E"/>
    <w:rPr>
      <w:b w:val="0"/>
    </w:rPr>
  </w:style>
  <w:style w:type="character" w:styleId="GPSL2NumberedChar" w:customStyle="1">
    <w:name w:val="GPS L2 Numbered Char"/>
    <w:basedOn w:val="DefaultParagraphFont"/>
    <w:link w:val="GPSL2Numbered"/>
    <w:rsid w:val="00C73F1E"/>
    <w:rPr>
      <w:rFonts w:ascii="Arial" w:cs="Arial" w:eastAsia="Times New Roman" w:hAnsi="Arial"/>
      <w:lang w:eastAsia="zh-CN"/>
    </w:rPr>
  </w:style>
  <w:style w:type="paragraph" w:styleId="AppSub" w:customStyle="1">
    <w:name w:val="App Sub"/>
    <w:basedOn w:val="Normal"/>
    <w:next w:val="Normal"/>
    <w:uiPriority w:val="99"/>
    <w:rsid w:val="00197A49"/>
    <w:pPr>
      <w:tabs>
        <w:tab w:val="num" w:pos="720"/>
      </w:tabs>
      <w:spacing w:after="240" w:line="240" w:lineRule="auto"/>
      <w:ind w:left="720" w:hanging="720"/>
      <w:jc w:val="center"/>
    </w:pPr>
    <w:rPr>
      <w:rFonts w:ascii="Arial" w:cs="Times New Roman" w:eastAsia="Times New Roman" w:hAnsi="Arial"/>
      <w:b w:val="1"/>
      <w:caps w:val="1"/>
      <w:szCs w:val="20"/>
      <w:lang w:eastAsia="en-US"/>
    </w:rPr>
  </w:style>
  <w:style w:type="table" w:styleId="TableGrid1" w:customStyle="1">
    <w:name w:val="Table Grid1"/>
    <w:basedOn w:val="TableNormal"/>
    <w:next w:val="TableGrid"/>
    <w:uiPriority w:val="59"/>
    <w:rsid w:val="00197A49"/>
    <w:pPr>
      <w:overflowPunct w:val="0"/>
      <w:autoSpaceDE w:val="0"/>
      <w:autoSpaceDN w:val="0"/>
      <w:adjustRightInd w:val="0"/>
      <w:spacing w:after="0" w:line="240" w:lineRule="auto"/>
      <w:jc w:val="both"/>
      <w:textAlignment w:val="baseline"/>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59"/>
    <w:rsid w:val="00197A49"/>
    <w:pPr>
      <w:overflowPunct w:val="0"/>
      <w:autoSpaceDE w:val="0"/>
      <w:autoSpaceDN w:val="0"/>
      <w:adjustRightInd w:val="0"/>
      <w:spacing w:after="0" w:line="240" w:lineRule="auto"/>
      <w:jc w:val="both"/>
      <w:textAlignment w:val="baseline"/>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59"/>
    <w:rsid w:val="00197A49"/>
    <w:pPr>
      <w:overflowPunct w:val="0"/>
      <w:autoSpaceDE w:val="0"/>
      <w:autoSpaceDN w:val="0"/>
      <w:adjustRightInd w:val="0"/>
      <w:spacing w:after="0" w:line="240" w:lineRule="auto"/>
      <w:jc w:val="both"/>
    </w:pPr>
    <w:rPr>
      <w:rFonts w:ascii="Times New Roman" w:cs="Times New Roman" w:eastAsia="Times New Roman" w:hAnsi="Times New Roman"/>
      <w:sz w:val="20"/>
      <w:szCs w:val="2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semiHidden w:val="1"/>
    <w:rsid w:val="00197A49"/>
    <w:pPr>
      <w:adjustRightInd w:val="0"/>
      <w:spacing w:after="120" w:line="240" w:lineRule="auto"/>
      <w:ind w:left="720" w:hanging="720"/>
      <w:jc w:val="both"/>
    </w:pPr>
    <w:rPr>
      <w:rFonts w:ascii="Arial" w:cs="Times New Roman" w:eastAsia="STZhongsong" w:hAnsi="Arial"/>
      <w:sz w:val="18"/>
      <w:szCs w:val="20"/>
      <w:lang w:eastAsia="zh-CN"/>
    </w:rPr>
  </w:style>
  <w:style w:type="character" w:styleId="EndnoteTextChar" w:customStyle="1">
    <w:name w:val="Endnote Text Char"/>
    <w:basedOn w:val="DefaultParagraphFont"/>
    <w:link w:val="EndnoteText"/>
    <w:uiPriority w:val="99"/>
    <w:semiHidden w:val="1"/>
    <w:rsid w:val="00197A49"/>
    <w:rPr>
      <w:rFonts w:ascii="Arial" w:cs="Times New Roman" w:eastAsia="STZhongsong" w:hAnsi="Arial"/>
      <w:sz w:val="18"/>
      <w:szCs w:val="20"/>
      <w:lang w:eastAsia="zh-CN"/>
    </w:rPr>
  </w:style>
  <w:style w:type="paragraph" w:styleId="ListNumber3">
    <w:name w:val="List Number 3"/>
    <w:basedOn w:val="Normal"/>
    <w:uiPriority w:val="99"/>
    <w:rsid w:val="00FD54FA"/>
    <w:pPr>
      <w:tabs>
        <w:tab w:val="num" w:pos="720"/>
      </w:tabs>
      <w:spacing w:after="0" w:line="240" w:lineRule="auto"/>
      <w:ind w:left="720" w:hanging="720"/>
    </w:pPr>
    <w:rPr>
      <w:rFonts w:ascii="Arial" w:cs="Times New Roman" w:eastAsia="SimSun" w:hAnsi="Arial"/>
      <w:szCs w:val="24"/>
      <w:lang w:eastAsia="zh-CN"/>
    </w:rPr>
  </w:style>
  <w:style w:type="character" w:styleId="apple-converted-space" w:customStyle="1">
    <w:name w:val="apple-converted-space"/>
    <w:basedOn w:val="DefaultParagraphFont"/>
    <w:rsid w:val="001D562C"/>
  </w:style>
  <w:style w:type="paragraph" w:styleId="ScheduleL1" w:customStyle="1">
    <w:name w:val="Schedule L1"/>
    <w:basedOn w:val="Normal"/>
    <w:link w:val="ScheduleL1Char"/>
    <w:rsid w:val="00171307"/>
    <w:pPr>
      <w:tabs>
        <w:tab w:val="num" w:pos="720"/>
      </w:tabs>
      <w:spacing w:after="240" w:before="240" w:line="240" w:lineRule="auto"/>
      <w:ind w:left="720" w:hanging="720"/>
      <w:jc w:val="both"/>
    </w:pPr>
    <w:rPr>
      <w:rFonts w:ascii="Arial" w:cs="Arial" w:eastAsia="Times New Roman" w:hAnsi="Arial"/>
      <w:b w:val="1"/>
      <w:caps w:val="1"/>
      <w:szCs w:val="20"/>
      <w:lang w:eastAsia="en-US"/>
    </w:rPr>
  </w:style>
  <w:style w:type="character" w:styleId="ScheduleL1Char" w:customStyle="1">
    <w:name w:val="Schedule L1 Char"/>
    <w:basedOn w:val="DefaultParagraphFont"/>
    <w:link w:val="ScheduleL1"/>
    <w:rsid w:val="00171307"/>
    <w:rPr>
      <w:rFonts w:ascii="Arial" w:cs="Arial" w:eastAsia="Times New Roman" w:hAnsi="Arial"/>
      <w:b w:val="1"/>
      <w:caps w:val="1"/>
      <w:szCs w:val="20"/>
      <w:lang w:eastAsia="en-US"/>
    </w:rPr>
  </w:style>
  <w:style w:type="paragraph" w:styleId="Normal1" w:customStyle="1">
    <w:name w:val="Normal1"/>
    <w:rsid w:val="007D2983"/>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lang w:eastAsia="en-US"/>
    </w:rPr>
  </w:style>
  <w:style w:type="table" w:styleId="TableGrid4" w:customStyle="1">
    <w:name w:val="Table Grid4"/>
    <w:basedOn w:val="TableNormal"/>
    <w:next w:val="TableGrid"/>
    <w:uiPriority w:val="59"/>
    <w:rsid w:val="00FE4549"/>
    <w:pPr>
      <w:spacing w:after="0" w:line="240" w:lineRule="auto"/>
    </w:pPr>
    <w:rPr>
      <w:sz w:val="24"/>
      <w:szCs w:val="24"/>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A250D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6bJ3WlLn77fzJufAFIV3KhB84A==">AMUW2mX8bcT1Oc5p2GQap1es9fnqbgvMkHJer3CTAngqrzu52DgMZxvSNELYOtgEwd3C+YHHCctMMe5ndQXzHCLbly8dF+zElV/LQsE+TLCj21e92rW+jnlwzEGx1/5Zq6h33ko97f2TiAsUIkAkahKjSceCBJndkjxERpMULBacuvRuLfjMnH/KpyAZzSPDoq7kzHsA1MTFfAxCi+iQX2giFHBbkKQBkd1mLg41mnEz8rO2JaVvHRVoqqoEm2rl4OGxOj7ulNX32qB+fR9Qrpgi/B3cp0C9GZfRGIK1RogiAOPJ5xFkI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2022-04-01T09:27:00Z</dcterms:created>
  <dc:creator>lanel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y fmtid="{D5CDD505-2E9C-101B-9397-08002B2CF9AE}" pid="3" name="BASEPRECID">
    <vt:i4>17</vt:i4>
  </property>
  <property fmtid="{D5CDD505-2E9C-101B-9397-08002B2CF9AE}" pid="4" name="BASEPRECTYPE">
    <vt:lpwstr>BLANK</vt:lpwstr>
  </property>
  <property fmtid="{D5CDD505-2E9C-101B-9397-08002B2CF9AE}" pid="5" name="DOCID">
    <vt:i4>3886949</vt:i4>
  </property>
  <property fmtid="{D5CDD505-2E9C-101B-9397-08002B2CF9AE}" pid="6" name="COMPANYID">
    <vt:i4>2122615613</vt:i4>
  </property>
  <property fmtid="{D5CDD505-2E9C-101B-9397-08002B2CF9AE}" pid="7" name="SERIALNO">
    <vt:i4>11311</vt:i4>
  </property>
  <property fmtid="{D5CDD505-2E9C-101B-9397-08002B2CF9AE}" pid="8" name="EDITION">
    <vt:lpwstr>FM</vt:lpwstr>
  </property>
  <property fmtid="{D5CDD505-2E9C-101B-9397-08002B2CF9AE}" pid="9" name="CLIENTID">
    <vt:i4>2427</vt:i4>
  </property>
  <property fmtid="{D5CDD505-2E9C-101B-9397-08002B2CF9AE}" pid="10" name="FILEID">
    <vt:i4>90994</vt:i4>
  </property>
  <property fmtid="{D5CDD505-2E9C-101B-9397-08002B2CF9AE}" pid="11" name="ASSOCID">
    <vt:i4>413352</vt:i4>
  </property>
  <property fmtid="{D5CDD505-2E9C-101B-9397-08002B2CF9AE}" pid="12" name="DOCIDEX">
    <vt:lpwstr>8497480</vt:lpwstr>
  </property>
  <property fmtid="{D5CDD505-2E9C-101B-9397-08002B2CF9AE}" pid="13" name="VERSIONID">
    <vt:lpwstr>34165cc7-d983-4ddc-bf52-1a12f04693a1</vt:lpwstr>
  </property>
  <property fmtid="{D5CDD505-2E9C-101B-9397-08002B2CF9AE}" pid="14" name="VERSIONLABEL">
    <vt:lpwstr>3</vt:lpwstr>
  </property>
</Properties>
</file>