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7BCF" w14:textId="440C50CE" w:rsidR="00406C8F" w:rsidRDefault="000C67F1" w:rsidP="000C67F1">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2784D3FE" wp14:editId="2DC572FE">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406C8F">
        <w:rPr>
          <w:noProof/>
        </w:rPr>
        <w:drawing>
          <wp:anchor distT="0" distB="0" distL="114300" distR="114300" simplePos="0" relativeHeight="251659264" behindDoc="0" locked="0" layoutInCell="1" allowOverlap="1" wp14:anchorId="3C7EF679" wp14:editId="5128531C">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7CD1A0C4" w14:textId="77777777" w:rsidR="00406C8F" w:rsidRDefault="00406C8F" w:rsidP="00406C8F">
      <w:pPr>
        <w:spacing w:before="240"/>
        <w:jc w:val="center"/>
        <w:rPr>
          <w:b/>
          <w:caps/>
          <w:sz w:val="24"/>
          <w:szCs w:val="24"/>
        </w:rPr>
      </w:pPr>
    </w:p>
    <w:bookmarkEnd w:id="1"/>
    <w:p w14:paraId="111186FA" w14:textId="77777777" w:rsidR="00406C8F" w:rsidRDefault="00406C8F" w:rsidP="00406C8F">
      <w:pPr>
        <w:spacing w:before="240"/>
        <w:jc w:val="center"/>
        <w:rPr>
          <w:b/>
          <w:caps/>
          <w:sz w:val="24"/>
          <w:szCs w:val="24"/>
        </w:rPr>
      </w:pPr>
    </w:p>
    <w:p w14:paraId="6873DD64" w14:textId="77777777" w:rsidR="00406C8F" w:rsidRPr="002D0ED3" w:rsidRDefault="00406C8F" w:rsidP="00406C8F">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4001247D" w14:textId="77777777" w:rsidR="00406C8F" w:rsidRPr="002D0ED3" w:rsidRDefault="00406C8F" w:rsidP="00406C8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06E19D1D" w14:textId="77777777" w:rsidR="00406C8F" w:rsidRPr="002D0ED3" w:rsidRDefault="00406C8F" w:rsidP="00406C8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185522E0" w14:textId="77777777" w:rsidR="00406C8F" w:rsidRPr="00A33E00" w:rsidRDefault="00406C8F" w:rsidP="00406C8F">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1527ADD7" w14:textId="77777777" w:rsidR="00406C8F" w:rsidRPr="002D0ED3" w:rsidRDefault="00406C8F" w:rsidP="00406C8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2E44C901" w14:textId="77777777" w:rsidR="00406C8F" w:rsidRPr="002D0ED3" w:rsidRDefault="00406C8F" w:rsidP="00406C8F">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47B10453" w14:textId="77777777" w:rsidR="00910755" w:rsidRDefault="00910755">
      <w:pPr>
        <w:overflowPunct/>
        <w:autoSpaceDE/>
        <w:autoSpaceDN/>
        <w:adjustRightInd/>
        <w:textAlignment w:val="auto"/>
        <w:rPr>
          <w:rFonts w:ascii="Arial" w:eastAsia="Arial" w:hAnsi="Arial"/>
          <w:b/>
          <w:smallCaps/>
          <w:color w:val="000000"/>
          <w:sz w:val="24"/>
          <w:szCs w:val="24"/>
        </w:rPr>
      </w:pPr>
      <w:r>
        <w:rPr>
          <w:rFonts w:ascii="Arial" w:eastAsia="Arial" w:hAnsi="Arial"/>
          <w:b/>
          <w:smallCaps/>
          <w:color w:val="000000"/>
          <w:sz w:val="24"/>
          <w:szCs w:val="24"/>
        </w:rPr>
        <w:br w:type="page"/>
      </w:r>
    </w:p>
    <w:p w14:paraId="461D297B" w14:textId="40E21645" w:rsidR="003207E0" w:rsidRDefault="00910755" w:rsidP="00910755">
      <w:pPr>
        <w:pBdr>
          <w:top w:val="nil"/>
          <w:left w:val="nil"/>
          <w:bottom w:val="nil"/>
          <w:right w:val="nil"/>
          <w:between w:val="nil"/>
        </w:pBdr>
        <w:tabs>
          <w:tab w:val="left" w:pos="2280"/>
        </w:tabs>
        <w:spacing w:after="0"/>
        <w:jc w:val="left"/>
        <w:rPr>
          <w:rFonts w:ascii="Arial" w:eastAsia="Arial" w:hAnsi="Arial"/>
          <w:b/>
          <w:smallCaps/>
          <w:color w:val="000000"/>
          <w:sz w:val="24"/>
          <w:szCs w:val="24"/>
        </w:rPr>
      </w:pPr>
      <w:r>
        <w:rPr>
          <w:rFonts w:ascii="Arial" w:eastAsia="Arial" w:hAnsi="Arial"/>
          <w:b/>
          <w:smallCaps/>
          <w:color w:val="000000"/>
          <w:sz w:val="24"/>
          <w:szCs w:val="24"/>
        </w:rPr>
        <w:lastRenderedPageBreak/>
        <w:tab/>
      </w:r>
    </w:p>
    <w:p w14:paraId="00000002" w14:textId="77777777" w:rsidR="003207E0" w:rsidRDefault="00012573">
      <w:pPr>
        <w:pBdr>
          <w:top w:val="nil"/>
          <w:left w:val="nil"/>
          <w:bottom w:val="nil"/>
          <w:right w:val="nil"/>
          <w:between w:val="nil"/>
        </w:pBdr>
        <w:tabs>
          <w:tab w:val="center" w:pos="4513"/>
          <w:tab w:val="right" w:pos="9026"/>
        </w:tabs>
        <w:spacing w:after="0"/>
        <w:jc w:val="left"/>
        <w:rPr>
          <w:rFonts w:ascii="Arial" w:eastAsia="Arial" w:hAnsi="Arial"/>
          <w:b/>
          <w:color w:val="000000"/>
          <w:sz w:val="36"/>
          <w:szCs w:val="36"/>
        </w:rPr>
      </w:pPr>
      <w:r>
        <w:rPr>
          <w:rFonts w:ascii="Arial" w:eastAsia="Arial" w:hAnsi="Arial"/>
          <w:b/>
          <w:color w:val="000000"/>
          <w:sz w:val="36"/>
          <w:szCs w:val="36"/>
        </w:rPr>
        <w:t>Call-Off Schedule</w:t>
      </w:r>
      <w:r>
        <w:rPr>
          <w:rFonts w:ascii="Arial" w:eastAsia="Arial" w:hAnsi="Arial"/>
          <w:b/>
          <w:color w:val="000000"/>
          <w:sz w:val="36"/>
          <w:szCs w:val="36"/>
          <w:highlight w:val="white"/>
        </w:rPr>
        <w:t xml:space="preserve"> </w:t>
      </w:r>
      <w:r>
        <w:rPr>
          <w:rFonts w:ascii="Arial" w:eastAsia="Arial" w:hAnsi="Arial"/>
          <w:b/>
          <w:sz w:val="36"/>
          <w:szCs w:val="36"/>
          <w:highlight w:val="white"/>
        </w:rPr>
        <w:t>26</w:t>
      </w:r>
      <w:r>
        <w:rPr>
          <w:rFonts w:ascii="Arial" w:eastAsia="Arial" w:hAnsi="Arial"/>
          <w:b/>
          <w:color w:val="000000"/>
          <w:sz w:val="36"/>
          <w:szCs w:val="36"/>
          <w:highlight w:val="white"/>
        </w:rPr>
        <w:t xml:space="preserve"> </w:t>
      </w:r>
      <w:r>
        <w:rPr>
          <w:rFonts w:ascii="Arial" w:eastAsia="Arial" w:hAnsi="Arial"/>
          <w:b/>
          <w:color w:val="000000"/>
          <w:sz w:val="36"/>
          <w:szCs w:val="36"/>
        </w:rPr>
        <w:t xml:space="preserve">(Buyer Remedies for Default and Step in Rights) </w:t>
      </w:r>
    </w:p>
    <w:p w14:paraId="00000003" w14:textId="77777777" w:rsidR="003207E0" w:rsidRDefault="003207E0">
      <w:pPr>
        <w:pBdr>
          <w:top w:val="nil"/>
          <w:left w:val="nil"/>
          <w:bottom w:val="nil"/>
          <w:right w:val="nil"/>
          <w:between w:val="nil"/>
        </w:pBdr>
        <w:tabs>
          <w:tab w:val="center" w:pos="4513"/>
          <w:tab w:val="right" w:pos="9026"/>
        </w:tabs>
        <w:spacing w:after="0"/>
        <w:jc w:val="left"/>
        <w:rPr>
          <w:rFonts w:ascii="Arial" w:eastAsia="Arial" w:hAnsi="Arial"/>
          <w:b/>
          <w:smallCaps/>
          <w:color w:val="000000"/>
          <w:sz w:val="24"/>
          <w:szCs w:val="24"/>
        </w:rPr>
      </w:pPr>
    </w:p>
    <w:p w14:paraId="00000004" w14:textId="77777777" w:rsidR="003207E0" w:rsidRDefault="00012573">
      <w:pPr>
        <w:numPr>
          <w:ilvl w:val="0"/>
          <w:numId w:val="1"/>
        </w:numPr>
        <w:pBdr>
          <w:top w:val="nil"/>
          <w:left w:val="nil"/>
          <w:bottom w:val="nil"/>
          <w:right w:val="nil"/>
          <w:between w:val="nil"/>
        </w:pBdr>
        <w:tabs>
          <w:tab w:val="left" w:pos="175"/>
        </w:tabs>
        <w:spacing w:after="120"/>
        <w:rPr>
          <w:color w:val="000000"/>
          <w:sz w:val="24"/>
          <w:szCs w:val="24"/>
        </w:rPr>
      </w:pPr>
      <w:r>
        <w:rPr>
          <w:rFonts w:ascii="Arial" w:eastAsia="Arial" w:hAnsi="Arial"/>
          <w:b/>
          <w:color w:val="000000"/>
          <w:sz w:val="24"/>
          <w:szCs w:val="24"/>
        </w:rPr>
        <w:t xml:space="preserve">Buyer Remedies for Default and </w:t>
      </w:r>
      <w:r>
        <w:rPr>
          <w:rFonts w:ascii="Arial" w:eastAsia="Arial" w:hAnsi="Arial"/>
          <w:b/>
          <w:sz w:val="24"/>
          <w:szCs w:val="24"/>
        </w:rPr>
        <w:t>s</w:t>
      </w:r>
      <w:r>
        <w:rPr>
          <w:rFonts w:ascii="Arial" w:eastAsia="Arial" w:hAnsi="Arial"/>
          <w:b/>
          <w:color w:val="000000"/>
          <w:sz w:val="24"/>
          <w:szCs w:val="24"/>
        </w:rPr>
        <w:t xml:space="preserve">tep in </w:t>
      </w:r>
      <w:r>
        <w:rPr>
          <w:rFonts w:ascii="Arial" w:eastAsia="Arial" w:hAnsi="Arial"/>
          <w:b/>
          <w:sz w:val="24"/>
          <w:szCs w:val="24"/>
        </w:rPr>
        <w:t>r</w:t>
      </w:r>
      <w:r>
        <w:rPr>
          <w:rFonts w:ascii="Arial" w:eastAsia="Arial" w:hAnsi="Arial"/>
          <w:b/>
          <w:color w:val="000000"/>
          <w:sz w:val="24"/>
          <w:szCs w:val="24"/>
        </w:rPr>
        <w:t>ights</w:t>
      </w:r>
    </w:p>
    <w:p w14:paraId="00000005" w14:textId="77777777" w:rsidR="003207E0" w:rsidRDefault="00012573">
      <w:pPr>
        <w:numPr>
          <w:ilvl w:val="1"/>
          <w:numId w:val="1"/>
        </w:numPr>
        <w:pBdr>
          <w:top w:val="nil"/>
          <w:left w:val="nil"/>
          <w:bottom w:val="nil"/>
          <w:right w:val="nil"/>
          <w:between w:val="nil"/>
        </w:pBdr>
        <w:tabs>
          <w:tab w:val="left" w:pos="175"/>
        </w:tabs>
        <w:spacing w:after="120"/>
        <w:ind w:hanging="359"/>
        <w:rPr>
          <w:color w:val="000000"/>
          <w:sz w:val="24"/>
          <w:szCs w:val="24"/>
        </w:rPr>
      </w:pPr>
      <w:bookmarkStart w:id="3" w:name="_heading=h.30j0zll" w:colFirst="0" w:colLast="0"/>
      <w:bookmarkEnd w:id="3"/>
      <w:r>
        <w:rPr>
          <w:rFonts w:ascii="Arial" w:eastAsia="Arial" w:hAnsi="Arial"/>
          <w:color w:val="000000"/>
          <w:sz w:val="24"/>
          <w:szCs w:val="24"/>
        </w:rPr>
        <w:t>Without prejudice to any other right or remedy of the Buyer howsoever arising (including under Framework Schedule 6 (Order Form and Call-Off Schedules Template) and subject to the exclusive financial remedy provisions in Paragraph 2.4 of Call-Off Schedule 14 (Key Performance Indicators) and Paragraph 6.1.2 [concerning Delay Payments] of Part A of Call-Off Schedule 13 (Mobilisation Plan and Testing), if the Supplier commits any Default of this Call-Off  Contract then the Buyer may (whether or not any part of the Deliverables have been Delivered) do any of the following:</w:t>
      </w:r>
    </w:p>
    <w:p w14:paraId="00000006" w14:textId="77777777" w:rsidR="003207E0" w:rsidRDefault="00012573">
      <w:pPr>
        <w:numPr>
          <w:ilvl w:val="2"/>
          <w:numId w:val="1"/>
        </w:numPr>
        <w:pBdr>
          <w:top w:val="nil"/>
          <w:left w:val="nil"/>
          <w:bottom w:val="nil"/>
          <w:right w:val="nil"/>
          <w:between w:val="nil"/>
        </w:pBdr>
        <w:tabs>
          <w:tab w:val="left" w:pos="175"/>
        </w:tabs>
        <w:spacing w:after="120"/>
        <w:rPr>
          <w:color w:val="000000"/>
          <w:sz w:val="24"/>
          <w:szCs w:val="24"/>
        </w:rPr>
      </w:pPr>
      <w:r>
        <w:rPr>
          <w:rFonts w:ascii="Arial" w:eastAsia="Arial" w:hAnsi="Arial"/>
          <w:color w:val="000000"/>
          <w:sz w:val="24"/>
          <w:szCs w:val="24"/>
        </w:rPr>
        <w:t>at the Buyer's option, give the Supplier the opportunity (at the Supplier's expense) to remedy the Default together with any damage resulting from such Default (where such Default is capable of remedy) or to supply Replacement Deliverables and carry out any other necessary work to ensure that the terms of this Call-Off  Contract are fulfilled, in accordance with the Buyer's instructions;</w:t>
      </w:r>
    </w:p>
    <w:p w14:paraId="00000007" w14:textId="77777777" w:rsidR="003207E0" w:rsidRDefault="00012573">
      <w:pPr>
        <w:numPr>
          <w:ilvl w:val="2"/>
          <w:numId w:val="1"/>
        </w:numPr>
        <w:pBdr>
          <w:top w:val="nil"/>
          <w:left w:val="nil"/>
          <w:bottom w:val="nil"/>
          <w:right w:val="nil"/>
          <w:between w:val="nil"/>
        </w:pBdr>
        <w:tabs>
          <w:tab w:val="left" w:pos="175"/>
        </w:tabs>
        <w:spacing w:after="120"/>
        <w:rPr>
          <w:color w:val="000000"/>
          <w:sz w:val="24"/>
          <w:szCs w:val="24"/>
        </w:rPr>
      </w:pPr>
      <w:r>
        <w:rPr>
          <w:rFonts w:ascii="Arial" w:eastAsia="Arial" w:hAnsi="Arial"/>
          <w:color w:val="000000"/>
          <w:sz w:val="24"/>
          <w:szCs w:val="24"/>
        </w:rPr>
        <w:t>where the option to remedy has been provided but the Supplier failed to remedy the Default the Buyer may itself carry out, at the Supplier's expense, any work necessary to make the provision of the Deliverables comply with this Call-Off Contract</w:t>
      </w:r>
    </w:p>
    <w:p w14:paraId="00000008" w14:textId="77777777" w:rsidR="003207E0" w:rsidRDefault="00012573">
      <w:pPr>
        <w:numPr>
          <w:ilvl w:val="2"/>
          <w:numId w:val="1"/>
        </w:numPr>
        <w:pBdr>
          <w:top w:val="nil"/>
          <w:left w:val="nil"/>
          <w:bottom w:val="nil"/>
          <w:right w:val="nil"/>
          <w:between w:val="nil"/>
        </w:pBdr>
        <w:tabs>
          <w:tab w:val="left" w:pos="175"/>
        </w:tabs>
        <w:spacing w:after="120"/>
        <w:rPr>
          <w:color w:val="000000"/>
          <w:sz w:val="24"/>
          <w:szCs w:val="24"/>
        </w:rPr>
      </w:pPr>
      <w:r>
        <w:rPr>
          <w:rFonts w:ascii="Arial" w:eastAsia="Arial" w:hAnsi="Arial"/>
          <w:color w:val="000000"/>
          <w:sz w:val="24"/>
          <w:szCs w:val="24"/>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00000009" w14:textId="77777777" w:rsidR="003207E0" w:rsidRDefault="00012573">
      <w:pPr>
        <w:numPr>
          <w:ilvl w:val="3"/>
          <w:numId w:val="1"/>
        </w:numPr>
        <w:pBdr>
          <w:top w:val="nil"/>
          <w:left w:val="nil"/>
          <w:bottom w:val="nil"/>
          <w:right w:val="nil"/>
          <w:between w:val="nil"/>
        </w:pBdr>
        <w:tabs>
          <w:tab w:val="left" w:pos="175"/>
        </w:tabs>
        <w:spacing w:after="120"/>
        <w:rPr>
          <w:color w:val="000000"/>
          <w:sz w:val="24"/>
          <w:szCs w:val="24"/>
        </w:rPr>
      </w:pPr>
      <w:r>
        <w:rPr>
          <w:rFonts w:ascii="Arial" w:eastAsia="Arial" w:hAnsi="Arial"/>
          <w:color w:val="000000"/>
          <w:sz w:val="24"/>
          <w:szCs w:val="24"/>
        </w:rPr>
        <w:t>instruct the Supplier to comply with the Rectification Plan Process;  </w:t>
      </w:r>
    </w:p>
    <w:p w14:paraId="0000000A" w14:textId="77777777" w:rsidR="003207E0" w:rsidRDefault="00012573">
      <w:pPr>
        <w:numPr>
          <w:ilvl w:val="3"/>
          <w:numId w:val="1"/>
        </w:numPr>
        <w:pBdr>
          <w:top w:val="nil"/>
          <w:left w:val="nil"/>
          <w:bottom w:val="nil"/>
          <w:right w:val="nil"/>
          <w:between w:val="nil"/>
        </w:pBdr>
        <w:tabs>
          <w:tab w:val="left" w:pos="175"/>
        </w:tabs>
        <w:spacing w:after="120"/>
        <w:rPr>
          <w:color w:val="000000"/>
          <w:sz w:val="24"/>
          <w:szCs w:val="24"/>
        </w:rPr>
      </w:pPr>
      <w:r>
        <w:rPr>
          <w:rFonts w:ascii="Arial" w:eastAsia="Arial" w:hAnsi="Arial"/>
          <w:color w:val="000000"/>
          <w:sz w:val="24"/>
          <w:szCs w:val="24"/>
        </w:rPr>
        <w:t>suspend this Call-Off Contract (whereupon the relevant provisions of Clause 10.7 Core Terms (Partially ending and suspending the contract) shall apply) and step-in to itself supply or procure a third party to supply (in whole or in part) the Deliverables;</w:t>
      </w:r>
    </w:p>
    <w:p w14:paraId="0000000B" w14:textId="77777777" w:rsidR="003207E0" w:rsidRDefault="00012573">
      <w:pPr>
        <w:numPr>
          <w:ilvl w:val="3"/>
          <w:numId w:val="1"/>
        </w:numPr>
        <w:pBdr>
          <w:top w:val="nil"/>
          <w:left w:val="nil"/>
          <w:bottom w:val="nil"/>
          <w:right w:val="nil"/>
          <w:between w:val="nil"/>
        </w:pBdr>
        <w:tabs>
          <w:tab w:val="left" w:pos="175"/>
        </w:tabs>
        <w:spacing w:after="120"/>
        <w:rPr>
          <w:color w:val="000000"/>
          <w:sz w:val="24"/>
          <w:szCs w:val="24"/>
        </w:rPr>
      </w:pPr>
      <w:r>
        <w:rPr>
          <w:rFonts w:ascii="Arial" w:eastAsia="Arial" w:hAnsi="Arial"/>
          <w:color w:val="000000"/>
          <w:sz w:val="24"/>
          <w:szCs w:val="24"/>
        </w:rPr>
        <w:t>without terminating or suspending the whole of this Call-Off  Contract, terminate or suspend this Call-Off  Contract in respect of part of the provision of the Deliverables only (whereupon the relevant provisions of Clauses 10.7 Core Terms (Partially ending and suspending the contract) and step-in to itself supply or procure a third party to supply (in whole or in part) such part of the Deliverables; </w:t>
      </w:r>
    </w:p>
    <w:p w14:paraId="0000000C" w14:textId="77777777" w:rsidR="003207E0" w:rsidRDefault="00012573">
      <w:pPr>
        <w:numPr>
          <w:ilvl w:val="3"/>
          <w:numId w:val="1"/>
        </w:numPr>
        <w:pBdr>
          <w:top w:val="nil"/>
          <w:left w:val="nil"/>
          <w:bottom w:val="nil"/>
          <w:right w:val="nil"/>
          <w:between w:val="nil"/>
        </w:pBdr>
        <w:tabs>
          <w:tab w:val="left" w:pos="175"/>
        </w:tabs>
        <w:spacing w:after="120"/>
        <w:rPr>
          <w:color w:val="000000"/>
          <w:sz w:val="24"/>
          <w:szCs w:val="24"/>
        </w:rPr>
      </w:pPr>
      <w:r>
        <w:rPr>
          <w:rFonts w:ascii="Arial" w:eastAsia="Arial" w:hAnsi="Arial"/>
          <w:color w:val="000000"/>
          <w:sz w:val="24"/>
          <w:szCs w:val="24"/>
        </w:rPr>
        <w:lastRenderedPageBreak/>
        <w:t>Where the Buyer exercises any of its step-in rights under Paragraphs 1.1.3 (b) or 1.1.3 (c) , the Buyer shall have the right to charge the Supplier for and the Supplier shall on demand pay any Costs reasonably incurred by the Buyer (including any reasonable administration costs) in respect of the supply of any part of the Deliverables by the Buyer or a third party and provided that the Buyer uses its reasonable endeavours to mitigate any additional expenditure in obtaining Replacement Deliverables.</w:t>
      </w:r>
    </w:p>
    <w:p w14:paraId="0000000D" w14:textId="77777777" w:rsidR="003207E0" w:rsidRDefault="003207E0">
      <w:pPr>
        <w:rPr>
          <w:rFonts w:ascii="Arial" w:eastAsia="Arial" w:hAnsi="Arial"/>
          <w:sz w:val="24"/>
          <w:szCs w:val="24"/>
        </w:rPr>
      </w:pPr>
      <w:bookmarkStart w:id="4" w:name="_heading=h.3dy6vkm" w:colFirst="0" w:colLast="0"/>
      <w:bookmarkEnd w:id="4"/>
    </w:p>
    <w:sectPr w:rsidR="003207E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F201" w14:textId="77777777" w:rsidR="00F56380" w:rsidRDefault="00F56380">
      <w:pPr>
        <w:spacing w:after="0"/>
      </w:pPr>
      <w:r>
        <w:separator/>
      </w:r>
    </w:p>
  </w:endnote>
  <w:endnote w:type="continuationSeparator" w:id="0">
    <w:p w14:paraId="6AAFA8EA" w14:textId="77777777" w:rsidR="00F56380" w:rsidRDefault="00F56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3207E0" w:rsidRDefault="003207E0">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314648"/>
      <w:docPartObj>
        <w:docPartGallery w:val="Page Numbers (Bottom of Page)"/>
        <w:docPartUnique/>
      </w:docPartObj>
    </w:sdtPr>
    <w:sdtEndPr/>
    <w:sdtContent>
      <w:sdt>
        <w:sdtPr>
          <w:id w:val="-1769616900"/>
          <w:docPartObj>
            <w:docPartGallery w:val="Page Numbers (Top of Page)"/>
            <w:docPartUnique/>
          </w:docPartObj>
        </w:sdtPr>
        <w:sdtEndPr/>
        <w:sdtContent>
          <w:p w14:paraId="39FE4A86" w14:textId="5641FE24" w:rsidR="00910755" w:rsidRDefault="009107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D76B76" w14:textId="77777777" w:rsidR="00910755" w:rsidRDefault="00910755" w:rsidP="00910755">
    <w:pPr>
      <w:pBdr>
        <w:top w:val="nil"/>
        <w:left w:val="nil"/>
        <w:bottom w:val="nil"/>
        <w:right w:val="nil"/>
        <w:between w:val="nil"/>
      </w:pBdr>
      <w:tabs>
        <w:tab w:val="center" w:pos="4513"/>
        <w:tab w:val="right" w:pos="9026"/>
      </w:tabs>
      <w:spacing w:after="0"/>
      <w:rPr>
        <w:rFonts w:ascii="Arial" w:eastAsia="Arial" w:hAnsi="Arial"/>
        <w:b/>
        <w:color w:val="000000"/>
        <w:sz w:val="20"/>
        <w:szCs w:val="20"/>
      </w:rPr>
    </w:pPr>
    <w:bookmarkStart w:id="5" w:name="_Hlk114839142"/>
    <w:bookmarkStart w:id="6" w:name="_Hlk114839143"/>
    <w:bookmarkStart w:id="7" w:name="_Hlk115854819"/>
    <w:bookmarkStart w:id="8" w:name="_Hlk115854820"/>
    <w:bookmarkStart w:id="9" w:name="_Hlk115854823"/>
    <w:bookmarkStart w:id="10" w:name="_Hlk115854824"/>
    <w:bookmarkStart w:id="11" w:name="_Hlk115854973"/>
    <w:bookmarkStart w:id="12" w:name="_Hlk115854974"/>
    <w:bookmarkStart w:id="13" w:name="_Hlk115854979"/>
    <w:bookmarkStart w:id="14" w:name="_Hlk115854980"/>
    <w:bookmarkStart w:id="15" w:name="_Hlk115855441"/>
    <w:bookmarkStart w:id="16" w:name="_Hlk115855442"/>
    <w:bookmarkStart w:id="17" w:name="_Hlk115855632"/>
    <w:bookmarkStart w:id="18" w:name="_Hlk115855633"/>
    <w:r>
      <w:rPr>
        <w:rFonts w:ascii="Arial" w:eastAsia="Arial" w:hAnsi="Arial"/>
        <w:b/>
        <w:color w:val="000000"/>
        <w:sz w:val="20"/>
        <w:szCs w:val="20"/>
      </w:rPr>
      <w:t>Call-Off Sche</w:t>
    </w:r>
    <w:r>
      <w:rPr>
        <w:rFonts w:ascii="Arial" w:eastAsia="Arial" w:hAnsi="Arial"/>
        <w:b/>
        <w:color w:val="000000"/>
        <w:sz w:val="20"/>
        <w:szCs w:val="20"/>
        <w:highlight w:val="white"/>
      </w:rPr>
      <w:t xml:space="preserve">dule </w:t>
    </w:r>
    <w:r>
      <w:rPr>
        <w:rFonts w:ascii="Arial" w:eastAsia="Arial" w:hAnsi="Arial"/>
        <w:b/>
        <w:sz w:val="20"/>
        <w:szCs w:val="20"/>
        <w:highlight w:val="white"/>
      </w:rPr>
      <w:t>26</w:t>
    </w:r>
    <w:r>
      <w:rPr>
        <w:rFonts w:ascii="Arial" w:eastAsia="Arial" w:hAnsi="Arial"/>
        <w:b/>
        <w:color w:val="000000"/>
        <w:sz w:val="20"/>
        <w:szCs w:val="20"/>
        <w:highlight w:val="white"/>
      </w:rPr>
      <w:t xml:space="preserve"> </w:t>
    </w:r>
    <w:r>
      <w:rPr>
        <w:rFonts w:ascii="Arial" w:eastAsia="Arial" w:hAnsi="Arial"/>
        <w:b/>
        <w:color w:val="000000"/>
        <w:sz w:val="20"/>
        <w:szCs w:val="20"/>
      </w:rPr>
      <w:t>(Buyer Remedies for Default and Step in Rights)</w:t>
    </w:r>
  </w:p>
  <w:p w14:paraId="6B6C002B" w14:textId="77777777" w:rsidR="00910755" w:rsidRDefault="00910755" w:rsidP="00910755">
    <w:pPr>
      <w:spacing w:after="0"/>
      <w:rPr>
        <w:rFonts w:ascii="Arial" w:eastAsia="Arial" w:hAnsi="Arial"/>
        <w:sz w:val="20"/>
        <w:szCs w:val="20"/>
      </w:rPr>
    </w:pPr>
    <w:r>
      <w:rPr>
        <w:rFonts w:ascii="Arial" w:eastAsia="Arial" w:hAnsi="Arial"/>
        <w:sz w:val="20"/>
        <w:szCs w:val="20"/>
      </w:rPr>
      <w:t>Ref: RM6232</w:t>
    </w:r>
    <w:r>
      <w:rPr>
        <w:rFonts w:ascii="Arial" w:eastAsia="Arial" w:hAnsi="Arial"/>
        <w:sz w:val="20"/>
        <w:szCs w:val="20"/>
      </w:rPr>
      <w:tab/>
      <w:t xml:space="preserve">                                           </w:t>
    </w:r>
  </w:p>
  <w:p w14:paraId="0000001E" w14:textId="4BF0769B" w:rsidR="003207E0" w:rsidRPr="00910755" w:rsidRDefault="00910755" w:rsidP="00910755">
    <w:pPr>
      <w:spacing w:after="0"/>
      <w:rPr>
        <w:rFonts w:ascii="Arial" w:eastAsia="Arial" w:hAnsi="Arial"/>
        <w:sz w:val="20"/>
        <w:szCs w:val="20"/>
      </w:rPr>
    </w:pPr>
    <w:r>
      <w:rPr>
        <w:rFonts w:ascii="Arial" w:eastAsia="Arial" w:hAnsi="Arial"/>
        <w:color w:val="000000"/>
        <w:sz w:val="20"/>
        <w:szCs w:val="20"/>
      </w:rPr>
      <w:t xml:space="preserve">Crown Copyright </w:t>
    </w:r>
    <w:r>
      <w:rPr>
        <w:rFonts w:ascii="Arial" w:eastAsia="Arial" w:hAnsi="Arial"/>
        <w:sz w:val="20"/>
        <w:szCs w:val="20"/>
      </w:rPr>
      <w:t>2022 ©</w:t>
    </w:r>
    <w:bookmarkEnd w:id="5"/>
    <w:bookmarkEnd w:id="6"/>
    <w:bookmarkEnd w:id="7"/>
    <w:bookmarkEnd w:id="8"/>
    <w:bookmarkEnd w:id="9"/>
    <w:bookmarkEnd w:id="10"/>
    <w:bookmarkEnd w:id="11"/>
    <w:bookmarkEnd w:id="12"/>
    <w:bookmarkEnd w:id="13"/>
    <w:bookmarkEnd w:id="14"/>
    <w:bookmarkEnd w:id="15"/>
    <w:bookmarkEnd w:id="16"/>
    <w:bookmarkEnd w:id="17"/>
    <w:bookmarkEnd w:id="1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3207E0" w:rsidRDefault="003207E0">
    <w:pPr>
      <w:tabs>
        <w:tab w:val="center" w:pos="4513"/>
        <w:tab w:val="right" w:pos="9026"/>
      </w:tabs>
      <w:spacing w:after="0"/>
      <w:rPr>
        <w:rFonts w:ascii="Arial" w:eastAsia="Arial" w:hAnsi="Arial"/>
        <w:color w:val="A6A6A6"/>
        <w:sz w:val="20"/>
        <w:szCs w:val="20"/>
      </w:rPr>
    </w:pPr>
  </w:p>
  <w:p w14:paraId="00000018" w14:textId="77777777" w:rsidR="003207E0" w:rsidRDefault="00012573">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19" w14:textId="77777777" w:rsidR="003207E0" w:rsidRDefault="00012573">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000001A" w14:textId="77777777" w:rsidR="003207E0" w:rsidRDefault="00012573">
    <w:pPr>
      <w:pBdr>
        <w:top w:val="nil"/>
        <w:left w:val="nil"/>
        <w:bottom w:val="nil"/>
        <w:right w:val="nil"/>
        <w:between w:val="nil"/>
      </w:pBdr>
      <w:tabs>
        <w:tab w:val="center" w:pos="4513"/>
        <w:tab w:val="right" w:pos="9026"/>
      </w:tabs>
      <w:spacing w:after="0"/>
      <w:rPr>
        <w:color w:val="A6A6A6"/>
      </w:rPr>
    </w:pPr>
    <w:r>
      <w:rPr>
        <w:rFonts w:ascii="Arial" w:eastAsia="Arial" w:hAnsi="Arial"/>
        <w:color w:val="A6A6A6"/>
        <w:sz w:val="20"/>
        <w:szCs w:val="20"/>
      </w:rPr>
      <w:t>Model Version : v3.0</w:t>
    </w:r>
    <w:r>
      <w:rPr>
        <w:rFonts w:ascii="Arial" w:eastAsia="Arial" w:hAnsi="Arial"/>
        <w:color w:val="A6A6A6"/>
        <w:sz w:val="20"/>
        <w:szCs w:val="20"/>
      </w:rPr>
      <w:tab/>
    </w:r>
    <w:r>
      <w:rPr>
        <w:rFonts w:ascii="Arial" w:eastAsia="Arial" w:hAnsi="Arial"/>
        <w:color w:val="A6A6A6"/>
        <w:sz w:val="20"/>
        <w:szCs w:val="20"/>
      </w:rPr>
      <w:tab/>
    </w:r>
    <w:r>
      <w:rPr>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F7CB2" w14:textId="77777777" w:rsidR="00F56380" w:rsidRDefault="00F56380">
      <w:pPr>
        <w:spacing w:after="0"/>
      </w:pPr>
      <w:r>
        <w:separator/>
      </w:r>
    </w:p>
  </w:footnote>
  <w:footnote w:type="continuationSeparator" w:id="0">
    <w:p w14:paraId="0D9750B9" w14:textId="77777777" w:rsidR="00F56380" w:rsidRDefault="00F563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3207E0" w:rsidRDefault="003207E0">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704D12D4" w:rsidR="003207E0" w:rsidRDefault="00910755" w:rsidP="00910755">
    <w:pPr>
      <w:pBdr>
        <w:top w:val="nil"/>
        <w:left w:val="nil"/>
        <w:bottom w:val="nil"/>
        <w:right w:val="nil"/>
        <w:between w:val="nil"/>
      </w:pBdr>
      <w:tabs>
        <w:tab w:val="center" w:pos="4513"/>
        <w:tab w:val="right" w:pos="9026"/>
      </w:tabs>
      <w:spacing w:after="0"/>
      <w:jc w:val="center"/>
      <w:rPr>
        <w:rFonts w:ascii="Arial" w:eastAsia="Arial" w:hAnsi="Arial"/>
        <w:color w:val="000000"/>
        <w:sz w:val="20"/>
        <w:szCs w:val="20"/>
      </w:rPr>
    </w:pPr>
    <w:r>
      <w:rPr>
        <w:rFonts w:ascii="Arial" w:eastAsia="Arial" w:hAnsi="Arial"/>
        <w:b/>
        <w:color w:val="000000"/>
        <w:sz w:val="20"/>
        <w:szCs w:val="20"/>
      </w:rPr>
      <w:t>OFFICIAL SENSITIVE</w:t>
    </w:r>
  </w:p>
  <w:p w14:paraId="00000011" w14:textId="77777777" w:rsidR="003207E0" w:rsidRDefault="003207E0">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7777777" w:rsidR="003207E0" w:rsidRDefault="003207E0">
    <w:pPr>
      <w:pBdr>
        <w:top w:val="nil"/>
        <w:left w:val="nil"/>
        <w:bottom w:val="nil"/>
        <w:right w:val="nil"/>
        <w:between w:val="nil"/>
      </w:pBdr>
      <w:tabs>
        <w:tab w:val="center" w:pos="4513"/>
        <w:tab w:val="right" w:pos="9026"/>
      </w:tabs>
      <w:spacing w:after="0"/>
      <w:rPr>
        <w:color w:val="000000"/>
      </w:rPr>
    </w:pPr>
  </w:p>
  <w:p w14:paraId="00000014" w14:textId="77777777" w:rsidR="003207E0" w:rsidRDefault="003207E0">
    <w:pPr>
      <w:pBdr>
        <w:top w:val="nil"/>
        <w:left w:val="nil"/>
        <w:bottom w:val="nil"/>
        <w:right w:val="nil"/>
        <w:between w:val="nil"/>
      </w:pBdr>
      <w:tabs>
        <w:tab w:val="center" w:pos="4513"/>
        <w:tab w:val="right" w:pos="9026"/>
      </w:tabs>
      <w:spacing w:after="0"/>
      <w:rPr>
        <w:color w:val="000000"/>
      </w:rPr>
    </w:pPr>
  </w:p>
  <w:p w14:paraId="00000015" w14:textId="77777777" w:rsidR="003207E0" w:rsidRDefault="003207E0">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B4DEC"/>
    <w:multiLevelType w:val="multilevel"/>
    <w:tmpl w:val="43B8444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724674"/>
    <w:multiLevelType w:val="multilevel"/>
    <w:tmpl w:val="0C10229E"/>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40006218">
    <w:abstractNumId w:val="1"/>
  </w:num>
  <w:num w:numId="2" w16cid:durableId="137812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E0"/>
    <w:rsid w:val="00012573"/>
    <w:rsid w:val="000C67F1"/>
    <w:rsid w:val="003207E0"/>
    <w:rsid w:val="00330663"/>
    <w:rsid w:val="00386A14"/>
    <w:rsid w:val="00406C8F"/>
    <w:rsid w:val="004F0534"/>
    <w:rsid w:val="00910755"/>
    <w:rsid w:val="00C91732"/>
    <w:rsid w:val="00F5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77B6"/>
  <w15:docId w15:val="{C94EEF72-A5DE-49CA-8DF2-FD4558A7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2018B"/>
    <w:pPr>
      <w:overflowPunct/>
      <w:autoSpaceDE/>
      <w:autoSpaceDN/>
      <w:adjustRightInd/>
      <w:spacing w:before="100" w:beforeAutospacing="1" w:after="100" w:afterAutospacing="1"/>
      <w:jc w:val="left"/>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12ajAGzvgdlR9o49gfeTaqBhuZg==">AMUW2mXUcv26Y3wvV8Ga4uAWIrQXOw9d2z5MVZD+KaF+dCEGabRyO3HFiQ7cT/6Yxilnvr8Aj8zoXz9KGZw1kzOWMpvduVc/YbCjwT/fMJ6wzfX2PJTjBkImXpdLilnbcoEXWSPIZnHKMIjeRa66rq4vVKzvPIJQAlORWsHEtqaeYx5Fr8KQn20=</go:docsCustomData>
</go:gDocsCustomXmlDataStorage>
</file>

<file path=customXml/itemProps1.xml><?xml version="1.0" encoding="utf-8"?>
<ds:datastoreItem xmlns:ds="http://schemas.openxmlformats.org/officeDocument/2006/customXml" ds:itemID="{F90DBB5B-371B-4ED1-BC0D-D5018C21F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31EF4E-2A4F-422A-BA8E-C8F5838C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79033-ADE7-45AA-B676-AFBBFE38533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Nicola Congreve</cp:lastModifiedBy>
  <cp:revision>2</cp:revision>
  <dcterms:created xsi:type="dcterms:W3CDTF">2024-05-09T08:51:00Z</dcterms:created>
  <dcterms:modified xsi:type="dcterms:W3CDTF">2024-05-09T08:51:00Z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0x0101008324F918D5154B40ADCFADD50BD2479E</vt:lpwstr>
  </property>
</Properties>
</file>