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auto"/>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5C918AAF" w:rsidR="00FC6860" w:rsidRPr="00E26B05" w:rsidRDefault="00BF66D9" w:rsidP="00C71C4F">
          <w:pPr>
            <w:pStyle w:val="Heading1"/>
            <w:rPr>
              <w:rStyle w:val="chrSubTitle"/>
              <w:color w:val="auto"/>
            </w:rPr>
          </w:pPr>
          <w:proofErr w:type="spellStart"/>
          <w:r w:rsidRPr="00E26B05">
            <w:rPr>
              <w:rStyle w:val="chrSubTitle"/>
              <w:color w:val="auto"/>
            </w:rPr>
            <w:t>RIS3</w:t>
          </w:r>
          <w:proofErr w:type="spellEnd"/>
          <w:r w:rsidRPr="00E26B05">
            <w:rPr>
              <w:rStyle w:val="chrSubTitle"/>
              <w:color w:val="auto"/>
            </w:rPr>
            <w:t xml:space="preserve"> p</w:t>
          </w:r>
          <w:r w:rsidR="00D25EAA" w:rsidRPr="00E26B05">
            <w:rPr>
              <w:rStyle w:val="chrSubTitle"/>
              <w:color w:val="auto"/>
            </w:rPr>
            <w:t>roductivity and efficiency research</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1-09T00:00:00Z">
          <w:dateFormat w:val="dd MMMM yyyy"/>
          <w:lid w:val="en-GB"/>
          <w:storeMappedDataAs w:val="dateTime"/>
          <w:calendar w:val="gregorian"/>
        </w:date>
      </w:sdtPr>
      <w:sdtEndPr/>
      <w:sdtContent>
        <w:p w14:paraId="38D7D855" w14:textId="59FB58BD" w:rsidR="00FC6860" w:rsidRDefault="00E26B05" w:rsidP="00C71C4F">
          <w:pPr>
            <w:pStyle w:val="Date"/>
          </w:pPr>
          <w:r>
            <w:rPr>
              <w:bCs/>
            </w:rPr>
            <w:t>09 January 2023</w:t>
          </w:r>
        </w:p>
      </w:sdtContent>
    </w:sdt>
    <w:p w14:paraId="512B2E87" w14:textId="77777777" w:rsidR="003E5612" w:rsidRPr="00C26580" w:rsidRDefault="003E5612" w:rsidP="003E5612">
      <w:pPr>
        <w:rPr>
          <w:b/>
          <w:bCs/>
        </w:rPr>
      </w:pPr>
    </w:p>
    <w:p w14:paraId="0B23CADF" w14:textId="7A72854B" w:rsidR="003E5612" w:rsidRPr="00C26580" w:rsidRDefault="003E5612" w:rsidP="003E5612">
      <w:pPr>
        <w:pStyle w:val="NormalBulletround"/>
        <w:rPr>
          <w:b/>
          <w:bCs/>
        </w:rPr>
      </w:pPr>
      <w:proofErr w:type="spellStart"/>
      <w:r w:rsidRPr="00C26580">
        <w:rPr>
          <w:b/>
          <w:bCs/>
        </w:rPr>
        <w:t>CPV</w:t>
      </w:r>
      <w:proofErr w:type="spellEnd"/>
      <w:r w:rsidRPr="00C26580">
        <w:rPr>
          <w:b/>
          <w:bCs/>
        </w:rPr>
        <w:t xml:space="preserve"> Code:</w:t>
      </w:r>
      <w:r w:rsidR="00C26580" w:rsidRPr="00C26580">
        <w:rPr>
          <w:b/>
          <w:bCs/>
        </w:rPr>
        <w:t xml:space="preserve"> </w:t>
      </w:r>
      <w:r w:rsidR="00C26580" w:rsidRPr="00C26580">
        <w:rPr>
          <w:b/>
          <w:bCs/>
        </w:rPr>
        <w:t>73210000</w:t>
      </w:r>
    </w:p>
    <w:p w14:paraId="4B92FCBC" w14:textId="546AF068" w:rsidR="00FC6860" w:rsidRPr="00E26B05" w:rsidRDefault="003E5612" w:rsidP="003E5612">
      <w:pPr>
        <w:pStyle w:val="NormalBulletround"/>
        <w:rPr>
          <w:b/>
          <w:bCs/>
        </w:rPr>
      </w:pPr>
      <w:r w:rsidRPr="00E26B05">
        <w:rPr>
          <w:b/>
          <w:bCs/>
        </w:rPr>
        <w:t xml:space="preserve">Tender Reference: </w:t>
      </w:r>
      <w:r w:rsidR="00E26B05" w:rsidRPr="00E26B05">
        <w:rPr>
          <w:b/>
          <w:bCs/>
        </w:rPr>
        <w:t>ORR/CT/22-61</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5F7009D1" w14:textId="1A1901E4" w:rsidR="0079264A" w:rsidRDefault="00FC6860">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08" w:history="1">
        <w:r w:rsidR="0079264A" w:rsidRPr="000C347F">
          <w:rPr>
            <w:rStyle w:val="Hyperlink"/>
          </w:rPr>
          <w:t>Drafting note</w:t>
        </w:r>
        <w:r w:rsidR="0079264A">
          <w:rPr>
            <w:webHidden/>
          </w:rPr>
          <w:tab/>
        </w:r>
        <w:r w:rsidR="0079264A">
          <w:rPr>
            <w:webHidden/>
          </w:rPr>
          <w:fldChar w:fldCharType="begin"/>
        </w:r>
        <w:r w:rsidR="0079264A">
          <w:rPr>
            <w:webHidden/>
          </w:rPr>
          <w:instrText xml:space="preserve"> PAGEREF _Toc111551908 \h </w:instrText>
        </w:r>
        <w:r w:rsidR="0079264A">
          <w:rPr>
            <w:webHidden/>
          </w:rPr>
        </w:r>
        <w:r w:rsidR="0079264A">
          <w:rPr>
            <w:webHidden/>
          </w:rPr>
          <w:fldChar w:fldCharType="separate"/>
        </w:r>
        <w:r w:rsidR="0079264A">
          <w:rPr>
            <w:webHidden/>
          </w:rPr>
          <w:t>3</w:t>
        </w:r>
        <w:r w:rsidR="0079264A">
          <w:rPr>
            <w:webHidden/>
          </w:rPr>
          <w:fldChar w:fldCharType="end"/>
        </w:r>
      </w:hyperlink>
    </w:p>
    <w:p w14:paraId="683571A9" w14:textId="45501F9D" w:rsidR="0079264A" w:rsidRDefault="00C26580">
      <w:pPr>
        <w:pStyle w:val="TOC2"/>
        <w:tabs>
          <w:tab w:val="right" w:pos="9628"/>
        </w:tabs>
        <w:rPr>
          <w:rFonts w:asciiTheme="minorHAnsi" w:eastAsiaTheme="minorEastAsia" w:hAnsiTheme="minorHAnsi"/>
          <w:noProof/>
          <w:sz w:val="22"/>
          <w:lang w:eastAsia="en-GB"/>
        </w:rPr>
      </w:pPr>
      <w:hyperlink w:anchor="_Toc111551909" w:history="1">
        <w:r w:rsidR="0079264A" w:rsidRPr="000C347F">
          <w:rPr>
            <w:rStyle w:val="Hyperlink"/>
            <w:noProof/>
          </w:rPr>
          <w:t>Section 1 – Introduction to ORR</w:t>
        </w:r>
        <w:r w:rsidR="0079264A">
          <w:rPr>
            <w:noProof/>
            <w:webHidden/>
          </w:rPr>
          <w:tab/>
        </w:r>
        <w:r w:rsidR="0079264A">
          <w:rPr>
            <w:noProof/>
            <w:webHidden/>
          </w:rPr>
          <w:fldChar w:fldCharType="begin"/>
        </w:r>
        <w:r w:rsidR="0079264A">
          <w:rPr>
            <w:noProof/>
            <w:webHidden/>
          </w:rPr>
          <w:instrText xml:space="preserve"> PAGEREF _Toc111551909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5565F52" w14:textId="2675960D" w:rsidR="0079264A" w:rsidRDefault="00C26580">
      <w:pPr>
        <w:pStyle w:val="TOC2"/>
        <w:tabs>
          <w:tab w:val="right" w:pos="9628"/>
        </w:tabs>
        <w:rPr>
          <w:rFonts w:asciiTheme="minorHAnsi" w:eastAsiaTheme="minorEastAsia" w:hAnsiTheme="minorHAnsi"/>
          <w:noProof/>
          <w:sz w:val="22"/>
          <w:lang w:eastAsia="en-GB"/>
        </w:rPr>
      </w:pPr>
      <w:hyperlink w:anchor="_Toc111551910" w:history="1">
        <w:r w:rsidR="0079264A" w:rsidRPr="000C347F">
          <w:rPr>
            <w:rStyle w:val="Hyperlink"/>
            <w:noProof/>
          </w:rPr>
          <w:t>Section 2 – Statement of Requirement</w:t>
        </w:r>
        <w:r w:rsidR="0079264A">
          <w:rPr>
            <w:noProof/>
            <w:webHidden/>
          </w:rPr>
          <w:tab/>
        </w:r>
        <w:r w:rsidR="0079264A">
          <w:rPr>
            <w:noProof/>
            <w:webHidden/>
          </w:rPr>
          <w:fldChar w:fldCharType="begin"/>
        </w:r>
        <w:r w:rsidR="0079264A">
          <w:rPr>
            <w:noProof/>
            <w:webHidden/>
          </w:rPr>
          <w:instrText xml:space="preserve"> PAGEREF _Toc111551910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3D93C174" w14:textId="2CBF8AF4" w:rsidR="0079264A" w:rsidRDefault="00C26580">
      <w:pPr>
        <w:pStyle w:val="TOC2"/>
        <w:tabs>
          <w:tab w:val="right" w:pos="9628"/>
        </w:tabs>
        <w:rPr>
          <w:rFonts w:asciiTheme="minorHAnsi" w:eastAsiaTheme="minorEastAsia" w:hAnsiTheme="minorHAnsi"/>
          <w:noProof/>
          <w:sz w:val="22"/>
          <w:lang w:eastAsia="en-GB"/>
        </w:rPr>
      </w:pPr>
      <w:hyperlink w:anchor="_Toc111551911" w:history="1">
        <w:r w:rsidR="0079264A" w:rsidRPr="000C347F">
          <w:rPr>
            <w:rStyle w:val="Hyperlink"/>
            <w:noProof/>
          </w:rPr>
          <w:t>Section 3 – Tender Response &amp; Evaluation Criteria</w:t>
        </w:r>
        <w:r w:rsidR="0079264A">
          <w:rPr>
            <w:noProof/>
            <w:webHidden/>
          </w:rPr>
          <w:tab/>
        </w:r>
        <w:r w:rsidR="0079264A">
          <w:rPr>
            <w:noProof/>
            <w:webHidden/>
          </w:rPr>
          <w:fldChar w:fldCharType="begin"/>
        </w:r>
        <w:r w:rsidR="0079264A">
          <w:rPr>
            <w:noProof/>
            <w:webHidden/>
          </w:rPr>
          <w:instrText xml:space="preserve"> PAGEREF _Toc111551911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87151DC" w14:textId="5882C4E8" w:rsidR="0079264A" w:rsidRDefault="00C26580">
      <w:pPr>
        <w:pStyle w:val="TOC2"/>
        <w:tabs>
          <w:tab w:val="right" w:pos="9628"/>
        </w:tabs>
        <w:rPr>
          <w:rFonts w:asciiTheme="minorHAnsi" w:eastAsiaTheme="minorEastAsia" w:hAnsiTheme="minorHAnsi"/>
          <w:noProof/>
          <w:sz w:val="22"/>
          <w:lang w:eastAsia="en-GB"/>
        </w:rPr>
      </w:pPr>
      <w:hyperlink w:anchor="_Toc111551912" w:history="1">
        <w:r w:rsidR="0079264A" w:rsidRPr="000C347F">
          <w:rPr>
            <w:rStyle w:val="Hyperlink"/>
            <w:noProof/>
          </w:rPr>
          <w:t>Section 4 – Procurement details – to be completed by the Procurement team</w:t>
        </w:r>
        <w:r w:rsidR="0079264A">
          <w:rPr>
            <w:noProof/>
            <w:webHidden/>
          </w:rPr>
          <w:tab/>
        </w:r>
        <w:r w:rsidR="0079264A">
          <w:rPr>
            <w:noProof/>
            <w:webHidden/>
          </w:rPr>
          <w:fldChar w:fldCharType="begin"/>
        </w:r>
        <w:r w:rsidR="0079264A">
          <w:rPr>
            <w:noProof/>
            <w:webHidden/>
          </w:rPr>
          <w:instrText xml:space="preserve"> PAGEREF _Toc111551912 \h </w:instrText>
        </w:r>
        <w:r w:rsidR="0079264A">
          <w:rPr>
            <w:noProof/>
            <w:webHidden/>
          </w:rPr>
        </w:r>
        <w:r w:rsidR="0079264A">
          <w:rPr>
            <w:noProof/>
            <w:webHidden/>
          </w:rPr>
          <w:fldChar w:fldCharType="separate"/>
        </w:r>
        <w:r w:rsidR="0079264A">
          <w:rPr>
            <w:noProof/>
            <w:webHidden/>
          </w:rPr>
          <w:t>4</w:t>
        </w:r>
        <w:r w:rsidR="0079264A">
          <w:rPr>
            <w:noProof/>
            <w:webHidden/>
          </w:rPr>
          <w:fldChar w:fldCharType="end"/>
        </w:r>
      </w:hyperlink>
    </w:p>
    <w:p w14:paraId="5E5E5324" w14:textId="56140CFC" w:rsidR="0079264A" w:rsidRDefault="00C26580">
      <w:pPr>
        <w:pStyle w:val="TOC1"/>
        <w:rPr>
          <w:rFonts w:asciiTheme="minorHAnsi" w:eastAsiaTheme="minorEastAsia" w:hAnsiTheme="minorHAnsi"/>
          <w:b w:val="0"/>
          <w:bCs w:val="0"/>
          <w:color w:val="auto"/>
          <w:sz w:val="22"/>
          <w:lang w:eastAsia="en-GB"/>
        </w:rPr>
      </w:pP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C26580">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sidR="0079264A">
          <w:rPr>
            <w:webHidden/>
          </w:rPr>
          <w:t>6</w:t>
        </w:r>
        <w:r w:rsidR="0079264A">
          <w:rPr>
            <w:webHidden/>
          </w:rPr>
          <w:fldChar w:fldCharType="end"/>
        </w:r>
      </w:hyperlink>
    </w:p>
    <w:p w14:paraId="4F774D3D" w14:textId="31E39395" w:rsidR="0079264A" w:rsidRDefault="00C26580">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EDB0490" w14:textId="483045E0" w:rsidR="0079264A" w:rsidRDefault="00C26580">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34AD544" w14:textId="37367FC3" w:rsidR="0079264A" w:rsidRDefault="00C26580">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sidR="0079264A">
          <w:rPr>
            <w:webHidden/>
          </w:rPr>
          <w:t>8</w:t>
        </w:r>
        <w:r w:rsidR="0079264A">
          <w:rPr>
            <w:webHidden/>
          </w:rPr>
          <w:fldChar w:fldCharType="end"/>
        </w:r>
      </w:hyperlink>
    </w:p>
    <w:p w14:paraId="08E45A16" w14:textId="0FA4F6E4" w:rsidR="0079264A" w:rsidRDefault="00C26580">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sidR="0079264A">
          <w:rPr>
            <w:webHidden/>
          </w:rPr>
          <w:t>10</w:t>
        </w:r>
        <w:r w:rsidR="0079264A">
          <w:rPr>
            <w:webHidden/>
          </w:rPr>
          <w:fldChar w:fldCharType="end"/>
        </w:r>
      </w:hyperlink>
    </w:p>
    <w:p w14:paraId="3B60C34D" w14:textId="3CB68232" w:rsidR="0079264A" w:rsidRDefault="00C26580">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0A313B7D" w14:textId="65C3A45A" w:rsidR="0079264A" w:rsidRDefault="00C26580">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1DC3EE13" w14:textId="7B86328E" w:rsidR="0079264A" w:rsidRDefault="00C26580">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sidR="0079264A">
          <w:rPr>
            <w:noProof/>
            <w:webHidden/>
          </w:rPr>
          <w:t>11</w:t>
        </w:r>
        <w:r w:rsidR="0079264A">
          <w:rPr>
            <w:noProof/>
            <w:webHidden/>
          </w:rPr>
          <w:fldChar w:fldCharType="end"/>
        </w:r>
      </w:hyperlink>
    </w:p>
    <w:p w14:paraId="00910335" w14:textId="52C1808B" w:rsidR="0079264A" w:rsidRDefault="00C26580">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sidR="0079264A">
          <w:rPr>
            <w:noProof/>
            <w:webHidden/>
          </w:rPr>
          <w:t>12</w:t>
        </w:r>
        <w:r w:rsidR="0079264A">
          <w:rPr>
            <w:noProof/>
            <w:webHidden/>
          </w:rPr>
          <w:fldChar w:fldCharType="end"/>
        </w:r>
      </w:hyperlink>
    </w:p>
    <w:p w14:paraId="5634B37D" w14:textId="2C40B131" w:rsidR="0079264A" w:rsidRDefault="00C26580">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sidR="0079264A">
          <w:rPr>
            <w:noProof/>
            <w:webHidden/>
          </w:rPr>
          <w:t>13</w:t>
        </w:r>
        <w:r w:rsidR="0079264A">
          <w:rPr>
            <w:noProof/>
            <w:webHidden/>
          </w:rPr>
          <w:fldChar w:fldCharType="end"/>
        </w:r>
      </w:hyperlink>
    </w:p>
    <w:p w14:paraId="3ED694D5" w14:textId="3E2ADDB8" w:rsidR="0079264A" w:rsidRDefault="00C26580">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sidR="0079264A">
          <w:rPr>
            <w:noProof/>
            <w:webHidden/>
          </w:rPr>
          <w:t>14</w:t>
        </w:r>
        <w:r w:rsidR="0079264A">
          <w:rPr>
            <w:noProof/>
            <w:webHidden/>
          </w:rPr>
          <w:fldChar w:fldCharType="end"/>
        </w:r>
      </w:hyperlink>
    </w:p>
    <w:p w14:paraId="49188D30" w14:textId="03037883" w:rsidR="0079264A" w:rsidRDefault="00C26580">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sidR="0079264A">
          <w:rPr>
            <w:webHidden/>
          </w:rPr>
          <w:t>16</w:t>
        </w:r>
        <w:r w:rsidR="0079264A">
          <w:rPr>
            <w:webHidden/>
          </w:rPr>
          <w:fldChar w:fldCharType="end"/>
        </w:r>
      </w:hyperlink>
    </w:p>
    <w:p w14:paraId="4DED5429" w14:textId="00F4C96E" w:rsidR="0079264A" w:rsidRDefault="00C26580">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sidR="0079264A">
          <w:rPr>
            <w:noProof/>
            <w:webHidden/>
          </w:rPr>
          <w:t>16</w:t>
        </w:r>
        <w:r w:rsidR="0079264A">
          <w:rPr>
            <w:noProof/>
            <w:webHidden/>
          </w:rPr>
          <w:fldChar w:fldCharType="end"/>
        </w:r>
      </w:hyperlink>
    </w:p>
    <w:p w14:paraId="24C28E0D" w14:textId="15183F51" w:rsidR="0079264A" w:rsidRDefault="00C26580">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sidR="0079264A">
          <w:rPr>
            <w:noProof/>
            <w:webHidden/>
          </w:rPr>
          <w:t>17</w:t>
        </w:r>
        <w:r w:rsidR="0079264A">
          <w:rPr>
            <w:noProof/>
            <w:webHidden/>
          </w:rPr>
          <w:fldChar w:fldCharType="end"/>
        </w:r>
      </w:hyperlink>
    </w:p>
    <w:p w14:paraId="56D04470" w14:textId="3033ED1C" w:rsidR="0079264A" w:rsidRDefault="00C26580">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sidR="0079264A">
          <w:rPr>
            <w:webHidden/>
          </w:rPr>
          <w:t>21</w:t>
        </w:r>
        <w:r w:rsidR="0079264A">
          <w:rPr>
            <w:webHidden/>
          </w:rPr>
          <w:fldChar w:fldCharType="end"/>
        </w:r>
      </w:hyperlink>
    </w:p>
    <w:p w14:paraId="0EDE73FA" w14:textId="3890DE96" w:rsidR="0079264A" w:rsidRDefault="00C26580">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0713F7E5" w14:textId="66E19FC9" w:rsidR="0079264A" w:rsidRDefault="00C26580">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6B48D324" w14:textId="2419B6E7"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3744FFF1" w:rsidR="00A02455" w:rsidRDefault="00A02455" w:rsidP="00A02455">
      <w:r>
        <w:t xml:space="preserve">The purpose of this document is to invite proposals </w:t>
      </w:r>
      <w:r w:rsidR="00BF66D9">
        <w:t xml:space="preserve">to undertake </w:t>
      </w:r>
      <w:proofErr w:type="spellStart"/>
      <w:r w:rsidR="00BF66D9">
        <w:t>RIS3</w:t>
      </w:r>
      <w:proofErr w:type="spellEnd"/>
      <w:r w:rsidR="00BF66D9">
        <w:t>: productivity and efficiency research</w:t>
      </w:r>
      <w:r w:rsidRPr="00574B16">
        <w:rPr>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proofErr w:type="spellStart"/>
        <w:r w:rsidRPr="005F74FA">
          <w:rPr>
            <w:rStyle w:val="Hyperlink"/>
          </w:rPr>
          <w:t>www.orr.gov.uk</w:t>
        </w:r>
        <w:proofErr w:type="spellEnd"/>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3CEBA655" w14:textId="77777777" w:rsidR="00C9580A" w:rsidRPr="00C9580A" w:rsidRDefault="00C9580A" w:rsidP="00C9580A">
      <w:r w:rsidRPr="00C9580A">
        <w:t xml:space="preserve">National Highways operates, </w:t>
      </w:r>
      <w:proofErr w:type="gramStart"/>
      <w:r w:rsidRPr="00C9580A">
        <w:t>maintains</w:t>
      </w:r>
      <w:proofErr w:type="gramEnd"/>
      <w:r w:rsidRPr="00C9580A">
        <w:t xml:space="preserve"> and improves the strategic road network – the motorways and main 'A' roads in England. The Office of Road and Rail (ORR) – through its Highways Monitor function – is responsible for monitoring and enforcing the performance and efficiency of National Highways. </w:t>
      </w:r>
    </w:p>
    <w:p w14:paraId="5A8A5ECC" w14:textId="77777777" w:rsidR="00C9580A" w:rsidRPr="00C9580A" w:rsidRDefault="00C9580A" w:rsidP="00C9580A">
      <w:r w:rsidRPr="00C9580A">
        <w:t>The Government sets out its strategic vision for the SRN, objectives for National Highways, and the funding it will make available in periodic road investment strategies. The third Road Investment Strategy (</w:t>
      </w:r>
      <w:proofErr w:type="spellStart"/>
      <w:r w:rsidRPr="00C9580A">
        <w:t>RIS3</w:t>
      </w:r>
      <w:proofErr w:type="spellEnd"/>
      <w:r w:rsidRPr="00C9580A">
        <w:t xml:space="preserve">) will set out the requirements to be delivered by National Highways during road period 3 (April 2025 to March 2030). The development of </w:t>
      </w:r>
      <w:proofErr w:type="spellStart"/>
      <w:r w:rsidRPr="00C9580A">
        <w:t>RIS3</w:t>
      </w:r>
      <w:proofErr w:type="spellEnd"/>
      <w:r w:rsidRPr="00C9580A">
        <w:t xml:space="preserve"> requires the coordinated efforts of the DfT, National Highways and ORR with each organisation having responsibility for leading relevant work streams. </w:t>
      </w:r>
    </w:p>
    <w:p w14:paraId="5551C47C" w14:textId="6B3D2DF1" w:rsidR="00C9580A" w:rsidRDefault="00C9580A" w:rsidP="00C9580A">
      <w:r w:rsidRPr="00C9580A">
        <w:t xml:space="preserve">National Highways is responsible for developing a strategic business plan (SBP) detailing its plans for delivering the requirements set out in the Government’s draft </w:t>
      </w:r>
      <w:proofErr w:type="spellStart"/>
      <w:r w:rsidRPr="00C9580A">
        <w:t>RIS</w:t>
      </w:r>
      <w:proofErr w:type="spellEnd"/>
      <w:r w:rsidRPr="00C9580A">
        <w:t xml:space="preserve">. ORR is responsible for leading the </w:t>
      </w:r>
      <w:proofErr w:type="spellStart"/>
      <w:r w:rsidRPr="00C9580A">
        <w:t>RIS3</w:t>
      </w:r>
      <w:proofErr w:type="spellEnd"/>
      <w:r w:rsidRPr="00C9580A">
        <w:t xml:space="preserve"> </w:t>
      </w:r>
      <w:r>
        <w:t>E</w:t>
      </w:r>
      <w:r w:rsidRPr="00C9580A">
        <w:t xml:space="preserve">fficiency </w:t>
      </w:r>
      <w:r>
        <w:t>R</w:t>
      </w:r>
      <w:r w:rsidRPr="00C9580A">
        <w:t>eview, an assessment of the level of efficiency that National Highways proposes to achieve in the SBP.</w:t>
      </w:r>
    </w:p>
    <w:p w14:paraId="558480EE" w14:textId="2D960E99" w:rsidR="00C9580A" w:rsidRDefault="00C9580A" w:rsidP="00C9580A">
      <w:r>
        <w:t xml:space="preserve">This commission forms part of the </w:t>
      </w:r>
      <w:proofErr w:type="spellStart"/>
      <w:r>
        <w:t>ORR’s</w:t>
      </w:r>
      <w:proofErr w:type="spellEnd"/>
      <w:r>
        <w:t xml:space="preserve"> preparation for the Efficiency Review. It will provide evidence that the ORR will use to inform its assessment of National Highways’ efficiency proposals for road period 3.</w:t>
      </w:r>
    </w:p>
    <w:p w14:paraId="5F812605" w14:textId="5745E528" w:rsidR="00C9580A" w:rsidRPr="00C9580A" w:rsidRDefault="00C9580A" w:rsidP="00C9580A">
      <w:r>
        <w:t xml:space="preserve">Further information on the </w:t>
      </w:r>
      <w:proofErr w:type="spellStart"/>
      <w:r>
        <w:t>ORR’s</w:t>
      </w:r>
      <w:proofErr w:type="spellEnd"/>
      <w:r>
        <w:t xml:space="preserve"> role in the </w:t>
      </w:r>
      <w:proofErr w:type="spellStart"/>
      <w:r>
        <w:t>RIS</w:t>
      </w:r>
      <w:proofErr w:type="spellEnd"/>
      <w:r>
        <w:t xml:space="preserve"> development process can be found in our ‘Approach’ document: </w:t>
      </w:r>
      <w:hyperlink r:id="rId20" w:history="1">
        <w:proofErr w:type="spellStart"/>
        <w:r>
          <w:rPr>
            <w:rStyle w:val="Hyperlink"/>
          </w:rPr>
          <w:t>ORR’s</w:t>
        </w:r>
        <w:proofErr w:type="spellEnd"/>
        <w:r>
          <w:rPr>
            <w:rStyle w:val="Hyperlink"/>
          </w:rPr>
          <w:t xml:space="preserve"> role and approach to </w:t>
        </w:r>
        <w:proofErr w:type="spellStart"/>
        <w:r>
          <w:rPr>
            <w:rStyle w:val="Hyperlink"/>
          </w:rPr>
          <w:t>RIS3</w:t>
        </w:r>
        <w:proofErr w:type="spellEnd"/>
        <w:r>
          <w:rPr>
            <w:rStyle w:val="Hyperlink"/>
          </w:rPr>
          <w:t xml:space="preserve"> | Office of Rail and Road</w:t>
        </w:r>
      </w:hyperlink>
      <w:r>
        <w:t>.</w:t>
      </w:r>
    </w:p>
    <w:p w14:paraId="74919ACA" w14:textId="178F61FF" w:rsidR="00F20E70" w:rsidRDefault="00F20E70" w:rsidP="00F20E70">
      <w:pPr>
        <w:pStyle w:val="Heading3"/>
      </w:pPr>
      <w:bookmarkStart w:id="11" w:name="_Toc111551920"/>
      <w:r>
        <w:t>2.2 Project Objectives and Scope</w:t>
      </w:r>
      <w:bookmarkEnd w:id="11"/>
    </w:p>
    <w:p w14:paraId="2B0C8EC7" w14:textId="77777777" w:rsidR="009D635E" w:rsidRDefault="00C9580A" w:rsidP="003F3CB0">
      <w:r>
        <w:t>The ORR wishe</w:t>
      </w:r>
      <w:r w:rsidR="009D635E">
        <w:t>s</w:t>
      </w:r>
      <w:r>
        <w:t xml:space="preserve"> to commission consultants to undertake research in the areas of </w:t>
      </w:r>
      <w:r w:rsidR="009D635E">
        <w:t>p</w:t>
      </w:r>
      <w:r>
        <w:t>roductivity and efficiency</w:t>
      </w:r>
      <w:r w:rsidR="009D635E">
        <w:t xml:space="preserve">. The research is intended to provide contextual evidence to inform the </w:t>
      </w:r>
      <w:proofErr w:type="spellStart"/>
      <w:r w:rsidR="009D635E">
        <w:t>ORR’s</w:t>
      </w:r>
      <w:proofErr w:type="spellEnd"/>
      <w:r w:rsidR="009D635E">
        <w:t xml:space="preserve"> assessment of National Highways’ </w:t>
      </w:r>
      <w:proofErr w:type="spellStart"/>
      <w:r w:rsidR="009D635E">
        <w:t>RIS3</w:t>
      </w:r>
      <w:proofErr w:type="spellEnd"/>
      <w:r w:rsidR="009D635E">
        <w:t xml:space="preserve"> efficiency proposals. </w:t>
      </w:r>
    </w:p>
    <w:p w14:paraId="49B919B0" w14:textId="5E2A5F37" w:rsidR="00B13CAB" w:rsidRDefault="009D635E" w:rsidP="003F3CB0">
      <w:r>
        <w:t xml:space="preserve">We envisage that this research will be a desk-based exercise and the consultants are not expected to engage directly with National Highways. </w:t>
      </w:r>
    </w:p>
    <w:p w14:paraId="3AB2B3A1" w14:textId="067E42BE" w:rsidR="00C9580A" w:rsidRDefault="009D635E" w:rsidP="003F3CB0">
      <w:r>
        <w:t>The research is split into two parts</w:t>
      </w:r>
      <w:r w:rsidR="00B13CAB">
        <w:t>:</w:t>
      </w:r>
    </w:p>
    <w:p w14:paraId="34D3192A" w14:textId="77777777" w:rsidR="00B13CAB" w:rsidRDefault="00B13CAB" w:rsidP="003F3CB0"/>
    <w:p w14:paraId="185066A7" w14:textId="3D215A39" w:rsidR="009D635E" w:rsidRPr="009D635E" w:rsidRDefault="009D635E" w:rsidP="003F3CB0">
      <w:pPr>
        <w:rPr>
          <w:b/>
          <w:bCs/>
        </w:rPr>
      </w:pPr>
      <w:r w:rsidRPr="009D635E">
        <w:rPr>
          <w:b/>
          <w:bCs/>
        </w:rPr>
        <w:lastRenderedPageBreak/>
        <w:t>Part 1 – Research into productivity growth in capital intensive sectors</w:t>
      </w:r>
    </w:p>
    <w:p w14:paraId="112A130B" w14:textId="2D7112C5" w:rsidR="00B84F8A" w:rsidRDefault="009D635E" w:rsidP="003F3CB0">
      <w:r>
        <w:t xml:space="preserve">Regulators </w:t>
      </w:r>
      <w:r w:rsidR="00B84F8A">
        <w:t xml:space="preserve">often </w:t>
      </w:r>
      <w:r>
        <w:t xml:space="preserve">distinguish between ‘catch-up’ efficiencies (the efficiency savings that can be achieved </w:t>
      </w:r>
      <w:r w:rsidR="00B84F8A">
        <w:t xml:space="preserve">by ‘catching up’ to the efficiency frontier) and ‘frontier shift’ efficiencies (the productivity gains that even the most efficient firms can achieve). The ORR (in partnership with National Highways) has already commissioned research into the scope for National Highways to achieve ‘catch up’ efficiencies through improvements in its capabilities. This part of the commission will inform the </w:t>
      </w:r>
      <w:proofErr w:type="spellStart"/>
      <w:r w:rsidR="00B84F8A">
        <w:t>ORR’s</w:t>
      </w:r>
      <w:proofErr w:type="spellEnd"/>
      <w:r w:rsidR="00B84F8A">
        <w:t xml:space="preserve"> understanding of the scope for ‘frontier shift’ efficiencies. </w:t>
      </w:r>
    </w:p>
    <w:p w14:paraId="105FADD3" w14:textId="4F9290AA" w:rsidR="00D56D49" w:rsidRDefault="00B84F8A" w:rsidP="003F3CB0">
      <w:r>
        <w:t xml:space="preserve">The consultants should provide evidence on underlying trends in the productivity growth of </w:t>
      </w:r>
      <w:r w:rsidR="00D56D49">
        <w:t>capital-intensive</w:t>
      </w:r>
      <w:r>
        <w:t xml:space="preserve"> se</w:t>
      </w:r>
      <w:r w:rsidR="00D56D49">
        <w:t xml:space="preserve">ctors or sectors relevant to National Highways’ functions as an operator, </w:t>
      </w:r>
      <w:r w:rsidR="00560690">
        <w:t>maintainer,</w:t>
      </w:r>
      <w:r w:rsidR="00D56D49">
        <w:t xml:space="preserve"> and constructor of roads. The consultants should provide qualitative consideration to the applicability of this evidence to National Highways. </w:t>
      </w:r>
    </w:p>
    <w:p w14:paraId="78121726" w14:textId="270CC833" w:rsidR="00D56D49" w:rsidRDefault="00D56D49" w:rsidP="003F3CB0">
      <w:r>
        <w:t xml:space="preserve">Previous research undertaken for the ORR applied evidence from the EU </w:t>
      </w:r>
      <w:proofErr w:type="spellStart"/>
      <w:r>
        <w:t>KLEMs</w:t>
      </w:r>
      <w:proofErr w:type="spellEnd"/>
      <w:r>
        <w:t xml:space="preserve"> dataset. Updating this work to the latest available </w:t>
      </w:r>
      <w:r w:rsidR="00560690">
        <w:t xml:space="preserve">EU </w:t>
      </w:r>
      <w:proofErr w:type="spellStart"/>
      <w:r w:rsidR="00560690">
        <w:t>KLEMS</w:t>
      </w:r>
      <w:proofErr w:type="spellEnd"/>
      <w:r w:rsidR="00560690">
        <w:t xml:space="preserve"> </w:t>
      </w:r>
      <w:r>
        <w:t xml:space="preserve">data may form part of the consultants’ approach. However, </w:t>
      </w:r>
      <w:r w:rsidR="00560690">
        <w:t xml:space="preserve">in their responses to this ITT, </w:t>
      </w:r>
      <w:r>
        <w:t>bidders shoul</w:t>
      </w:r>
      <w:r w:rsidR="00560690">
        <w:t xml:space="preserve">d set out, the data sources and methods they propose to employ. </w:t>
      </w:r>
    </w:p>
    <w:p w14:paraId="565188F4" w14:textId="2532CD9D" w:rsidR="009D635E" w:rsidRPr="009D635E" w:rsidRDefault="009D635E" w:rsidP="003F3CB0">
      <w:pPr>
        <w:rPr>
          <w:b/>
          <w:bCs/>
        </w:rPr>
      </w:pPr>
      <w:r w:rsidRPr="009D635E">
        <w:rPr>
          <w:b/>
          <w:bCs/>
        </w:rPr>
        <w:t xml:space="preserve">Part 2 – </w:t>
      </w:r>
      <w:r w:rsidR="00560690">
        <w:rPr>
          <w:b/>
          <w:bCs/>
        </w:rPr>
        <w:t>Efficiency targets and outturn efficiencies in other regulated sectors</w:t>
      </w:r>
      <w:r w:rsidRPr="009D635E">
        <w:rPr>
          <w:b/>
          <w:bCs/>
        </w:rPr>
        <w:t xml:space="preserve"> </w:t>
      </w:r>
    </w:p>
    <w:p w14:paraId="24C1DE29" w14:textId="6A666A49" w:rsidR="009D635E" w:rsidRDefault="00560690" w:rsidP="003F3CB0">
      <w:r>
        <w:t>The ORR would like to gather evidence on the level of efficiencies a</w:t>
      </w:r>
      <w:r w:rsidR="005607EA">
        <w:t xml:space="preserve">chieved by firms in other, relevant, regulated sectors. This evidence should provide a basis on which the ORR can benchmark </w:t>
      </w:r>
      <w:r w:rsidR="00B13CAB">
        <w:t xml:space="preserve">the level of efficiency proposed by </w:t>
      </w:r>
      <w:r w:rsidR="005607EA">
        <w:t>National Highways.</w:t>
      </w:r>
    </w:p>
    <w:p w14:paraId="0DA579DF" w14:textId="33D982D0" w:rsidR="005607EA" w:rsidRDefault="005607EA" w:rsidP="003F3CB0">
      <w:r>
        <w:t>The consultants should review evidence on the efficiency targets set by other regulators in the UK. Where available, the consultants should also review evidence on the efficiency gains achieved in practice. Consultants should distinguish between efficiency targets/delivery in capital spending and operations.</w:t>
      </w:r>
    </w:p>
    <w:p w14:paraId="1A151338" w14:textId="1C17427E" w:rsidR="005607EA" w:rsidRDefault="005607EA" w:rsidP="003F3CB0">
      <w:r>
        <w:t xml:space="preserve">The consultants should consider the applicability of this evidence to National Highways, both in respect of National Highways’ activities, but also its status and maturity as an arm’s length government company entering its third five-year period. </w:t>
      </w: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480D8983" w14:textId="44D13802" w:rsidR="00DB02EF" w:rsidRDefault="00DB02EF" w:rsidP="00DB02EF">
      <w:pPr>
        <w:pStyle w:val="Heading4"/>
      </w:pPr>
      <w:r>
        <w:t>Outputs and Deliverables</w:t>
      </w:r>
    </w:p>
    <w:p w14:paraId="7746E1CF" w14:textId="77777777" w:rsidR="00DB02EF" w:rsidRDefault="00DB02EF" w:rsidP="00DB02EF">
      <w:r>
        <w:t>The consultant is to deliver:</w:t>
      </w:r>
    </w:p>
    <w:p w14:paraId="7551CC97" w14:textId="323D092B" w:rsidR="00DB02EF" w:rsidRDefault="00DB02EF" w:rsidP="00DB02EF">
      <w:pPr>
        <w:pStyle w:val="NormalBulletround"/>
      </w:pPr>
      <w:r>
        <w:t>Interim presentation of emerging findings</w:t>
      </w:r>
    </w:p>
    <w:p w14:paraId="5E22A993" w14:textId="7AE265EE" w:rsidR="00DB02EF" w:rsidRDefault="00DB02EF" w:rsidP="00DB02EF">
      <w:pPr>
        <w:pStyle w:val="NormalBulletround"/>
      </w:pPr>
      <w:r>
        <w:lastRenderedPageBreak/>
        <w:t xml:space="preserve">Draft report for comment which details the findings, </w:t>
      </w:r>
      <w:proofErr w:type="gramStart"/>
      <w:r>
        <w:t>conclusions</w:t>
      </w:r>
      <w:proofErr w:type="gramEnd"/>
      <w:r>
        <w:t xml:space="preserve"> and recommendations  </w:t>
      </w:r>
    </w:p>
    <w:p w14:paraId="72D05BD1" w14:textId="05B17D9B" w:rsidR="00DB02EF" w:rsidRDefault="00DB02EF" w:rsidP="00DB02EF">
      <w:pPr>
        <w:pStyle w:val="NormalBulletround"/>
      </w:pPr>
      <w:r>
        <w:t>Final report which incorporates the amendments from the ORR</w:t>
      </w:r>
    </w:p>
    <w:p w14:paraId="3E5F64F3" w14:textId="052C5092" w:rsidR="00DB02EF" w:rsidRDefault="00DB02EF" w:rsidP="00DB02EF">
      <w:pPr>
        <w:pStyle w:val="NormalBulletround"/>
      </w:pPr>
      <w:r>
        <w:t>A presentation of the findings and recommendations to the ORR</w:t>
      </w:r>
    </w:p>
    <w:p w14:paraId="319E740F" w14:textId="77777777" w:rsidR="00B13CAB" w:rsidRPr="00574B16" w:rsidRDefault="00B13CAB" w:rsidP="00B13CAB">
      <w:pPr>
        <w:rPr>
          <w:b/>
          <w:bCs/>
          <w:color w:val="B1173B"/>
        </w:rPr>
      </w:pPr>
      <w:r>
        <w:t xml:space="preserve">The consultants should prepare their final report in accordance with the </w:t>
      </w:r>
      <w:proofErr w:type="spellStart"/>
      <w:r>
        <w:t>ORR’s</w:t>
      </w:r>
      <w:proofErr w:type="spellEnd"/>
      <w:r>
        <w:t xml:space="preserve"> accessibility guidelines: </w:t>
      </w:r>
      <w:hyperlink r:id="rId21" w:history="1">
        <w:r>
          <w:rPr>
            <w:rStyle w:val="Hyperlink"/>
          </w:rPr>
          <w:t>Guidelines for writing accessible reports for ORR - Guidance for external suppliers | Office of Rail and Road</w:t>
        </w:r>
      </w:hyperlink>
    </w:p>
    <w:p w14:paraId="30DFB785" w14:textId="75FA9A6A" w:rsidR="00DB02EF" w:rsidRDefault="00DB02EF" w:rsidP="00DB02EF">
      <w:pPr>
        <w:pStyle w:val="Heading4"/>
      </w:pPr>
      <w:r>
        <w:t>Contract Management Requirements</w:t>
      </w:r>
    </w:p>
    <w:p w14:paraId="2A02CBCC" w14:textId="0E5B233C" w:rsidR="00B13CAB" w:rsidRPr="00B13CAB" w:rsidRDefault="00B13CAB" w:rsidP="00B13CAB">
      <w:r w:rsidRPr="00B13CAB">
        <w:t>We would expect to hold progress meetings on a fortnightly basis via MS Teams. Consultants should provide a brief emailed progress report in advance.</w:t>
      </w:r>
    </w:p>
    <w:p w14:paraId="75F8969E" w14:textId="18013AB0" w:rsidR="00D6160E" w:rsidRDefault="00AF7AF9" w:rsidP="00AF7AF9">
      <w:pPr>
        <w:pStyle w:val="Heading3"/>
      </w:pPr>
      <w:bookmarkStart w:id="13" w:name="_Toc111551922"/>
      <w:r>
        <w:t>2.4 Project Timescales</w:t>
      </w:r>
      <w:bookmarkEnd w:id="13"/>
    </w:p>
    <w:p w14:paraId="232D4288" w14:textId="77777777" w:rsidR="00AF7AF9" w:rsidRDefault="00AF7AF9" w:rsidP="00AF7AF9">
      <w:r>
        <w:t>The provisional project timetable is as follows:</w:t>
      </w:r>
    </w:p>
    <w:p w14:paraId="1A5E1720" w14:textId="172C8150" w:rsidR="00AF7AF9" w:rsidRDefault="00AF7AF9" w:rsidP="00AF7AF9">
      <w:pPr>
        <w:pStyle w:val="NormalBulletround"/>
      </w:pPr>
      <w:proofErr w:type="spellStart"/>
      <w:r>
        <w:t>Start up</w:t>
      </w:r>
      <w:proofErr w:type="spellEnd"/>
      <w:r>
        <w:t xml:space="preserve"> meeting and commencement w/c </w:t>
      </w:r>
      <w:r w:rsidR="00C65DDC">
        <w:t>13</w:t>
      </w:r>
      <w:r w:rsidR="00C65DDC" w:rsidRPr="00C65DDC">
        <w:rPr>
          <w:vertAlign w:val="superscript"/>
        </w:rPr>
        <w:t>th</w:t>
      </w:r>
      <w:r w:rsidR="00C65DDC">
        <w:t xml:space="preserve"> February 2023</w:t>
      </w:r>
      <w:r>
        <w:t>.</w:t>
      </w:r>
    </w:p>
    <w:p w14:paraId="26A9F78D" w14:textId="5D6ABB1E" w:rsidR="00AF7AF9" w:rsidRDefault="00C65DDC" w:rsidP="00AF7AF9">
      <w:pPr>
        <w:pStyle w:val="NormalBulletround"/>
      </w:pPr>
      <w:r>
        <w:t>Fortnightly</w:t>
      </w:r>
      <w:r w:rsidR="00AF7AF9">
        <w:t xml:space="preserve"> updates on progress and any issues</w:t>
      </w:r>
    </w:p>
    <w:p w14:paraId="618A964A" w14:textId="65F0948D" w:rsidR="00AF7AF9" w:rsidRDefault="00AF7AF9" w:rsidP="00AF7AF9">
      <w:pPr>
        <w:pStyle w:val="NormalBulletround"/>
      </w:pPr>
      <w:r>
        <w:t xml:space="preserve">Presentation of interim findings on </w:t>
      </w:r>
      <w:r w:rsidR="00C65DDC">
        <w:t>27</w:t>
      </w:r>
      <w:r w:rsidR="00C65DDC" w:rsidRPr="00C65DDC">
        <w:rPr>
          <w:vertAlign w:val="superscript"/>
        </w:rPr>
        <w:t>th</w:t>
      </w:r>
      <w:r w:rsidR="00C65DDC">
        <w:t xml:space="preserve"> March 2023</w:t>
      </w:r>
      <w:r>
        <w:t xml:space="preserve"> (or as agreed)</w:t>
      </w:r>
    </w:p>
    <w:p w14:paraId="1CB48C52" w14:textId="0794599B" w:rsidR="00AF7AF9" w:rsidRDefault="00AF7AF9" w:rsidP="00AF7AF9">
      <w:pPr>
        <w:pStyle w:val="NormalBulletround"/>
      </w:pPr>
      <w:r>
        <w:t xml:space="preserve">Draft report by </w:t>
      </w:r>
      <w:r w:rsidR="00C65DDC">
        <w:t>24</w:t>
      </w:r>
      <w:r w:rsidR="00C65DDC" w:rsidRPr="00C65DDC">
        <w:rPr>
          <w:vertAlign w:val="superscript"/>
        </w:rPr>
        <w:t>th</w:t>
      </w:r>
      <w:r w:rsidR="00C65DDC">
        <w:t xml:space="preserve"> April 2023</w:t>
      </w:r>
      <w:r>
        <w:t>.</w:t>
      </w:r>
    </w:p>
    <w:p w14:paraId="5577EDCB" w14:textId="1E4B3263" w:rsidR="00AF7AF9" w:rsidRDefault="00AF7AF9" w:rsidP="00AF7AF9">
      <w:pPr>
        <w:pStyle w:val="NormalBulletround"/>
      </w:pPr>
      <w:r>
        <w:t xml:space="preserve">Final report by the </w:t>
      </w:r>
      <w:r w:rsidR="00C26580">
        <w:t>0</w:t>
      </w:r>
      <w:r w:rsidR="00C65DDC">
        <w:t>8</w:t>
      </w:r>
      <w:r w:rsidR="00C65DDC" w:rsidRPr="00C65DDC">
        <w:rPr>
          <w:vertAlign w:val="superscript"/>
        </w:rPr>
        <w:t>th</w:t>
      </w:r>
      <w:r w:rsidR="00C65DDC">
        <w:t xml:space="preserve"> May 2023.</w:t>
      </w:r>
    </w:p>
    <w:p w14:paraId="0E0D85A8" w14:textId="4A67147D" w:rsidR="00B13CAB" w:rsidRDefault="00B13CAB" w:rsidP="00B13CAB">
      <w:r>
        <w:t xml:space="preserve">The </w:t>
      </w:r>
      <w:r w:rsidRPr="00B13CAB">
        <w:t>project timetable should be refined by the consultants at the outset of the commission</w:t>
      </w:r>
      <w:r>
        <w:t>.</w:t>
      </w:r>
    </w:p>
    <w:p w14:paraId="76E3EE61" w14:textId="420F91D1" w:rsidR="00AF7AF9" w:rsidRDefault="00AF7AF9" w:rsidP="00AF7AF9">
      <w:pPr>
        <w:pStyle w:val="Heading3"/>
      </w:pPr>
      <w:bookmarkStart w:id="14" w:name="_Toc111551923"/>
      <w:r w:rsidRPr="00AF7AF9">
        <w:t>2.5 Budget and Payment Schedule</w:t>
      </w:r>
      <w:bookmarkEnd w:id="14"/>
    </w:p>
    <w:p w14:paraId="7D86A410" w14:textId="4494CE39" w:rsidR="00D401C8" w:rsidRDefault="00D401C8" w:rsidP="00D401C8">
      <w:r>
        <w:t xml:space="preserve">The maximum budget for this piece of work </w:t>
      </w:r>
      <w:r w:rsidRPr="00E26B05">
        <w:t>is £</w:t>
      </w:r>
      <w:r w:rsidR="00B13CAB" w:rsidRPr="00E26B05">
        <w:t>50</w:t>
      </w:r>
      <w:r w:rsidRPr="00E26B05">
        <w:t>,</w:t>
      </w:r>
      <w:r w:rsidR="00B13CAB" w:rsidRPr="00E26B05">
        <w:t>000</w:t>
      </w:r>
      <w:r w:rsidRPr="00E26B05">
        <w:t xml:space="preserve"> (inc</w:t>
      </w:r>
      <w:r>
        <w:t>.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lastRenderedPageBreak/>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62B041F6" w:rsidR="001768F1" w:rsidRDefault="001768F1" w:rsidP="001768F1">
      <w:r>
        <w:t>The proposals for this project should include an outline of how bidders will meet the requirement outlined in section (ii) “Statement of Requirement”. The following information should be included</w:t>
      </w:r>
      <w:r w:rsidRPr="004A24AB">
        <w:rPr>
          <w:color w:val="B1173B"/>
        </w:rPr>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5EF512E0" w:rsidR="001768F1" w:rsidRDefault="001768F1" w:rsidP="001E7C87">
      <w:pPr>
        <w:pStyle w:val="NormalBullet-"/>
      </w:pPr>
      <w:r>
        <w:t>Provide an explanation of the proposed approach</w:t>
      </w:r>
      <w:r w:rsidR="00D1771E">
        <w:t xml:space="preserve">, including details of proposed data sources, comparator firms and industries, </w:t>
      </w:r>
      <w:r>
        <w:t xml:space="preserve">and any methodologies bidders will work </w:t>
      </w:r>
      <w:proofErr w:type="gramStart"/>
      <w:r>
        <w:t>to;</w:t>
      </w:r>
      <w:proofErr w:type="gramEnd"/>
    </w:p>
    <w:p w14:paraId="1F4787C6" w14:textId="7AE1FB21" w:rsidR="001768F1" w:rsidRDefault="001768F1" w:rsidP="001E7C87">
      <w:pPr>
        <w:pStyle w:val="NormalBullet-"/>
      </w:pPr>
      <w:r>
        <w:t xml:space="preserve">Details of your assumptions and/or constraints/dependencies made in relation to the </w:t>
      </w:r>
      <w:proofErr w:type="gramStart"/>
      <w:r>
        <w:t>project</w:t>
      </w:r>
      <w:r w:rsidR="00D1771E">
        <w:t>;</w:t>
      </w:r>
      <w:proofErr w:type="gramEnd"/>
      <w:r>
        <w:t xml:space="preserve">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4A6C266F" w:rsidR="001768F1" w:rsidRDefault="001768F1" w:rsidP="001E7C87">
      <w:pPr>
        <w:pStyle w:val="NormalBullet-"/>
      </w:pPr>
      <w:r>
        <w:t xml:space="preserve">An understanding of the risks, and explain how they would be mitigated to ensure </w:t>
      </w:r>
      <w:proofErr w:type="gramStart"/>
      <w:r>
        <w:t>delivery</w:t>
      </w:r>
      <w:r w:rsidR="00D1771E">
        <w:t>;</w:t>
      </w:r>
      <w:proofErr w:type="gramEnd"/>
    </w:p>
    <w:p w14:paraId="16625C17" w14:textId="790E9D8F" w:rsidR="001768F1" w:rsidRDefault="001768F1" w:rsidP="001E7C87">
      <w:pPr>
        <w:pStyle w:val="NormalBullet-"/>
      </w:pPr>
      <w:r>
        <w:t>What support bidders will require from ORR</w:t>
      </w:r>
      <w:r w:rsidR="00D1771E">
        <w:t>.</w:t>
      </w:r>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w:t>
      </w:r>
      <w:proofErr w:type="gramStart"/>
      <w:r>
        <w:t>e.g.</w:t>
      </w:r>
      <w:proofErr w:type="gramEnd"/>
      <w:r>
        <w:t xml:space="preserve"> right to work in the UK)</w:t>
      </w:r>
    </w:p>
    <w:p w14:paraId="5F3C04C1" w14:textId="332DCDE0" w:rsidR="001768F1" w:rsidRDefault="001768F1" w:rsidP="001E7C87">
      <w:pPr>
        <w:pStyle w:val="NormalBullet-"/>
      </w:pPr>
      <w:r>
        <w:lastRenderedPageBreak/>
        <w:t>Some relevant examples of previous work that bidders have carried out (</w:t>
      </w:r>
      <w:proofErr w:type="spellStart"/>
      <w:r>
        <w:t>eg.</w:t>
      </w:r>
      <w:proofErr w:type="spellEnd"/>
      <w:r>
        <w:t xml:space="preserve"> case studies)</w:t>
      </w:r>
      <w:r w:rsidR="00D1771E">
        <w:t>.</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w:t>
      </w:r>
      <w:proofErr w:type="spellStart"/>
      <w:r>
        <w:t>ORR's</w:t>
      </w:r>
      <w:proofErr w:type="spellEnd"/>
      <w:r>
        <w:t xml:space="preserve">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3F2F75E9" w:rsidR="005C29ED" w:rsidRDefault="005C29ED" w:rsidP="00D61976">
      <w:pPr>
        <w:pStyle w:val="Heading4"/>
      </w:pPr>
      <w:r>
        <w:t xml:space="preserve">Methodology </w:t>
      </w:r>
      <w:r w:rsidRPr="00D1771E">
        <w:t>(</w:t>
      </w:r>
      <w:r w:rsidR="00D1771E" w:rsidRPr="00D1771E">
        <w:t>40</w:t>
      </w:r>
      <w:r w:rsidRPr="00D1771E">
        <w:t>%)</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lastRenderedPageBreak/>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 xml:space="preserve">Explain how your organisation will work in partnership with </w:t>
      </w:r>
      <w:proofErr w:type="spellStart"/>
      <w:r>
        <w:t>ORR’s</w:t>
      </w:r>
      <w:proofErr w:type="spellEnd"/>
      <w:r>
        <w:t xml:space="preserve"> project manager to ensure that the requirement is met</w:t>
      </w:r>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63C0654C" w:rsidR="005C29ED" w:rsidRDefault="005C29ED" w:rsidP="00350594">
      <w:pPr>
        <w:pStyle w:val="Heading4"/>
      </w:pPr>
      <w:r>
        <w:t xml:space="preserve">Delivery </w:t>
      </w:r>
      <w:r w:rsidRPr="00D1771E">
        <w:t>(</w:t>
      </w:r>
      <w:r w:rsidR="00D1771E" w:rsidRPr="00D1771E">
        <w:t>10</w:t>
      </w:r>
      <w:r w:rsidRPr="00D1771E">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47BC53DB" w:rsidR="005C29ED" w:rsidRPr="00D1771E" w:rsidRDefault="005C29ED" w:rsidP="00350594">
      <w:pPr>
        <w:pStyle w:val="Heading4"/>
      </w:pPr>
      <w:r>
        <w:t xml:space="preserve">Experience </w:t>
      </w:r>
      <w:r w:rsidRPr="00D1771E">
        <w:t>(</w:t>
      </w:r>
      <w:r w:rsidR="00D1771E" w:rsidRPr="00D1771E">
        <w:t>30</w:t>
      </w:r>
      <w:r w:rsidRPr="00D1771E">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4256DB99" w:rsidR="005C29ED" w:rsidRDefault="005C29ED" w:rsidP="00350594">
      <w:pPr>
        <w:pStyle w:val="Heading4"/>
      </w:pPr>
      <w:r>
        <w:t xml:space="preserve">Cost / Value for money </w:t>
      </w:r>
      <w:r w:rsidRPr="00D1771E">
        <w:t>(</w:t>
      </w:r>
      <w:r w:rsidR="00D1771E" w:rsidRPr="00D1771E">
        <w:t>20</w:t>
      </w:r>
      <w:r w:rsidRPr="00D1771E">
        <w:t>%)</w:t>
      </w:r>
    </w:p>
    <w:p w14:paraId="717E7AA1" w14:textId="00E2C747"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p w14:paraId="17039DED" w14:textId="77777777" w:rsidR="00D1771E" w:rsidRDefault="00D1771E" w:rsidP="005C29ED"/>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E3E52">
              <w:t>PRINCE2</w:t>
            </w:r>
            <w:proofErr w:type="spellEnd"/>
            <w:r w:rsidRPr="003E3E52">
              <w:t xml:space="preserve">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E3E52">
              <w:t>PRINCE2</w:t>
            </w:r>
            <w:proofErr w:type="spellEnd"/>
            <w:r w:rsidRPr="003E3E52">
              <w:t xml:space="preserve">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00CE4A3F" w:rsidR="00C15B7B" w:rsidRDefault="00C15B7B" w:rsidP="003F3CB0"/>
    <w:p w14:paraId="0502F3E6" w14:textId="5D535F56" w:rsidR="00D1771E" w:rsidRDefault="00D1771E" w:rsidP="003F3CB0"/>
    <w:p w14:paraId="627D4A57" w14:textId="77777777" w:rsidR="00D1771E" w:rsidRDefault="00D1771E"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1155192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1155192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400432">
        <w:trPr>
          <w:tblHeader/>
        </w:trPr>
        <w:tc>
          <w:tcPr>
            <w:tcW w:w="4928"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400432">
        <w:tc>
          <w:tcPr>
            <w:tcW w:w="4928"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cBorders>
            <w:shd w:val="solid" w:color="FFFFFF" w:fill="FFFFFF"/>
          </w:tcPr>
          <w:p w14:paraId="0B221E35" w14:textId="675A92CD" w:rsidR="00400432" w:rsidRPr="00400432" w:rsidRDefault="00C26580" w:rsidP="00400432">
            <w:pPr>
              <w:pStyle w:val="TblText"/>
            </w:pPr>
            <w:r>
              <w:t>0</w:t>
            </w:r>
            <w:r w:rsidR="00C65DDC">
              <w:t>9</w:t>
            </w:r>
            <w:r w:rsidR="00C65DDC" w:rsidRPr="00C65DDC">
              <w:rPr>
                <w:vertAlign w:val="superscript"/>
              </w:rPr>
              <w:t>th</w:t>
            </w:r>
            <w:r w:rsidR="00C65DDC">
              <w:t xml:space="preserve"> January 2023</w:t>
            </w:r>
          </w:p>
        </w:tc>
      </w:tr>
      <w:tr w:rsidR="00400432" w:rsidRPr="00400432" w14:paraId="42283B80" w14:textId="77777777" w:rsidTr="00400432">
        <w:tc>
          <w:tcPr>
            <w:tcW w:w="4928"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cBorders>
            <w:shd w:val="solid" w:color="E4E7F5" w:themeColor="text2" w:themeTint="19" w:fill="E4E7F5" w:themeFill="text2" w:themeFillTint="19"/>
          </w:tcPr>
          <w:p w14:paraId="4308C2DC" w14:textId="492D41B3" w:rsidR="00400432" w:rsidRPr="00400432" w:rsidRDefault="00C65DDC" w:rsidP="00400432">
            <w:pPr>
              <w:pStyle w:val="TblText"/>
            </w:pPr>
            <w:r>
              <w:t>2</w:t>
            </w:r>
            <w:r w:rsidR="00E26B05">
              <w:t>4</w:t>
            </w:r>
            <w:r w:rsidRPr="00C65DDC">
              <w:rPr>
                <w:vertAlign w:val="superscript"/>
              </w:rPr>
              <w:t>th</w:t>
            </w:r>
            <w:r>
              <w:t xml:space="preserve"> January 2023</w:t>
            </w:r>
            <w:r w:rsidR="00E26B05">
              <w:t xml:space="preserve"> </w:t>
            </w:r>
            <w:proofErr w:type="spellStart"/>
            <w:r w:rsidR="00E26B05">
              <w:t>12pm</w:t>
            </w:r>
            <w:proofErr w:type="spellEnd"/>
          </w:p>
        </w:tc>
      </w:tr>
      <w:tr w:rsidR="00400432" w:rsidRPr="00400432" w14:paraId="66301268" w14:textId="77777777" w:rsidTr="00400432">
        <w:tc>
          <w:tcPr>
            <w:tcW w:w="4928"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cBorders>
            <w:shd w:val="solid" w:color="FFFFFF" w:fill="FFFFFF"/>
          </w:tcPr>
          <w:p w14:paraId="63343DB4" w14:textId="0AD5B377" w:rsidR="00400432" w:rsidRPr="00400432" w:rsidRDefault="00C65DDC" w:rsidP="00400432">
            <w:pPr>
              <w:pStyle w:val="TblText"/>
            </w:pPr>
            <w:r>
              <w:t>30</w:t>
            </w:r>
            <w:r w:rsidRPr="00C65DDC">
              <w:rPr>
                <w:vertAlign w:val="superscript"/>
              </w:rPr>
              <w:t>th</w:t>
            </w:r>
            <w:r>
              <w:t xml:space="preserve"> January 2023</w:t>
            </w:r>
            <w:r w:rsidR="00E26B05">
              <w:t xml:space="preserve"> </w:t>
            </w:r>
            <w:proofErr w:type="spellStart"/>
            <w:r w:rsidR="00E26B05">
              <w:t>12pm</w:t>
            </w:r>
            <w:proofErr w:type="spellEnd"/>
          </w:p>
        </w:tc>
      </w:tr>
      <w:tr w:rsidR="00400432" w:rsidRPr="00400432" w14:paraId="4B08FCC5" w14:textId="77777777" w:rsidTr="00400432">
        <w:tc>
          <w:tcPr>
            <w:tcW w:w="4928" w:type="dxa"/>
            <w:tcBorders>
              <w:bottom w:val="single" w:sz="12" w:space="0" w:color="FFFFFF"/>
            </w:tcBorders>
            <w:shd w:val="solid" w:color="E4E7F5" w:themeColor="text2" w:themeTint="19" w:fill="E4E7F5" w:themeFill="text2" w:themeFillTint="19"/>
          </w:tcPr>
          <w:p w14:paraId="5D3F0ED3" w14:textId="77777777" w:rsidR="00400432" w:rsidRPr="00400432" w:rsidRDefault="00400432" w:rsidP="00400432">
            <w:pPr>
              <w:pStyle w:val="TblText"/>
            </w:pPr>
            <w:r w:rsidRPr="00400432">
              <w:t>Shortlisted suppliers notified</w:t>
            </w:r>
          </w:p>
        </w:tc>
        <w:tc>
          <w:tcPr>
            <w:tcW w:w="3600" w:type="dxa"/>
            <w:tcBorders>
              <w:bottom w:val="single" w:sz="12" w:space="0" w:color="FFFFFF"/>
            </w:tcBorders>
            <w:shd w:val="solid" w:color="E4E7F5" w:themeColor="text2" w:themeTint="19" w:fill="E4E7F5" w:themeFill="text2" w:themeFillTint="19"/>
          </w:tcPr>
          <w:p w14:paraId="572895D5" w14:textId="18BEB065" w:rsidR="00400432" w:rsidRPr="00400432" w:rsidRDefault="00C26580" w:rsidP="00400432">
            <w:pPr>
              <w:pStyle w:val="TblText"/>
            </w:pPr>
            <w:r>
              <w:t>0</w:t>
            </w:r>
            <w:r w:rsidR="00C65DDC">
              <w:t>3</w:t>
            </w:r>
            <w:r w:rsidR="00C65DDC" w:rsidRPr="00C65DDC">
              <w:rPr>
                <w:vertAlign w:val="superscript"/>
              </w:rPr>
              <w:t>rd</w:t>
            </w:r>
            <w:r w:rsidR="00C65DDC">
              <w:t xml:space="preserve"> February 2023</w:t>
            </w:r>
          </w:p>
        </w:tc>
      </w:tr>
      <w:tr w:rsidR="00400432" w:rsidRPr="00400432" w14:paraId="0217C7BB" w14:textId="77777777" w:rsidTr="00400432">
        <w:tc>
          <w:tcPr>
            <w:tcW w:w="4928" w:type="dxa"/>
            <w:tcBorders>
              <w:bottom w:val="single" w:sz="12" w:space="0" w:color="FFFFFF"/>
            </w:tcBorders>
            <w:shd w:val="solid" w:color="FFFFFF" w:fill="FFFFFF"/>
          </w:tcPr>
          <w:p w14:paraId="32D5FD17" w14:textId="77777777" w:rsidR="00400432" w:rsidRPr="00400432" w:rsidRDefault="00400432" w:rsidP="00400432">
            <w:pPr>
              <w:pStyle w:val="TblText"/>
            </w:pPr>
            <w:r w:rsidRPr="00400432">
              <w:t>Interviews and presentations*</w:t>
            </w:r>
          </w:p>
        </w:tc>
        <w:tc>
          <w:tcPr>
            <w:tcW w:w="3600" w:type="dxa"/>
            <w:tcBorders>
              <w:bottom w:val="single" w:sz="12" w:space="0" w:color="FFFFFF"/>
            </w:tcBorders>
            <w:shd w:val="solid" w:color="FFFFFF" w:fill="FFFFFF"/>
          </w:tcPr>
          <w:p w14:paraId="565B27EE" w14:textId="6681D813" w:rsidR="00400432" w:rsidRPr="00400432" w:rsidRDefault="00C26580" w:rsidP="00400432">
            <w:pPr>
              <w:pStyle w:val="TblText"/>
            </w:pPr>
            <w:r>
              <w:t>0</w:t>
            </w:r>
            <w:r w:rsidR="00C65DDC">
              <w:t>8</w:t>
            </w:r>
            <w:r w:rsidR="00C65DDC" w:rsidRPr="00C65DDC">
              <w:rPr>
                <w:vertAlign w:val="superscript"/>
              </w:rPr>
              <w:t>th</w:t>
            </w:r>
            <w:r w:rsidR="00C65DDC">
              <w:t xml:space="preserve"> February </w:t>
            </w:r>
            <w:r w:rsidR="00E26B05">
              <w:t>2023</w:t>
            </w:r>
          </w:p>
        </w:tc>
      </w:tr>
      <w:tr w:rsidR="00400432" w:rsidRPr="00400432" w14:paraId="2D3D0936" w14:textId="77777777" w:rsidTr="00400432">
        <w:tc>
          <w:tcPr>
            <w:tcW w:w="4928"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cBorders>
            <w:shd w:val="solid" w:color="E4E7F5" w:themeColor="text2" w:themeTint="19" w:fill="E4E7F5" w:themeFill="text2" w:themeFillTint="19"/>
          </w:tcPr>
          <w:p w14:paraId="2FF6E1B1" w14:textId="102FEB61" w:rsidR="00400432" w:rsidRPr="00400432" w:rsidRDefault="00C65DDC" w:rsidP="00400432">
            <w:pPr>
              <w:pStyle w:val="TblText"/>
            </w:pPr>
            <w:r>
              <w:t>10</w:t>
            </w:r>
            <w:r w:rsidRPr="00C65DDC">
              <w:rPr>
                <w:vertAlign w:val="superscript"/>
              </w:rPr>
              <w:t>th</w:t>
            </w:r>
            <w:r>
              <w:t xml:space="preserve"> February 2023</w:t>
            </w:r>
          </w:p>
        </w:tc>
      </w:tr>
      <w:tr w:rsidR="00400432" w:rsidRPr="00400432" w14:paraId="3E83975E" w14:textId="77777777" w:rsidTr="00400432">
        <w:tc>
          <w:tcPr>
            <w:tcW w:w="4928" w:type="dxa"/>
            <w:shd w:val="solid" w:color="FFFFFF" w:fill="FFFFFF"/>
          </w:tcPr>
          <w:p w14:paraId="19972227" w14:textId="77777777" w:rsidR="00400432" w:rsidRPr="00400432" w:rsidRDefault="00400432" w:rsidP="00400432">
            <w:pPr>
              <w:pStyle w:val="TblText"/>
            </w:pPr>
            <w:r w:rsidRPr="00400432">
              <w:t>Project Inception Meeting</w:t>
            </w:r>
          </w:p>
        </w:tc>
        <w:tc>
          <w:tcPr>
            <w:tcW w:w="3600" w:type="dxa"/>
            <w:shd w:val="solid" w:color="FFFFFF" w:fill="FFFFFF"/>
          </w:tcPr>
          <w:p w14:paraId="5605FB39" w14:textId="48972FF8" w:rsidR="00400432" w:rsidRPr="00400432" w:rsidRDefault="00465E6B" w:rsidP="00400432">
            <w:pPr>
              <w:pStyle w:val="TblText"/>
            </w:pPr>
            <w:r>
              <w:t xml:space="preserve">w/c </w:t>
            </w:r>
            <w:r w:rsidR="00C65DDC">
              <w:t>13</w:t>
            </w:r>
            <w:r w:rsidR="00C65DDC" w:rsidRPr="00C65DDC">
              <w:rPr>
                <w:vertAlign w:val="superscript"/>
              </w:rPr>
              <w:t>th</w:t>
            </w:r>
            <w:r w:rsidR="00C65DDC">
              <w:t xml:space="preserve"> February</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1155193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2"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w:t>
      </w:r>
      <w:proofErr w:type="spellStart"/>
      <w:r>
        <w:t>ORR’s</w:t>
      </w:r>
      <w:proofErr w:type="spellEnd"/>
      <w:r>
        <w:t xml:space="preserve">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proofErr w:type="spellStart"/>
      <w:r>
        <w:t>ORR’s</w:t>
      </w:r>
      <w:proofErr w:type="spellEnd"/>
      <w:r>
        <w:t xml:space="preserve">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3"/>
          <w:headerReference w:type="default" r:id="rId24"/>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w:t>
      </w:r>
      <w:proofErr w:type="spellStart"/>
      <w:r>
        <w:t>v3.0</w:t>
      </w:r>
      <w:proofErr w:type="spellEnd"/>
      <w:r>
        <w:t xml:space="preserve"> except where otherwise stated. To view this licence, visit </w:t>
      </w:r>
      <w:hyperlink r:id="rId26" w:history="1">
        <w:proofErr w:type="spellStart"/>
        <w:r w:rsidRPr="00D25F7E">
          <w:rPr>
            <w:rStyle w:val="Hyperlink"/>
          </w:rPr>
          <w:t>nationalarchives.gov.uk</w:t>
        </w:r>
        <w:proofErr w:type="spellEnd"/>
        <w:r w:rsidRPr="00D25F7E">
          <w:rPr>
            <w:rStyle w:val="Hyperlink"/>
          </w:rPr>
          <w:t>/doc/open-government-licence/version/3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7" w:history="1">
        <w:r w:rsidR="008F0B87">
          <w:rPr>
            <w:rStyle w:val="Hyperlink"/>
          </w:rPr>
          <w:t xml:space="preserve">Contracts Finder - </w:t>
        </w:r>
        <w:proofErr w:type="spellStart"/>
        <w:r w:rsidR="008F0B87">
          <w:rPr>
            <w:rStyle w:val="Hyperlink"/>
          </w:rPr>
          <w:t>GOV.UK</w:t>
        </w:r>
        <w:proofErr w:type="spellEnd"/>
        <w:r w:rsidR="008F0B87">
          <w:rPr>
            <w:rStyle w:val="Hyperlink"/>
          </w:rPr>
          <w:t xml:space="preserve"> (</w:t>
        </w:r>
        <w:proofErr w:type="spellStart"/>
        <w:r w:rsidR="008F0B87">
          <w:rPr>
            <w:rStyle w:val="Hyperlink"/>
          </w:rPr>
          <w:t>www.gov.uk</w:t>
        </w:r>
        <w:proofErr w:type="spellEnd"/>
        <w:r w:rsidR="008F0B87">
          <w:rPr>
            <w:rStyle w:val="Hyperlink"/>
          </w:rPr>
          <w:t>)</w:t>
        </w:r>
      </w:hyperlink>
    </w:p>
    <w:p w14:paraId="2D68CC5D" w14:textId="2AE9329A" w:rsidR="00D25F7E" w:rsidRPr="00D25F7E" w:rsidRDefault="00D25F7E" w:rsidP="00D25F7E">
      <w:pPr>
        <w:pStyle w:val="Copyrighttext"/>
      </w:pPr>
      <w:r>
        <w:t xml:space="preserve">Any enquiries regarding this publication should be sent to us at </w:t>
      </w:r>
      <w:hyperlink r:id="rId28" w:history="1">
        <w:proofErr w:type="spellStart"/>
        <w:r w:rsidR="008F0B87" w:rsidRPr="00C9621C">
          <w:rPr>
            <w:rStyle w:val="Hyperlink"/>
          </w:rPr>
          <w:t>procurementteam@orr.gov.uk</w:t>
        </w:r>
        <w:proofErr w:type="spellEnd"/>
      </w:hyperlink>
      <w:r w:rsidR="008F0B87">
        <w:t xml:space="preserve"> </w:t>
      </w:r>
    </w:p>
    <w:sectPr w:rsidR="00D25F7E" w:rsidRPr="00D25F7E" w:rsidSect="00D25F7E">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C26580">
      <w:fldChar w:fldCharType="begin"/>
    </w:r>
    <w:r w:rsidR="00C26580">
      <w:instrText xml:space="preserve"> DOCVARIABLE  txtHdr  \* MERGEFORMAT </w:instrText>
    </w:r>
    <w:r w:rsidR="00C26580">
      <w:fldChar w:fldCharType="separate"/>
    </w:r>
    <w:r w:rsidRPr="00D25F7E">
      <w:rPr>
        <w:b w:val="0"/>
        <w:bCs/>
        <w:lang w:val="en-US"/>
      </w:rPr>
      <w:instrText>ITT</w:instrText>
    </w:r>
    <w:r w:rsidR="00C26580">
      <w:rPr>
        <w:b w:val="0"/>
        <w:bCs/>
        <w:lang w:val="en-US"/>
      </w:rPr>
      <w:fldChar w:fldCharType="end"/>
    </w:r>
    <w:r w:rsidRPr="00AC3B7A">
      <w:instrText xml:space="preserve"> = "Error! No document variable supplied." " " </w:instrText>
    </w:r>
    <w:r w:rsidR="00C26580">
      <w:fldChar w:fldCharType="begin"/>
    </w:r>
    <w:r w:rsidR="00C26580">
      <w:instrText xml:space="preserve"> DOCVARIABLE  txtHdr \* MERGEFORMAT </w:instrText>
    </w:r>
    <w:r w:rsidR="00C26580">
      <w:fldChar w:fldCharType="separate"/>
    </w:r>
    <w:r>
      <w:instrText>ITT</w:instrText>
    </w:r>
    <w:r w:rsidR="00C26580">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C26580">
      <w:fldChar w:fldCharType="begin"/>
    </w:r>
    <w:r w:rsidR="00C26580">
      <w:instrText xml:space="preserve"> DOCVARIABLE  txtHdr  \* MERGEFORMAT </w:instrText>
    </w:r>
    <w:r w:rsidR="00C26580">
      <w:fldChar w:fldCharType="separate"/>
    </w:r>
    <w:r w:rsidRPr="00D25F7E">
      <w:rPr>
        <w:b w:val="0"/>
        <w:bCs/>
        <w:lang w:val="en-US"/>
      </w:rPr>
      <w:instrText>ITT</w:instrText>
    </w:r>
    <w:r w:rsidR="00C26580">
      <w:rPr>
        <w:b w:val="0"/>
        <w:bCs/>
        <w:lang w:val="en-US"/>
      </w:rPr>
      <w:fldChar w:fldCharType="end"/>
    </w:r>
    <w:r w:rsidRPr="00AC3B7A">
      <w:instrText xml:space="preserve"> = "Error! No document variable supplied." " " </w:instrText>
    </w:r>
    <w:r w:rsidR="00C26580">
      <w:fldChar w:fldCharType="begin"/>
    </w:r>
    <w:r w:rsidR="00C26580">
      <w:instrText xml:space="preserve"> DOCVARIAB</w:instrText>
    </w:r>
    <w:r w:rsidR="00C26580">
      <w:instrText xml:space="preserve">LE  txtHdr \* MERGEFORMAT </w:instrText>
    </w:r>
    <w:r w:rsidR="00C26580">
      <w:fldChar w:fldCharType="separate"/>
    </w:r>
    <w:r>
      <w:instrText>ITT</w:instrText>
    </w:r>
    <w:r w:rsidR="00C26580">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9A76BCC"/>
    <w:multiLevelType w:val="multilevel"/>
    <w:tmpl w:val="D79C245A"/>
    <w:numStyleLink w:val="ORRNormalList"/>
  </w:abstractNum>
  <w:abstractNum w:abstractNumId="11"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5"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6" w15:restartNumberingAfterBreak="0">
    <w:nsid w:val="68BD5682"/>
    <w:multiLevelType w:val="multilevel"/>
    <w:tmpl w:val="EAD453D0"/>
    <w:numStyleLink w:val="NumbListHighlight"/>
  </w:abstractNum>
  <w:abstractNum w:abstractNumId="17"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15:restartNumberingAfterBreak="0">
    <w:nsid w:val="774C62AB"/>
    <w:multiLevelType w:val="multilevel"/>
    <w:tmpl w:val="6B204466"/>
    <w:numStyleLink w:val="ORRAnnex"/>
  </w:abstractNum>
  <w:abstractNum w:abstractNumId="20" w15:restartNumberingAfterBreak="0">
    <w:nsid w:val="7DDA5CB4"/>
    <w:multiLevelType w:val="multilevel"/>
    <w:tmpl w:val="6B204466"/>
    <w:numStyleLink w:val="ORRAnnex"/>
  </w:abstractNum>
  <w:num w:numId="1" w16cid:durableId="1233007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18"/>
  </w:num>
  <w:num w:numId="3" w16cid:durableId="615990203">
    <w:abstractNumId w:val="6"/>
  </w:num>
  <w:num w:numId="4" w16cid:durableId="1539008159">
    <w:abstractNumId w:val="14"/>
  </w:num>
  <w:num w:numId="5" w16cid:durableId="1334801291">
    <w:abstractNumId w:val="7"/>
  </w:num>
  <w:num w:numId="6" w16cid:durableId="116142554">
    <w:abstractNumId w:val="10"/>
  </w:num>
  <w:num w:numId="7" w16cid:durableId="1708795862">
    <w:abstractNumId w:val="8"/>
  </w:num>
  <w:num w:numId="8" w16cid:durableId="1432780497">
    <w:abstractNumId w:val="4"/>
  </w:num>
  <w:num w:numId="9" w16cid:durableId="35012236">
    <w:abstractNumId w:val="3"/>
  </w:num>
  <w:num w:numId="10" w16cid:durableId="711077664">
    <w:abstractNumId w:val="0"/>
  </w:num>
  <w:num w:numId="11" w16cid:durableId="1604993918">
    <w:abstractNumId w:val="16"/>
  </w:num>
  <w:num w:numId="12" w16cid:durableId="435447028">
    <w:abstractNumId w:val="15"/>
  </w:num>
  <w:num w:numId="13" w16cid:durableId="2048019962">
    <w:abstractNumId w:val="19"/>
  </w:num>
  <w:num w:numId="14" w16cid:durableId="2025738407">
    <w:abstractNumId w:val="16"/>
  </w:num>
  <w:num w:numId="15" w16cid:durableId="150879135">
    <w:abstractNumId w:val="16"/>
  </w:num>
  <w:num w:numId="16" w16cid:durableId="891042484">
    <w:abstractNumId w:val="16"/>
  </w:num>
  <w:num w:numId="17" w16cid:durableId="727414043">
    <w:abstractNumId w:val="15"/>
  </w:num>
  <w:num w:numId="18" w16cid:durableId="1027833524">
    <w:abstractNumId w:val="1"/>
  </w:num>
  <w:num w:numId="19" w16cid:durableId="50661355">
    <w:abstractNumId w:val="5"/>
  </w:num>
  <w:num w:numId="20" w16cid:durableId="1446195555">
    <w:abstractNumId w:val="3"/>
  </w:num>
  <w:num w:numId="21" w16cid:durableId="558327301">
    <w:abstractNumId w:val="20"/>
  </w:num>
  <w:num w:numId="22" w16cid:durableId="463500638">
    <w:abstractNumId w:val="12"/>
  </w:num>
  <w:num w:numId="23" w16cid:durableId="1527019102">
    <w:abstractNumId w:val="2"/>
  </w:num>
  <w:num w:numId="24" w16cid:durableId="1992102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9"/>
  </w:num>
  <w:num w:numId="26" w16cid:durableId="1830293373">
    <w:abstractNumId w:val="17"/>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126F"/>
    <w:rsid w:val="0009203F"/>
    <w:rsid w:val="000A0438"/>
    <w:rsid w:val="000A6DE7"/>
    <w:rsid w:val="000B0266"/>
    <w:rsid w:val="000B309A"/>
    <w:rsid w:val="000B3F28"/>
    <w:rsid w:val="000B6176"/>
    <w:rsid w:val="000C7B66"/>
    <w:rsid w:val="000D2970"/>
    <w:rsid w:val="000E135E"/>
    <w:rsid w:val="000E5AB1"/>
    <w:rsid w:val="000E5E49"/>
    <w:rsid w:val="000F4554"/>
    <w:rsid w:val="000F5529"/>
    <w:rsid w:val="000F70BB"/>
    <w:rsid w:val="000F7BB6"/>
    <w:rsid w:val="001012B6"/>
    <w:rsid w:val="00102F62"/>
    <w:rsid w:val="00120892"/>
    <w:rsid w:val="0012193D"/>
    <w:rsid w:val="00124D1D"/>
    <w:rsid w:val="00137015"/>
    <w:rsid w:val="00141746"/>
    <w:rsid w:val="001526A6"/>
    <w:rsid w:val="00155088"/>
    <w:rsid w:val="0015625B"/>
    <w:rsid w:val="00156D5F"/>
    <w:rsid w:val="00160B26"/>
    <w:rsid w:val="00162B03"/>
    <w:rsid w:val="001659DD"/>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433A"/>
    <w:rsid w:val="00286CF2"/>
    <w:rsid w:val="0028735A"/>
    <w:rsid w:val="0029283C"/>
    <w:rsid w:val="00293D38"/>
    <w:rsid w:val="00297104"/>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42C1"/>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300B"/>
    <w:rsid w:val="0048774B"/>
    <w:rsid w:val="00490915"/>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65AD"/>
    <w:rsid w:val="00526956"/>
    <w:rsid w:val="00532B91"/>
    <w:rsid w:val="00534962"/>
    <w:rsid w:val="00536EB2"/>
    <w:rsid w:val="00544099"/>
    <w:rsid w:val="00546AF7"/>
    <w:rsid w:val="00555585"/>
    <w:rsid w:val="00560690"/>
    <w:rsid w:val="005607EA"/>
    <w:rsid w:val="005612F3"/>
    <w:rsid w:val="005635FA"/>
    <w:rsid w:val="00574B16"/>
    <w:rsid w:val="00580A77"/>
    <w:rsid w:val="00585CEE"/>
    <w:rsid w:val="00591161"/>
    <w:rsid w:val="00596F73"/>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567C"/>
    <w:rsid w:val="006701F0"/>
    <w:rsid w:val="00680F51"/>
    <w:rsid w:val="00683A4B"/>
    <w:rsid w:val="00683F80"/>
    <w:rsid w:val="00691342"/>
    <w:rsid w:val="006A063F"/>
    <w:rsid w:val="006A6751"/>
    <w:rsid w:val="006B10E9"/>
    <w:rsid w:val="006B198C"/>
    <w:rsid w:val="006B27E0"/>
    <w:rsid w:val="006C004C"/>
    <w:rsid w:val="006C02BD"/>
    <w:rsid w:val="006C15DB"/>
    <w:rsid w:val="006D1DD8"/>
    <w:rsid w:val="006D4741"/>
    <w:rsid w:val="006D6465"/>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B1555"/>
    <w:rsid w:val="007C43C1"/>
    <w:rsid w:val="007D5014"/>
    <w:rsid w:val="007E2744"/>
    <w:rsid w:val="007E4EC4"/>
    <w:rsid w:val="007E6E4B"/>
    <w:rsid w:val="007F3F24"/>
    <w:rsid w:val="007F4B75"/>
    <w:rsid w:val="007F6498"/>
    <w:rsid w:val="007F6B18"/>
    <w:rsid w:val="00806042"/>
    <w:rsid w:val="008122F2"/>
    <w:rsid w:val="008145A2"/>
    <w:rsid w:val="0081555F"/>
    <w:rsid w:val="0081639D"/>
    <w:rsid w:val="008174A6"/>
    <w:rsid w:val="00826F5D"/>
    <w:rsid w:val="008277B1"/>
    <w:rsid w:val="00831EE0"/>
    <w:rsid w:val="0083798F"/>
    <w:rsid w:val="00841B8C"/>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75BF"/>
    <w:rsid w:val="0094130E"/>
    <w:rsid w:val="009617D1"/>
    <w:rsid w:val="00963E0B"/>
    <w:rsid w:val="009646F5"/>
    <w:rsid w:val="00973BC6"/>
    <w:rsid w:val="009757DA"/>
    <w:rsid w:val="00981E60"/>
    <w:rsid w:val="009822CC"/>
    <w:rsid w:val="00982820"/>
    <w:rsid w:val="009852F9"/>
    <w:rsid w:val="0099269F"/>
    <w:rsid w:val="00992B05"/>
    <w:rsid w:val="00994102"/>
    <w:rsid w:val="009942BE"/>
    <w:rsid w:val="009A5DA3"/>
    <w:rsid w:val="009B04F7"/>
    <w:rsid w:val="009B5565"/>
    <w:rsid w:val="009C3E78"/>
    <w:rsid w:val="009C7888"/>
    <w:rsid w:val="009D4BF5"/>
    <w:rsid w:val="009D635E"/>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13C"/>
    <w:rsid w:val="00A525B9"/>
    <w:rsid w:val="00A575FC"/>
    <w:rsid w:val="00A66AC8"/>
    <w:rsid w:val="00A67863"/>
    <w:rsid w:val="00A70557"/>
    <w:rsid w:val="00A739EA"/>
    <w:rsid w:val="00A73FDA"/>
    <w:rsid w:val="00A77317"/>
    <w:rsid w:val="00A90826"/>
    <w:rsid w:val="00A93476"/>
    <w:rsid w:val="00A95FB0"/>
    <w:rsid w:val="00AB3000"/>
    <w:rsid w:val="00AB4F46"/>
    <w:rsid w:val="00AB6599"/>
    <w:rsid w:val="00AC3F17"/>
    <w:rsid w:val="00AE1221"/>
    <w:rsid w:val="00AF205E"/>
    <w:rsid w:val="00AF41B0"/>
    <w:rsid w:val="00AF5A70"/>
    <w:rsid w:val="00AF7AF9"/>
    <w:rsid w:val="00B017A5"/>
    <w:rsid w:val="00B04D1F"/>
    <w:rsid w:val="00B0622B"/>
    <w:rsid w:val="00B111AB"/>
    <w:rsid w:val="00B13C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84F8A"/>
    <w:rsid w:val="00B906DF"/>
    <w:rsid w:val="00B91F92"/>
    <w:rsid w:val="00B946A3"/>
    <w:rsid w:val="00BA010D"/>
    <w:rsid w:val="00BA3E54"/>
    <w:rsid w:val="00BA75AF"/>
    <w:rsid w:val="00BD1EDB"/>
    <w:rsid w:val="00BE1FE1"/>
    <w:rsid w:val="00BE2981"/>
    <w:rsid w:val="00BF056F"/>
    <w:rsid w:val="00BF2BC5"/>
    <w:rsid w:val="00BF321E"/>
    <w:rsid w:val="00BF3BAC"/>
    <w:rsid w:val="00BF50D6"/>
    <w:rsid w:val="00BF66D9"/>
    <w:rsid w:val="00C00032"/>
    <w:rsid w:val="00C129B9"/>
    <w:rsid w:val="00C12DE6"/>
    <w:rsid w:val="00C15B7B"/>
    <w:rsid w:val="00C23E57"/>
    <w:rsid w:val="00C260C9"/>
    <w:rsid w:val="00C26580"/>
    <w:rsid w:val="00C26E3E"/>
    <w:rsid w:val="00C32699"/>
    <w:rsid w:val="00C35494"/>
    <w:rsid w:val="00C42B54"/>
    <w:rsid w:val="00C43F22"/>
    <w:rsid w:val="00C4471E"/>
    <w:rsid w:val="00C44B4E"/>
    <w:rsid w:val="00C50737"/>
    <w:rsid w:val="00C50F62"/>
    <w:rsid w:val="00C54CD1"/>
    <w:rsid w:val="00C57A84"/>
    <w:rsid w:val="00C6176E"/>
    <w:rsid w:val="00C61F00"/>
    <w:rsid w:val="00C65DDC"/>
    <w:rsid w:val="00C6719E"/>
    <w:rsid w:val="00C7169D"/>
    <w:rsid w:val="00C76E4E"/>
    <w:rsid w:val="00C8418E"/>
    <w:rsid w:val="00C84CC1"/>
    <w:rsid w:val="00C91699"/>
    <w:rsid w:val="00C9580A"/>
    <w:rsid w:val="00C97CC2"/>
    <w:rsid w:val="00C97F2B"/>
    <w:rsid w:val="00CA080B"/>
    <w:rsid w:val="00CA25B2"/>
    <w:rsid w:val="00CA2A88"/>
    <w:rsid w:val="00CB359C"/>
    <w:rsid w:val="00CC0085"/>
    <w:rsid w:val="00CC21C9"/>
    <w:rsid w:val="00CC51FF"/>
    <w:rsid w:val="00CD62FF"/>
    <w:rsid w:val="00CE2434"/>
    <w:rsid w:val="00CE4C99"/>
    <w:rsid w:val="00CE5EE2"/>
    <w:rsid w:val="00CE7358"/>
    <w:rsid w:val="00D00048"/>
    <w:rsid w:val="00D0044E"/>
    <w:rsid w:val="00D07E76"/>
    <w:rsid w:val="00D10D3A"/>
    <w:rsid w:val="00D1771E"/>
    <w:rsid w:val="00D2010B"/>
    <w:rsid w:val="00D20E23"/>
    <w:rsid w:val="00D21C2C"/>
    <w:rsid w:val="00D2517B"/>
    <w:rsid w:val="00D25EAA"/>
    <w:rsid w:val="00D25F7E"/>
    <w:rsid w:val="00D27573"/>
    <w:rsid w:val="00D3030F"/>
    <w:rsid w:val="00D3273A"/>
    <w:rsid w:val="00D401C8"/>
    <w:rsid w:val="00D40E5E"/>
    <w:rsid w:val="00D42F12"/>
    <w:rsid w:val="00D435F4"/>
    <w:rsid w:val="00D477C4"/>
    <w:rsid w:val="00D55AD3"/>
    <w:rsid w:val="00D55BB5"/>
    <w:rsid w:val="00D56D49"/>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26B05"/>
    <w:rsid w:val="00E31153"/>
    <w:rsid w:val="00E360E5"/>
    <w:rsid w:val="00E3647D"/>
    <w:rsid w:val="00E450CC"/>
    <w:rsid w:val="00E507FC"/>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nationalarchives.gov.uk/doc/open-government-licence/version/3" TargetMode="External"/><Relationship Id="rId21" Type="http://schemas.openxmlformats.org/officeDocument/2006/relationships/hyperlink" Target="https://www.orr.gov.uk/media/23638"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search-consultations/orrs-role-and-approach-ris3"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mailto:procurementteam@orr.gov.uk"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orr.gov.uk/media/23638" TargetMode="External"/><Relationship Id="rId27" Type="http://schemas.openxmlformats.org/officeDocument/2006/relationships/hyperlink" Target="https://www.gov.uk/contracts-finder" TargetMode="Externa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843948"/>
    <w:rsid w:val="009E0644"/>
    <w:rsid w:val="00A257DF"/>
    <w:rsid w:val="00A72823"/>
    <w:rsid w:val="00A82377"/>
    <w:rsid w:val="00F0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2301</TotalTime>
  <Pages>22</Pages>
  <Words>4596</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RIS3 productivity and efficiency research</dc:subject>
  <dc:creator>Angeriz-Santos, Paula</dc:creator>
  <cp:keywords/>
  <dc:description/>
  <cp:lastModifiedBy>Augusto, Barbara</cp:lastModifiedBy>
  <cp:revision>10</cp:revision>
  <cp:lastPrinted>2021-02-24T15:29:00Z</cp:lastPrinted>
  <dcterms:created xsi:type="dcterms:W3CDTF">2022-12-06T15:54:00Z</dcterms:created>
  <dcterms:modified xsi:type="dcterms:W3CDTF">2023-01-09T13:18:00Z</dcterms:modified>
</cp:coreProperties>
</file>