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2AC" w:rsidRDefault="008672AC" w:rsidP="0031307F">
      <w:pPr>
        <w:jc w:val="center"/>
        <w:rPr>
          <w:rFonts w:ascii="Arial" w:hAnsi="Arial" w:cs="Arial"/>
          <w:sz w:val="32"/>
        </w:rPr>
      </w:pPr>
      <w:r>
        <w:rPr>
          <w:rFonts w:ascii="Arial" w:hAnsi="Arial" w:cs="Arial"/>
          <w:sz w:val="32"/>
        </w:rPr>
        <w:t xml:space="preserve">Market Engagement – Transparency Disclosure  </w:t>
      </w:r>
    </w:p>
    <w:p w:rsidR="0031307F" w:rsidRPr="00A77304" w:rsidRDefault="008672AC" w:rsidP="0031307F">
      <w:pPr>
        <w:pStyle w:val="xl30"/>
        <w:tabs>
          <w:tab w:val="left" w:pos="2175"/>
          <w:tab w:val="left" w:pos="9620"/>
        </w:tabs>
        <w:spacing w:before="0" w:beforeAutospacing="0" w:after="0" w:afterAutospacing="0"/>
        <w:rPr>
          <w:bCs w:val="0"/>
          <w:sz w:val="24"/>
        </w:rPr>
      </w:pPr>
      <w:r w:rsidRPr="00A77304">
        <w:rPr>
          <w:bCs w:val="0"/>
          <w:sz w:val="24"/>
        </w:rPr>
        <w:t xml:space="preserve">To inform NHS England’s approach to this tender exercise a market engagement session was held on </w:t>
      </w:r>
      <w:r w:rsidR="00A77304" w:rsidRPr="00A77304">
        <w:rPr>
          <w:bCs w:val="0"/>
          <w:sz w:val="24"/>
        </w:rPr>
        <w:t>9</w:t>
      </w:r>
      <w:r w:rsidR="00A77304" w:rsidRPr="00A77304">
        <w:rPr>
          <w:bCs w:val="0"/>
          <w:sz w:val="24"/>
          <w:vertAlign w:val="superscript"/>
        </w:rPr>
        <w:t>th</w:t>
      </w:r>
      <w:r w:rsidR="00A77304" w:rsidRPr="00A77304">
        <w:rPr>
          <w:bCs w:val="0"/>
          <w:sz w:val="24"/>
        </w:rPr>
        <w:t xml:space="preserve"> and 10</w:t>
      </w:r>
      <w:r w:rsidR="00A77304" w:rsidRPr="00A77304">
        <w:rPr>
          <w:bCs w:val="0"/>
          <w:sz w:val="24"/>
          <w:vertAlign w:val="superscript"/>
        </w:rPr>
        <w:t>th</w:t>
      </w:r>
      <w:r w:rsidR="00A77304" w:rsidRPr="00A77304">
        <w:rPr>
          <w:bCs w:val="0"/>
          <w:sz w:val="24"/>
        </w:rPr>
        <w:t xml:space="preserve"> January 2018</w:t>
      </w:r>
      <w:r w:rsidRPr="00A77304">
        <w:rPr>
          <w:bCs w:val="0"/>
          <w:sz w:val="24"/>
        </w:rPr>
        <w:t xml:space="preserve"> with the incumbent suppliers.</w:t>
      </w:r>
    </w:p>
    <w:p w:rsidR="008672AC" w:rsidRPr="00A77304" w:rsidRDefault="008672AC" w:rsidP="0031307F">
      <w:pPr>
        <w:pStyle w:val="xl30"/>
        <w:tabs>
          <w:tab w:val="left" w:pos="2175"/>
          <w:tab w:val="left" w:pos="9620"/>
        </w:tabs>
        <w:spacing w:before="0" w:beforeAutospacing="0" w:after="0" w:afterAutospacing="0"/>
        <w:rPr>
          <w:bCs w:val="0"/>
          <w:sz w:val="24"/>
        </w:rPr>
      </w:pPr>
    </w:p>
    <w:p w:rsidR="008672AC" w:rsidRPr="00A77304" w:rsidRDefault="008672AC" w:rsidP="0031307F">
      <w:pPr>
        <w:pStyle w:val="xl30"/>
        <w:tabs>
          <w:tab w:val="left" w:pos="2175"/>
          <w:tab w:val="left" w:pos="9620"/>
        </w:tabs>
        <w:spacing w:before="0" w:beforeAutospacing="0" w:after="0" w:afterAutospacing="0"/>
        <w:rPr>
          <w:bCs w:val="0"/>
          <w:sz w:val="24"/>
        </w:rPr>
      </w:pPr>
      <w:r w:rsidRPr="00A77304">
        <w:rPr>
          <w:bCs w:val="0"/>
          <w:sz w:val="24"/>
        </w:rPr>
        <w:t>To ensure no supplier has an undue advantage the key points and information conveyed have been summarised below.</w:t>
      </w:r>
    </w:p>
    <w:p w:rsidR="008672AC" w:rsidRDefault="008672AC" w:rsidP="0031307F">
      <w:pPr>
        <w:pStyle w:val="xl30"/>
        <w:tabs>
          <w:tab w:val="left" w:pos="2175"/>
          <w:tab w:val="left" w:pos="9620"/>
        </w:tabs>
        <w:spacing w:before="0" w:beforeAutospacing="0" w:after="0" w:afterAutospacing="0"/>
        <w:rPr>
          <w:b w:val="0"/>
          <w:bCs w:val="0"/>
          <w:sz w:val="24"/>
          <w:u w:val="single"/>
        </w:rPr>
      </w:pPr>
    </w:p>
    <w:p w:rsidR="008672AC" w:rsidRPr="00A77304" w:rsidRDefault="008672AC" w:rsidP="0031307F">
      <w:pPr>
        <w:pStyle w:val="xl30"/>
        <w:tabs>
          <w:tab w:val="left" w:pos="2175"/>
          <w:tab w:val="left" w:pos="9620"/>
        </w:tabs>
        <w:spacing w:before="0" w:beforeAutospacing="0" w:after="0" w:afterAutospacing="0"/>
        <w:rPr>
          <w:b w:val="0"/>
          <w:bCs w:val="0"/>
          <w:sz w:val="24"/>
          <w:u w:val="single"/>
        </w:rPr>
      </w:pPr>
      <w:bookmarkStart w:id="0" w:name="_GoBack"/>
      <w:bookmarkEnd w:id="0"/>
    </w:p>
    <w:p w:rsidR="0031307F" w:rsidRPr="00A77304" w:rsidRDefault="0031307F" w:rsidP="0031307F">
      <w:pPr>
        <w:pStyle w:val="xl30"/>
        <w:tabs>
          <w:tab w:val="left" w:pos="2175"/>
          <w:tab w:val="left" w:pos="9620"/>
        </w:tabs>
        <w:spacing w:before="0" w:beforeAutospacing="0" w:after="0" w:afterAutospacing="0"/>
        <w:rPr>
          <w:b w:val="0"/>
          <w:bCs w:val="0"/>
          <w:sz w:val="24"/>
          <w:u w:val="single"/>
        </w:rPr>
      </w:pPr>
      <w:r w:rsidRPr="00A77304">
        <w:rPr>
          <w:b w:val="0"/>
          <w:bCs w:val="0"/>
          <w:sz w:val="24"/>
          <w:u w:val="single"/>
        </w:rPr>
        <w:t xml:space="preserve">Adjudication process </w:t>
      </w:r>
    </w:p>
    <w:p w:rsidR="0031307F" w:rsidRPr="00A77304" w:rsidRDefault="0031307F" w:rsidP="0031307F">
      <w:pPr>
        <w:pStyle w:val="xl30"/>
        <w:tabs>
          <w:tab w:val="left" w:pos="2175"/>
          <w:tab w:val="left" w:pos="9620"/>
        </w:tabs>
        <w:spacing w:before="0" w:beforeAutospacing="0" w:after="0" w:afterAutospacing="0"/>
        <w:rPr>
          <w:b w:val="0"/>
          <w:bCs w:val="0"/>
          <w:sz w:val="24"/>
        </w:rPr>
      </w:pPr>
      <w:r w:rsidRPr="00A77304">
        <w:rPr>
          <w:b w:val="0"/>
          <w:bCs w:val="0"/>
          <w:sz w:val="24"/>
        </w:rPr>
        <w:t>Suppliers need to ensure they add comments only in the appropriate place on the specification document.</w:t>
      </w:r>
    </w:p>
    <w:p w:rsidR="0031307F" w:rsidRPr="00A77304" w:rsidRDefault="0031307F" w:rsidP="0031307F">
      <w:pPr>
        <w:pStyle w:val="xl30"/>
        <w:tabs>
          <w:tab w:val="left" w:pos="2175"/>
          <w:tab w:val="left" w:pos="9620"/>
        </w:tabs>
        <w:spacing w:before="0" w:beforeAutospacing="0" w:after="0" w:afterAutospacing="0"/>
        <w:rPr>
          <w:rFonts w:eastAsia="Calibri"/>
          <w:b w:val="0"/>
          <w:bCs w:val="0"/>
          <w:sz w:val="24"/>
          <w:u w:val="single"/>
        </w:rPr>
      </w:pPr>
    </w:p>
    <w:p w:rsidR="0031307F" w:rsidRPr="00A77304" w:rsidRDefault="0031307F" w:rsidP="0031307F">
      <w:pPr>
        <w:pStyle w:val="xl30"/>
        <w:tabs>
          <w:tab w:val="left" w:pos="2175"/>
          <w:tab w:val="left" w:pos="9620"/>
        </w:tabs>
        <w:spacing w:before="0" w:beforeAutospacing="0" w:after="0" w:afterAutospacing="0"/>
        <w:rPr>
          <w:rFonts w:eastAsia="Calibri"/>
          <w:b w:val="0"/>
          <w:bCs w:val="0"/>
          <w:sz w:val="24"/>
          <w:u w:val="single"/>
        </w:rPr>
      </w:pPr>
      <w:r w:rsidRPr="00A77304">
        <w:rPr>
          <w:rFonts w:eastAsia="Calibri"/>
          <w:b w:val="0"/>
          <w:bCs w:val="0"/>
          <w:sz w:val="24"/>
          <w:u w:val="single"/>
        </w:rPr>
        <w:t>Commercial schedule</w:t>
      </w:r>
    </w:p>
    <w:p w:rsidR="0031307F" w:rsidRPr="00A77304" w:rsidRDefault="0031307F" w:rsidP="0031307F">
      <w:pPr>
        <w:pStyle w:val="xl30"/>
        <w:tabs>
          <w:tab w:val="left" w:pos="2175"/>
          <w:tab w:val="left" w:pos="9620"/>
        </w:tabs>
        <w:spacing w:before="0" w:beforeAutospacing="0" w:after="0" w:afterAutospacing="0"/>
        <w:rPr>
          <w:rFonts w:eastAsia="Calibri"/>
          <w:b w:val="0"/>
          <w:bCs w:val="0"/>
          <w:sz w:val="24"/>
        </w:rPr>
      </w:pPr>
      <w:r w:rsidRPr="00A77304">
        <w:rPr>
          <w:rFonts w:eastAsia="Calibri"/>
          <w:b w:val="0"/>
          <w:bCs w:val="0"/>
          <w:sz w:val="24"/>
        </w:rPr>
        <w:t>The following points have been removed as they are either already covered in the specification or not required:</w:t>
      </w:r>
    </w:p>
    <w:p w:rsidR="0031307F" w:rsidRPr="00A77304" w:rsidRDefault="0031307F" w:rsidP="0031307F">
      <w:pPr>
        <w:pStyle w:val="xl30"/>
        <w:numPr>
          <w:ilvl w:val="0"/>
          <w:numId w:val="1"/>
        </w:numPr>
        <w:tabs>
          <w:tab w:val="left" w:pos="2175"/>
          <w:tab w:val="left" w:pos="9620"/>
        </w:tabs>
        <w:spacing w:before="0" w:beforeAutospacing="0" w:after="0" w:afterAutospacing="0"/>
        <w:rPr>
          <w:b w:val="0"/>
          <w:bCs w:val="0"/>
          <w:sz w:val="24"/>
          <w:u w:val="single"/>
        </w:rPr>
      </w:pPr>
      <w:r w:rsidRPr="00A77304">
        <w:rPr>
          <w:rFonts w:eastAsia="Calibri"/>
          <w:b w:val="0"/>
          <w:bCs w:val="0"/>
          <w:sz w:val="24"/>
        </w:rPr>
        <w:t>Stock rotation</w:t>
      </w:r>
    </w:p>
    <w:p w:rsidR="0031307F" w:rsidRPr="00A77304" w:rsidRDefault="0031307F" w:rsidP="0031307F">
      <w:pPr>
        <w:pStyle w:val="xl30"/>
        <w:numPr>
          <w:ilvl w:val="0"/>
          <w:numId w:val="1"/>
        </w:numPr>
        <w:tabs>
          <w:tab w:val="left" w:pos="2175"/>
          <w:tab w:val="left" w:pos="9620"/>
        </w:tabs>
        <w:spacing w:before="0" w:beforeAutospacing="0" w:after="0" w:afterAutospacing="0"/>
        <w:rPr>
          <w:b w:val="0"/>
          <w:bCs w:val="0"/>
          <w:sz w:val="24"/>
          <w:u w:val="single"/>
        </w:rPr>
      </w:pPr>
      <w:r w:rsidRPr="00A77304">
        <w:rPr>
          <w:rFonts w:eastAsia="Calibri"/>
          <w:b w:val="0"/>
          <w:bCs w:val="0"/>
          <w:sz w:val="24"/>
        </w:rPr>
        <w:t>Collection of waste</w:t>
      </w:r>
    </w:p>
    <w:p w:rsidR="0031307F" w:rsidRPr="00A77304" w:rsidRDefault="0031307F" w:rsidP="0031307F">
      <w:pPr>
        <w:pStyle w:val="xl30"/>
        <w:numPr>
          <w:ilvl w:val="0"/>
          <w:numId w:val="1"/>
        </w:numPr>
        <w:tabs>
          <w:tab w:val="left" w:pos="2175"/>
          <w:tab w:val="left" w:pos="9620"/>
        </w:tabs>
        <w:spacing w:before="0" w:beforeAutospacing="0" w:after="0" w:afterAutospacing="0"/>
        <w:rPr>
          <w:b w:val="0"/>
          <w:bCs w:val="0"/>
          <w:sz w:val="24"/>
          <w:u w:val="single"/>
        </w:rPr>
      </w:pPr>
      <w:r w:rsidRPr="00A77304">
        <w:rPr>
          <w:rFonts w:eastAsia="Calibri"/>
          <w:b w:val="0"/>
          <w:bCs w:val="0"/>
          <w:sz w:val="24"/>
        </w:rPr>
        <w:t>Key holding service</w:t>
      </w:r>
    </w:p>
    <w:p w:rsidR="0031307F" w:rsidRPr="00A77304" w:rsidRDefault="0031307F" w:rsidP="0031307F">
      <w:pPr>
        <w:pStyle w:val="xl30"/>
        <w:tabs>
          <w:tab w:val="left" w:pos="2175"/>
          <w:tab w:val="left" w:pos="9620"/>
        </w:tabs>
        <w:spacing w:before="0" w:beforeAutospacing="0" w:after="0" w:afterAutospacing="0"/>
        <w:rPr>
          <w:b w:val="0"/>
          <w:bCs w:val="0"/>
          <w:sz w:val="24"/>
          <w:u w:val="single"/>
        </w:rPr>
      </w:pPr>
    </w:p>
    <w:p w:rsidR="0031307F" w:rsidRPr="00A77304" w:rsidRDefault="0031307F" w:rsidP="0031307F">
      <w:pPr>
        <w:pStyle w:val="xl30"/>
        <w:tabs>
          <w:tab w:val="left" w:pos="2175"/>
          <w:tab w:val="left" w:pos="9620"/>
        </w:tabs>
        <w:spacing w:before="0" w:beforeAutospacing="0" w:after="0" w:afterAutospacing="0"/>
        <w:rPr>
          <w:b w:val="0"/>
          <w:bCs w:val="0"/>
          <w:sz w:val="24"/>
          <w:u w:val="single"/>
        </w:rPr>
      </w:pPr>
      <w:r w:rsidRPr="00A77304">
        <w:rPr>
          <w:b w:val="0"/>
          <w:bCs w:val="0"/>
          <w:sz w:val="24"/>
          <w:u w:val="single"/>
        </w:rPr>
        <w:t xml:space="preserve">Evaluation process </w:t>
      </w:r>
    </w:p>
    <w:p w:rsidR="0031307F" w:rsidRPr="00A77304" w:rsidRDefault="0031307F" w:rsidP="0031307F">
      <w:pPr>
        <w:pStyle w:val="xl30"/>
        <w:tabs>
          <w:tab w:val="left" w:pos="2175"/>
          <w:tab w:val="left" w:pos="9620"/>
        </w:tabs>
        <w:spacing w:before="0" w:beforeAutospacing="0" w:after="0" w:afterAutospacing="0"/>
        <w:rPr>
          <w:b w:val="0"/>
          <w:bCs w:val="0"/>
          <w:sz w:val="24"/>
        </w:rPr>
      </w:pPr>
      <w:r w:rsidRPr="00A77304">
        <w:rPr>
          <w:b w:val="0"/>
          <w:bCs w:val="0"/>
          <w:sz w:val="24"/>
        </w:rPr>
        <w:t>All suppliers who meet the specification within the award criteria will be placed on to this framework. This is to ensure patient and clinical choice and to also ensure there is enough capacity within the market.</w:t>
      </w:r>
    </w:p>
    <w:p w:rsidR="0031307F" w:rsidRPr="00A77304" w:rsidRDefault="0031307F" w:rsidP="0031307F">
      <w:pPr>
        <w:pStyle w:val="xl30"/>
        <w:tabs>
          <w:tab w:val="left" w:pos="2175"/>
          <w:tab w:val="left" w:pos="9620"/>
        </w:tabs>
        <w:spacing w:before="0" w:beforeAutospacing="0" w:after="0" w:afterAutospacing="0"/>
        <w:rPr>
          <w:b w:val="0"/>
          <w:bCs w:val="0"/>
          <w:sz w:val="24"/>
        </w:rPr>
      </w:pPr>
    </w:p>
    <w:p w:rsidR="0031307F" w:rsidRPr="00A77304" w:rsidRDefault="0031307F" w:rsidP="0031307F">
      <w:pPr>
        <w:pStyle w:val="xl30"/>
        <w:tabs>
          <w:tab w:val="left" w:pos="2175"/>
          <w:tab w:val="left" w:pos="9620"/>
        </w:tabs>
        <w:spacing w:before="0" w:beforeAutospacing="0" w:after="0" w:afterAutospacing="0"/>
        <w:rPr>
          <w:b w:val="0"/>
          <w:bCs w:val="0"/>
          <w:sz w:val="24"/>
          <w:u w:val="single"/>
        </w:rPr>
      </w:pPr>
      <w:r w:rsidRPr="00A77304">
        <w:rPr>
          <w:b w:val="0"/>
          <w:bCs w:val="0"/>
          <w:sz w:val="24"/>
          <w:u w:val="single"/>
        </w:rPr>
        <w:t>Data - Management Information (MI) and Key Performance Indicator information (KPI)</w:t>
      </w:r>
    </w:p>
    <w:p w:rsidR="0031307F" w:rsidRPr="00A77304" w:rsidRDefault="0031307F" w:rsidP="0031307F">
      <w:pPr>
        <w:pStyle w:val="xl30"/>
        <w:tabs>
          <w:tab w:val="left" w:pos="862"/>
          <w:tab w:val="left" w:pos="9620"/>
        </w:tabs>
        <w:spacing w:before="0" w:beforeAutospacing="0" w:after="0" w:afterAutospacing="0"/>
        <w:rPr>
          <w:b w:val="0"/>
          <w:bCs w:val="0"/>
          <w:sz w:val="24"/>
        </w:rPr>
      </w:pPr>
      <w:r w:rsidRPr="00A77304">
        <w:rPr>
          <w:b w:val="0"/>
          <w:bCs w:val="0"/>
          <w:sz w:val="24"/>
        </w:rPr>
        <w:t>Going forward the KPI’s which include the new complaints and incidents reporting will be monitored more closely and there maybe regular supplier review meetings. Also all suppliers must register with Haemtrack and input their delivery data on to this system which is monitored by UKHCDO. The template will be included in the tender pack.</w:t>
      </w:r>
    </w:p>
    <w:p w:rsidR="0031307F" w:rsidRPr="00A77304" w:rsidRDefault="0031307F" w:rsidP="0031307F">
      <w:pPr>
        <w:pStyle w:val="xl30"/>
        <w:tabs>
          <w:tab w:val="left" w:pos="2175"/>
          <w:tab w:val="left" w:pos="9620"/>
        </w:tabs>
        <w:spacing w:before="0" w:beforeAutospacing="0" w:after="0" w:afterAutospacing="0"/>
        <w:rPr>
          <w:b w:val="0"/>
          <w:bCs w:val="0"/>
          <w:sz w:val="24"/>
        </w:rPr>
      </w:pPr>
    </w:p>
    <w:p w:rsidR="0031307F" w:rsidRPr="00A77304" w:rsidRDefault="0031307F" w:rsidP="0031307F">
      <w:pPr>
        <w:pStyle w:val="xl30"/>
        <w:tabs>
          <w:tab w:val="left" w:pos="2175"/>
          <w:tab w:val="left" w:pos="9620"/>
        </w:tabs>
        <w:spacing w:before="0" w:beforeAutospacing="0" w:after="0" w:afterAutospacing="0"/>
        <w:rPr>
          <w:b w:val="0"/>
          <w:bCs w:val="0"/>
          <w:sz w:val="24"/>
          <w:u w:val="single"/>
        </w:rPr>
      </w:pPr>
      <w:r w:rsidRPr="00A77304">
        <w:rPr>
          <w:b w:val="0"/>
          <w:bCs w:val="0"/>
          <w:sz w:val="24"/>
          <w:u w:val="single"/>
        </w:rPr>
        <w:t xml:space="preserve">Fridges </w:t>
      </w:r>
    </w:p>
    <w:p w:rsidR="0031307F" w:rsidRPr="00A77304" w:rsidRDefault="008672AC" w:rsidP="0031307F">
      <w:pPr>
        <w:pStyle w:val="xl30"/>
        <w:tabs>
          <w:tab w:val="left" w:pos="2175"/>
          <w:tab w:val="left" w:pos="9620"/>
        </w:tabs>
        <w:spacing w:before="0" w:beforeAutospacing="0" w:after="0" w:afterAutospacing="0"/>
        <w:rPr>
          <w:b w:val="0"/>
          <w:bCs w:val="0"/>
          <w:sz w:val="24"/>
        </w:rPr>
      </w:pPr>
      <w:r>
        <w:rPr>
          <w:b w:val="0"/>
          <w:bCs w:val="0"/>
          <w:sz w:val="24"/>
        </w:rPr>
        <w:t>NHS England</w:t>
      </w:r>
      <w:r w:rsidRPr="00A77304">
        <w:rPr>
          <w:b w:val="0"/>
          <w:bCs w:val="0"/>
          <w:sz w:val="24"/>
        </w:rPr>
        <w:t xml:space="preserve"> </w:t>
      </w:r>
      <w:r w:rsidR="0031307F" w:rsidRPr="00A77304">
        <w:rPr>
          <w:b w:val="0"/>
          <w:bCs w:val="0"/>
          <w:sz w:val="24"/>
        </w:rPr>
        <w:t>confirmed that only under the counter domestic fridges will be supplied for those patients who require one.</w:t>
      </w:r>
    </w:p>
    <w:p w:rsidR="0031307F" w:rsidRPr="00A77304" w:rsidRDefault="0031307F" w:rsidP="0031307F">
      <w:pPr>
        <w:pStyle w:val="xl30"/>
        <w:tabs>
          <w:tab w:val="left" w:pos="2175"/>
          <w:tab w:val="left" w:pos="9620"/>
        </w:tabs>
        <w:spacing w:before="0" w:beforeAutospacing="0" w:after="0" w:afterAutospacing="0"/>
        <w:rPr>
          <w:b w:val="0"/>
          <w:bCs w:val="0"/>
          <w:sz w:val="24"/>
        </w:rPr>
      </w:pPr>
    </w:p>
    <w:p w:rsidR="0031307F" w:rsidRPr="00A77304" w:rsidRDefault="0031307F" w:rsidP="0031307F">
      <w:pPr>
        <w:pStyle w:val="xl30"/>
        <w:tabs>
          <w:tab w:val="left" w:pos="2175"/>
          <w:tab w:val="left" w:pos="9620"/>
        </w:tabs>
        <w:spacing w:before="0" w:beforeAutospacing="0" w:after="0" w:afterAutospacing="0"/>
        <w:rPr>
          <w:b w:val="0"/>
          <w:bCs w:val="0"/>
          <w:sz w:val="24"/>
        </w:rPr>
      </w:pPr>
      <w:r w:rsidRPr="00A77304">
        <w:rPr>
          <w:b w:val="0"/>
          <w:bCs w:val="0"/>
          <w:sz w:val="24"/>
          <w:u w:val="single"/>
        </w:rPr>
        <w:t>Northern Ireland</w:t>
      </w:r>
    </w:p>
    <w:p w:rsidR="0031307F" w:rsidRPr="00A77304" w:rsidRDefault="0031307F" w:rsidP="0031307F">
      <w:pPr>
        <w:pStyle w:val="xl30"/>
        <w:tabs>
          <w:tab w:val="left" w:pos="2175"/>
          <w:tab w:val="left" w:pos="9620"/>
        </w:tabs>
        <w:spacing w:before="0" w:beforeAutospacing="0" w:after="0" w:afterAutospacing="0"/>
        <w:rPr>
          <w:b w:val="0"/>
          <w:bCs w:val="0"/>
          <w:sz w:val="24"/>
        </w:rPr>
      </w:pPr>
      <w:r w:rsidRPr="00A77304">
        <w:rPr>
          <w:b w:val="0"/>
          <w:bCs w:val="0"/>
          <w:sz w:val="24"/>
        </w:rPr>
        <w:t>Belfast Health and Social Care Trust (BHSCT) will be the named purchasing authority in Northern Ireland who will be participating in the new framework.</w:t>
      </w:r>
    </w:p>
    <w:p w:rsidR="00C0519D" w:rsidRPr="00A77304" w:rsidRDefault="00C0519D">
      <w:pPr>
        <w:rPr>
          <w:sz w:val="24"/>
        </w:rPr>
      </w:pPr>
    </w:p>
    <w:sectPr w:rsidR="00C0519D" w:rsidRPr="00A7730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460" w:rsidRDefault="00EC1460" w:rsidP="008672AC">
      <w:pPr>
        <w:spacing w:after="0" w:line="240" w:lineRule="auto"/>
      </w:pPr>
      <w:r>
        <w:separator/>
      </w:r>
    </w:p>
  </w:endnote>
  <w:endnote w:type="continuationSeparator" w:id="0">
    <w:p w:rsidR="00EC1460" w:rsidRDefault="00EC1460" w:rsidP="0086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AC" w:rsidRPr="00A77304" w:rsidRDefault="008672AC" w:rsidP="008672AC">
    <w:pPr>
      <w:pStyle w:val="Header"/>
      <w:jc w:val="center"/>
      <w:rPr>
        <w:rFonts w:ascii="Arial" w:hAnsi="Arial" w:cs="Arial"/>
        <w:sz w:val="24"/>
        <w:szCs w:val="24"/>
      </w:rPr>
    </w:pPr>
    <w:r w:rsidRPr="00A77304">
      <w:rPr>
        <w:rFonts w:ascii="Arial" w:hAnsi="Arial" w:cs="Arial"/>
        <w:sz w:val="24"/>
        <w:szCs w:val="24"/>
      </w:rPr>
      <w:t>OFFICIAL</w:t>
    </w:r>
  </w:p>
  <w:p w:rsidR="008672AC" w:rsidRPr="00A77304" w:rsidRDefault="008672AC">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460" w:rsidRDefault="00EC1460" w:rsidP="008672AC">
      <w:pPr>
        <w:spacing w:after="0" w:line="240" w:lineRule="auto"/>
      </w:pPr>
      <w:r>
        <w:separator/>
      </w:r>
    </w:p>
  </w:footnote>
  <w:footnote w:type="continuationSeparator" w:id="0">
    <w:p w:rsidR="00EC1460" w:rsidRDefault="00EC1460" w:rsidP="00867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AC" w:rsidRPr="00A77304" w:rsidRDefault="008672AC" w:rsidP="00A77304">
    <w:pPr>
      <w:pStyle w:val="Header"/>
      <w:jc w:val="center"/>
      <w:rPr>
        <w:rFonts w:ascii="Arial" w:hAnsi="Arial" w:cs="Arial"/>
        <w:sz w:val="24"/>
        <w:szCs w:val="24"/>
      </w:rPr>
    </w:pPr>
    <w:r w:rsidRPr="00A77304">
      <w:rPr>
        <w:rFonts w:ascii="Arial" w:hAnsi="Arial" w:cs="Arial"/>
        <w:sz w:val="24"/>
        <w:szCs w:val="24"/>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EA7"/>
    <w:multiLevelType w:val="hybridMultilevel"/>
    <w:tmpl w:val="5376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7F"/>
    <w:rsid w:val="00217FF7"/>
    <w:rsid w:val="0031307F"/>
    <w:rsid w:val="008672AC"/>
    <w:rsid w:val="00A77304"/>
    <w:rsid w:val="00C0519D"/>
    <w:rsid w:val="00EC1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0">
    <w:name w:val="xl30"/>
    <w:basedOn w:val="Normal"/>
    <w:rsid w:val="0031307F"/>
    <w:pPr>
      <w:spacing w:before="100" w:beforeAutospacing="1" w:after="100" w:afterAutospacing="1" w:line="240" w:lineRule="auto"/>
    </w:pPr>
    <w:rPr>
      <w:rFonts w:ascii="Arial" w:eastAsia="Times New Roman" w:hAnsi="Arial" w:cs="Arial"/>
      <w:b/>
      <w:bCs/>
    </w:rPr>
  </w:style>
  <w:style w:type="paragraph" w:styleId="Header">
    <w:name w:val="header"/>
    <w:basedOn w:val="Normal"/>
    <w:link w:val="HeaderChar"/>
    <w:uiPriority w:val="99"/>
    <w:unhideWhenUsed/>
    <w:rsid w:val="00867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2AC"/>
  </w:style>
  <w:style w:type="paragraph" w:styleId="Footer">
    <w:name w:val="footer"/>
    <w:basedOn w:val="Normal"/>
    <w:link w:val="FooterChar"/>
    <w:uiPriority w:val="99"/>
    <w:unhideWhenUsed/>
    <w:rsid w:val="00867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2AC"/>
  </w:style>
  <w:style w:type="paragraph" w:styleId="BalloonText">
    <w:name w:val="Balloon Text"/>
    <w:basedOn w:val="Normal"/>
    <w:link w:val="BalloonTextChar"/>
    <w:uiPriority w:val="99"/>
    <w:semiHidden/>
    <w:unhideWhenUsed/>
    <w:rsid w:val="00867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2AC"/>
    <w:rPr>
      <w:rFonts w:ascii="Tahoma" w:hAnsi="Tahoma" w:cs="Tahoma"/>
      <w:sz w:val="16"/>
      <w:szCs w:val="16"/>
    </w:rPr>
  </w:style>
  <w:style w:type="character" w:styleId="CommentReference">
    <w:name w:val="annotation reference"/>
    <w:basedOn w:val="DefaultParagraphFont"/>
    <w:uiPriority w:val="99"/>
    <w:semiHidden/>
    <w:unhideWhenUsed/>
    <w:rsid w:val="008672AC"/>
    <w:rPr>
      <w:sz w:val="16"/>
      <w:szCs w:val="16"/>
    </w:rPr>
  </w:style>
  <w:style w:type="paragraph" w:styleId="CommentText">
    <w:name w:val="annotation text"/>
    <w:basedOn w:val="Normal"/>
    <w:link w:val="CommentTextChar"/>
    <w:uiPriority w:val="99"/>
    <w:semiHidden/>
    <w:unhideWhenUsed/>
    <w:rsid w:val="008672AC"/>
    <w:pPr>
      <w:spacing w:line="240" w:lineRule="auto"/>
    </w:pPr>
    <w:rPr>
      <w:sz w:val="20"/>
      <w:szCs w:val="20"/>
    </w:rPr>
  </w:style>
  <w:style w:type="character" w:customStyle="1" w:styleId="CommentTextChar">
    <w:name w:val="Comment Text Char"/>
    <w:basedOn w:val="DefaultParagraphFont"/>
    <w:link w:val="CommentText"/>
    <w:uiPriority w:val="99"/>
    <w:semiHidden/>
    <w:rsid w:val="008672AC"/>
    <w:rPr>
      <w:sz w:val="20"/>
      <w:szCs w:val="20"/>
    </w:rPr>
  </w:style>
  <w:style w:type="paragraph" w:styleId="CommentSubject">
    <w:name w:val="annotation subject"/>
    <w:basedOn w:val="CommentText"/>
    <w:next w:val="CommentText"/>
    <w:link w:val="CommentSubjectChar"/>
    <w:uiPriority w:val="99"/>
    <w:semiHidden/>
    <w:unhideWhenUsed/>
    <w:rsid w:val="008672AC"/>
    <w:rPr>
      <w:b/>
      <w:bCs/>
    </w:rPr>
  </w:style>
  <w:style w:type="character" w:customStyle="1" w:styleId="CommentSubjectChar">
    <w:name w:val="Comment Subject Char"/>
    <w:basedOn w:val="CommentTextChar"/>
    <w:link w:val="CommentSubject"/>
    <w:uiPriority w:val="99"/>
    <w:semiHidden/>
    <w:rsid w:val="008672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0">
    <w:name w:val="xl30"/>
    <w:basedOn w:val="Normal"/>
    <w:rsid w:val="0031307F"/>
    <w:pPr>
      <w:spacing w:before="100" w:beforeAutospacing="1" w:after="100" w:afterAutospacing="1" w:line="240" w:lineRule="auto"/>
    </w:pPr>
    <w:rPr>
      <w:rFonts w:ascii="Arial" w:eastAsia="Times New Roman" w:hAnsi="Arial" w:cs="Arial"/>
      <w:b/>
      <w:bCs/>
    </w:rPr>
  </w:style>
  <w:style w:type="paragraph" w:styleId="Header">
    <w:name w:val="header"/>
    <w:basedOn w:val="Normal"/>
    <w:link w:val="HeaderChar"/>
    <w:uiPriority w:val="99"/>
    <w:unhideWhenUsed/>
    <w:rsid w:val="00867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2AC"/>
  </w:style>
  <w:style w:type="paragraph" w:styleId="Footer">
    <w:name w:val="footer"/>
    <w:basedOn w:val="Normal"/>
    <w:link w:val="FooterChar"/>
    <w:uiPriority w:val="99"/>
    <w:unhideWhenUsed/>
    <w:rsid w:val="00867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2AC"/>
  </w:style>
  <w:style w:type="paragraph" w:styleId="BalloonText">
    <w:name w:val="Balloon Text"/>
    <w:basedOn w:val="Normal"/>
    <w:link w:val="BalloonTextChar"/>
    <w:uiPriority w:val="99"/>
    <w:semiHidden/>
    <w:unhideWhenUsed/>
    <w:rsid w:val="00867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2AC"/>
    <w:rPr>
      <w:rFonts w:ascii="Tahoma" w:hAnsi="Tahoma" w:cs="Tahoma"/>
      <w:sz w:val="16"/>
      <w:szCs w:val="16"/>
    </w:rPr>
  </w:style>
  <w:style w:type="character" w:styleId="CommentReference">
    <w:name w:val="annotation reference"/>
    <w:basedOn w:val="DefaultParagraphFont"/>
    <w:uiPriority w:val="99"/>
    <w:semiHidden/>
    <w:unhideWhenUsed/>
    <w:rsid w:val="008672AC"/>
    <w:rPr>
      <w:sz w:val="16"/>
      <w:szCs w:val="16"/>
    </w:rPr>
  </w:style>
  <w:style w:type="paragraph" w:styleId="CommentText">
    <w:name w:val="annotation text"/>
    <w:basedOn w:val="Normal"/>
    <w:link w:val="CommentTextChar"/>
    <w:uiPriority w:val="99"/>
    <w:semiHidden/>
    <w:unhideWhenUsed/>
    <w:rsid w:val="008672AC"/>
    <w:pPr>
      <w:spacing w:line="240" w:lineRule="auto"/>
    </w:pPr>
    <w:rPr>
      <w:sz w:val="20"/>
      <w:szCs w:val="20"/>
    </w:rPr>
  </w:style>
  <w:style w:type="character" w:customStyle="1" w:styleId="CommentTextChar">
    <w:name w:val="Comment Text Char"/>
    <w:basedOn w:val="DefaultParagraphFont"/>
    <w:link w:val="CommentText"/>
    <w:uiPriority w:val="99"/>
    <w:semiHidden/>
    <w:rsid w:val="008672AC"/>
    <w:rPr>
      <w:sz w:val="20"/>
      <w:szCs w:val="20"/>
    </w:rPr>
  </w:style>
  <w:style w:type="paragraph" w:styleId="CommentSubject">
    <w:name w:val="annotation subject"/>
    <w:basedOn w:val="CommentText"/>
    <w:next w:val="CommentText"/>
    <w:link w:val="CommentSubjectChar"/>
    <w:uiPriority w:val="99"/>
    <w:semiHidden/>
    <w:unhideWhenUsed/>
    <w:rsid w:val="008672AC"/>
    <w:rPr>
      <w:b/>
      <w:bCs/>
    </w:rPr>
  </w:style>
  <w:style w:type="character" w:customStyle="1" w:styleId="CommentSubjectChar">
    <w:name w:val="Comment Subject Char"/>
    <w:basedOn w:val="CommentTextChar"/>
    <w:link w:val="CommentSubject"/>
    <w:uiPriority w:val="99"/>
    <w:semiHidden/>
    <w:rsid w:val="008672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Newell, Lynne</dc:creator>
  <cp:lastModifiedBy>Rodriguez, Johanna</cp:lastModifiedBy>
  <cp:revision>2</cp:revision>
  <dcterms:created xsi:type="dcterms:W3CDTF">2018-02-08T14:28:00Z</dcterms:created>
  <dcterms:modified xsi:type="dcterms:W3CDTF">2018-02-09T08:35:00Z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A2420162</vt:lpwstr>
  </property>
  <property fmtid="{D5CDD505-2E9C-101B-9397-08002B2CF9AE}" pid="4" name="Objective-Title">
    <vt:lpwstr>Document No. 08 - Market Engagement - Transparency Disclosure</vt:lpwstr>
  </property>
  <property fmtid="{D5CDD505-2E9C-101B-9397-08002B2CF9AE}" pid="5" name="Objective-Comment">
    <vt:lpwstr>
    </vt:lpwstr>
  </property>
  <property fmtid="{D5CDD505-2E9C-101B-9397-08002B2CF9AE}" pid="6" name="Objective-CreationStamp">
    <vt:filetime>2018-02-08T14:33:01Z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2018-02-13T15:02:20Z</vt:filetime>
  </property>
  <property fmtid="{D5CDD505-2E9C-101B-9397-08002B2CF9AE}" pid="11" name="Objective-Owner">
    <vt:lpwstr>Newell2, Lynne</vt:lpwstr>
  </property>
  <property fmtid="{D5CDD505-2E9C-101B-9397-08002B2CF9AE}" pid="12" name="Objective-Path">
    <vt:lpwstr>Global Folder:04 Homecare and Services Projects and Contracts:Live Projects:Homecare - Contracts 2017:CM/MSR/15/5480 - Home Delivery Service - Blood Clotting Factors:03 Tender for CM/MSR/15/5480 - Home Delivery Service - Blood Clotting Factors:ITT Documents:Approved ITT Docs:</vt:lpwstr>
  </property>
  <property fmtid="{D5CDD505-2E9C-101B-9397-08002B2CF9AE}" pid="13" name="Objective-Parent">
    <vt:lpwstr>Approved ITT Docs</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qA18347</vt:lpwstr>
  </property>
  <property fmtid="{D5CDD505-2E9C-101B-9397-08002B2CF9AE}" pid="19" name="Objective-Classification">
    <vt:lpwstr>[Inherited - none]</vt:lpwstr>
  </property>
  <property fmtid="{D5CDD505-2E9C-101B-9397-08002B2CF9AE}" pid="20" name="Objective-Caveats">
    <vt:lpwstr>
    </vt:lpwstr>
  </property>
</Properties>
</file>