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CA" w:rsidRDefault="002468CA" w:rsidP="002468CA">
      <w:pPr>
        <w:jc w:val="left"/>
        <w:rPr>
          <w:rFonts w:ascii="Arial" w:hAnsi="Arial"/>
        </w:rPr>
      </w:pPr>
      <w:r>
        <w:rPr>
          <w:rFonts w:ascii="Arial" w:hAnsi="Arial"/>
          <w:sz w:val="20"/>
        </w:rPr>
        <w:t>To Be Quoted On All Correspondence</w:t>
      </w:r>
    </w:p>
    <w:p w:rsidR="002468CA" w:rsidRDefault="002468CA" w:rsidP="002468CA">
      <w:pPr>
        <w:rPr>
          <w:rFonts w:ascii="Arial" w:hAnsi="Arial"/>
        </w:rPr>
      </w:pPr>
    </w:p>
    <w:p w:rsidR="002468CA" w:rsidRDefault="002468CA" w:rsidP="002468CA">
      <w:pPr>
        <w:rPr>
          <w:rFonts w:ascii="Arial" w:hAnsi="Arial"/>
        </w:rPr>
      </w:pPr>
    </w:p>
    <w:p w:rsidR="002468CA" w:rsidRDefault="00013F0F" w:rsidP="002468CA">
      <w:pPr>
        <w:pStyle w:val="DefaultText"/>
        <w:rPr>
          <w:lang w:val="en-GB"/>
        </w:rPr>
      </w:pPr>
      <w:r>
        <w:rPr>
          <w:noProof/>
          <w:lang w:val="en-GB" w:eastAsia="en-GB"/>
        </w:rPr>
        <w:drawing>
          <wp:anchor distT="0" distB="0" distL="114300" distR="114300" simplePos="0" relativeHeight="251657216" behindDoc="0" locked="0" layoutInCell="1" allowOverlap="1" wp14:anchorId="2AAEB1D3" wp14:editId="0AE8BFE0">
            <wp:simplePos x="0" y="0"/>
            <wp:positionH relativeFrom="margin">
              <wp:posOffset>2720975</wp:posOffset>
            </wp:positionH>
            <wp:positionV relativeFrom="margin">
              <wp:posOffset>528320</wp:posOffset>
            </wp:positionV>
            <wp:extent cx="3263900" cy="1605280"/>
            <wp:effectExtent l="0" t="0" r="0" b="0"/>
            <wp:wrapSquare wrapText="bothSides"/>
            <wp:docPr id="2" name="Picture 2" descr="Image result for tbw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bw glob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3900" cy="1605280"/>
                    </a:xfrm>
                    <a:prstGeom prst="rect">
                      <a:avLst/>
                    </a:prstGeom>
                    <a:noFill/>
                    <a:ln>
                      <a:noFill/>
                    </a:ln>
                  </pic:spPr>
                </pic:pic>
              </a:graphicData>
            </a:graphic>
          </wp:anchor>
        </w:drawing>
      </w:r>
    </w:p>
    <w:p w:rsidR="002468CA" w:rsidRDefault="00B2233D" w:rsidP="002468CA">
      <w:pPr>
        <w:pStyle w:val="DefaultText"/>
        <w:rPr>
          <w:lang w:val="en-GB"/>
        </w:rPr>
      </w:pPr>
      <w:r>
        <w:rPr>
          <w:noProof/>
          <w:sz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4pt;margin-top:62.4pt;width:80.3pt;height:81pt;z-index:-251658240;mso-position-horizontal-relative:margin;mso-position-vertical-relative:margin">
            <v:imagedata r:id="rId10" o:title=""/>
            <w10:wrap type="square" anchorx="margin" anchory="margin"/>
          </v:shape>
          <o:OLEObject Type="Embed" ProgID="MSPhotoEd.3" ShapeID="_x0000_s1029" DrawAspect="Content" ObjectID="_1617599914" r:id="rId11"/>
        </w:pict>
      </w:r>
    </w:p>
    <w:p w:rsidR="002468CA" w:rsidRDefault="00013F0F" w:rsidP="002468CA">
      <w:pPr>
        <w:pStyle w:val="DefaultText"/>
        <w:rPr>
          <w:lang w:val="en-GB"/>
        </w:rPr>
      </w:pPr>
      <w:r>
        <w:rPr>
          <w:lang w:val="en-GB"/>
        </w:rPr>
        <w:t xml:space="preserve">       </w:t>
      </w:r>
    </w:p>
    <w:p w:rsidR="002468CA" w:rsidRDefault="002468CA" w:rsidP="002468CA">
      <w:pPr>
        <w:rPr>
          <w:rFonts w:ascii="Arial" w:hAnsi="Arial"/>
        </w:rPr>
      </w:pPr>
    </w:p>
    <w:p w:rsidR="002468CA" w:rsidRDefault="002468CA" w:rsidP="002468CA">
      <w:pPr>
        <w:pStyle w:val="DefaultText11"/>
        <w:rPr>
          <w:rFonts w:ascii="Arial" w:hAnsi="Arial"/>
          <w:lang w:val="en-GB"/>
        </w:rPr>
      </w:pPr>
    </w:p>
    <w:p w:rsidR="002468CA" w:rsidRDefault="002468CA" w:rsidP="002468CA">
      <w:pPr>
        <w:rPr>
          <w:rFonts w:ascii="Arial" w:hAnsi="Arial"/>
        </w:rPr>
      </w:pPr>
    </w:p>
    <w:p w:rsidR="002468CA" w:rsidRDefault="002468CA" w:rsidP="002468CA">
      <w:pPr>
        <w:rPr>
          <w:rFonts w:ascii="Arial" w:hAnsi="Arial"/>
        </w:rPr>
      </w:pPr>
    </w:p>
    <w:p w:rsidR="002468CA" w:rsidRDefault="002468CA" w:rsidP="002468CA">
      <w:pPr>
        <w:pStyle w:val="Heading3"/>
      </w:pPr>
    </w:p>
    <w:p w:rsidR="00C32422" w:rsidRDefault="00C32422" w:rsidP="002468CA">
      <w:pPr>
        <w:pStyle w:val="Heading3"/>
      </w:pPr>
    </w:p>
    <w:p w:rsidR="00C32422" w:rsidRDefault="00C32422" w:rsidP="002468CA">
      <w:pPr>
        <w:pStyle w:val="Heading3"/>
      </w:pPr>
    </w:p>
    <w:p w:rsidR="002468CA" w:rsidRDefault="002468CA" w:rsidP="002468CA">
      <w:pPr>
        <w:pStyle w:val="Heading3"/>
      </w:pPr>
      <w:r>
        <w:t>CONTRACT</w:t>
      </w:r>
    </w:p>
    <w:p w:rsidR="002468CA" w:rsidRDefault="002468CA" w:rsidP="002468CA">
      <w:pPr>
        <w:jc w:val="center"/>
        <w:rPr>
          <w:rFonts w:ascii="Arial" w:hAnsi="Arial" w:cs="Arial"/>
          <w:b/>
          <w:sz w:val="28"/>
        </w:rPr>
      </w:pPr>
    </w:p>
    <w:p w:rsidR="002468CA" w:rsidRDefault="002468CA" w:rsidP="002468CA">
      <w:pPr>
        <w:jc w:val="center"/>
        <w:rPr>
          <w:rFonts w:ascii="Arial" w:hAnsi="Arial" w:cs="Arial"/>
          <w:b/>
          <w:sz w:val="28"/>
        </w:rPr>
      </w:pPr>
      <w:proofErr w:type="gramStart"/>
      <w:r>
        <w:rPr>
          <w:rFonts w:ascii="Arial" w:hAnsi="Arial" w:cs="Arial"/>
          <w:b/>
          <w:sz w:val="28"/>
        </w:rPr>
        <w:t>between</w:t>
      </w:r>
      <w:proofErr w:type="gramEnd"/>
    </w:p>
    <w:p w:rsidR="002468CA" w:rsidRDefault="002468CA" w:rsidP="002468CA">
      <w:pPr>
        <w:jc w:val="center"/>
        <w:rPr>
          <w:rFonts w:ascii="Arial" w:hAnsi="Arial" w:cs="Arial"/>
          <w:b/>
          <w:sz w:val="28"/>
        </w:rPr>
      </w:pPr>
    </w:p>
    <w:p w:rsidR="002468CA" w:rsidRDefault="002468CA" w:rsidP="002468CA">
      <w:pPr>
        <w:jc w:val="center"/>
        <w:rPr>
          <w:rFonts w:ascii="Arial" w:hAnsi="Arial" w:cs="Arial"/>
          <w:b/>
          <w:sz w:val="28"/>
        </w:rPr>
      </w:pPr>
      <w:r>
        <w:rPr>
          <w:rFonts w:ascii="Arial" w:hAnsi="Arial" w:cs="Arial"/>
          <w:b/>
          <w:sz w:val="28"/>
        </w:rPr>
        <w:t>THE HEALTH AND SAFETY EXECUTIVE</w:t>
      </w:r>
    </w:p>
    <w:p w:rsidR="002468CA" w:rsidRPr="00054F09" w:rsidRDefault="002468CA" w:rsidP="002468CA">
      <w:pPr>
        <w:jc w:val="center"/>
        <w:rPr>
          <w:rFonts w:ascii="Arial" w:hAnsi="Arial" w:cs="Arial"/>
          <w:sz w:val="28"/>
        </w:rPr>
      </w:pPr>
    </w:p>
    <w:p w:rsidR="002468CA" w:rsidRDefault="002468CA" w:rsidP="002468CA">
      <w:pPr>
        <w:jc w:val="center"/>
        <w:rPr>
          <w:rFonts w:ascii="Arial" w:hAnsi="Arial" w:cs="Arial"/>
          <w:b/>
          <w:sz w:val="28"/>
        </w:rPr>
      </w:pPr>
      <w:proofErr w:type="gramStart"/>
      <w:r>
        <w:rPr>
          <w:rFonts w:ascii="Arial" w:hAnsi="Arial" w:cs="Arial"/>
          <w:b/>
          <w:sz w:val="28"/>
        </w:rPr>
        <w:t>and</w:t>
      </w:r>
      <w:proofErr w:type="gramEnd"/>
    </w:p>
    <w:p w:rsidR="002468CA" w:rsidRDefault="002468CA" w:rsidP="002468CA">
      <w:pPr>
        <w:pStyle w:val="DefaultText"/>
        <w:jc w:val="center"/>
        <w:rPr>
          <w:lang w:val="en-GB"/>
        </w:rPr>
      </w:pPr>
    </w:p>
    <w:p w:rsidR="006A3905" w:rsidRDefault="00013F0F" w:rsidP="002468CA">
      <w:pPr>
        <w:pStyle w:val="DefaultText"/>
        <w:jc w:val="center"/>
        <w:rPr>
          <w:rFonts w:ascii="Arial" w:hAnsi="Arial" w:cs="Arial"/>
          <w:b/>
          <w:bCs/>
          <w:sz w:val="28"/>
          <w:szCs w:val="28"/>
          <w:lang w:val="en-GB"/>
        </w:rPr>
      </w:pPr>
      <w:r>
        <w:rPr>
          <w:rFonts w:ascii="Arial" w:hAnsi="Arial" w:cs="Arial"/>
          <w:b/>
          <w:bCs/>
          <w:sz w:val="28"/>
          <w:szCs w:val="28"/>
          <w:lang w:val="en-GB"/>
        </w:rPr>
        <w:t>TBW GLOBAL</w:t>
      </w:r>
      <w:r w:rsidR="00333334">
        <w:rPr>
          <w:rFonts w:ascii="Arial" w:hAnsi="Arial" w:cs="Arial"/>
          <w:b/>
          <w:bCs/>
          <w:sz w:val="28"/>
          <w:szCs w:val="28"/>
          <w:lang w:val="en-GB"/>
        </w:rPr>
        <w:t xml:space="preserve"> LIMITED</w:t>
      </w:r>
    </w:p>
    <w:p w:rsidR="006A3905" w:rsidRDefault="006A3905" w:rsidP="002468CA">
      <w:pPr>
        <w:pStyle w:val="DefaultText"/>
        <w:jc w:val="center"/>
        <w:rPr>
          <w:rFonts w:ascii="Arial" w:hAnsi="Arial" w:cs="Arial"/>
          <w:b/>
          <w:bCs/>
          <w:sz w:val="28"/>
          <w:szCs w:val="28"/>
          <w:lang w:val="en-GB"/>
        </w:rPr>
      </w:pPr>
    </w:p>
    <w:p w:rsidR="00B94F52" w:rsidRDefault="00230B3D" w:rsidP="002468CA">
      <w:pPr>
        <w:pStyle w:val="DefaultText"/>
        <w:jc w:val="center"/>
        <w:rPr>
          <w:rFonts w:ascii="Arial" w:hAnsi="Arial" w:cs="Arial"/>
          <w:b/>
          <w:bCs/>
          <w:sz w:val="28"/>
          <w:lang w:val="en-GB"/>
        </w:rPr>
      </w:pPr>
      <w:proofErr w:type="gramStart"/>
      <w:r>
        <w:rPr>
          <w:rFonts w:ascii="Arial" w:hAnsi="Arial" w:cs="Arial"/>
          <w:b/>
          <w:bCs/>
          <w:sz w:val="28"/>
          <w:lang w:val="en-GB"/>
        </w:rPr>
        <w:t>for</w:t>
      </w:r>
      <w:proofErr w:type="gramEnd"/>
    </w:p>
    <w:p w:rsidR="00230B3D" w:rsidRDefault="00230B3D" w:rsidP="002468CA">
      <w:pPr>
        <w:pStyle w:val="DefaultText"/>
        <w:jc w:val="center"/>
        <w:rPr>
          <w:rFonts w:ascii="Arial" w:hAnsi="Arial" w:cs="Arial"/>
          <w:b/>
          <w:bCs/>
          <w:sz w:val="28"/>
          <w:lang w:val="en-GB"/>
        </w:rPr>
      </w:pPr>
    </w:p>
    <w:p w:rsidR="00013F0F" w:rsidRDefault="00013F0F"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THE PROVISION OF ROLE PLAYERS FOR HSE TRAINEE</w:t>
      </w:r>
    </w:p>
    <w:p w:rsidR="00013F0F" w:rsidRDefault="00013F0F"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HEALTH AND SAFETY INSPECTOR RECRUITMENT</w:t>
      </w:r>
    </w:p>
    <w:p w:rsidR="00EF3BBD" w:rsidRDefault="00013F0F" w:rsidP="00013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ASSESSMENT EVENT</w:t>
      </w:r>
    </w:p>
    <w:p w:rsidR="0011368C" w:rsidRDefault="0011368C" w:rsidP="00013F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lang w:val="en-GB"/>
        </w:rPr>
      </w:pPr>
    </w:p>
    <w:p w:rsidR="002468CA" w:rsidRDefault="002468CA" w:rsidP="002468CA">
      <w:pPr>
        <w:ind w:left="-108"/>
      </w:pPr>
    </w:p>
    <w:p w:rsidR="002468CA" w:rsidRDefault="002468CA" w:rsidP="002468CA"/>
    <w:p w:rsidR="002468CA" w:rsidRDefault="002468CA" w:rsidP="002468CA">
      <w:pPr>
        <w:pStyle w:val="DefaultText"/>
        <w:rPr>
          <w:lang w:val="en-GB"/>
        </w:rPr>
      </w:pPr>
    </w:p>
    <w:p w:rsidR="00DF4342" w:rsidRDefault="00DF4342" w:rsidP="002468CA">
      <w:pPr>
        <w:pStyle w:val="DefaultText"/>
        <w:rPr>
          <w:lang w:val="en-GB"/>
        </w:rPr>
      </w:pPr>
    </w:p>
    <w:p w:rsidR="00DF4342" w:rsidRDefault="00DF4342" w:rsidP="002468CA">
      <w:pPr>
        <w:pStyle w:val="DefaultText"/>
        <w:rPr>
          <w:lang w:val="en-GB"/>
        </w:rPr>
      </w:pPr>
    </w:p>
    <w:p w:rsidR="002468CA" w:rsidRDefault="002468CA" w:rsidP="002468CA">
      <w:pPr>
        <w:pStyle w:val="DefaultText"/>
        <w:rPr>
          <w:lang w:val="en-GB"/>
        </w:rPr>
      </w:pPr>
    </w:p>
    <w:p w:rsidR="002468CA" w:rsidRDefault="002468CA" w:rsidP="002468CA">
      <w:pPr>
        <w:pStyle w:val="DefaultText"/>
        <w:rPr>
          <w:lang w:val="en-GB"/>
        </w:rPr>
      </w:pPr>
    </w:p>
    <w:p w:rsidR="002468CA" w:rsidRDefault="002468CA" w:rsidP="002468CA">
      <w:pPr>
        <w:pStyle w:val="DefaultText"/>
        <w:rPr>
          <w:lang w:val="en-GB"/>
        </w:rPr>
      </w:pPr>
    </w:p>
    <w:p w:rsidR="002468CA" w:rsidRDefault="002468CA" w:rsidP="002468CA">
      <w:pPr>
        <w:pStyle w:val="DefaultText"/>
        <w:rPr>
          <w:lang w:val="en-GB"/>
        </w:rPr>
      </w:pPr>
    </w:p>
    <w:p w:rsidR="002468CA" w:rsidRDefault="002468CA" w:rsidP="002468CA">
      <w:pPr>
        <w:pStyle w:val="DefaultText"/>
        <w:rPr>
          <w:lang w:val="en-GB"/>
        </w:rPr>
      </w:pPr>
    </w:p>
    <w:p w:rsidR="002468CA" w:rsidRDefault="002468CA" w:rsidP="002468CA">
      <w:pPr>
        <w:pStyle w:val="DefaultText"/>
        <w:rPr>
          <w:lang w:val="en-GB"/>
        </w:rPr>
      </w:pPr>
    </w:p>
    <w:p w:rsidR="002468CA" w:rsidRDefault="002468CA" w:rsidP="002468CA">
      <w:pPr>
        <w:pStyle w:val="DefaultText"/>
        <w:rPr>
          <w:lang w:val="en-GB"/>
        </w:rPr>
      </w:pPr>
    </w:p>
    <w:p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228"/>
        <w:gridCol w:w="2880"/>
      </w:tblGrid>
      <w:tr w:rsidR="006D4068" w:rsidRPr="00603B93" w:rsidTr="00603B93">
        <w:trPr>
          <w:trHeight w:val="516"/>
        </w:trPr>
        <w:tc>
          <w:tcPr>
            <w:tcW w:w="6228" w:type="dxa"/>
            <w:shd w:val="clear" w:color="auto" w:fill="auto"/>
            <w:vAlign w:val="center"/>
          </w:tcPr>
          <w:p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rsidTr="00603B93">
        <w:trPr>
          <w:trHeight w:val="567"/>
        </w:trPr>
        <w:tc>
          <w:tcPr>
            <w:tcW w:w="6228" w:type="dxa"/>
            <w:shd w:val="clear" w:color="auto" w:fill="auto"/>
            <w:vAlign w:val="center"/>
          </w:tcPr>
          <w:p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rsidR="006D4068" w:rsidRPr="00603B93" w:rsidRDefault="006D4068" w:rsidP="00603B93">
            <w:pPr>
              <w:jc w:val="center"/>
              <w:rPr>
                <w:rFonts w:ascii="Arial" w:hAnsi="Arial"/>
                <w:noProof/>
              </w:rPr>
            </w:pPr>
            <w:r w:rsidRPr="00603B93">
              <w:rPr>
                <w:rFonts w:ascii="Arial" w:hAnsi="Arial"/>
                <w:noProof/>
              </w:rPr>
              <w:t>1</w:t>
            </w:r>
          </w:p>
        </w:tc>
      </w:tr>
      <w:tr w:rsidR="00D81946" w:rsidRPr="00603B93" w:rsidTr="00603B93">
        <w:trPr>
          <w:trHeight w:val="567"/>
        </w:trPr>
        <w:tc>
          <w:tcPr>
            <w:tcW w:w="6228" w:type="dxa"/>
            <w:shd w:val="clear" w:color="auto" w:fill="auto"/>
            <w:vAlign w:val="center"/>
          </w:tcPr>
          <w:p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rsidR="00D81946" w:rsidRPr="00603B93" w:rsidRDefault="00D81946" w:rsidP="00603B93">
            <w:pPr>
              <w:jc w:val="center"/>
              <w:rPr>
                <w:rFonts w:ascii="Arial" w:hAnsi="Arial"/>
                <w:noProof/>
              </w:rPr>
            </w:pPr>
            <w:r w:rsidRPr="00603B93">
              <w:rPr>
                <w:rFonts w:ascii="Arial" w:hAnsi="Arial"/>
                <w:noProof/>
              </w:rPr>
              <w:t>2</w:t>
            </w:r>
          </w:p>
        </w:tc>
      </w:tr>
      <w:tr w:rsidR="006C5AC4" w:rsidRPr="00603B93" w:rsidTr="00603B93">
        <w:trPr>
          <w:trHeight w:val="567"/>
        </w:trPr>
        <w:tc>
          <w:tcPr>
            <w:tcW w:w="6228" w:type="dxa"/>
            <w:shd w:val="clear" w:color="auto" w:fill="auto"/>
            <w:vAlign w:val="center"/>
          </w:tcPr>
          <w:p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rsidR="006C5AC4" w:rsidRPr="00603B93" w:rsidRDefault="006C5AC4" w:rsidP="00603B93">
            <w:pPr>
              <w:jc w:val="center"/>
              <w:rPr>
                <w:rFonts w:ascii="Arial" w:hAnsi="Arial"/>
                <w:noProof/>
              </w:rPr>
            </w:pPr>
            <w:r w:rsidRPr="00603B93">
              <w:rPr>
                <w:rFonts w:ascii="Arial" w:hAnsi="Arial"/>
                <w:noProof/>
              </w:rPr>
              <w:t>3</w:t>
            </w:r>
          </w:p>
        </w:tc>
      </w:tr>
      <w:tr w:rsidR="006C5AC4" w:rsidRPr="00603B93" w:rsidTr="00603B93">
        <w:trPr>
          <w:trHeight w:val="567"/>
        </w:trPr>
        <w:tc>
          <w:tcPr>
            <w:tcW w:w="6228" w:type="dxa"/>
            <w:shd w:val="clear" w:color="auto" w:fill="auto"/>
            <w:vAlign w:val="center"/>
          </w:tcPr>
          <w:p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rsidR="006C5AC4" w:rsidRPr="00603B93" w:rsidRDefault="006C5AC4" w:rsidP="00603B93">
            <w:pPr>
              <w:jc w:val="center"/>
              <w:rPr>
                <w:rFonts w:ascii="Arial" w:hAnsi="Arial"/>
                <w:noProof/>
              </w:rPr>
            </w:pPr>
            <w:r w:rsidRPr="00603B93">
              <w:rPr>
                <w:rFonts w:ascii="Arial" w:hAnsi="Arial"/>
                <w:noProof/>
              </w:rPr>
              <w:t>4</w:t>
            </w:r>
          </w:p>
        </w:tc>
      </w:tr>
      <w:tr w:rsidR="006C5AC4" w:rsidRPr="00603B93" w:rsidTr="00603B93">
        <w:trPr>
          <w:trHeight w:val="567"/>
        </w:trPr>
        <w:tc>
          <w:tcPr>
            <w:tcW w:w="6228" w:type="dxa"/>
            <w:shd w:val="clear" w:color="auto" w:fill="auto"/>
            <w:vAlign w:val="center"/>
          </w:tcPr>
          <w:p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rsidR="006C5AC4" w:rsidRPr="00603B93" w:rsidRDefault="006C5AC4" w:rsidP="00603B93">
            <w:pPr>
              <w:jc w:val="center"/>
              <w:rPr>
                <w:rFonts w:ascii="Arial" w:hAnsi="Arial"/>
                <w:noProof/>
              </w:rPr>
            </w:pPr>
            <w:r w:rsidRPr="00603B93">
              <w:rPr>
                <w:rFonts w:ascii="Arial" w:hAnsi="Arial"/>
                <w:noProof/>
              </w:rPr>
              <w:t>5</w:t>
            </w:r>
          </w:p>
        </w:tc>
      </w:tr>
      <w:tr w:rsidR="006C5AC4" w:rsidRPr="00603B93" w:rsidTr="00603B93">
        <w:trPr>
          <w:trHeight w:val="567"/>
        </w:trPr>
        <w:tc>
          <w:tcPr>
            <w:tcW w:w="6228" w:type="dxa"/>
            <w:shd w:val="clear" w:color="auto" w:fill="auto"/>
            <w:vAlign w:val="center"/>
          </w:tcPr>
          <w:p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rsidR="006C5AC4" w:rsidRPr="00603B93" w:rsidRDefault="006C5AC4" w:rsidP="00603B93">
            <w:pPr>
              <w:jc w:val="center"/>
              <w:rPr>
                <w:rFonts w:ascii="Arial" w:hAnsi="Arial"/>
                <w:noProof/>
              </w:rPr>
            </w:pPr>
            <w:r w:rsidRPr="00603B93">
              <w:rPr>
                <w:rFonts w:ascii="Arial" w:hAnsi="Arial"/>
                <w:noProof/>
              </w:rPr>
              <w:t>6</w:t>
            </w:r>
          </w:p>
        </w:tc>
      </w:tr>
      <w:tr w:rsidR="006C5AC4" w:rsidRPr="00603B93" w:rsidTr="00603B93">
        <w:trPr>
          <w:trHeight w:val="567"/>
        </w:trPr>
        <w:tc>
          <w:tcPr>
            <w:tcW w:w="6228" w:type="dxa"/>
            <w:shd w:val="clear" w:color="auto" w:fill="auto"/>
            <w:vAlign w:val="center"/>
          </w:tcPr>
          <w:p w:rsidR="006C5AC4" w:rsidRPr="00603B93" w:rsidRDefault="00302D1A" w:rsidP="00302D1A">
            <w:pPr>
              <w:jc w:val="left"/>
              <w:rPr>
                <w:rFonts w:ascii="Arial" w:hAnsi="Arial"/>
                <w:noProof/>
              </w:rPr>
            </w:pPr>
            <w:r>
              <w:rPr>
                <w:rFonts w:ascii="Arial" w:hAnsi="Arial"/>
                <w:noProof/>
              </w:rPr>
              <w:t>Cancellation Policy</w:t>
            </w:r>
          </w:p>
        </w:tc>
        <w:tc>
          <w:tcPr>
            <w:tcW w:w="2880" w:type="dxa"/>
            <w:shd w:val="clear" w:color="auto" w:fill="auto"/>
            <w:vAlign w:val="center"/>
          </w:tcPr>
          <w:p w:rsidR="006C5AC4" w:rsidRPr="00603B93" w:rsidRDefault="006C5AC4" w:rsidP="00603B93">
            <w:pPr>
              <w:jc w:val="center"/>
              <w:rPr>
                <w:rFonts w:ascii="Arial" w:hAnsi="Arial"/>
                <w:noProof/>
              </w:rPr>
            </w:pPr>
            <w:r w:rsidRPr="00603B93">
              <w:rPr>
                <w:rFonts w:ascii="Arial" w:hAnsi="Arial"/>
                <w:noProof/>
              </w:rPr>
              <w:t>7</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IR35 – Intermediaries Legislation</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8</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Tax Status</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9</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Invoicing and Payments</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10</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sidRPr="00603B93">
              <w:rPr>
                <w:rFonts w:ascii="Arial" w:hAnsi="Arial"/>
                <w:noProof/>
              </w:rPr>
              <w:t>Deliverables</w:t>
            </w:r>
          </w:p>
        </w:tc>
        <w:tc>
          <w:tcPr>
            <w:tcW w:w="2880" w:type="dxa"/>
            <w:shd w:val="clear" w:color="auto" w:fill="auto"/>
            <w:vAlign w:val="center"/>
          </w:tcPr>
          <w:p w:rsidR="00302D1A" w:rsidRPr="00603B93" w:rsidRDefault="00302D1A" w:rsidP="00302D1A">
            <w:pPr>
              <w:jc w:val="center"/>
              <w:rPr>
                <w:rFonts w:ascii="Arial" w:hAnsi="Arial"/>
                <w:noProof/>
              </w:rPr>
            </w:pPr>
            <w:r w:rsidRPr="00603B93">
              <w:rPr>
                <w:rFonts w:ascii="Arial" w:hAnsi="Arial"/>
                <w:noProof/>
              </w:rPr>
              <w:t>1</w:t>
            </w:r>
            <w:r>
              <w:rPr>
                <w:rFonts w:ascii="Arial" w:hAnsi="Arial"/>
                <w:noProof/>
              </w:rPr>
              <w:t>1</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sidRPr="00603B93">
              <w:rPr>
                <w:rFonts w:ascii="Arial" w:hAnsi="Arial"/>
                <w:noProof/>
              </w:rPr>
              <w:t>Intellectual Property</w:t>
            </w:r>
          </w:p>
        </w:tc>
        <w:tc>
          <w:tcPr>
            <w:tcW w:w="2880" w:type="dxa"/>
            <w:shd w:val="clear" w:color="auto" w:fill="auto"/>
            <w:vAlign w:val="center"/>
          </w:tcPr>
          <w:p w:rsidR="00302D1A" w:rsidRPr="00603B93" w:rsidRDefault="00302D1A" w:rsidP="00302D1A">
            <w:pPr>
              <w:jc w:val="center"/>
              <w:rPr>
                <w:rFonts w:ascii="Arial" w:hAnsi="Arial"/>
                <w:noProof/>
              </w:rPr>
            </w:pPr>
            <w:r w:rsidRPr="00603B93">
              <w:rPr>
                <w:rFonts w:ascii="Arial" w:hAnsi="Arial"/>
                <w:noProof/>
              </w:rPr>
              <w:t>1</w:t>
            </w:r>
            <w:r>
              <w:rPr>
                <w:rFonts w:ascii="Arial" w:hAnsi="Arial"/>
                <w:noProof/>
              </w:rPr>
              <w:t>2</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sidRPr="00603B93">
              <w:rPr>
                <w:rFonts w:ascii="Arial" w:hAnsi="Arial"/>
                <w:noProof/>
              </w:rPr>
              <w:t>Access to HSE Premises</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13</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Confidentiality</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14</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Publication</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15</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Variation</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16</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Governing Law</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17</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sidRPr="00603B93">
              <w:rPr>
                <w:rFonts w:ascii="Arial" w:hAnsi="Arial"/>
                <w:noProof/>
              </w:rPr>
              <w:t>Termination</w:t>
            </w:r>
          </w:p>
        </w:tc>
        <w:tc>
          <w:tcPr>
            <w:tcW w:w="2880" w:type="dxa"/>
            <w:shd w:val="clear" w:color="auto" w:fill="auto"/>
            <w:vAlign w:val="center"/>
          </w:tcPr>
          <w:p w:rsidR="00302D1A" w:rsidRPr="00603B93" w:rsidRDefault="00302D1A" w:rsidP="00302D1A">
            <w:pPr>
              <w:jc w:val="center"/>
              <w:rPr>
                <w:rFonts w:ascii="Arial" w:hAnsi="Arial"/>
                <w:noProof/>
              </w:rPr>
            </w:pPr>
            <w:r>
              <w:rPr>
                <w:rFonts w:ascii="Arial" w:hAnsi="Arial"/>
                <w:noProof/>
              </w:rPr>
              <w:t>18</w:t>
            </w:r>
          </w:p>
        </w:tc>
      </w:tr>
      <w:tr w:rsidR="00302D1A" w:rsidRPr="00603B93" w:rsidTr="00603B93">
        <w:trPr>
          <w:trHeight w:val="567"/>
        </w:trPr>
        <w:tc>
          <w:tcPr>
            <w:tcW w:w="6228" w:type="dxa"/>
            <w:shd w:val="clear" w:color="auto" w:fill="auto"/>
            <w:vAlign w:val="center"/>
          </w:tcPr>
          <w:p w:rsidR="00302D1A" w:rsidRPr="00603B93" w:rsidRDefault="00302D1A" w:rsidP="00675FB4">
            <w:pPr>
              <w:jc w:val="left"/>
              <w:rPr>
                <w:rFonts w:ascii="Arial" w:hAnsi="Arial"/>
                <w:noProof/>
              </w:rPr>
            </w:pPr>
            <w:r>
              <w:rPr>
                <w:rFonts w:ascii="Arial" w:hAnsi="Arial"/>
                <w:noProof/>
              </w:rPr>
              <w:t>Signatories</w:t>
            </w:r>
          </w:p>
        </w:tc>
        <w:tc>
          <w:tcPr>
            <w:tcW w:w="2880" w:type="dxa"/>
            <w:shd w:val="clear" w:color="auto" w:fill="auto"/>
            <w:vAlign w:val="center"/>
          </w:tcPr>
          <w:p w:rsidR="00302D1A" w:rsidRPr="00603B93" w:rsidRDefault="00302D1A" w:rsidP="00675FB4">
            <w:pPr>
              <w:jc w:val="center"/>
              <w:rPr>
                <w:rFonts w:ascii="Arial" w:hAnsi="Arial"/>
                <w:noProof/>
              </w:rPr>
            </w:pPr>
          </w:p>
        </w:tc>
      </w:tr>
    </w:tbl>
    <w:p w:rsidR="00013F0F" w:rsidRDefault="00013F0F" w:rsidP="006D4068">
      <w:pPr>
        <w:rPr>
          <w:rFonts w:ascii="Arial" w:hAnsi="Arial"/>
          <w:b/>
          <w:noProof/>
        </w:rPr>
      </w:pPr>
    </w:p>
    <w:p w:rsidR="006D4068" w:rsidRPr="00153A85" w:rsidRDefault="006D4068" w:rsidP="006D4068">
      <w:pPr>
        <w:rPr>
          <w:rFonts w:ascii="Arial" w:hAnsi="Arial"/>
          <w:b/>
          <w:noProof/>
          <w:sz w:val="28"/>
        </w:rPr>
      </w:pPr>
      <w:r w:rsidRPr="00153A85">
        <w:rPr>
          <w:rFonts w:ascii="Arial" w:hAnsi="Arial"/>
          <w:b/>
          <w:noProof/>
        </w:rPr>
        <w:t xml:space="preserve">Schedules and Annexes </w:t>
      </w:r>
    </w:p>
    <w:p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rsidR="00013F0F" w:rsidRDefault="00013F0F" w:rsidP="006D4068">
      <w:pPr>
        <w:tabs>
          <w:tab w:val="left" w:pos="709"/>
        </w:tabs>
        <w:ind w:left="709" w:hanging="709"/>
        <w:rPr>
          <w:rFonts w:ascii="Arial" w:hAnsi="Arial"/>
          <w:noProof/>
        </w:rPr>
      </w:pPr>
    </w:p>
    <w:p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rsidR="006D4068" w:rsidRPr="00153A85" w:rsidRDefault="006D4068" w:rsidP="006D4068">
      <w:pPr>
        <w:pStyle w:val="DefaultText"/>
        <w:suppressAutoHyphens/>
        <w:jc w:val="both"/>
        <w:rPr>
          <w:rFonts w:ascii="Arial" w:hAnsi="Arial"/>
          <w:noProof/>
          <w:lang w:val="en-GB"/>
        </w:rPr>
      </w:pPr>
    </w:p>
    <w:p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rsidR="006D4068" w:rsidRPr="00153A85" w:rsidRDefault="006D4068" w:rsidP="00DB6A20">
      <w:pPr>
        <w:pStyle w:val="DefaultText"/>
        <w:suppressAutoHyphens/>
        <w:jc w:val="both"/>
        <w:rPr>
          <w:rFonts w:ascii="Arial" w:hAnsi="Arial"/>
          <w:noProof/>
          <w:lang w:val="en-GB"/>
        </w:rPr>
      </w:pPr>
    </w:p>
    <w:p w:rsidR="006D4068" w:rsidRPr="00153A85" w:rsidRDefault="00013F0F" w:rsidP="00DB6A20">
      <w:pPr>
        <w:pStyle w:val="DefaultText"/>
        <w:suppressAutoHyphens/>
        <w:jc w:val="both"/>
        <w:rPr>
          <w:rFonts w:ascii="Arial" w:hAnsi="Arial"/>
          <w:noProof/>
          <w:lang w:val="en-GB"/>
        </w:rPr>
      </w:pPr>
      <w:r>
        <w:rPr>
          <w:rFonts w:ascii="Arial" w:hAnsi="Arial"/>
          <w:b/>
          <w:noProof/>
          <w:lang w:val="en-GB"/>
        </w:rPr>
        <w:t>TBW GLOBAL</w:t>
      </w:r>
      <w:r w:rsidR="00333334">
        <w:rPr>
          <w:rFonts w:ascii="Arial" w:hAnsi="Arial"/>
          <w:b/>
          <w:noProof/>
          <w:lang w:val="en-GB"/>
        </w:rPr>
        <w:t xml:space="preserve"> LIMITED</w:t>
      </w:r>
      <w:r w:rsidR="006D4068" w:rsidRPr="00153A85">
        <w:rPr>
          <w:rFonts w:ascii="Arial" w:hAnsi="Arial"/>
          <w:noProof/>
          <w:lang w:val="en-GB"/>
        </w:rPr>
        <w:t xml:space="preserve">, company registration number </w:t>
      </w:r>
      <w:r w:rsidR="00333334">
        <w:rPr>
          <w:rFonts w:ascii="Arial" w:hAnsi="Arial"/>
          <w:noProof/>
          <w:lang w:val="en-GB"/>
        </w:rPr>
        <w:t>11430682</w:t>
      </w:r>
      <w:r w:rsidR="006D4068" w:rsidRPr="00153A85">
        <w:rPr>
          <w:rFonts w:ascii="Arial" w:hAnsi="Arial"/>
          <w:noProof/>
          <w:lang w:val="en-GB"/>
        </w:rPr>
        <w:t xml:space="preserve"> and whose registered office is at </w:t>
      </w:r>
      <w:r>
        <w:rPr>
          <w:rFonts w:ascii="Arial" w:hAnsi="Arial"/>
          <w:noProof/>
          <w:lang w:val="en-GB"/>
        </w:rPr>
        <w:t>Link Up House, Ring Road, Lower Wortley, Leeds, LS12 6AB</w:t>
      </w:r>
      <w:r w:rsidR="006D4068" w:rsidRPr="00153A85">
        <w:rPr>
          <w:rFonts w:ascii="Arial" w:hAnsi="Arial"/>
          <w:noProof/>
          <w:lang w:val="en-GB"/>
        </w:rPr>
        <w:t xml:space="preserve"> (hereinafter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rsidR="006D4068" w:rsidRPr="00153A85" w:rsidRDefault="006D4068" w:rsidP="006D4068">
      <w:pPr>
        <w:pStyle w:val="DefaultText"/>
        <w:suppressAutoHyphens/>
        <w:jc w:val="both"/>
        <w:rPr>
          <w:rFonts w:ascii="Arial" w:hAnsi="Arial" w:cs="Arial"/>
          <w:noProof/>
          <w:szCs w:val="24"/>
          <w:lang w:val="en-GB"/>
        </w:rPr>
      </w:pPr>
    </w:p>
    <w:p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rsidR="006D4068" w:rsidRPr="00153A85" w:rsidRDefault="006D4068" w:rsidP="0092358F">
      <w:pPr>
        <w:pStyle w:val="DefaultText"/>
        <w:suppressAutoHyphens/>
        <w:jc w:val="both"/>
        <w:rPr>
          <w:rFonts w:ascii="Arial" w:hAnsi="Arial" w:cs="Arial"/>
          <w:noProof/>
          <w:szCs w:val="24"/>
          <w:lang w:val="en-GB"/>
        </w:rPr>
      </w:pPr>
    </w:p>
    <w:p w:rsidR="006D4068" w:rsidRPr="00153A85" w:rsidRDefault="006D4068" w:rsidP="0092358F">
      <w:pPr>
        <w:pStyle w:val="DefaultText"/>
        <w:suppressAutoHyphens/>
        <w:jc w:val="both"/>
        <w:rPr>
          <w:rFonts w:ascii="Arial" w:hAnsi="Arial" w:cs="Arial"/>
          <w:noProof/>
          <w:szCs w:val="24"/>
          <w:lang w:val="en-GB"/>
        </w:rPr>
      </w:pPr>
      <w:r w:rsidRPr="00153A85">
        <w:rPr>
          <w:rFonts w:ascii="Arial" w:hAnsi="Arial" w:cs="Arial"/>
          <w:noProof/>
          <w:szCs w:val="24"/>
          <w:lang w:val="en-GB"/>
        </w:rPr>
        <w:t xml:space="preserve">The Contractor was successful as a result of a </w:t>
      </w:r>
      <w:r w:rsidR="00013F0F">
        <w:rPr>
          <w:rFonts w:ascii="Arial" w:hAnsi="Arial" w:cs="Arial"/>
          <w:noProof/>
          <w:szCs w:val="24"/>
          <w:lang w:val="en-GB"/>
        </w:rPr>
        <w:t>tender</w:t>
      </w:r>
      <w:r w:rsidRPr="00153A85">
        <w:rPr>
          <w:rFonts w:ascii="Arial" w:hAnsi="Arial" w:cs="Arial"/>
          <w:noProof/>
          <w:szCs w:val="24"/>
          <w:lang w:val="en-GB"/>
        </w:rPr>
        <w:t xml:space="preserve"> exercise to </w:t>
      </w:r>
      <w:r w:rsidR="00013F0F">
        <w:rPr>
          <w:rFonts w:ascii="Arial" w:hAnsi="Arial" w:cs="Arial"/>
          <w:noProof/>
          <w:szCs w:val="24"/>
          <w:lang w:val="en-GB"/>
        </w:rPr>
        <w:t>provide role players to HSE.</w:t>
      </w:r>
    </w:p>
    <w:p w:rsidR="006D4068" w:rsidRPr="00153A85" w:rsidRDefault="006D4068" w:rsidP="0092358F">
      <w:pPr>
        <w:pStyle w:val="DefaultText"/>
        <w:suppressAutoHyphens/>
        <w:jc w:val="both"/>
        <w:rPr>
          <w:rFonts w:ascii="Arial" w:hAnsi="Arial" w:cs="Arial"/>
          <w:noProof/>
          <w:szCs w:val="24"/>
          <w:lang w:val="en-GB"/>
        </w:rPr>
      </w:pPr>
    </w:p>
    <w:p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rsidR="006D4068" w:rsidRPr="00153A85" w:rsidRDefault="006D4068" w:rsidP="0092358F">
      <w:pPr>
        <w:pStyle w:val="DefaultText"/>
        <w:suppressAutoHyphens/>
        <w:jc w:val="both"/>
        <w:rPr>
          <w:rFonts w:ascii="Arial" w:hAnsi="Arial" w:cs="Arial"/>
          <w:b/>
          <w:noProof/>
          <w:lang w:val="en-GB"/>
        </w:rPr>
      </w:pPr>
    </w:p>
    <w:p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rsidR="006D4068" w:rsidRPr="00153A85" w:rsidRDefault="006D4068" w:rsidP="0092358F">
      <w:pPr>
        <w:suppressAutoHyphens/>
        <w:overflowPunct/>
        <w:autoSpaceDE/>
        <w:autoSpaceDN/>
        <w:adjustRightInd/>
        <w:ind w:left="720" w:hanging="720"/>
        <w:textAlignment w:val="auto"/>
        <w:rPr>
          <w:rFonts w:ascii="Arial" w:hAnsi="Arial"/>
          <w:noProof/>
        </w:rPr>
      </w:pPr>
    </w:p>
    <w:p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rsidR="00B209FF" w:rsidRDefault="00B209FF" w:rsidP="0092358F">
      <w:pPr>
        <w:overflowPunct/>
        <w:autoSpaceDE/>
        <w:autoSpaceDN/>
        <w:adjustRightInd/>
        <w:textAlignment w:val="auto"/>
        <w:rPr>
          <w:rFonts w:ascii="Arial" w:hAnsi="Arial"/>
          <w:b/>
          <w:noProof/>
          <w:szCs w:val="24"/>
        </w:rPr>
      </w:pPr>
    </w:p>
    <w:p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statemetns, negotiations and undertakings.</w:t>
      </w:r>
    </w:p>
    <w:p w:rsidR="00B209FF" w:rsidRDefault="00B209FF" w:rsidP="0092358F">
      <w:pPr>
        <w:overflowPunct/>
        <w:autoSpaceDE/>
        <w:autoSpaceDN/>
        <w:adjustRightInd/>
        <w:textAlignment w:val="auto"/>
        <w:rPr>
          <w:rFonts w:ascii="Arial" w:hAnsi="Arial"/>
          <w:b/>
          <w:noProof/>
          <w:szCs w:val="24"/>
        </w:rPr>
      </w:pPr>
    </w:p>
    <w:p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rsidR="00013F0F" w:rsidRDefault="00013F0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rsidR="00013F0F" w:rsidRDefault="00013F0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rsidR="00013F0F" w:rsidRDefault="00013F0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rsidR="00013F0F" w:rsidRDefault="00013F0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rsidR="006D4068" w:rsidRPr="00BF30F3" w:rsidRDefault="00B209FF" w:rsidP="00BF30F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566501">
        <w:rPr>
          <w:rFonts w:ascii="Arial" w:hAnsi="Arial"/>
          <w:b/>
          <w:noProof/>
          <w:lang w:val="en-GB"/>
        </w:rPr>
        <w:t>15 April 2019</w:t>
      </w:r>
      <w:r w:rsidR="006D4068" w:rsidRPr="00153A85">
        <w:rPr>
          <w:rFonts w:ascii="Arial" w:hAnsi="Arial"/>
          <w:noProof/>
          <w:lang w:val="en-GB"/>
        </w:rPr>
        <w:t xml:space="preserve"> and shall be completed by </w:t>
      </w:r>
      <w:r w:rsidR="00566501">
        <w:rPr>
          <w:rFonts w:ascii="Arial" w:hAnsi="Arial"/>
          <w:b/>
          <w:noProof/>
          <w:lang w:val="en-GB"/>
        </w:rPr>
        <w:t>14 April 202</w:t>
      </w:r>
      <w:r w:rsidR="00CA34FD">
        <w:rPr>
          <w:rFonts w:ascii="Arial" w:hAnsi="Arial"/>
          <w:b/>
          <w:noProof/>
          <w:lang w:val="en-GB"/>
        </w:rPr>
        <w:t>0</w:t>
      </w:r>
      <w:r w:rsidR="00BF30F3">
        <w:rPr>
          <w:rFonts w:ascii="Arial" w:hAnsi="Arial"/>
          <w:b/>
          <w:noProof/>
          <w:lang w:val="en-GB"/>
        </w:rPr>
        <w:t xml:space="preserve"> </w:t>
      </w:r>
      <w:r w:rsidR="00BF30F3" w:rsidRPr="00BF30F3">
        <w:rPr>
          <w:rFonts w:ascii="Arial" w:hAnsi="Arial" w:cs="Arial"/>
          <w:sz w:val="22"/>
          <w:szCs w:val="22"/>
        </w:rPr>
        <w:t xml:space="preserve">with an option to extend </w:t>
      </w:r>
      <w:r w:rsidR="00BF30F3">
        <w:rPr>
          <w:rFonts w:ascii="Arial" w:hAnsi="Arial" w:cs="Arial"/>
          <w:sz w:val="22"/>
          <w:szCs w:val="22"/>
        </w:rPr>
        <w:t xml:space="preserve">for </w:t>
      </w:r>
      <w:r w:rsidR="00BF30F3" w:rsidRPr="00BF30F3">
        <w:rPr>
          <w:rFonts w:ascii="Arial" w:hAnsi="Arial" w:cs="Arial"/>
          <w:sz w:val="22"/>
          <w:szCs w:val="22"/>
        </w:rPr>
        <w:t xml:space="preserve">a further </w:t>
      </w:r>
      <w:r w:rsidR="00CA34FD">
        <w:rPr>
          <w:rFonts w:ascii="Arial" w:hAnsi="Arial" w:cs="Arial"/>
          <w:sz w:val="22"/>
          <w:szCs w:val="22"/>
        </w:rPr>
        <w:t>24</w:t>
      </w:r>
      <w:r w:rsidR="00BF30F3">
        <w:rPr>
          <w:rFonts w:ascii="Arial" w:hAnsi="Arial" w:cs="Arial"/>
          <w:sz w:val="22"/>
          <w:szCs w:val="22"/>
        </w:rPr>
        <w:t xml:space="preserve"> months </w:t>
      </w:r>
      <w:r w:rsidR="00BF30F3" w:rsidRPr="00BF30F3">
        <w:rPr>
          <w:rFonts w:ascii="Arial" w:hAnsi="Arial" w:cs="Arial"/>
          <w:sz w:val="22"/>
          <w:szCs w:val="22"/>
        </w:rPr>
        <w:t>agreeable to both parties</w:t>
      </w:r>
      <w:r w:rsidR="00BF30F3">
        <w:rPr>
          <w:rFonts w:ascii="Arial" w:hAnsi="Arial" w:cs="Arial"/>
          <w:sz w:val="22"/>
          <w:szCs w:val="22"/>
        </w:rPr>
        <w:t>.</w:t>
      </w:r>
    </w:p>
    <w:p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CA34FD">
        <w:rPr>
          <w:rFonts w:ascii="Arial" w:hAnsi="Arial" w:cs="Arial"/>
          <w:noProof/>
          <w:lang w:val="en-GB"/>
        </w:rPr>
        <w:t>12,726.20</w:t>
      </w:r>
      <w:r w:rsidR="006A3905">
        <w:rPr>
          <w:rFonts w:ascii="Arial" w:hAnsi="Arial" w:cs="Arial"/>
          <w:noProof/>
          <w:lang w:val="en-GB"/>
        </w:rPr>
        <w:t>,</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C27529" w:rsidRDefault="00C27529" w:rsidP="00C27529">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6.</w:t>
      </w:r>
      <w:r w:rsidR="00B2233D">
        <w:rPr>
          <w:rFonts w:ascii="Arial" w:hAnsi="Arial"/>
        </w:rPr>
        <w:t>2</w:t>
      </w:r>
      <w:r>
        <w:rPr>
          <w:rFonts w:ascii="Arial" w:hAnsi="Arial"/>
        </w:rPr>
        <w:tab/>
        <w:t>All claims for travel and subsistence expenses should be line with HSE rates and submitted to the HSE Contract Manager for approval.  Details of HSE’s current rates can be found at Annex 2.</w:t>
      </w:r>
    </w:p>
    <w:p w:rsidR="00C27529" w:rsidRDefault="00C27529" w:rsidP="00C27529">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cs="Arial"/>
        </w:rPr>
      </w:pPr>
      <w:r>
        <w:rPr>
          <w:rFonts w:ascii="Arial" w:hAnsi="Arial"/>
        </w:rPr>
        <w:t>6.</w:t>
      </w:r>
      <w:r w:rsidR="00B2233D">
        <w:rPr>
          <w:rFonts w:ascii="Arial" w:hAnsi="Arial"/>
        </w:rPr>
        <w:t>3</w:t>
      </w:r>
      <w:r>
        <w:rPr>
          <w:rFonts w:ascii="Arial" w:hAnsi="Arial"/>
        </w:rPr>
        <w:tab/>
        <w:t>Invoices for travel and subsistence expenses must be accompanied by receipts where possible.</w:t>
      </w:r>
    </w:p>
    <w:p w:rsidR="00C27529" w:rsidRDefault="00C27529" w:rsidP="00C2752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B2233D">
        <w:rPr>
          <w:rFonts w:ascii="Arial" w:hAnsi="Arial" w:cs="Arial"/>
          <w:noProof/>
          <w:lang w:val="en-GB"/>
        </w:rPr>
        <w:t>4</w:t>
      </w:r>
      <w:r>
        <w:rPr>
          <w:rFonts w:ascii="Arial" w:hAnsi="Arial" w:cs="Arial"/>
          <w:noProof/>
          <w:lang w:val="en-GB"/>
        </w:rPr>
        <w:tab/>
      </w:r>
      <w:r w:rsidRPr="00153A85">
        <w:rPr>
          <w:rFonts w:ascii="Arial" w:hAnsi="Arial" w:cs="Arial"/>
          <w:noProof/>
          <w:lang w:val="en-GB"/>
        </w:rPr>
        <w:t xml:space="preserve">Any additional costs will be agreed in advance </w:t>
      </w:r>
      <w:r>
        <w:rPr>
          <w:rFonts w:ascii="Arial" w:hAnsi="Arial" w:cs="Arial"/>
          <w:noProof/>
          <w:lang w:val="en-GB"/>
        </w:rPr>
        <w:t>with the HSE Contract Manager and subject to clause 1</w:t>
      </w:r>
      <w:r w:rsidR="00A25EA0">
        <w:rPr>
          <w:rFonts w:ascii="Arial" w:hAnsi="Arial" w:cs="Arial"/>
          <w:noProof/>
          <w:lang w:val="en-GB"/>
        </w:rPr>
        <w:t>6</w:t>
      </w:r>
      <w:r>
        <w:rPr>
          <w:rFonts w:ascii="Arial" w:hAnsi="Arial" w:cs="Arial"/>
          <w:noProof/>
          <w:lang w:val="en-GB"/>
        </w:rPr>
        <w:t xml:space="preserve"> Variation to Contract.</w:t>
      </w:r>
    </w:p>
    <w:p w:rsidR="00E2218A" w:rsidRDefault="00E2218A" w:rsidP="00566501">
      <w:pPr>
        <w:pStyle w:val="DefaultText"/>
        <w:numPr>
          <w:ilvl w:val="1"/>
          <w:numId w:val="0"/>
        </w:numPr>
        <w:tabs>
          <w:tab w:val="num" w:pos="720"/>
        </w:tabs>
        <w:suppressAutoHyphens/>
        <w:overflowPunct/>
        <w:autoSpaceDE/>
        <w:autoSpaceDN/>
        <w:adjustRightInd/>
        <w:ind w:left="1474" w:hanging="720"/>
        <w:jc w:val="both"/>
        <w:textAlignment w:val="auto"/>
        <w:rPr>
          <w:rFonts w:ascii="Arial" w:hAnsi="Arial" w:cs="Arial"/>
          <w:noProof/>
          <w:lang w:val="en-GB"/>
        </w:rPr>
      </w:pPr>
    </w:p>
    <w:p w:rsidR="00C27529" w:rsidRPr="00F16D56" w:rsidRDefault="00C27529" w:rsidP="00C27529">
      <w:pPr>
        <w:pStyle w:val="NumberList"/>
        <w:tabs>
          <w:tab w:val="num" w:pos="720"/>
        </w:tabs>
        <w:suppressAutoHyphens/>
        <w:rPr>
          <w:rFonts w:ascii="Arial" w:hAnsi="Arial" w:cs="Arial"/>
          <w:b/>
          <w:noProof/>
          <w:szCs w:val="24"/>
        </w:rPr>
      </w:pPr>
      <w:r>
        <w:rPr>
          <w:rFonts w:ascii="Arial" w:hAnsi="Arial" w:cs="Arial"/>
          <w:b/>
          <w:noProof/>
          <w:szCs w:val="24"/>
        </w:rPr>
        <w:t>7</w:t>
      </w:r>
      <w:r>
        <w:rPr>
          <w:rFonts w:ascii="Arial" w:hAnsi="Arial" w:cs="Arial"/>
          <w:b/>
          <w:noProof/>
          <w:szCs w:val="24"/>
        </w:rPr>
        <w:tab/>
      </w:r>
      <w:r w:rsidRPr="00F16D56">
        <w:rPr>
          <w:rFonts w:ascii="Arial" w:hAnsi="Arial" w:cs="Arial"/>
          <w:b/>
          <w:noProof/>
          <w:szCs w:val="24"/>
        </w:rPr>
        <w:t>CANCELLATION POLICY</w:t>
      </w:r>
    </w:p>
    <w:p w:rsidR="00C27529" w:rsidRPr="00166AA5" w:rsidRDefault="00C27529" w:rsidP="00C27529">
      <w:pPr>
        <w:pStyle w:val="NumberList"/>
        <w:tabs>
          <w:tab w:val="num" w:pos="720"/>
        </w:tabs>
        <w:suppressAutoHyphens/>
        <w:rPr>
          <w:rFonts w:cs="Arial"/>
          <w:noProof/>
          <w:szCs w:val="24"/>
        </w:rPr>
      </w:pPr>
    </w:p>
    <w:p w:rsidR="00C27529" w:rsidRPr="00166AA5" w:rsidRDefault="00C27529" w:rsidP="00C27529">
      <w:pPr>
        <w:suppressAutoHyphens/>
        <w:overflowPunct/>
        <w:autoSpaceDE/>
        <w:autoSpaceDN/>
        <w:adjustRightInd/>
        <w:ind w:left="709" w:hanging="709"/>
        <w:textAlignment w:val="auto"/>
        <w:rPr>
          <w:rFonts w:ascii="Arial" w:hAnsi="Arial" w:cs="Arial"/>
          <w:noProof/>
          <w:szCs w:val="24"/>
          <w:lang w:eastAsia="en-GB"/>
        </w:rPr>
      </w:pPr>
      <w:r>
        <w:rPr>
          <w:rFonts w:ascii="Arial" w:hAnsi="Arial" w:cs="Arial"/>
          <w:noProof/>
          <w:szCs w:val="24"/>
          <w:lang w:eastAsia="en-GB"/>
        </w:rPr>
        <w:t>7.1</w:t>
      </w:r>
      <w:r>
        <w:rPr>
          <w:rFonts w:ascii="Arial" w:hAnsi="Arial" w:cs="Arial"/>
          <w:noProof/>
          <w:szCs w:val="24"/>
          <w:lang w:eastAsia="en-GB"/>
        </w:rPr>
        <w:tab/>
      </w:r>
      <w:r w:rsidRPr="00166AA5">
        <w:rPr>
          <w:rFonts w:ascii="Arial" w:hAnsi="Arial" w:cs="Arial"/>
          <w:noProof/>
          <w:szCs w:val="24"/>
          <w:lang w:eastAsia="en-GB"/>
        </w:rPr>
        <w:t>The percentage of charges payable should be restricted to those costs irrevocably committed at the point of cancellation.  The cancellation charges will be applied in the instances of individuals cancelling attendance at courses and the complete cancellation of courses.</w:t>
      </w:r>
    </w:p>
    <w:p w:rsidR="00C27529" w:rsidRPr="00166AA5" w:rsidRDefault="00C27529" w:rsidP="00C27529">
      <w:pPr>
        <w:tabs>
          <w:tab w:val="num" w:pos="720"/>
        </w:tabs>
        <w:suppressAutoHyphens/>
        <w:overflowPunct/>
        <w:autoSpaceDE/>
        <w:autoSpaceDN/>
        <w:adjustRightInd/>
        <w:ind w:left="709" w:hanging="709"/>
        <w:textAlignment w:val="auto"/>
        <w:rPr>
          <w:rFonts w:ascii="Arial" w:hAnsi="Arial" w:cs="Arial"/>
          <w:noProof/>
          <w:szCs w:val="24"/>
          <w:lang w:eastAsia="en-GB"/>
        </w:rPr>
      </w:pPr>
    </w:p>
    <w:p w:rsidR="00C27529" w:rsidRPr="00166AA5" w:rsidRDefault="00C27529" w:rsidP="00C27529">
      <w:pPr>
        <w:suppressAutoHyphens/>
        <w:overflowPunct/>
        <w:autoSpaceDE/>
        <w:autoSpaceDN/>
        <w:adjustRightInd/>
        <w:ind w:left="709" w:hanging="709"/>
        <w:textAlignment w:val="auto"/>
        <w:rPr>
          <w:rFonts w:ascii="Arial" w:hAnsi="Arial" w:cs="Arial"/>
          <w:noProof/>
          <w:szCs w:val="24"/>
          <w:lang w:eastAsia="en-GB"/>
        </w:rPr>
      </w:pPr>
      <w:r>
        <w:rPr>
          <w:rFonts w:ascii="Arial" w:hAnsi="Arial" w:cs="Arial"/>
          <w:noProof/>
          <w:szCs w:val="24"/>
          <w:lang w:eastAsia="en-GB"/>
        </w:rPr>
        <w:t>7.2</w:t>
      </w:r>
      <w:r>
        <w:rPr>
          <w:rFonts w:ascii="Arial" w:hAnsi="Arial" w:cs="Arial"/>
          <w:noProof/>
          <w:szCs w:val="24"/>
          <w:lang w:eastAsia="en-GB"/>
        </w:rPr>
        <w:tab/>
      </w:r>
      <w:r w:rsidRPr="00166AA5">
        <w:rPr>
          <w:rFonts w:ascii="Arial" w:hAnsi="Arial" w:cs="Arial"/>
          <w:noProof/>
          <w:szCs w:val="24"/>
          <w:lang w:eastAsia="en-GB"/>
        </w:rPr>
        <w:t>The charges will be applied to contractors on the same basis if they cancel a course.  In the case of HSE making a claim against a contractor the costs will be restricted to any irrevocably committed T&amp;S costs and venue hire costs (in the event that the course is being held off site).</w:t>
      </w:r>
    </w:p>
    <w:p w:rsidR="00C27529" w:rsidRPr="00166AA5" w:rsidRDefault="00C27529" w:rsidP="00C27529">
      <w:pPr>
        <w:tabs>
          <w:tab w:val="num" w:pos="720"/>
        </w:tabs>
        <w:ind w:left="720"/>
        <w:rPr>
          <w:rFonts w:ascii="Arial" w:hAnsi="Arial" w:cs="Arial"/>
          <w:noProof/>
          <w:szCs w:val="24"/>
        </w:rPr>
      </w:pPr>
    </w:p>
    <w:p w:rsidR="00C27529" w:rsidRPr="00166AA5" w:rsidRDefault="00C27529" w:rsidP="00C27529">
      <w:pPr>
        <w:tabs>
          <w:tab w:val="num" w:pos="720"/>
        </w:tabs>
        <w:ind w:left="720"/>
        <w:rPr>
          <w:rFonts w:ascii="Arial" w:hAnsi="Arial" w:cs="Arial"/>
          <w:noProof/>
          <w:szCs w:val="24"/>
          <w:lang w:eastAsia="en-GB"/>
        </w:rPr>
      </w:pPr>
      <w:r w:rsidRPr="00166AA5">
        <w:rPr>
          <w:rFonts w:ascii="Arial" w:hAnsi="Arial" w:cs="Arial"/>
          <w:noProof/>
          <w:szCs w:val="24"/>
          <w:lang w:eastAsia="en-GB"/>
        </w:rPr>
        <w:t>Cancellation period (calendar days)    Percentage of charges payable</w:t>
      </w:r>
    </w:p>
    <w:p w:rsidR="00C27529" w:rsidRPr="00166AA5" w:rsidRDefault="00C27529" w:rsidP="00C27529">
      <w:pPr>
        <w:tabs>
          <w:tab w:val="num" w:pos="720"/>
        </w:tabs>
        <w:overflowPunct/>
        <w:autoSpaceDE/>
        <w:autoSpaceDN/>
        <w:adjustRightInd/>
        <w:ind w:left="720"/>
        <w:textAlignment w:val="auto"/>
        <w:rPr>
          <w:rFonts w:ascii="Arial" w:hAnsi="Arial" w:cs="Arial"/>
          <w:noProof/>
          <w:szCs w:val="24"/>
          <w:lang w:eastAsia="en-GB"/>
        </w:rPr>
      </w:pPr>
      <w:r w:rsidRPr="00166AA5">
        <w:rPr>
          <w:rFonts w:ascii="Arial" w:hAnsi="Arial" w:cs="Arial"/>
          <w:noProof/>
          <w:szCs w:val="24"/>
          <w:lang w:eastAsia="en-GB"/>
        </w:rPr>
        <w:t> </w:t>
      </w:r>
    </w:p>
    <w:p w:rsidR="00C27529" w:rsidRPr="00166AA5" w:rsidRDefault="00C27529" w:rsidP="00C27529">
      <w:pPr>
        <w:tabs>
          <w:tab w:val="num" w:pos="720"/>
        </w:tabs>
        <w:overflowPunct/>
        <w:autoSpaceDE/>
        <w:autoSpaceDN/>
        <w:adjustRightInd/>
        <w:ind w:left="720"/>
        <w:textAlignment w:val="auto"/>
        <w:rPr>
          <w:rFonts w:ascii="Arial" w:hAnsi="Arial" w:cs="Arial"/>
          <w:noProof/>
          <w:szCs w:val="24"/>
          <w:lang w:eastAsia="en-GB"/>
        </w:rPr>
      </w:pPr>
      <w:r w:rsidRPr="00166AA5">
        <w:rPr>
          <w:rFonts w:ascii="Arial" w:hAnsi="Arial" w:cs="Arial"/>
          <w:noProof/>
          <w:szCs w:val="24"/>
          <w:lang w:eastAsia="en-GB"/>
        </w:rPr>
        <w:t xml:space="preserve">0 - 7                                                </w:t>
      </w:r>
      <w:r w:rsidRPr="00166AA5">
        <w:rPr>
          <w:rFonts w:ascii="Arial" w:hAnsi="Arial" w:cs="Arial"/>
          <w:noProof/>
          <w:szCs w:val="24"/>
          <w:lang w:eastAsia="en-GB"/>
        </w:rPr>
        <w:tab/>
      </w:r>
      <w:r w:rsidRPr="00166AA5">
        <w:rPr>
          <w:rFonts w:ascii="Arial" w:hAnsi="Arial" w:cs="Arial"/>
          <w:noProof/>
          <w:szCs w:val="24"/>
          <w:lang w:eastAsia="en-GB"/>
        </w:rPr>
        <w:tab/>
        <w:t>100%</w:t>
      </w:r>
    </w:p>
    <w:p w:rsidR="00C27529" w:rsidRPr="00166AA5" w:rsidRDefault="00C27529" w:rsidP="00C27529">
      <w:pPr>
        <w:tabs>
          <w:tab w:val="num" w:pos="720"/>
        </w:tabs>
        <w:overflowPunct/>
        <w:autoSpaceDE/>
        <w:autoSpaceDN/>
        <w:adjustRightInd/>
        <w:ind w:left="720"/>
        <w:textAlignment w:val="auto"/>
        <w:rPr>
          <w:rFonts w:ascii="Arial" w:hAnsi="Arial" w:cs="Arial"/>
          <w:noProof/>
          <w:szCs w:val="24"/>
          <w:lang w:eastAsia="en-GB"/>
        </w:rPr>
      </w:pPr>
      <w:r w:rsidRPr="00166AA5">
        <w:rPr>
          <w:rFonts w:ascii="Arial" w:hAnsi="Arial" w:cs="Arial"/>
          <w:noProof/>
          <w:szCs w:val="24"/>
          <w:lang w:eastAsia="en-GB"/>
        </w:rPr>
        <w:t> </w:t>
      </w:r>
    </w:p>
    <w:p w:rsidR="00C27529" w:rsidRPr="00166AA5" w:rsidRDefault="00C27529" w:rsidP="00C27529">
      <w:pPr>
        <w:tabs>
          <w:tab w:val="num" w:pos="720"/>
        </w:tabs>
        <w:overflowPunct/>
        <w:autoSpaceDE/>
        <w:autoSpaceDN/>
        <w:adjustRightInd/>
        <w:ind w:left="720"/>
        <w:textAlignment w:val="auto"/>
        <w:rPr>
          <w:rFonts w:ascii="Arial" w:hAnsi="Arial" w:cs="Arial"/>
          <w:noProof/>
          <w:szCs w:val="24"/>
          <w:lang w:eastAsia="en-GB"/>
        </w:rPr>
      </w:pPr>
      <w:r w:rsidRPr="00166AA5">
        <w:rPr>
          <w:rFonts w:ascii="Arial" w:hAnsi="Arial" w:cs="Arial"/>
          <w:noProof/>
          <w:szCs w:val="24"/>
          <w:lang w:eastAsia="en-GB"/>
        </w:rPr>
        <w:t>8 - 14                                              </w:t>
      </w:r>
      <w:r w:rsidRPr="00166AA5">
        <w:rPr>
          <w:rFonts w:ascii="Arial" w:hAnsi="Arial" w:cs="Arial"/>
          <w:noProof/>
          <w:szCs w:val="24"/>
          <w:lang w:eastAsia="en-GB"/>
        </w:rPr>
        <w:tab/>
      </w:r>
      <w:r w:rsidRPr="00166AA5">
        <w:rPr>
          <w:rFonts w:ascii="Arial" w:hAnsi="Arial" w:cs="Arial"/>
          <w:noProof/>
          <w:szCs w:val="24"/>
          <w:lang w:eastAsia="en-GB"/>
        </w:rPr>
        <w:tab/>
        <w:t> 50%</w:t>
      </w:r>
    </w:p>
    <w:p w:rsidR="00C27529" w:rsidRPr="00166AA5" w:rsidRDefault="00C27529" w:rsidP="00C27529">
      <w:pPr>
        <w:tabs>
          <w:tab w:val="num" w:pos="720"/>
        </w:tabs>
        <w:overflowPunct/>
        <w:autoSpaceDE/>
        <w:autoSpaceDN/>
        <w:adjustRightInd/>
        <w:ind w:left="720"/>
        <w:textAlignment w:val="auto"/>
        <w:rPr>
          <w:rFonts w:ascii="Arial" w:hAnsi="Arial" w:cs="Arial"/>
          <w:noProof/>
          <w:szCs w:val="24"/>
          <w:lang w:eastAsia="en-GB"/>
        </w:rPr>
      </w:pPr>
      <w:r w:rsidRPr="00166AA5">
        <w:rPr>
          <w:rFonts w:ascii="Arial" w:hAnsi="Arial" w:cs="Arial"/>
          <w:noProof/>
          <w:szCs w:val="24"/>
          <w:lang w:eastAsia="en-GB"/>
        </w:rPr>
        <w:t> </w:t>
      </w:r>
    </w:p>
    <w:p w:rsidR="00C27529" w:rsidRPr="00166AA5" w:rsidRDefault="00C27529" w:rsidP="00C27529">
      <w:pPr>
        <w:tabs>
          <w:tab w:val="num" w:pos="720"/>
        </w:tabs>
        <w:overflowPunct/>
        <w:autoSpaceDE/>
        <w:autoSpaceDN/>
        <w:adjustRightInd/>
        <w:ind w:left="720"/>
        <w:textAlignment w:val="auto"/>
        <w:rPr>
          <w:rFonts w:ascii="Arial" w:hAnsi="Arial" w:cs="Arial"/>
          <w:noProof/>
          <w:szCs w:val="24"/>
          <w:lang w:eastAsia="en-GB"/>
        </w:rPr>
      </w:pPr>
      <w:r w:rsidRPr="00166AA5">
        <w:rPr>
          <w:rFonts w:ascii="Arial" w:hAnsi="Arial" w:cs="Arial"/>
          <w:noProof/>
          <w:szCs w:val="24"/>
          <w:lang w:eastAsia="en-GB"/>
        </w:rPr>
        <w:lastRenderedPageBreak/>
        <w:t>15 - 28                                            </w:t>
      </w:r>
      <w:r w:rsidRPr="00166AA5">
        <w:rPr>
          <w:rFonts w:ascii="Arial" w:hAnsi="Arial" w:cs="Arial"/>
          <w:noProof/>
          <w:szCs w:val="24"/>
          <w:lang w:eastAsia="en-GB"/>
        </w:rPr>
        <w:tab/>
      </w:r>
      <w:r w:rsidRPr="00166AA5">
        <w:rPr>
          <w:rFonts w:ascii="Arial" w:hAnsi="Arial" w:cs="Arial"/>
          <w:noProof/>
          <w:szCs w:val="24"/>
          <w:lang w:eastAsia="en-GB"/>
        </w:rPr>
        <w:tab/>
        <w:t xml:space="preserve"> 25%</w:t>
      </w:r>
    </w:p>
    <w:p w:rsidR="00C27529" w:rsidRPr="00166AA5" w:rsidRDefault="00C27529" w:rsidP="00C27529">
      <w:pPr>
        <w:tabs>
          <w:tab w:val="num" w:pos="720"/>
        </w:tabs>
        <w:overflowPunct/>
        <w:autoSpaceDE/>
        <w:autoSpaceDN/>
        <w:adjustRightInd/>
        <w:ind w:left="720"/>
        <w:textAlignment w:val="auto"/>
        <w:rPr>
          <w:rFonts w:ascii="Arial" w:hAnsi="Arial" w:cs="Arial"/>
          <w:noProof/>
          <w:szCs w:val="24"/>
          <w:lang w:eastAsia="en-GB"/>
        </w:rPr>
      </w:pPr>
      <w:r w:rsidRPr="00166AA5">
        <w:rPr>
          <w:rFonts w:ascii="Arial" w:hAnsi="Arial" w:cs="Arial"/>
          <w:noProof/>
          <w:szCs w:val="24"/>
          <w:lang w:eastAsia="en-GB"/>
        </w:rPr>
        <w:t> </w:t>
      </w:r>
    </w:p>
    <w:p w:rsidR="00C27529" w:rsidRDefault="00C27529" w:rsidP="00C27529">
      <w:pPr>
        <w:pStyle w:val="DefaultText"/>
        <w:tabs>
          <w:tab w:val="num" w:pos="720"/>
        </w:tabs>
        <w:overflowPunct/>
        <w:autoSpaceDE/>
        <w:autoSpaceDN/>
        <w:adjustRightInd/>
        <w:ind w:left="720" w:hanging="11"/>
        <w:jc w:val="both"/>
        <w:textAlignment w:val="auto"/>
        <w:rPr>
          <w:rFonts w:ascii="Arial" w:hAnsi="Arial" w:cs="Arial"/>
          <w:b/>
          <w:bCs/>
          <w:noProof/>
          <w:szCs w:val="24"/>
          <w:lang w:val="en-GB"/>
        </w:rPr>
      </w:pPr>
      <w:r w:rsidRPr="00166AA5">
        <w:rPr>
          <w:rFonts w:ascii="Arial" w:hAnsi="Arial" w:cs="Arial"/>
          <w:noProof/>
          <w:szCs w:val="24"/>
          <w:lang w:eastAsia="en-GB"/>
        </w:rPr>
        <w:t>28+                                                </w:t>
      </w:r>
      <w:r w:rsidRPr="00166AA5">
        <w:rPr>
          <w:rFonts w:ascii="Arial" w:hAnsi="Arial" w:cs="Arial"/>
          <w:noProof/>
          <w:szCs w:val="24"/>
          <w:lang w:eastAsia="en-GB"/>
        </w:rPr>
        <w:tab/>
      </w:r>
      <w:r w:rsidRPr="00166AA5">
        <w:rPr>
          <w:rFonts w:ascii="Arial" w:hAnsi="Arial" w:cs="Arial"/>
          <w:noProof/>
          <w:szCs w:val="24"/>
          <w:lang w:eastAsia="en-GB"/>
        </w:rPr>
        <w:tab/>
        <w:t xml:space="preserve"> 0%</w:t>
      </w:r>
    </w:p>
    <w:p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rsidR="00C27529" w:rsidRDefault="00C27529"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rsidR="00E676F5" w:rsidRDefault="00C27529"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8</w:t>
      </w:r>
      <w:r w:rsidR="00E676F5">
        <w:rPr>
          <w:rFonts w:ascii="Arial" w:hAnsi="Arial" w:cs="Arial"/>
          <w:b/>
          <w:bCs/>
          <w:noProof/>
          <w:lang w:val="en-GB"/>
        </w:rPr>
        <w:tab/>
        <w:t>IR35</w:t>
      </w:r>
      <w:r w:rsidR="0063773A">
        <w:rPr>
          <w:rFonts w:ascii="Arial" w:hAnsi="Arial" w:cs="Arial"/>
          <w:b/>
          <w:bCs/>
          <w:noProof/>
          <w:lang w:val="en-GB"/>
        </w:rPr>
        <w:t xml:space="preserve"> – INTERMEDIARIES LEGISLATION</w:t>
      </w:r>
    </w:p>
    <w:p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rsidR="00EF3BBD" w:rsidRDefault="00C27529" w:rsidP="00EF3BBD">
      <w:pPr>
        <w:pStyle w:val="DefaultText"/>
        <w:ind w:left="709" w:hanging="709"/>
        <w:jc w:val="both"/>
        <w:rPr>
          <w:rFonts w:ascii="Arial" w:hAnsi="Arial" w:cs="Arial"/>
          <w:szCs w:val="24"/>
        </w:rPr>
      </w:pPr>
      <w:r>
        <w:rPr>
          <w:rFonts w:ascii="Arial" w:hAnsi="Arial" w:cs="Arial"/>
          <w:szCs w:val="24"/>
        </w:rPr>
        <w:t>8</w:t>
      </w:r>
      <w:r w:rsidR="00EF3BBD" w:rsidRPr="005B2C51">
        <w:rPr>
          <w:rFonts w:ascii="Arial" w:hAnsi="Arial" w:cs="Arial"/>
          <w:szCs w:val="24"/>
        </w:rPr>
        <w:t xml:space="preserve">.1      HSE has undertaken an IR35 assessment of this engagement, </w:t>
      </w:r>
      <w:r w:rsidR="00EF3BBD" w:rsidRPr="005B2C51">
        <w:rPr>
          <w:rFonts w:ascii="Arial" w:hAnsi="Arial" w:cs="Arial"/>
          <w:color w:val="000000"/>
          <w:szCs w:val="24"/>
        </w:rPr>
        <w:t>and the HMRC online assessment</w:t>
      </w:r>
      <w:r w:rsidR="00EF3BBD">
        <w:rPr>
          <w:rFonts w:ascii="Arial" w:hAnsi="Arial" w:cs="Arial"/>
          <w:color w:val="000000"/>
          <w:szCs w:val="24"/>
        </w:rPr>
        <w:t xml:space="preserve"> </w:t>
      </w:r>
      <w:r w:rsidR="00EF3BBD" w:rsidRPr="005B2C51">
        <w:rPr>
          <w:rFonts w:ascii="Arial" w:hAnsi="Arial" w:cs="Arial"/>
          <w:color w:val="000000"/>
          <w:szCs w:val="24"/>
        </w:rPr>
        <w:t xml:space="preserve">tool determined that </w:t>
      </w:r>
      <w:r w:rsidR="00EF3BBD">
        <w:rPr>
          <w:rFonts w:ascii="Arial" w:hAnsi="Arial" w:cs="Arial"/>
          <w:color w:val="000000"/>
          <w:szCs w:val="24"/>
        </w:rPr>
        <w:t xml:space="preserve">IR35 does not apply to </w:t>
      </w:r>
      <w:r w:rsidR="00EF3BBD" w:rsidRPr="005B2C51">
        <w:rPr>
          <w:rFonts w:ascii="Arial" w:hAnsi="Arial" w:cs="Arial"/>
          <w:szCs w:val="24"/>
        </w:rPr>
        <w:t>this engage</w:t>
      </w:r>
      <w:r w:rsidR="00EF3BBD">
        <w:rPr>
          <w:rFonts w:ascii="Arial" w:hAnsi="Arial" w:cs="Arial"/>
          <w:szCs w:val="24"/>
        </w:rPr>
        <w:t>ment</w:t>
      </w:r>
      <w:r w:rsidR="00EF3BBD" w:rsidRPr="005B2C51">
        <w:rPr>
          <w:rFonts w:ascii="Arial" w:hAnsi="Arial" w:cs="Arial"/>
          <w:szCs w:val="24"/>
        </w:rPr>
        <w:t>.</w:t>
      </w:r>
    </w:p>
    <w:p w:rsidR="00302D1A" w:rsidRDefault="00302D1A" w:rsidP="00EF3BBD">
      <w:pPr>
        <w:pStyle w:val="DefaultText"/>
        <w:ind w:left="709" w:hanging="709"/>
        <w:jc w:val="both"/>
        <w:rPr>
          <w:rFonts w:ascii="Arial" w:hAnsi="Arial" w:cs="Arial"/>
          <w:szCs w:val="24"/>
        </w:rPr>
      </w:pPr>
    </w:p>
    <w:p w:rsidR="0011368C" w:rsidRPr="009F6471" w:rsidRDefault="00C27529"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9</w:t>
      </w:r>
      <w:r w:rsidR="0011368C" w:rsidRPr="009F6471">
        <w:rPr>
          <w:rFonts w:ascii="Arial" w:hAnsi="Arial"/>
          <w:b/>
        </w:rPr>
        <w:tab/>
        <w:t>TAX STATUS</w:t>
      </w:r>
    </w:p>
    <w:p w:rsidR="0011368C" w:rsidRDefault="00C27529"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9</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rsidR="0011368C" w:rsidRDefault="00C27529"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9</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rsidR="0011368C" w:rsidRDefault="00C27529"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9</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9</w:t>
      </w:r>
      <w:r w:rsidR="0011368C" w:rsidRPr="000B1ED2">
        <w:rPr>
          <w:rFonts w:ascii="Arial" w:hAnsi="Arial"/>
        </w:rPr>
        <w:t xml:space="preserve">.1 and </w:t>
      </w:r>
      <w:r>
        <w:rPr>
          <w:rFonts w:ascii="Arial" w:hAnsi="Arial"/>
        </w:rPr>
        <w:t>9</w:t>
      </w:r>
      <w:r w:rsidR="0011368C" w:rsidRPr="000B1ED2">
        <w:rPr>
          <w:rFonts w:ascii="Arial" w:hAnsi="Arial"/>
        </w:rPr>
        <w:t>.2 above or why those Clauses do not apply to it.</w:t>
      </w:r>
    </w:p>
    <w:p w:rsidR="0011368C" w:rsidRDefault="00C27529"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9</w:t>
      </w:r>
      <w:r w:rsidR="0011368C">
        <w:rPr>
          <w:rFonts w:ascii="Arial" w:hAnsi="Arial"/>
        </w:rPr>
        <w:t>.4</w:t>
      </w:r>
      <w:r w:rsidR="0011368C">
        <w:rPr>
          <w:rFonts w:ascii="Arial" w:hAnsi="Arial"/>
        </w:rPr>
        <w:tab/>
        <w:t xml:space="preserve">A request under Clause </w:t>
      </w:r>
      <w:r>
        <w:rPr>
          <w:rFonts w:ascii="Arial" w:hAnsi="Arial"/>
        </w:rPr>
        <w:t>9</w:t>
      </w:r>
      <w:r w:rsidR="0011368C">
        <w:rPr>
          <w:rFonts w:ascii="Arial" w:hAnsi="Arial"/>
        </w:rPr>
        <w:t>.3 above may specify the information which the Contractor, or its staff, must provide and the period within which that information must be provided.</w:t>
      </w:r>
    </w:p>
    <w:p w:rsidR="0011368C" w:rsidRDefault="00C27529"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9</w:t>
      </w:r>
      <w:r w:rsidR="0011368C">
        <w:rPr>
          <w:rFonts w:ascii="Arial" w:hAnsi="Arial"/>
        </w:rPr>
        <w:t>.5</w:t>
      </w:r>
      <w:r w:rsidR="0011368C">
        <w:rPr>
          <w:rFonts w:ascii="Arial" w:hAnsi="Arial"/>
        </w:rPr>
        <w:tab/>
        <w:t xml:space="preserve">HSE may terminate this contract if </w:t>
      </w:r>
    </w:p>
    <w:p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w:t>
      </w:r>
      <w:proofErr w:type="gramStart"/>
      <w:r>
        <w:rPr>
          <w:rFonts w:ascii="Arial" w:hAnsi="Arial" w:cs="Arial"/>
        </w:rPr>
        <w:t>in</w:t>
      </w:r>
      <w:proofErr w:type="gramEnd"/>
      <w:r>
        <w:rPr>
          <w:rFonts w:ascii="Arial" w:hAnsi="Arial" w:cs="Arial"/>
        </w:rPr>
        <w:t xml:space="preserve"> the case of a request mentioned in Clause </w:t>
      </w:r>
      <w:r w:rsidR="00C27529">
        <w:rPr>
          <w:rFonts w:ascii="Arial" w:hAnsi="Arial" w:cs="Arial"/>
        </w:rPr>
        <w:t>9</w:t>
      </w:r>
      <w:r>
        <w:rPr>
          <w:rFonts w:ascii="Arial" w:hAnsi="Arial" w:cs="Arial"/>
        </w:rPr>
        <w:t xml:space="preserve">.3 above- </w:t>
      </w:r>
    </w:p>
    <w:p w:rsidR="0011368C" w:rsidRDefault="0011368C" w:rsidP="0011368C">
      <w:pPr>
        <w:pStyle w:val="default"/>
        <w:suppressAutoHyphens/>
        <w:spacing w:before="0" w:beforeAutospacing="0" w:after="0" w:afterAutospacing="0"/>
        <w:ind w:left="1800" w:hanging="1080"/>
        <w:jc w:val="both"/>
        <w:rPr>
          <w:sz w:val="20"/>
          <w:szCs w:val="20"/>
        </w:rPr>
      </w:pPr>
    </w:p>
    <w:p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C27529">
        <w:rPr>
          <w:rFonts w:ascii="Arial" w:hAnsi="Arial" w:cs="Arial"/>
        </w:rPr>
        <w:t>9</w:t>
      </w:r>
      <w:r>
        <w:rPr>
          <w:rFonts w:ascii="Arial" w:hAnsi="Arial" w:cs="Arial"/>
        </w:rPr>
        <w:t xml:space="preserve">.1 and </w:t>
      </w:r>
      <w:r w:rsidR="00C27529">
        <w:rPr>
          <w:rFonts w:ascii="Arial" w:hAnsi="Arial" w:cs="Arial"/>
        </w:rPr>
        <w:t>9</w:t>
      </w:r>
      <w:r>
        <w:rPr>
          <w:rFonts w:ascii="Arial" w:hAnsi="Arial" w:cs="Arial"/>
        </w:rPr>
        <w:t xml:space="preserve">.2 above or why those Clauses do not apply to it; </w:t>
      </w:r>
    </w:p>
    <w:p w:rsidR="0011368C" w:rsidRDefault="0011368C" w:rsidP="0011368C">
      <w:pPr>
        <w:pStyle w:val="default"/>
        <w:suppressAutoHyphens/>
        <w:spacing w:before="0" w:beforeAutospacing="0" w:after="0" w:afterAutospacing="0"/>
        <w:ind w:left="1440" w:hanging="360"/>
        <w:jc w:val="both"/>
        <w:rPr>
          <w:sz w:val="20"/>
          <w:szCs w:val="20"/>
        </w:rPr>
      </w:pPr>
    </w:p>
    <w:p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C27529">
        <w:rPr>
          <w:rFonts w:ascii="Arial" w:hAnsi="Arial" w:cs="Arial"/>
        </w:rPr>
        <w:t>9</w:t>
      </w:r>
      <w:r>
        <w:rPr>
          <w:rFonts w:ascii="Arial" w:hAnsi="Arial" w:cs="Arial"/>
        </w:rPr>
        <w:t xml:space="preserve">.4 above, The Contractor, or its staff, fails to provide the specified information within the specified period, or </w:t>
      </w:r>
    </w:p>
    <w:p w:rsidR="0011368C" w:rsidRDefault="0011368C" w:rsidP="0011368C">
      <w:pPr>
        <w:pStyle w:val="default"/>
        <w:suppressAutoHyphens/>
        <w:spacing w:before="0" w:beforeAutospacing="0" w:after="0" w:afterAutospacing="0"/>
        <w:ind w:left="1080" w:hanging="360"/>
        <w:jc w:val="both"/>
        <w:rPr>
          <w:rFonts w:ascii="Arial" w:hAnsi="Arial" w:cs="Arial"/>
        </w:rPr>
      </w:pPr>
    </w:p>
    <w:p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r>
      <w:proofErr w:type="gramStart"/>
      <w:r>
        <w:rPr>
          <w:rFonts w:ascii="Arial" w:hAnsi="Arial" w:cs="Arial"/>
        </w:rPr>
        <w:t>it</w:t>
      </w:r>
      <w:proofErr w:type="gramEnd"/>
      <w:r>
        <w:rPr>
          <w:rFonts w:ascii="Arial" w:hAnsi="Arial" w:cs="Arial"/>
        </w:rPr>
        <w:t xml:space="preserve"> receives information which demonstrates that, at any time when Clauses 9.1 and 9.2 apply the Contractor, or its staff, is not complying with those Clauses.</w:t>
      </w:r>
    </w:p>
    <w:p w:rsidR="0011368C" w:rsidRDefault="0011368C" w:rsidP="0011368C">
      <w:pPr>
        <w:pStyle w:val="default"/>
        <w:suppressAutoHyphens/>
        <w:spacing w:before="0" w:beforeAutospacing="0" w:after="0" w:afterAutospacing="0"/>
        <w:ind w:left="1080" w:hanging="360"/>
        <w:jc w:val="both"/>
        <w:rPr>
          <w:sz w:val="20"/>
          <w:szCs w:val="20"/>
        </w:rPr>
      </w:pPr>
    </w:p>
    <w:p w:rsidR="005B7077" w:rsidRDefault="00C27529"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lastRenderedPageBreak/>
        <w:t>9</w:t>
      </w:r>
      <w:r w:rsidR="0011368C">
        <w:rPr>
          <w:rFonts w:ascii="Arial" w:hAnsi="Arial"/>
        </w:rPr>
        <w:t>.6</w:t>
      </w:r>
      <w:r w:rsidR="0011368C">
        <w:rPr>
          <w:rFonts w:ascii="Arial" w:hAnsi="Arial"/>
        </w:rPr>
        <w:tab/>
        <w:t xml:space="preserve">HSE may supply any information which it receives under Clause </w:t>
      </w:r>
      <w:r>
        <w:rPr>
          <w:rFonts w:ascii="Arial" w:hAnsi="Arial"/>
        </w:rPr>
        <w:t>9</w:t>
      </w:r>
      <w:r w:rsidR="0011368C">
        <w:rPr>
          <w:rFonts w:ascii="Arial" w:hAnsi="Arial"/>
        </w:rPr>
        <w:t>.3 to the Commissioners of Her Majesty’s Revenue and Customs for the purposes of the collection and management of revenue for which they are responsible.</w:t>
      </w:r>
    </w:p>
    <w:p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rsidR="00EF3BBD" w:rsidRPr="00153A85" w:rsidRDefault="00C27529"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10</w:t>
      </w:r>
      <w:r w:rsidR="00EF3BBD" w:rsidRPr="00153A85">
        <w:rPr>
          <w:rFonts w:ascii="Arial" w:hAnsi="Arial" w:cs="Arial"/>
          <w:b/>
          <w:bCs/>
          <w:noProof/>
          <w:szCs w:val="24"/>
          <w:lang w:val="en-GB"/>
        </w:rPr>
        <w:tab/>
      </w:r>
      <w:r w:rsidR="00EF3BBD">
        <w:rPr>
          <w:rFonts w:ascii="Arial" w:hAnsi="Arial" w:cs="Arial"/>
          <w:b/>
          <w:bCs/>
          <w:noProof/>
          <w:szCs w:val="24"/>
          <w:lang w:val="en-GB"/>
        </w:rPr>
        <w:t xml:space="preserve">INVOICING AND </w:t>
      </w:r>
      <w:r w:rsidR="00EF3BBD" w:rsidRPr="00153A85">
        <w:rPr>
          <w:rFonts w:ascii="Arial" w:hAnsi="Arial" w:cs="Arial"/>
          <w:b/>
          <w:bCs/>
          <w:noProof/>
          <w:szCs w:val="24"/>
          <w:lang w:val="en-GB"/>
        </w:rPr>
        <w:t>PAYMENTS</w:t>
      </w:r>
    </w:p>
    <w:p w:rsidR="00EF3BBD" w:rsidRDefault="00EF3BBD" w:rsidP="00EF3BBD">
      <w:pPr>
        <w:pStyle w:val="ListBullet"/>
        <w:keepLines/>
        <w:tabs>
          <w:tab w:val="clear" w:pos="566"/>
          <w:tab w:val="left" w:pos="720"/>
        </w:tabs>
        <w:suppressAutoHyphens/>
        <w:ind w:left="720" w:hanging="720"/>
        <w:rPr>
          <w:rFonts w:ascii="Arial" w:hAnsi="Arial" w:cs="Arial"/>
          <w:noProof/>
        </w:rPr>
      </w:pPr>
    </w:p>
    <w:p w:rsidR="00824D45" w:rsidRPr="00824D45" w:rsidRDefault="00C27529" w:rsidP="0043404D">
      <w:pPr>
        <w:pStyle w:val="ListBullet"/>
        <w:keepLines/>
        <w:tabs>
          <w:tab w:val="clear" w:pos="566"/>
          <w:tab w:val="left" w:pos="720"/>
        </w:tabs>
        <w:suppressAutoHyphens/>
        <w:ind w:left="720" w:hanging="720"/>
        <w:rPr>
          <w:szCs w:val="24"/>
        </w:rPr>
      </w:pPr>
      <w:r>
        <w:rPr>
          <w:rFonts w:ascii="Arial" w:hAnsi="Arial" w:cs="Arial"/>
          <w:noProof/>
        </w:rPr>
        <w:t>10</w:t>
      </w:r>
      <w:r w:rsidR="00EF3BBD" w:rsidRPr="00153A85">
        <w:rPr>
          <w:rFonts w:ascii="Arial" w:hAnsi="Arial" w:cs="Arial"/>
          <w:noProof/>
        </w:rPr>
        <w:t>.1</w:t>
      </w:r>
      <w:r w:rsidR="00EF3BBD" w:rsidRPr="00153A85">
        <w:rPr>
          <w:rFonts w:ascii="Arial" w:hAnsi="Arial" w:cs="Arial"/>
          <w:noProof/>
        </w:rPr>
        <w:tab/>
      </w:r>
      <w:r w:rsidR="00EF3BBD">
        <w:rPr>
          <w:rFonts w:ascii="Arial" w:hAnsi="Arial" w:cs="Arial"/>
          <w:noProof/>
        </w:rPr>
        <w:t xml:space="preserve">All invoices raised </w:t>
      </w:r>
      <w:r w:rsidR="00EF3BBD" w:rsidRPr="00CD7729">
        <w:rPr>
          <w:rFonts w:ascii="Arial" w:hAnsi="Arial" w:cs="Arial"/>
          <w:noProof/>
          <w:u w:val="single"/>
        </w:rPr>
        <w:t>must</w:t>
      </w:r>
      <w:r w:rsidR="00EF3BBD">
        <w:rPr>
          <w:rFonts w:ascii="Arial" w:hAnsi="Arial" w:cs="Arial"/>
          <w:noProof/>
        </w:rPr>
        <w:t xml:space="preserve"> include the relevant Purchase Order number which will be issued by HSE Procurement Unit. Failure to include the Purchase Order Number may delay payment.  Invoices should be </w:t>
      </w:r>
      <w:r w:rsidR="00EF3BBD" w:rsidRPr="00153A85">
        <w:rPr>
          <w:rFonts w:ascii="Arial" w:hAnsi="Arial"/>
          <w:noProof/>
        </w:rPr>
        <w:t>submitted</w:t>
      </w:r>
      <w:r w:rsidR="00EF3BBD">
        <w:rPr>
          <w:rFonts w:ascii="Arial" w:hAnsi="Arial"/>
          <w:noProof/>
        </w:rPr>
        <w:t xml:space="preserve"> electronically in PDF format </w:t>
      </w:r>
      <w:r w:rsidR="00EF3BBD" w:rsidRPr="00153A85">
        <w:rPr>
          <w:rFonts w:ascii="Arial" w:hAnsi="Arial"/>
          <w:noProof/>
        </w:rPr>
        <w:t xml:space="preserve">to </w:t>
      </w:r>
      <w:hyperlink r:id="rId12" w:history="1">
        <w:r w:rsidR="00824D45" w:rsidRPr="00CC5849">
          <w:rPr>
            <w:rStyle w:val="Hyperlink"/>
            <w:rFonts w:ascii="Arial" w:hAnsi="Arial" w:cs="Arial"/>
          </w:rPr>
          <w:t>APinvoices-HAS-U@sscl.gse.gov.uk</w:t>
        </w:r>
      </w:hyperlink>
      <w:r w:rsidR="0043404D">
        <w:rPr>
          <w:rFonts w:ascii="Arial" w:hAnsi="Arial"/>
          <w:noProof/>
        </w:rPr>
        <w:t>.</w:t>
      </w:r>
    </w:p>
    <w:p w:rsidR="00824D45" w:rsidRDefault="00824D45" w:rsidP="00EF3BBD">
      <w:pPr>
        <w:pStyle w:val="ListBullet"/>
        <w:keepLines/>
        <w:tabs>
          <w:tab w:val="clear" w:pos="566"/>
          <w:tab w:val="left" w:pos="720"/>
        </w:tabs>
        <w:suppressAutoHyphens/>
        <w:ind w:left="720" w:hanging="720"/>
        <w:rPr>
          <w:rFonts w:ascii="Arial" w:hAnsi="Arial"/>
          <w:noProof/>
        </w:rPr>
      </w:pPr>
    </w:p>
    <w:p w:rsidR="00EF3BBD" w:rsidRDefault="00C27529" w:rsidP="00EF3BBD">
      <w:pPr>
        <w:ind w:left="720" w:hanging="720"/>
        <w:rPr>
          <w:rFonts w:ascii="Arial" w:hAnsi="Arial"/>
          <w:noProof/>
        </w:rPr>
      </w:pPr>
      <w:r>
        <w:rPr>
          <w:rFonts w:ascii="Arial" w:hAnsi="Arial"/>
          <w:noProof/>
        </w:rPr>
        <w:t>10</w:t>
      </w:r>
      <w:r w:rsidR="00EF3BBD">
        <w:rPr>
          <w:rFonts w:ascii="Arial" w:hAnsi="Arial"/>
          <w:noProof/>
        </w:rPr>
        <w:t>.2</w:t>
      </w:r>
      <w:r w:rsidR="00EF3BBD">
        <w:rPr>
          <w:rFonts w:ascii="Arial" w:hAnsi="Arial"/>
          <w:noProof/>
        </w:rPr>
        <w:tab/>
        <w:t>Invoices should also include</w:t>
      </w:r>
      <w:r w:rsidR="00EF3BBD" w:rsidRPr="00153A85">
        <w:rPr>
          <w:rFonts w:ascii="Arial" w:hAnsi="Arial"/>
          <w:noProof/>
        </w:rPr>
        <w:t xml:space="preserve"> details of work satisfactorily carried out</w:t>
      </w:r>
      <w:r w:rsidR="00EF3BBD">
        <w:rPr>
          <w:rFonts w:ascii="Arial" w:hAnsi="Arial"/>
          <w:noProof/>
        </w:rPr>
        <w:t xml:space="preserve"> and any VAT properly chargeable.</w:t>
      </w:r>
    </w:p>
    <w:p w:rsidR="00EF3BBD" w:rsidRDefault="00EF3BBD" w:rsidP="00EF3BBD">
      <w:pPr>
        <w:ind w:left="720" w:hanging="720"/>
        <w:rPr>
          <w:rFonts w:ascii="Arial" w:hAnsi="Arial"/>
          <w:noProof/>
        </w:rPr>
      </w:pPr>
    </w:p>
    <w:p w:rsidR="00EF3BBD" w:rsidRDefault="00C27529" w:rsidP="00EF3BBD">
      <w:pPr>
        <w:ind w:left="720" w:hanging="720"/>
      </w:pPr>
      <w:r>
        <w:rPr>
          <w:rFonts w:ascii="Arial" w:hAnsi="Arial"/>
          <w:noProof/>
        </w:rPr>
        <w:t>10</w:t>
      </w:r>
      <w:r w:rsidR="00EF3BBD">
        <w:rPr>
          <w:rFonts w:ascii="Arial" w:hAnsi="Arial"/>
          <w:noProof/>
        </w:rPr>
        <w:t>.3</w:t>
      </w:r>
      <w:r w:rsidR="00EF3BBD">
        <w:rPr>
          <w:rFonts w:ascii="Arial" w:hAnsi="Arial"/>
          <w:noProof/>
        </w:rPr>
        <w:tab/>
      </w:r>
      <w:r w:rsidR="009872D6">
        <w:rPr>
          <w:rFonts w:ascii="Arial" w:hAnsi="Arial"/>
          <w:noProof/>
        </w:rPr>
        <w:t>HSE</w:t>
      </w:r>
      <w:r w:rsidR="00EF3BBD">
        <w:rPr>
          <w:rFonts w:ascii="Arial" w:hAnsi="Arial"/>
          <w:noProof/>
        </w:rPr>
        <w:t xml:space="preserve"> </w:t>
      </w:r>
      <w:r w:rsidR="00EF3BBD" w:rsidRPr="005C182B">
        <w:rPr>
          <w:rFonts w:ascii="Arial" w:hAnsi="Arial" w:cs="Arial"/>
          <w:noProof/>
        </w:rPr>
        <w:t>shall make payment of</w:t>
      </w:r>
      <w:r w:rsidR="00EF3BBD">
        <w:rPr>
          <w:rFonts w:ascii="Arial" w:hAnsi="Arial" w:cs="Arial"/>
          <w:noProof/>
        </w:rPr>
        <w:t xml:space="preserve"> </w:t>
      </w:r>
      <w:r w:rsidR="00EF3BBD" w:rsidRPr="005C182B">
        <w:rPr>
          <w:rFonts w:ascii="Arial" w:hAnsi="Arial" w:cs="Arial"/>
          <w:noProof/>
        </w:rPr>
        <w:t>agreed costs</w:t>
      </w:r>
      <w:r w:rsidR="00EF3BBD">
        <w:rPr>
          <w:rFonts w:ascii="Arial" w:hAnsi="Arial" w:cs="Arial"/>
          <w:noProof/>
        </w:rPr>
        <w:t>,</w:t>
      </w:r>
      <w:r w:rsidR="00EF3BBD" w:rsidRPr="005C182B">
        <w:rPr>
          <w:rFonts w:ascii="Arial" w:hAnsi="Arial" w:cs="Arial"/>
          <w:noProof/>
        </w:rPr>
        <w:t xml:space="preserve"> in arrears</w:t>
      </w:r>
      <w:r w:rsidR="00EF3BBD">
        <w:rPr>
          <w:rFonts w:ascii="Arial" w:hAnsi="Arial" w:cs="Arial"/>
          <w:noProof/>
        </w:rPr>
        <w:t>,</w:t>
      </w:r>
      <w:r w:rsidR="00EF3BBD" w:rsidRPr="005C182B">
        <w:rPr>
          <w:rFonts w:ascii="Arial" w:hAnsi="Arial" w:cs="Arial"/>
          <w:noProof/>
        </w:rPr>
        <w:t xml:space="preserve"> within 30</w:t>
      </w:r>
      <w:r w:rsidR="00EF3BBD" w:rsidRPr="005C182B">
        <w:rPr>
          <w:rFonts w:ascii="Arial" w:hAnsi="Arial" w:cs="Arial"/>
          <w:b/>
          <w:bCs/>
          <w:noProof/>
        </w:rPr>
        <w:t xml:space="preserve"> </w:t>
      </w:r>
      <w:r w:rsidR="00EF3BBD" w:rsidRPr="005C182B">
        <w:rPr>
          <w:rFonts w:ascii="Arial" w:hAnsi="Arial" w:cs="Arial"/>
          <w:noProof/>
        </w:rPr>
        <w:t>days of the</w:t>
      </w:r>
      <w:r w:rsidR="00EF3BBD">
        <w:rPr>
          <w:rFonts w:ascii="Arial" w:hAnsi="Arial" w:cs="Arial"/>
          <w:noProof/>
        </w:rPr>
        <w:t xml:space="preserve"> </w:t>
      </w:r>
      <w:r w:rsidR="00EF3BBD" w:rsidRPr="005C182B">
        <w:rPr>
          <w:rFonts w:ascii="Arial" w:hAnsi="Arial" w:cs="Arial"/>
          <w:noProof/>
        </w:rPr>
        <w:t>acceptance of the invoice.</w:t>
      </w:r>
    </w:p>
    <w:p w:rsidR="00EF3BBD" w:rsidRDefault="00EF3BBD" w:rsidP="00EF3BBD">
      <w:pPr>
        <w:shd w:val="clear" w:color="auto" w:fill="FFFFFF"/>
        <w:rPr>
          <w:rFonts w:ascii="Arial" w:hAnsi="Arial" w:cs="Arial"/>
          <w:b/>
          <w:color w:val="000000"/>
          <w:szCs w:val="24"/>
          <w:lang w:eastAsia="en-GB"/>
        </w:rPr>
      </w:pPr>
    </w:p>
    <w:p w:rsidR="00EF3BBD" w:rsidRDefault="00C27529" w:rsidP="00EF3BBD">
      <w:pPr>
        <w:shd w:val="clear" w:color="auto" w:fill="FFFFFF"/>
        <w:ind w:left="720" w:hanging="720"/>
        <w:rPr>
          <w:rFonts w:ascii="Arial" w:hAnsi="Arial" w:cs="Arial"/>
          <w:noProof/>
        </w:rPr>
      </w:pPr>
      <w:r>
        <w:rPr>
          <w:rFonts w:ascii="Arial" w:hAnsi="Arial" w:cs="Arial"/>
          <w:noProof/>
        </w:rPr>
        <w:t>10</w:t>
      </w:r>
      <w:r w:rsidR="00EF3BBD">
        <w:rPr>
          <w:rFonts w:ascii="Arial" w:hAnsi="Arial" w:cs="Arial"/>
          <w:noProof/>
        </w:rPr>
        <w:t>.4</w:t>
      </w:r>
      <w:r w:rsidR="00EF3BBD">
        <w:rPr>
          <w:rFonts w:ascii="Arial" w:hAnsi="Arial" w:cs="Arial"/>
          <w:noProof/>
        </w:rPr>
        <w:tab/>
        <w:t>The Contractor shall send a copy invoice along with details of any work satisfactory carried out to the HSE Contract Manager identified at Annex 1.</w:t>
      </w:r>
    </w:p>
    <w:p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w:t>
      </w:r>
      <w:r w:rsidR="00C27529">
        <w:rPr>
          <w:rFonts w:ascii="Arial" w:hAnsi="Arial" w:cs="Arial"/>
          <w:b/>
          <w:color w:val="000000"/>
          <w:szCs w:val="24"/>
          <w:lang w:eastAsia="en-GB"/>
        </w:rPr>
        <w:t>1</w:t>
      </w:r>
      <w:r w:rsidR="00E251E6" w:rsidRPr="004D576B">
        <w:rPr>
          <w:rFonts w:ascii="Arial" w:hAnsi="Arial" w:cs="Arial"/>
          <w:b/>
          <w:szCs w:val="24"/>
        </w:rPr>
        <w:t xml:space="preserve"> </w:t>
      </w:r>
      <w:r w:rsidR="00E251E6" w:rsidRPr="004D576B">
        <w:rPr>
          <w:rFonts w:ascii="Arial" w:hAnsi="Arial" w:cs="Arial"/>
          <w:b/>
          <w:szCs w:val="24"/>
        </w:rPr>
        <w:tab/>
        <w:t>DELIVERABLES</w:t>
      </w:r>
    </w:p>
    <w:p w:rsidR="00E251E6" w:rsidRPr="004D576B" w:rsidRDefault="00E251E6" w:rsidP="0092358F">
      <w:pPr>
        <w:shd w:val="clear" w:color="auto" w:fill="FFFFFF"/>
        <w:rPr>
          <w:rFonts w:ascii="Arial" w:hAnsi="Arial" w:cs="Arial"/>
          <w:b/>
          <w:szCs w:val="24"/>
        </w:rPr>
      </w:pPr>
    </w:p>
    <w:p w:rsidR="00E251E6" w:rsidRPr="004D576B" w:rsidRDefault="0011368C" w:rsidP="00F853B7">
      <w:pPr>
        <w:shd w:val="clear" w:color="auto" w:fill="FFFFFF"/>
        <w:ind w:left="732" w:hanging="732"/>
        <w:rPr>
          <w:rFonts w:ascii="Arial" w:hAnsi="Arial" w:cs="Arial"/>
          <w:szCs w:val="24"/>
        </w:rPr>
      </w:pPr>
      <w:r>
        <w:rPr>
          <w:rFonts w:ascii="Arial" w:hAnsi="Arial" w:cs="Arial"/>
          <w:color w:val="000000"/>
          <w:szCs w:val="24"/>
          <w:lang w:eastAsia="en-GB"/>
        </w:rPr>
        <w:t>1</w:t>
      </w:r>
      <w:r w:rsidR="00C27529">
        <w:rPr>
          <w:rFonts w:ascii="Arial" w:hAnsi="Arial" w:cs="Arial"/>
          <w:color w:val="000000"/>
          <w:szCs w:val="24"/>
          <w:lang w:eastAsia="en-GB"/>
        </w:rPr>
        <w:t>1</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BF30F3">
        <w:rPr>
          <w:rFonts w:ascii="Arial" w:hAnsi="Arial" w:cs="Arial"/>
          <w:szCs w:val="24"/>
        </w:rPr>
        <w:t xml:space="preserve">role players for the support of HSE training </w:t>
      </w:r>
      <w:r w:rsidR="00F853B7">
        <w:rPr>
          <w:rFonts w:ascii="Arial" w:hAnsi="Arial" w:cs="Arial"/>
          <w:szCs w:val="24"/>
        </w:rPr>
        <w:t>events as detailed in Schedule A to this contract</w:t>
      </w:r>
      <w:r w:rsidR="00E251E6" w:rsidRPr="004D576B">
        <w:rPr>
          <w:rFonts w:ascii="Arial" w:hAnsi="Arial" w:cs="Arial"/>
          <w:szCs w:val="24"/>
        </w:rPr>
        <w:t>.</w:t>
      </w:r>
    </w:p>
    <w:p w:rsidR="00E251E6" w:rsidRDefault="00E251E6" w:rsidP="0092358F">
      <w:pPr>
        <w:shd w:val="clear" w:color="auto" w:fill="FFFFFF"/>
        <w:rPr>
          <w:rFonts w:ascii="Arial" w:hAnsi="Arial" w:cs="Arial"/>
          <w:b/>
          <w:color w:val="000000"/>
          <w:szCs w:val="24"/>
          <w:lang w:eastAsia="en-GB"/>
        </w:rPr>
      </w:pPr>
    </w:p>
    <w:p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w:t>
      </w:r>
      <w:r w:rsidR="00F853B7">
        <w:rPr>
          <w:rFonts w:ascii="Arial" w:hAnsi="Arial" w:cs="Arial"/>
          <w:b/>
          <w:color w:val="000000"/>
          <w:szCs w:val="24"/>
          <w:lang w:eastAsia="en-GB"/>
        </w:rPr>
        <w:t>2</w:t>
      </w:r>
      <w:r w:rsidR="00E72B43">
        <w:rPr>
          <w:rFonts w:ascii="Arial" w:hAnsi="Arial" w:cs="Arial"/>
          <w:b/>
          <w:szCs w:val="24"/>
        </w:rPr>
        <w:tab/>
      </w:r>
      <w:r w:rsidR="004D576B" w:rsidRPr="004D576B">
        <w:rPr>
          <w:rFonts w:ascii="Arial" w:hAnsi="Arial" w:cs="Arial"/>
          <w:b/>
          <w:szCs w:val="24"/>
        </w:rPr>
        <w:t>INTELLECTUAL PROPERTY</w:t>
      </w:r>
    </w:p>
    <w:p w:rsidR="004D576B" w:rsidRPr="004D576B" w:rsidRDefault="004D576B" w:rsidP="0092358F">
      <w:pPr>
        <w:shd w:val="clear" w:color="auto" w:fill="FFFFFF"/>
        <w:rPr>
          <w:rFonts w:ascii="Arial" w:hAnsi="Arial" w:cs="Arial"/>
          <w:szCs w:val="24"/>
        </w:rPr>
      </w:pPr>
    </w:p>
    <w:p w:rsidR="004D576B" w:rsidRPr="00500876" w:rsidRDefault="0011368C" w:rsidP="0092358F">
      <w:pPr>
        <w:shd w:val="clear" w:color="auto" w:fill="FFFFFF"/>
        <w:rPr>
          <w:rFonts w:ascii="Arial" w:hAnsi="Arial" w:cs="Arial"/>
          <w:szCs w:val="24"/>
        </w:rPr>
      </w:pPr>
      <w:r>
        <w:rPr>
          <w:rFonts w:ascii="Arial" w:hAnsi="Arial" w:cs="Arial"/>
          <w:lang w:val="en-US"/>
        </w:rPr>
        <w:t>1</w:t>
      </w:r>
      <w:r w:rsidR="00F853B7">
        <w:rPr>
          <w:rFonts w:ascii="Arial" w:hAnsi="Arial" w:cs="Arial"/>
          <w:lang w:val="en-US"/>
        </w:rPr>
        <w:t>2</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rsidR="00D56EBB" w:rsidRDefault="00D56EBB" w:rsidP="0092358F">
      <w:pPr>
        <w:shd w:val="clear" w:color="auto" w:fill="FFFFFF"/>
        <w:rPr>
          <w:rFonts w:ascii="Arial" w:hAnsi="Arial" w:cs="Arial"/>
          <w:b/>
          <w:szCs w:val="24"/>
        </w:rPr>
      </w:pPr>
    </w:p>
    <w:p w:rsidR="003D319A" w:rsidRPr="004D576B" w:rsidRDefault="0011368C" w:rsidP="003D319A">
      <w:pPr>
        <w:shd w:val="clear" w:color="auto" w:fill="FFFFFF"/>
        <w:rPr>
          <w:rFonts w:ascii="Arial" w:hAnsi="Arial" w:cs="Arial"/>
          <w:b/>
          <w:szCs w:val="24"/>
        </w:rPr>
      </w:pPr>
      <w:r>
        <w:rPr>
          <w:rFonts w:ascii="Arial" w:hAnsi="Arial" w:cs="Arial"/>
          <w:b/>
          <w:szCs w:val="24"/>
        </w:rPr>
        <w:t>1</w:t>
      </w:r>
      <w:r w:rsidR="00F853B7">
        <w:rPr>
          <w:rFonts w:ascii="Arial" w:hAnsi="Arial" w:cs="Arial"/>
          <w:b/>
          <w:szCs w:val="24"/>
        </w:rPr>
        <w:t>3</w:t>
      </w:r>
      <w:r w:rsidR="003D319A" w:rsidRPr="004D576B">
        <w:rPr>
          <w:rFonts w:ascii="Arial" w:hAnsi="Arial" w:cs="Arial"/>
          <w:b/>
          <w:szCs w:val="24"/>
        </w:rPr>
        <w:tab/>
        <w:t>ACCESS TO HSE PREMISES</w:t>
      </w:r>
    </w:p>
    <w:p w:rsidR="003D319A" w:rsidRPr="004D576B" w:rsidRDefault="003D319A" w:rsidP="003D319A">
      <w:pPr>
        <w:shd w:val="clear" w:color="auto" w:fill="FFFFFF"/>
        <w:rPr>
          <w:rFonts w:ascii="Arial" w:hAnsi="Arial" w:cs="Arial"/>
          <w:szCs w:val="24"/>
        </w:rPr>
      </w:pPr>
    </w:p>
    <w:p w:rsidR="003D319A" w:rsidRPr="004D576B" w:rsidRDefault="0011368C" w:rsidP="003D319A">
      <w:pPr>
        <w:shd w:val="clear" w:color="auto" w:fill="FFFFFF"/>
        <w:ind w:left="720" w:hanging="720"/>
        <w:rPr>
          <w:rFonts w:ascii="Arial" w:hAnsi="Arial" w:cs="Arial"/>
          <w:szCs w:val="24"/>
        </w:rPr>
      </w:pPr>
      <w:r>
        <w:rPr>
          <w:rFonts w:ascii="Arial" w:hAnsi="Arial" w:cs="Arial"/>
          <w:szCs w:val="24"/>
        </w:rPr>
        <w:t>1</w:t>
      </w:r>
      <w:r w:rsidR="00F853B7">
        <w:rPr>
          <w:rFonts w:ascii="Arial" w:hAnsi="Arial" w:cs="Arial"/>
          <w:szCs w:val="24"/>
        </w:rPr>
        <w:t>3</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3D319A" w:rsidRDefault="003D319A" w:rsidP="003D319A">
      <w:pPr>
        <w:shd w:val="clear" w:color="auto" w:fill="FFFFFF"/>
        <w:rPr>
          <w:rFonts w:ascii="Arial" w:hAnsi="Arial" w:cs="Arial"/>
          <w:szCs w:val="24"/>
        </w:rPr>
      </w:pPr>
    </w:p>
    <w:p w:rsidR="003D319A" w:rsidRDefault="0011368C" w:rsidP="003D319A">
      <w:pPr>
        <w:shd w:val="clear" w:color="auto" w:fill="FFFFFF"/>
        <w:ind w:left="720" w:hanging="720"/>
        <w:rPr>
          <w:rFonts w:ascii="Arial" w:hAnsi="Arial" w:cs="Arial"/>
          <w:szCs w:val="24"/>
        </w:rPr>
      </w:pPr>
      <w:r>
        <w:rPr>
          <w:rFonts w:ascii="Arial" w:hAnsi="Arial" w:cs="Arial"/>
          <w:szCs w:val="24"/>
        </w:rPr>
        <w:t>1</w:t>
      </w:r>
      <w:r w:rsidR="00C27529">
        <w:rPr>
          <w:rFonts w:ascii="Arial" w:hAnsi="Arial" w:cs="Arial"/>
          <w:szCs w:val="24"/>
        </w:rPr>
        <w:t>3</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3"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rsidR="003D319A" w:rsidRDefault="003D319A" w:rsidP="003D319A">
      <w:pPr>
        <w:shd w:val="clear" w:color="auto" w:fill="FFFFFF"/>
        <w:rPr>
          <w:rFonts w:ascii="Arial" w:hAnsi="Arial" w:cs="Arial"/>
          <w:szCs w:val="24"/>
        </w:rPr>
      </w:pPr>
    </w:p>
    <w:p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w:t>
      </w:r>
      <w:r w:rsidR="00C27529">
        <w:rPr>
          <w:rFonts w:ascii="Arial" w:hAnsi="Arial" w:cs="Arial"/>
          <w:b/>
          <w:color w:val="000000"/>
          <w:szCs w:val="24"/>
          <w:lang w:eastAsia="en-GB"/>
        </w:rPr>
        <w:t>4</w:t>
      </w:r>
      <w:r w:rsidR="003D319A">
        <w:rPr>
          <w:rFonts w:ascii="Arial" w:hAnsi="Arial" w:cs="Arial"/>
          <w:b/>
          <w:color w:val="000000"/>
          <w:szCs w:val="24"/>
          <w:lang w:eastAsia="en-GB"/>
        </w:rPr>
        <w:tab/>
        <w:t xml:space="preserve">CONFIDENTIALITY </w:t>
      </w:r>
    </w:p>
    <w:p w:rsidR="003D319A" w:rsidRDefault="003D319A" w:rsidP="003D319A">
      <w:pPr>
        <w:keepLines/>
        <w:overflowPunct/>
        <w:spacing w:line="240" w:lineRule="atLeast"/>
        <w:textAlignment w:val="auto"/>
        <w:rPr>
          <w:rFonts w:ascii="Arial" w:hAnsi="Arial" w:cs="Arial"/>
          <w:b/>
          <w:color w:val="000000"/>
          <w:szCs w:val="24"/>
          <w:lang w:eastAsia="en-GB"/>
        </w:rPr>
      </w:pPr>
    </w:p>
    <w:p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w:t>
      </w:r>
      <w:r w:rsidR="00C27529">
        <w:rPr>
          <w:rFonts w:ascii="Arial" w:hAnsi="Arial" w:cs="Arial"/>
          <w:color w:val="000000"/>
          <w:szCs w:val="24"/>
          <w:lang w:eastAsia="en-GB"/>
        </w:rPr>
        <w:t>4</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w:t>
      </w:r>
      <w:r w:rsidR="00C27529">
        <w:rPr>
          <w:rFonts w:ascii="Arial" w:hAnsi="Arial" w:cs="Arial"/>
          <w:color w:val="000000"/>
          <w:szCs w:val="24"/>
          <w:lang w:eastAsia="en-GB"/>
        </w:rPr>
        <w:t>4</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rsidR="003D319A" w:rsidRDefault="003D319A" w:rsidP="003D319A">
      <w:pPr>
        <w:pStyle w:val="NumberList"/>
        <w:suppressAutoHyphens/>
        <w:rPr>
          <w:b/>
        </w:rPr>
      </w:pPr>
    </w:p>
    <w:p w:rsidR="003D319A" w:rsidRPr="00573A91" w:rsidRDefault="006C5AC4" w:rsidP="003D319A">
      <w:pPr>
        <w:pStyle w:val="NumberList"/>
        <w:suppressAutoHyphens/>
        <w:ind w:left="720" w:hanging="720"/>
        <w:rPr>
          <w:rFonts w:ascii="Arial" w:hAnsi="Arial" w:cs="Arial"/>
        </w:rPr>
      </w:pPr>
      <w:r>
        <w:rPr>
          <w:rFonts w:ascii="Arial" w:hAnsi="Arial" w:cs="Arial"/>
        </w:rPr>
        <w:t>1</w:t>
      </w:r>
      <w:r w:rsidR="00C27529">
        <w:rPr>
          <w:rFonts w:ascii="Arial" w:hAnsi="Arial" w:cs="Arial"/>
        </w:rPr>
        <w:t>4</w:t>
      </w:r>
      <w:r w:rsidR="003D319A" w:rsidRPr="00573A91">
        <w:rPr>
          <w:rFonts w:ascii="Arial" w:hAnsi="Arial" w:cs="Arial"/>
        </w:rPr>
        <w:t>.3</w:t>
      </w:r>
      <w:r w:rsidR="003D319A" w:rsidRPr="00573A91">
        <w:rPr>
          <w:rFonts w:ascii="Arial" w:hAnsi="Arial" w:cs="Arial"/>
        </w:rPr>
        <w:tab/>
        <w:t>HSE may disclose the Confidential Information of the Contractor:</w:t>
      </w:r>
    </w:p>
    <w:p w:rsidR="003D319A" w:rsidRDefault="003D319A" w:rsidP="003D319A">
      <w:pPr>
        <w:pStyle w:val="NumberList"/>
        <w:suppressAutoHyphens/>
        <w:ind w:left="720" w:hanging="720"/>
      </w:pPr>
    </w:p>
    <w:p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proofErr w:type="gramStart"/>
      <w:r w:rsidRPr="00573A91">
        <w:rPr>
          <w:b w:val="0"/>
          <w:sz w:val="24"/>
          <w:szCs w:val="24"/>
        </w:rPr>
        <w:t>on</w:t>
      </w:r>
      <w:proofErr w:type="gramEnd"/>
      <w:r w:rsidRPr="00573A91">
        <w:rPr>
          <w:b w:val="0"/>
          <w:sz w:val="24"/>
          <w:szCs w:val="24"/>
        </w:rPr>
        <w:t xml:space="preserve"> a confidential basis to any Central Government Body for any proper purpose of the Authority or of the relevant Central Government Body; </w:t>
      </w:r>
    </w:p>
    <w:p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proofErr w:type="gramStart"/>
      <w:r w:rsidRPr="00573A91">
        <w:rPr>
          <w:b w:val="0"/>
          <w:sz w:val="24"/>
          <w:szCs w:val="24"/>
        </w:rPr>
        <w:t>to</w:t>
      </w:r>
      <w:proofErr w:type="gramEnd"/>
      <w:r w:rsidRPr="00573A91">
        <w:rPr>
          <w:b w:val="0"/>
          <w:sz w:val="24"/>
          <w:szCs w:val="24"/>
        </w:rPr>
        <w:t xml:space="preserve"> Parliament and Parliamentary Committees or if required by any Parliamentary reporting requirement;</w:t>
      </w:r>
    </w:p>
    <w:p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proofErr w:type="gramStart"/>
      <w:r w:rsidRPr="00573A91">
        <w:rPr>
          <w:b w:val="0"/>
          <w:sz w:val="24"/>
          <w:szCs w:val="24"/>
        </w:rPr>
        <w:t>to</w:t>
      </w:r>
      <w:proofErr w:type="gramEnd"/>
      <w:r w:rsidRPr="00573A91">
        <w:rPr>
          <w:b w:val="0"/>
          <w:sz w:val="24"/>
          <w:szCs w:val="24"/>
        </w:rPr>
        <w:t xml:space="preserve"> the extent that the Authority (acting reasonably) deems disclosure necessary or appropriate in the course of carrying out its public functions;</w:t>
      </w:r>
    </w:p>
    <w:p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w:t>
      </w:r>
      <w:r w:rsidR="00C27529">
        <w:rPr>
          <w:b w:val="0"/>
          <w:sz w:val="24"/>
          <w:szCs w:val="24"/>
        </w:rPr>
        <w:t>4</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proofErr w:type="gramStart"/>
      <w:r w:rsidRPr="00573A91">
        <w:rPr>
          <w:b w:val="0"/>
          <w:sz w:val="24"/>
          <w:szCs w:val="24"/>
        </w:rPr>
        <w:t>on</w:t>
      </w:r>
      <w:proofErr w:type="gramEnd"/>
      <w:r w:rsidRPr="00573A91">
        <w:rPr>
          <w:b w:val="0"/>
          <w:sz w:val="24"/>
          <w:szCs w:val="24"/>
        </w:rPr>
        <w:t xml:space="preserve"> a confidential basis for the purpose of the exercise of its rights under this </w:t>
      </w:r>
      <w:r>
        <w:rPr>
          <w:b w:val="0"/>
          <w:sz w:val="24"/>
          <w:szCs w:val="24"/>
        </w:rPr>
        <w:t>Contract</w:t>
      </w:r>
      <w:r w:rsidRPr="00573A91">
        <w:rPr>
          <w:b w:val="0"/>
          <w:sz w:val="24"/>
          <w:szCs w:val="24"/>
        </w:rPr>
        <w:t>; or</w:t>
      </w:r>
    </w:p>
    <w:p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rsidR="003D319A" w:rsidRPr="00573A91" w:rsidRDefault="003D319A" w:rsidP="003D319A">
      <w:pPr>
        <w:pStyle w:val="NumberList"/>
        <w:suppressAutoHyphens/>
        <w:ind w:left="720"/>
        <w:jc w:val="both"/>
        <w:rPr>
          <w:rFonts w:ascii="Arial" w:hAnsi="Arial" w:cs="Arial"/>
        </w:rPr>
      </w:pPr>
      <w:proofErr w:type="gramStart"/>
      <w:r w:rsidRPr="00573A91">
        <w:rPr>
          <w:rFonts w:ascii="Arial" w:hAnsi="Arial" w:cs="Arial"/>
          <w:szCs w:val="24"/>
        </w:rPr>
        <w:t>and</w:t>
      </w:r>
      <w:proofErr w:type="gramEnd"/>
      <w:r w:rsidRPr="00573A91">
        <w:rPr>
          <w:rFonts w:ascii="Arial" w:hAnsi="Arial" w:cs="Arial"/>
          <w:szCs w:val="24"/>
        </w:rPr>
        <w:t xml:space="preserve"> for the purposes of the foregoing, references to disclosure on a confidential basis shall mean disclosure subject to a confidentiality agreement or arrangement containing terms no less stringent than those placed on the Authority under this Clause.</w:t>
      </w:r>
    </w:p>
    <w:p w:rsidR="003D319A" w:rsidRDefault="003D319A" w:rsidP="003D319A">
      <w:pPr>
        <w:pStyle w:val="NumberList"/>
        <w:suppressAutoHyphens/>
        <w:ind w:left="720" w:hanging="720"/>
        <w:jc w:val="both"/>
        <w:rPr>
          <w:rFonts w:ascii="Arial" w:hAnsi="Arial" w:cs="Arial"/>
          <w:b/>
        </w:rPr>
      </w:pPr>
    </w:p>
    <w:p w:rsidR="003D319A" w:rsidRPr="00EB12AE" w:rsidRDefault="0011368C" w:rsidP="003D319A">
      <w:pPr>
        <w:pStyle w:val="NumberList"/>
        <w:suppressAutoHyphens/>
        <w:ind w:left="720" w:hanging="720"/>
        <w:jc w:val="both"/>
        <w:rPr>
          <w:rFonts w:ascii="Arial" w:hAnsi="Arial" w:cs="Arial"/>
        </w:rPr>
      </w:pPr>
      <w:r>
        <w:rPr>
          <w:rFonts w:ascii="Arial" w:hAnsi="Arial" w:cs="Arial"/>
          <w:b/>
        </w:rPr>
        <w:t>1</w:t>
      </w:r>
      <w:r w:rsidR="00C27529">
        <w:rPr>
          <w:rFonts w:ascii="Arial" w:hAnsi="Arial" w:cs="Arial"/>
          <w:b/>
        </w:rPr>
        <w:t>5</w:t>
      </w:r>
      <w:r w:rsidR="003D319A" w:rsidRPr="00EB12AE">
        <w:rPr>
          <w:rFonts w:ascii="Arial" w:hAnsi="Arial" w:cs="Arial"/>
          <w:b/>
        </w:rPr>
        <w:tab/>
        <w:t>P</w:t>
      </w:r>
      <w:r w:rsidR="003D319A">
        <w:rPr>
          <w:rFonts w:ascii="Arial" w:hAnsi="Arial" w:cs="Arial"/>
          <w:b/>
        </w:rPr>
        <w:t>UBLICATION</w:t>
      </w:r>
    </w:p>
    <w:p w:rsidR="003D319A" w:rsidRDefault="003D319A" w:rsidP="003D319A">
      <w:pPr>
        <w:pStyle w:val="NumberList"/>
        <w:suppressAutoHyphens/>
        <w:ind w:left="720" w:hanging="720"/>
        <w:jc w:val="both"/>
        <w:rPr>
          <w:rFonts w:ascii="Arial" w:hAnsi="Arial" w:cs="Arial"/>
        </w:rPr>
      </w:pPr>
    </w:p>
    <w:p w:rsidR="003D319A" w:rsidRPr="00EB12AE" w:rsidRDefault="0011368C" w:rsidP="003D319A">
      <w:pPr>
        <w:pStyle w:val="NumberList"/>
        <w:suppressAutoHyphens/>
        <w:ind w:left="720" w:hanging="720"/>
        <w:jc w:val="both"/>
        <w:rPr>
          <w:rFonts w:ascii="Arial" w:hAnsi="Arial" w:cs="Arial"/>
        </w:rPr>
      </w:pPr>
      <w:r>
        <w:rPr>
          <w:rFonts w:ascii="Arial" w:hAnsi="Arial" w:cs="Arial"/>
        </w:rPr>
        <w:t>1</w:t>
      </w:r>
      <w:r w:rsidR="00C27529">
        <w:rPr>
          <w:rFonts w:ascii="Arial" w:hAnsi="Arial" w:cs="Arial"/>
        </w:rPr>
        <w:t>5</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rsidR="003D319A" w:rsidRDefault="003D319A" w:rsidP="003D319A">
      <w:pPr>
        <w:pStyle w:val="NumberList"/>
        <w:suppressAutoHyphens/>
        <w:ind w:left="720" w:hanging="720"/>
        <w:jc w:val="both"/>
        <w:rPr>
          <w:rFonts w:ascii="Arial" w:hAnsi="Arial" w:cs="Arial"/>
        </w:rPr>
      </w:pPr>
    </w:p>
    <w:p w:rsidR="003D319A" w:rsidRPr="00EB12AE" w:rsidRDefault="0011368C" w:rsidP="003D319A">
      <w:pPr>
        <w:pStyle w:val="NumberList"/>
        <w:suppressAutoHyphens/>
        <w:ind w:left="720" w:hanging="720"/>
        <w:jc w:val="both"/>
        <w:rPr>
          <w:rFonts w:ascii="Arial" w:hAnsi="Arial" w:cs="Arial"/>
        </w:rPr>
      </w:pPr>
      <w:r>
        <w:rPr>
          <w:rFonts w:ascii="Arial" w:hAnsi="Arial" w:cs="Arial"/>
        </w:rPr>
        <w:t>1</w:t>
      </w:r>
      <w:r w:rsidR="00C27529">
        <w:rPr>
          <w:rFonts w:ascii="Arial" w:hAnsi="Arial" w:cs="Arial"/>
        </w:rPr>
        <w:t>5</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rsidR="003D319A" w:rsidRDefault="003D319A" w:rsidP="003D319A">
      <w:pPr>
        <w:pStyle w:val="NumberList"/>
        <w:suppressAutoHyphens/>
        <w:ind w:left="720" w:hanging="720"/>
        <w:jc w:val="both"/>
        <w:rPr>
          <w:rFonts w:ascii="Arial" w:hAnsi="Arial" w:cs="Arial"/>
        </w:rPr>
      </w:pPr>
    </w:p>
    <w:p w:rsidR="003D319A" w:rsidRPr="00EB12AE" w:rsidRDefault="0011368C" w:rsidP="003D319A">
      <w:pPr>
        <w:pStyle w:val="NumberList"/>
        <w:suppressAutoHyphens/>
        <w:ind w:left="720" w:hanging="720"/>
        <w:jc w:val="both"/>
        <w:rPr>
          <w:rFonts w:ascii="Arial" w:hAnsi="Arial" w:cs="Arial"/>
        </w:rPr>
      </w:pPr>
      <w:r>
        <w:rPr>
          <w:rFonts w:ascii="Arial" w:hAnsi="Arial" w:cs="Arial"/>
        </w:rPr>
        <w:t>1</w:t>
      </w:r>
      <w:r w:rsidR="00C27529">
        <w:rPr>
          <w:rFonts w:ascii="Arial" w:hAnsi="Arial" w:cs="Arial"/>
        </w:rPr>
        <w:t>5</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rsidR="003D319A" w:rsidRDefault="003D319A" w:rsidP="003D319A">
      <w:pPr>
        <w:pStyle w:val="NumberList"/>
        <w:suppressAutoHyphens/>
        <w:ind w:left="720" w:hanging="720"/>
        <w:jc w:val="both"/>
        <w:rPr>
          <w:rFonts w:ascii="Arial" w:hAnsi="Arial" w:cs="Arial"/>
        </w:rPr>
      </w:pPr>
    </w:p>
    <w:p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w:t>
      </w:r>
      <w:r w:rsidR="00C27529">
        <w:rPr>
          <w:rFonts w:ascii="Arial" w:hAnsi="Arial" w:cs="Arial"/>
        </w:rPr>
        <w:t>5</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rsidR="007F54BA" w:rsidRDefault="007F54BA" w:rsidP="003D319A">
      <w:pPr>
        <w:pStyle w:val="NumberList"/>
        <w:tabs>
          <w:tab w:val="left" w:pos="720"/>
        </w:tabs>
        <w:suppressAutoHyphens/>
        <w:ind w:left="709" w:hanging="709"/>
        <w:jc w:val="both"/>
        <w:rPr>
          <w:rFonts w:ascii="Arial" w:hAnsi="Arial" w:cs="Arial"/>
        </w:rPr>
      </w:pPr>
    </w:p>
    <w:p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C27529">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rsidR="003D319A" w:rsidRDefault="003D319A" w:rsidP="003D319A">
      <w:pPr>
        <w:pStyle w:val="NumberList"/>
        <w:suppressAutoHyphens/>
        <w:ind w:left="720" w:hanging="720"/>
        <w:jc w:val="both"/>
        <w:rPr>
          <w:rFonts w:ascii="Arial" w:hAnsi="Arial" w:cs="Arial"/>
          <w:noProof/>
          <w:lang w:val="en-GB"/>
        </w:rPr>
      </w:pPr>
    </w:p>
    <w:p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C27529">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C27529">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rsidR="003D319A" w:rsidRDefault="003D319A" w:rsidP="003D319A">
      <w:pPr>
        <w:pStyle w:val="NumberList"/>
        <w:tabs>
          <w:tab w:val="left" w:pos="720"/>
        </w:tabs>
        <w:suppressAutoHyphens/>
        <w:jc w:val="both"/>
        <w:rPr>
          <w:rFonts w:ascii="Arial" w:hAnsi="Arial" w:cs="Arial"/>
          <w:b/>
          <w:noProof/>
          <w:lang w:val="en-GB"/>
        </w:rPr>
      </w:pPr>
    </w:p>
    <w:p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C27529">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rsidR="003D319A" w:rsidRDefault="003D319A" w:rsidP="003D319A">
      <w:pPr>
        <w:pStyle w:val="NumberList"/>
        <w:tabs>
          <w:tab w:val="left" w:pos="720"/>
        </w:tabs>
        <w:suppressAutoHyphens/>
        <w:ind w:left="720" w:hanging="720"/>
        <w:jc w:val="both"/>
        <w:rPr>
          <w:rFonts w:ascii="Arial" w:hAnsi="Arial" w:cs="Arial"/>
          <w:b/>
          <w:noProof/>
          <w:lang w:val="en-GB"/>
        </w:rPr>
      </w:pPr>
    </w:p>
    <w:p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C27529">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rsidR="003D319A" w:rsidRDefault="003D319A" w:rsidP="003D319A">
      <w:pPr>
        <w:pStyle w:val="NumberList"/>
        <w:tabs>
          <w:tab w:val="left" w:pos="720"/>
        </w:tabs>
        <w:suppressAutoHyphens/>
        <w:jc w:val="both"/>
        <w:rPr>
          <w:rFonts w:ascii="Arial" w:hAnsi="Arial" w:cs="Arial"/>
          <w:b/>
          <w:noProof/>
          <w:lang w:val="en-GB"/>
        </w:rPr>
      </w:pPr>
    </w:p>
    <w:p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C27529">
        <w:rPr>
          <w:rFonts w:ascii="Arial" w:hAnsi="Arial" w:cs="Arial"/>
          <w:b/>
          <w:noProof/>
          <w:lang w:val="en-GB"/>
        </w:rPr>
        <w:t>8</w:t>
      </w:r>
      <w:r w:rsidR="003D319A" w:rsidRPr="006D4068">
        <w:rPr>
          <w:rFonts w:ascii="Arial" w:hAnsi="Arial" w:cs="Arial"/>
          <w:b/>
          <w:noProof/>
          <w:lang w:val="en-GB"/>
        </w:rPr>
        <w:tab/>
        <w:t>TERMINATION</w:t>
      </w:r>
    </w:p>
    <w:p w:rsidR="003D319A" w:rsidRDefault="003D319A" w:rsidP="003D319A">
      <w:pPr>
        <w:pStyle w:val="NumberList"/>
        <w:tabs>
          <w:tab w:val="left" w:pos="720"/>
        </w:tabs>
        <w:suppressAutoHyphens/>
        <w:ind w:left="720" w:hanging="720"/>
        <w:jc w:val="both"/>
        <w:rPr>
          <w:rFonts w:ascii="Arial" w:hAnsi="Arial" w:cs="Arial"/>
          <w:noProof/>
          <w:lang w:val="en-GB"/>
        </w:rPr>
      </w:pPr>
    </w:p>
    <w:p w:rsidR="003D319A" w:rsidRPr="00153A85"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C27529">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rsidR="00202C44" w:rsidRDefault="00202C44"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202C44" w:rsidRDefault="00202C44"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rsidTr="0011757A">
        <w:trPr>
          <w:trHeight w:val="737"/>
        </w:trPr>
        <w:tc>
          <w:tcPr>
            <w:tcW w:w="2268" w:type="dxa"/>
            <w:shd w:val="clear" w:color="auto" w:fill="auto"/>
            <w:vAlign w:val="bottom"/>
          </w:tcPr>
          <w:p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rsidR="006D4068" w:rsidRDefault="006D4068" w:rsidP="0011757A">
            <w:pPr>
              <w:tabs>
                <w:tab w:val="left" w:pos="851"/>
              </w:tabs>
              <w:jc w:val="left"/>
              <w:textAlignment w:val="auto"/>
              <w:rPr>
                <w:rFonts w:ascii="Arial" w:hAnsi="Arial"/>
                <w:noProof/>
              </w:rPr>
            </w:pPr>
          </w:p>
          <w:p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rsidTr="0011757A">
        <w:trPr>
          <w:trHeight w:val="737"/>
        </w:trPr>
        <w:tc>
          <w:tcPr>
            <w:tcW w:w="2268" w:type="dxa"/>
            <w:shd w:val="clear" w:color="auto" w:fill="auto"/>
            <w:vAlign w:val="bottom"/>
          </w:tcPr>
          <w:p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rsidTr="0011757A">
        <w:trPr>
          <w:trHeight w:val="737"/>
        </w:trPr>
        <w:tc>
          <w:tcPr>
            <w:tcW w:w="2268" w:type="dxa"/>
            <w:shd w:val="clear" w:color="auto" w:fill="auto"/>
            <w:vAlign w:val="bottom"/>
          </w:tcPr>
          <w:p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rsidTr="0011757A">
        <w:trPr>
          <w:trHeight w:val="737"/>
        </w:trPr>
        <w:tc>
          <w:tcPr>
            <w:tcW w:w="2268" w:type="dxa"/>
            <w:shd w:val="clear" w:color="auto" w:fill="auto"/>
            <w:vAlign w:val="bottom"/>
          </w:tcPr>
          <w:p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rsidTr="0011757A">
        <w:trPr>
          <w:trHeight w:val="737"/>
        </w:trPr>
        <w:tc>
          <w:tcPr>
            <w:tcW w:w="8388" w:type="dxa"/>
            <w:gridSpan w:val="2"/>
            <w:shd w:val="clear" w:color="auto" w:fill="auto"/>
            <w:vAlign w:val="center"/>
          </w:tcPr>
          <w:p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1757A" w:rsidRPr="00153A85" w:rsidRDefault="00202C44"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TBW GLOBAL</w:t>
            </w:r>
            <w:r w:rsidR="00333334">
              <w:rPr>
                <w:rFonts w:ascii="Arial" w:hAnsi="Arial"/>
                <w:b/>
                <w:bCs/>
                <w:noProof/>
              </w:rPr>
              <w:t xml:space="preserve"> LTD</w:t>
            </w:r>
          </w:p>
          <w:p w:rsidR="0011757A" w:rsidRPr="00153A85" w:rsidRDefault="00202C44"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rFonts w:ascii="Arial" w:hAnsi="Arial"/>
                <w:bCs/>
                <w:noProof/>
              </w:rPr>
              <w:t>Link Up House, Ring Road, Lower Wortley, Leeds, LS12 6AB</w:t>
            </w:r>
          </w:p>
          <w:p w:rsidR="0011757A" w:rsidRPr="00603B93" w:rsidRDefault="0011757A" w:rsidP="0011757A">
            <w:pPr>
              <w:tabs>
                <w:tab w:val="left" w:pos="851"/>
              </w:tabs>
              <w:jc w:val="left"/>
              <w:textAlignment w:val="auto"/>
              <w:rPr>
                <w:rFonts w:ascii="Arial" w:hAnsi="Arial"/>
                <w:noProof/>
              </w:rPr>
            </w:pPr>
          </w:p>
        </w:tc>
      </w:tr>
    </w:tbl>
    <w:p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6D4068" w:rsidRDefault="006D4068" w:rsidP="006D4068">
      <w:pPr>
        <w:pStyle w:val="DefaultText2"/>
        <w:tabs>
          <w:tab w:val="left" w:pos="851"/>
        </w:tabs>
        <w:ind w:left="851" w:hanging="851"/>
        <w:rPr>
          <w:rFonts w:ascii="Arial" w:hAnsi="Arial"/>
          <w:noProof/>
          <w:lang w:val="en-GB"/>
        </w:rPr>
      </w:pPr>
    </w:p>
    <w:p w:rsidR="00202C44" w:rsidRDefault="00202C44" w:rsidP="006D4068">
      <w:pPr>
        <w:pStyle w:val="DefaultText2"/>
        <w:tabs>
          <w:tab w:val="left" w:pos="851"/>
        </w:tabs>
        <w:ind w:left="851" w:hanging="851"/>
        <w:rPr>
          <w:rFonts w:ascii="Arial" w:hAnsi="Arial"/>
          <w:noProof/>
          <w:lang w:val="en-GB"/>
        </w:rPr>
      </w:pPr>
    </w:p>
    <w:p w:rsidR="00202C44" w:rsidRPr="00153A85" w:rsidRDefault="00202C44" w:rsidP="006D4068">
      <w:pPr>
        <w:pStyle w:val="DefaultText2"/>
        <w:tabs>
          <w:tab w:val="left" w:pos="851"/>
        </w:tabs>
        <w:ind w:left="851" w:hanging="851"/>
        <w:rPr>
          <w:rFonts w:ascii="Arial" w:hAnsi="Arial"/>
          <w:noProof/>
          <w:lang w:val="en-GB"/>
        </w:rPr>
      </w:pPr>
    </w:p>
    <w:p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rsidTr="0011757A">
        <w:trPr>
          <w:trHeight w:val="737"/>
        </w:trPr>
        <w:tc>
          <w:tcPr>
            <w:tcW w:w="2268" w:type="dxa"/>
            <w:shd w:val="clear" w:color="auto" w:fill="auto"/>
            <w:vAlign w:val="bottom"/>
          </w:tcPr>
          <w:p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rsidR="0011757A" w:rsidRDefault="0011757A" w:rsidP="00955E30">
            <w:pPr>
              <w:tabs>
                <w:tab w:val="left" w:pos="851"/>
              </w:tabs>
              <w:jc w:val="left"/>
              <w:textAlignment w:val="auto"/>
              <w:rPr>
                <w:rFonts w:ascii="Arial" w:hAnsi="Arial"/>
                <w:noProof/>
              </w:rPr>
            </w:pPr>
          </w:p>
          <w:p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rsidTr="0011757A">
        <w:trPr>
          <w:trHeight w:val="737"/>
        </w:trPr>
        <w:tc>
          <w:tcPr>
            <w:tcW w:w="2268" w:type="dxa"/>
            <w:shd w:val="clear" w:color="auto" w:fill="auto"/>
            <w:vAlign w:val="bottom"/>
          </w:tcPr>
          <w:p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rsidTr="0011757A">
        <w:trPr>
          <w:trHeight w:val="737"/>
        </w:trPr>
        <w:tc>
          <w:tcPr>
            <w:tcW w:w="2268" w:type="dxa"/>
            <w:shd w:val="clear" w:color="auto" w:fill="auto"/>
            <w:vAlign w:val="bottom"/>
          </w:tcPr>
          <w:p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rsidTr="0011757A">
        <w:trPr>
          <w:trHeight w:val="737"/>
        </w:trPr>
        <w:tc>
          <w:tcPr>
            <w:tcW w:w="2268" w:type="dxa"/>
            <w:shd w:val="clear" w:color="auto" w:fill="auto"/>
            <w:vAlign w:val="bottom"/>
          </w:tcPr>
          <w:p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rsidTr="0011757A">
        <w:trPr>
          <w:trHeight w:val="737"/>
        </w:trPr>
        <w:tc>
          <w:tcPr>
            <w:tcW w:w="8388" w:type="dxa"/>
            <w:gridSpan w:val="2"/>
            <w:shd w:val="clear" w:color="auto" w:fill="auto"/>
            <w:vAlign w:val="bottom"/>
          </w:tcPr>
          <w:p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rsidR="0011757A" w:rsidRPr="00603B93" w:rsidRDefault="0011757A" w:rsidP="00603B93">
            <w:pPr>
              <w:tabs>
                <w:tab w:val="left" w:pos="851"/>
              </w:tabs>
              <w:jc w:val="left"/>
              <w:textAlignment w:val="auto"/>
              <w:rPr>
                <w:rFonts w:ascii="Arial" w:hAnsi="Arial"/>
                <w:noProof/>
              </w:rPr>
            </w:pPr>
          </w:p>
        </w:tc>
      </w:tr>
    </w:tbl>
    <w:p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6D4068" w:rsidRPr="00153A85" w:rsidRDefault="006D4068" w:rsidP="006D4068">
      <w:pPr>
        <w:pStyle w:val="DefaultText2"/>
        <w:tabs>
          <w:tab w:val="left" w:pos="851"/>
        </w:tabs>
        <w:ind w:left="851" w:hanging="851"/>
        <w:rPr>
          <w:rFonts w:ascii="Arial" w:hAnsi="Arial"/>
          <w:noProof/>
          <w:lang w:val="en-GB"/>
        </w:rPr>
      </w:pPr>
    </w:p>
    <w:p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rsidR="006D4068" w:rsidRPr="00153A85" w:rsidRDefault="006D4068" w:rsidP="006D4068">
      <w:pPr>
        <w:pStyle w:val="DefaultText2"/>
        <w:tabs>
          <w:tab w:val="left" w:pos="851"/>
        </w:tabs>
        <w:ind w:left="851" w:hanging="851"/>
        <w:rPr>
          <w:rFonts w:ascii="Arial" w:hAnsi="Arial"/>
          <w:noProof/>
          <w:lang w:val="en-GB"/>
        </w:rPr>
      </w:pPr>
    </w:p>
    <w:p w:rsidR="006D4068" w:rsidRPr="00153A85" w:rsidRDefault="006D4068" w:rsidP="006D4068">
      <w:pPr>
        <w:pStyle w:val="DefaultText2"/>
        <w:tabs>
          <w:tab w:val="left" w:pos="851"/>
        </w:tabs>
        <w:ind w:left="851" w:hanging="851"/>
        <w:rPr>
          <w:rFonts w:ascii="Arial" w:hAnsi="Arial"/>
          <w:noProof/>
          <w:lang w:val="en-GB"/>
        </w:rPr>
      </w:pPr>
    </w:p>
    <w:p w:rsidR="006D4068" w:rsidRPr="00153A85" w:rsidRDefault="006D4068" w:rsidP="006D4068">
      <w:pPr>
        <w:pStyle w:val="DefaultText2"/>
        <w:tabs>
          <w:tab w:val="left" w:pos="851"/>
        </w:tabs>
        <w:ind w:left="851" w:hanging="851"/>
        <w:rPr>
          <w:rFonts w:ascii="Arial" w:hAnsi="Arial"/>
          <w:noProof/>
          <w:lang w:val="en-GB"/>
        </w:rPr>
      </w:pPr>
    </w:p>
    <w:p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rsidR="006D4068" w:rsidRPr="00153A85" w:rsidRDefault="006D4068" w:rsidP="006D4068">
      <w:pPr>
        <w:pStyle w:val="DefaultText1"/>
        <w:jc w:val="both"/>
        <w:rPr>
          <w:rFonts w:ascii="Arial" w:hAnsi="Arial"/>
          <w:b/>
          <w:noProof/>
          <w:lang w:val="en-GB"/>
        </w:rPr>
      </w:pPr>
    </w:p>
    <w:p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rsidR="006D4068"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r w:rsidRPr="00153A85">
        <w:rPr>
          <w:rFonts w:ascii="Arial" w:hAnsi="Arial"/>
          <w:noProof/>
          <w:lang w:val="en-GB"/>
        </w:rPr>
        <w:t xml:space="preserve">The Contractor shall undertake the following </w:t>
      </w:r>
      <w:r w:rsidR="00697C59">
        <w:rPr>
          <w:rFonts w:ascii="Arial" w:hAnsi="Arial"/>
          <w:noProof/>
          <w:lang w:val="en-GB"/>
        </w:rPr>
        <w:t>Statement of Service</w:t>
      </w:r>
      <w:r w:rsidRPr="00153A85">
        <w:rPr>
          <w:rFonts w:ascii="Arial" w:hAnsi="Arial"/>
          <w:noProof/>
          <w:lang w:val="en-GB"/>
        </w:rPr>
        <w:t xml:space="preserve"> titled </w:t>
      </w:r>
      <w:r w:rsidR="00982219">
        <w:rPr>
          <w:rFonts w:ascii="Arial" w:hAnsi="Arial"/>
          <w:noProof/>
          <w:lang w:val="en-GB"/>
        </w:rPr>
        <w:t>Provision of Role Players for HSE Legal Proceedings Training and for HSE Trainee Health and Safety Inspector Recruitment Assessment Events</w:t>
      </w:r>
      <w:r w:rsidRPr="00153A85">
        <w:rPr>
          <w:rFonts w:ascii="Arial" w:hAnsi="Arial"/>
          <w:noProof/>
          <w:lang w:val="en-GB"/>
        </w:rPr>
        <w:t xml:space="preserve">, dated </w:t>
      </w:r>
      <w:r w:rsidR="00982219">
        <w:rPr>
          <w:rFonts w:ascii="Arial" w:hAnsi="Arial"/>
          <w:noProof/>
          <w:lang w:val="en-GB"/>
        </w:rPr>
        <w:t>01 March 2019, a copy of which is embedded below:</w:t>
      </w:r>
    </w:p>
    <w:p w:rsidR="00982219" w:rsidRDefault="0098221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rsidR="00982219" w:rsidRPr="00153A85" w:rsidRDefault="00982219" w:rsidP="0098221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noProof/>
          <w:lang w:val="en-GB"/>
        </w:rPr>
      </w:pPr>
    </w:p>
    <w:p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rsidR="006D4068" w:rsidRPr="00153A85" w:rsidRDefault="006D4068" w:rsidP="006D4068">
      <w:pPr>
        <w:pStyle w:val="DefaultText2"/>
        <w:tabs>
          <w:tab w:val="left" w:pos="851"/>
        </w:tabs>
        <w:ind w:left="851" w:hanging="851"/>
        <w:rPr>
          <w:rFonts w:ascii="Arial" w:hAnsi="Arial"/>
          <w:noProof/>
          <w:lang w:val="en-GB"/>
        </w:rPr>
      </w:pPr>
    </w:p>
    <w:p w:rsidR="006D4068" w:rsidRDefault="006D4068" w:rsidP="006D4068">
      <w:pPr>
        <w:pStyle w:val="DefaultText2"/>
        <w:tabs>
          <w:tab w:val="left" w:pos="851"/>
        </w:tabs>
        <w:ind w:left="851" w:hanging="851"/>
        <w:rPr>
          <w:rFonts w:ascii="Arial" w:hAnsi="Arial"/>
          <w:b/>
          <w:noProof/>
          <w:sz w:val="20"/>
          <w:lang w:val="en-GB"/>
        </w:rPr>
      </w:pPr>
    </w:p>
    <w:p w:rsidR="006D4068" w:rsidRDefault="006D4068" w:rsidP="006D4068">
      <w:pPr>
        <w:pStyle w:val="DefaultText2"/>
        <w:tabs>
          <w:tab w:val="left" w:pos="851"/>
        </w:tabs>
        <w:ind w:left="851" w:hanging="851"/>
        <w:rPr>
          <w:rFonts w:ascii="Arial" w:hAnsi="Arial"/>
          <w:b/>
          <w:noProof/>
          <w:sz w:val="20"/>
          <w:lang w:val="en-GB"/>
        </w:rPr>
      </w:pPr>
    </w:p>
    <w:p w:rsidR="006D4068" w:rsidRDefault="006D4068" w:rsidP="006D4068">
      <w:pPr>
        <w:pStyle w:val="DefaultText2"/>
        <w:tabs>
          <w:tab w:val="left" w:pos="851"/>
        </w:tabs>
        <w:ind w:left="851" w:hanging="851"/>
        <w:rPr>
          <w:rFonts w:ascii="Arial" w:hAnsi="Arial"/>
          <w:b/>
          <w:noProof/>
          <w:sz w:val="20"/>
          <w:lang w:val="en-GB"/>
        </w:rPr>
      </w:pPr>
    </w:p>
    <w:p w:rsidR="006D4068" w:rsidRDefault="006D4068" w:rsidP="006D4068">
      <w:pPr>
        <w:pStyle w:val="DefaultText2"/>
        <w:tabs>
          <w:tab w:val="left" w:pos="851"/>
        </w:tabs>
        <w:ind w:left="851" w:hanging="851"/>
        <w:rPr>
          <w:rFonts w:ascii="Arial" w:hAnsi="Arial"/>
          <w:b/>
          <w:noProof/>
          <w:sz w:val="20"/>
          <w:lang w:val="en-GB"/>
        </w:rPr>
      </w:pPr>
    </w:p>
    <w:p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rsidR="006D4068" w:rsidRDefault="006D4068" w:rsidP="006D4068">
      <w:pPr>
        <w:pStyle w:val="DefaultText2"/>
        <w:tabs>
          <w:tab w:val="left" w:pos="0"/>
        </w:tabs>
        <w:rPr>
          <w:rFonts w:ascii="Arial" w:hAnsi="Arial"/>
          <w:b/>
          <w:caps/>
          <w:sz w:val="28"/>
          <w:szCs w:val="28"/>
          <w:lang w:val="en-GB"/>
        </w:rPr>
      </w:pPr>
    </w:p>
    <w:p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rsidR="006D4068" w:rsidRDefault="006D4068" w:rsidP="006D4068">
      <w:pPr>
        <w:pStyle w:val="DefaultText2"/>
        <w:tabs>
          <w:tab w:val="left" w:pos="851"/>
        </w:tabs>
        <w:ind w:left="851" w:hanging="851"/>
        <w:jc w:val="center"/>
        <w:rPr>
          <w:rFonts w:ascii="Arial" w:hAnsi="Arial"/>
          <w:b/>
          <w:sz w:val="20"/>
          <w:lang w:val="en-GB"/>
        </w:rPr>
      </w:pPr>
    </w:p>
    <w:p w:rsidR="006D4068" w:rsidRDefault="006D4068" w:rsidP="006D4068">
      <w:pPr>
        <w:pStyle w:val="DefaultText2"/>
        <w:tabs>
          <w:tab w:val="left" w:pos="851"/>
        </w:tabs>
        <w:ind w:left="851" w:hanging="851"/>
        <w:rPr>
          <w:rFonts w:ascii="Arial" w:hAnsi="Arial"/>
          <w:b/>
          <w:sz w:val="20"/>
          <w:lang w:val="en-GB"/>
        </w:rPr>
      </w:pPr>
    </w:p>
    <w:p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rsidR="006D4068" w:rsidRDefault="006D4068" w:rsidP="006D4068">
      <w:pPr>
        <w:pStyle w:val="DefaultText2"/>
        <w:tabs>
          <w:tab w:val="left" w:pos="851"/>
        </w:tabs>
        <w:ind w:left="851" w:hanging="851"/>
        <w:rPr>
          <w:rFonts w:ascii="Arial" w:hAnsi="Arial"/>
          <w:b/>
          <w:sz w:val="20"/>
          <w:lang w:val="en-GB"/>
        </w:rPr>
      </w:pPr>
    </w:p>
    <w:p w:rsidR="006D4068" w:rsidRPr="001F6DC6" w:rsidRDefault="006D4068" w:rsidP="006D4068">
      <w:pPr>
        <w:pStyle w:val="DefaultText2"/>
        <w:tabs>
          <w:tab w:val="left" w:pos="851"/>
        </w:tabs>
        <w:ind w:left="851" w:hanging="851"/>
        <w:rPr>
          <w:rFonts w:ascii="Arial" w:hAnsi="Arial"/>
          <w:sz w:val="20"/>
          <w:lang w:val="en-GB"/>
        </w:rPr>
      </w:pPr>
    </w:p>
    <w:p w:rsidR="005A1317" w:rsidRDefault="005A1317" w:rsidP="00E75E51">
      <w:pPr>
        <w:pStyle w:val="DefaultText2"/>
        <w:tabs>
          <w:tab w:val="left" w:pos="0"/>
        </w:tabs>
        <w:jc w:val="center"/>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B2233D" w:rsidRDefault="00B2233D" w:rsidP="001044CD">
      <w:pPr>
        <w:pStyle w:val="DefaultText2"/>
        <w:tabs>
          <w:tab w:val="left" w:pos="0"/>
        </w:tabs>
        <w:rPr>
          <w:rFonts w:ascii="Arial" w:hAnsi="Arial"/>
          <w:b/>
          <w:noProof/>
          <w:sz w:val="20"/>
          <w:lang w:val="en-GB"/>
        </w:rPr>
      </w:pPr>
    </w:p>
    <w:p w:rsidR="00B2233D" w:rsidRDefault="00B2233D" w:rsidP="001044CD">
      <w:pPr>
        <w:pStyle w:val="DefaultText2"/>
        <w:tabs>
          <w:tab w:val="left" w:pos="0"/>
        </w:tabs>
        <w:rPr>
          <w:rFonts w:ascii="Arial" w:hAnsi="Arial"/>
          <w:b/>
          <w:noProof/>
          <w:sz w:val="20"/>
          <w:lang w:val="en-GB"/>
        </w:rPr>
      </w:pPr>
    </w:p>
    <w:p w:rsidR="00B2233D" w:rsidRDefault="00B2233D" w:rsidP="001044CD">
      <w:pPr>
        <w:pStyle w:val="DefaultText2"/>
        <w:tabs>
          <w:tab w:val="left" w:pos="0"/>
        </w:tabs>
        <w:rPr>
          <w:rFonts w:ascii="Arial" w:hAnsi="Arial"/>
          <w:b/>
          <w:noProof/>
          <w:sz w:val="20"/>
          <w:lang w:val="en-GB"/>
        </w:rPr>
      </w:pPr>
      <w:bookmarkStart w:id="0" w:name="_GoBack"/>
      <w:bookmarkEnd w:id="0"/>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E75E51" w:rsidRDefault="00E75E51" w:rsidP="001044CD">
      <w:pPr>
        <w:pStyle w:val="DefaultText2"/>
        <w:tabs>
          <w:tab w:val="left" w:pos="0"/>
        </w:tabs>
        <w:rPr>
          <w:rFonts w:ascii="Arial" w:hAnsi="Arial"/>
          <w:b/>
          <w:noProof/>
          <w:sz w:val="20"/>
          <w:lang w:val="en-GB"/>
        </w:rPr>
      </w:pPr>
    </w:p>
    <w:p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lastRenderedPageBreak/>
        <w:t>Annex 1</w:t>
      </w:r>
    </w:p>
    <w:p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rsidTr="0010210D">
        <w:tc>
          <w:tcPr>
            <w:tcW w:w="4500" w:type="dxa"/>
            <w:vAlign w:val="center"/>
          </w:tcPr>
          <w:p w:rsidR="006D4068" w:rsidRPr="00153A85" w:rsidRDefault="006D4068" w:rsidP="0010210D">
            <w:pPr>
              <w:pStyle w:val="Heading2"/>
              <w:rPr>
                <w:noProof/>
              </w:rPr>
            </w:pPr>
            <w:r w:rsidRPr="00153A85">
              <w:rPr>
                <w:noProof/>
              </w:rPr>
              <w:t>HSE Contacts</w:t>
            </w:r>
          </w:p>
          <w:p w:rsidR="006D4068" w:rsidRPr="00153A85" w:rsidRDefault="006D4068" w:rsidP="0010210D">
            <w:pPr>
              <w:tabs>
                <w:tab w:val="left" w:pos="567"/>
                <w:tab w:val="left" w:pos="3119"/>
              </w:tabs>
              <w:ind w:left="567" w:hanging="567"/>
              <w:jc w:val="center"/>
              <w:rPr>
                <w:noProof/>
              </w:rPr>
            </w:pPr>
          </w:p>
        </w:tc>
        <w:tc>
          <w:tcPr>
            <w:tcW w:w="4508" w:type="dxa"/>
          </w:tcPr>
          <w:p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rsidTr="0010210D">
        <w:tc>
          <w:tcPr>
            <w:tcW w:w="9008" w:type="dxa"/>
            <w:gridSpan w:val="2"/>
            <w:vAlign w:val="center"/>
          </w:tcPr>
          <w:p w:rsidR="006D4068" w:rsidRPr="00153A85" w:rsidRDefault="006D4068" w:rsidP="0010210D">
            <w:pPr>
              <w:pStyle w:val="DefaultText1"/>
              <w:tabs>
                <w:tab w:val="left" w:pos="1134"/>
              </w:tabs>
              <w:ind w:left="1134" w:hanging="1134"/>
              <w:jc w:val="center"/>
              <w:rPr>
                <w:rFonts w:ascii="Arial" w:hAnsi="Arial"/>
                <w:b/>
                <w:noProof/>
                <w:sz w:val="22"/>
                <w:lang w:val="en-GB"/>
              </w:rPr>
            </w:pPr>
          </w:p>
          <w:p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6D4068" w:rsidRPr="00153A85" w:rsidRDefault="006D4068" w:rsidP="0010210D">
            <w:pPr>
              <w:pStyle w:val="DefaultText1"/>
              <w:tabs>
                <w:tab w:val="left" w:pos="1134"/>
              </w:tabs>
              <w:ind w:left="1134" w:hanging="1134"/>
              <w:jc w:val="center"/>
              <w:rPr>
                <w:noProof/>
                <w:lang w:val="en-GB"/>
              </w:rPr>
            </w:pPr>
          </w:p>
        </w:tc>
      </w:tr>
      <w:tr w:rsidR="006D4068" w:rsidRPr="00153A85" w:rsidTr="0010210D">
        <w:tc>
          <w:tcPr>
            <w:tcW w:w="4500" w:type="dxa"/>
          </w:tcPr>
          <w:p w:rsidR="006D4068" w:rsidRPr="00153A85" w:rsidRDefault="006D4068" w:rsidP="0010210D">
            <w:pPr>
              <w:pStyle w:val="DefaultText1"/>
              <w:tabs>
                <w:tab w:val="left" w:pos="1134"/>
              </w:tabs>
              <w:ind w:left="1134" w:hanging="1134"/>
              <w:rPr>
                <w:rFonts w:ascii="Arial" w:hAnsi="Arial"/>
                <w:noProof/>
                <w:sz w:val="22"/>
                <w:lang w:val="en-GB"/>
              </w:rPr>
            </w:pPr>
          </w:p>
          <w:p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6D4068" w:rsidRPr="00153A85" w:rsidRDefault="006D4068" w:rsidP="0010210D">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 xml:space="preserve">Tel  : </w:t>
            </w:r>
          </w:p>
          <w:p w:rsidR="006D4068" w:rsidRPr="00153A85" w:rsidRDefault="006D4068" w:rsidP="00B2233D">
            <w:pPr>
              <w:pStyle w:val="DefaultText2"/>
              <w:tabs>
                <w:tab w:val="left" w:pos="567"/>
                <w:tab w:val="left" w:pos="3402"/>
              </w:tabs>
              <w:ind w:left="567" w:hanging="567"/>
              <w:rPr>
                <w:rFonts w:ascii="Arial" w:hAnsi="Arial"/>
                <w:noProof/>
                <w:sz w:val="20"/>
                <w:lang w:val="en-GB"/>
              </w:rPr>
            </w:pPr>
            <w:r w:rsidRPr="00153A85">
              <w:rPr>
                <w:rFonts w:ascii="Arial" w:hAnsi="Arial"/>
                <w:noProof/>
                <w:sz w:val="22"/>
                <w:szCs w:val="22"/>
                <w:lang w:val="en-GB"/>
              </w:rPr>
              <w:t xml:space="preserve">e-mail : </w:t>
            </w:r>
          </w:p>
        </w:tc>
        <w:tc>
          <w:tcPr>
            <w:tcW w:w="4508" w:type="dxa"/>
          </w:tcPr>
          <w:p w:rsidR="006D4068" w:rsidRPr="00153A85" w:rsidRDefault="006D4068" w:rsidP="0010210D">
            <w:pPr>
              <w:pStyle w:val="DefaultText"/>
              <w:rPr>
                <w:noProof/>
                <w:lang w:val="en-GB"/>
              </w:rPr>
            </w:pPr>
          </w:p>
          <w:p w:rsidR="006D4068" w:rsidRPr="00153A85" w:rsidRDefault="006D4068" w:rsidP="0010210D">
            <w:pPr>
              <w:pStyle w:val="DefaultText"/>
              <w:rPr>
                <w:noProof/>
                <w:lang w:val="en-GB"/>
              </w:rPr>
            </w:pPr>
          </w:p>
        </w:tc>
      </w:tr>
      <w:tr w:rsidR="006D4068" w:rsidRPr="00153A85" w:rsidTr="0010210D">
        <w:tc>
          <w:tcPr>
            <w:tcW w:w="9008" w:type="dxa"/>
            <w:gridSpan w:val="2"/>
          </w:tcPr>
          <w:p w:rsidR="006D4068" w:rsidRPr="00153A85" w:rsidRDefault="006D4068" w:rsidP="0010210D">
            <w:pPr>
              <w:pStyle w:val="DefaultText1"/>
              <w:tabs>
                <w:tab w:val="left" w:pos="1134"/>
              </w:tabs>
              <w:ind w:left="1134" w:hanging="1134"/>
              <w:jc w:val="center"/>
              <w:rPr>
                <w:rFonts w:ascii="Arial" w:hAnsi="Arial"/>
                <w:b/>
                <w:noProof/>
                <w:sz w:val="22"/>
                <w:lang w:val="en-GB"/>
              </w:rPr>
            </w:pPr>
          </w:p>
          <w:p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6D4068" w:rsidRPr="00153A85" w:rsidRDefault="006D4068" w:rsidP="0010210D">
            <w:pPr>
              <w:pStyle w:val="DefaultText1"/>
              <w:tabs>
                <w:tab w:val="left" w:pos="1134"/>
              </w:tabs>
              <w:ind w:left="1134" w:hanging="1134"/>
              <w:jc w:val="center"/>
              <w:rPr>
                <w:noProof/>
                <w:lang w:val="en-GB"/>
              </w:rPr>
            </w:pPr>
          </w:p>
        </w:tc>
      </w:tr>
      <w:tr w:rsidR="006D4068" w:rsidRPr="00D57F29" w:rsidTr="0010210D">
        <w:tc>
          <w:tcPr>
            <w:tcW w:w="4500" w:type="dxa"/>
          </w:tcPr>
          <w:p w:rsidR="006D4068" w:rsidRPr="00153A85" w:rsidRDefault="006D4068" w:rsidP="0010210D">
            <w:pPr>
              <w:pStyle w:val="DefaultText2"/>
              <w:tabs>
                <w:tab w:val="left" w:pos="567"/>
                <w:tab w:val="left" w:pos="3402"/>
              </w:tabs>
              <w:ind w:left="567" w:hanging="567"/>
              <w:rPr>
                <w:noProof/>
                <w:lang w:val="en-GB"/>
              </w:rPr>
            </w:pPr>
          </w:p>
          <w:p w:rsidR="006D4068" w:rsidRPr="00153A85" w:rsidRDefault="006D4068" w:rsidP="0010210D">
            <w:pPr>
              <w:pStyle w:val="DefaultText1"/>
              <w:tabs>
                <w:tab w:val="left" w:pos="1134"/>
              </w:tabs>
              <w:ind w:left="1134" w:hanging="1134"/>
              <w:rPr>
                <w:rFonts w:ascii="Arial" w:hAnsi="Arial"/>
                <w:noProof/>
                <w:sz w:val="22"/>
                <w:highlight w:val="lightGray"/>
                <w:lang w:val="en-GB"/>
              </w:rPr>
            </w:pPr>
          </w:p>
          <w:p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rsidR="006D4068" w:rsidRPr="00153A85" w:rsidRDefault="00202C44" w:rsidP="0010210D">
            <w:pPr>
              <w:pStyle w:val="DefaultText1"/>
              <w:tabs>
                <w:tab w:val="left" w:pos="1134"/>
              </w:tabs>
              <w:ind w:left="1134" w:hanging="1134"/>
              <w:rPr>
                <w:rFonts w:ascii="Arial" w:hAnsi="Arial"/>
                <w:noProof/>
                <w:sz w:val="22"/>
                <w:lang w:val="en-GB"/>
              </w:rPr>
            </w:pPr>
            <w:r>
              <w:rPr>
                <w:rFonts w:ascii="Arial" w:hAnsi="Arial"/>
                <w:noProof/>
                <w:sz w:val="22"/>
                <w:lang w:val="en-GB"/>
              </w:rPr>
              <w:t>RTP Administration Team</w:t>
            </w:r>
          </w:p>
          <w:p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202C44">
              <w:rPr>
                <w:rFonts w:ascii="Arial" w:hAnsi="Arial"/>
                <w:noProof/>
                <w:sz w:val="22"/>
              </w:rPr>
              <w:t>2.3</w:t>
            </w:r>
          </w:p>
          <w:p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Redgrave Court</w:t>
            </w:r>
          </w:p>
          <w:p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6D4068" w:rsidRPr="00D57F29" w:rsidRDefault="006D4068" w:rsidP="0010210D">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6D4068" w:rsidRPr="00D57F29" w:rsidRDefault="006D4068" w:rsidP="0010210D">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6D4068" w:rsidRPr="00D57F29" w:rsidRDefault="00B2233D" w:rsidP="0010210D">
            <w:pPr>
              <w:pStyle w:val="DefaultText1"/>
              <w:tabs>
                <w:tab w:val="left" w:pos="1134"/>
              </w:tabs>
              <w:ind w:left="1134" w:hanging="1134"/>
              <w:rPr>
                <w:rFonts w:ascii="Arial" w:hAnsi="Arial"/>
                <w:noProof/>
                <w:sz w:val="22"/>
                <w:szCs w:val="22"/>
                <w:lang w:val="fr-FR"/>
              </w:rPr>
            </w:pPr>
            <w:r>
              <w:rPr>
                <w:rFonts w:ascii="Arial" w:hAnsi="Arial"/>
                <w:noProof/>
                <w:sz w:val="22"/>
                <w:lang w:val="fr-FR"/>
              </w:rPr>
              <w:t xml:space="preserve">Tel  : </w:t>
            </w:r>
          </w:p>
          <w:p w:rsidR="006D4068" w:rsidRDefault="006D4068" w:rsidP="00230B3D">
            <w:pPr>
              <w:pStyle w:val="DefaultText2"/>
              <w:tabs>
                <w:tab w:val="left" w:pos="567"/>
                <w:tab w:val="left" w:pos="3402"/>
              </w:tabs>
              <w:ind w:left="567" w:hanging="567"/>
              <w:rPr>
                <w:rStyle w:val="Hyperlink"/>
                <w:rFonts w:ascii="Arial" w:hAnsi="Arial"/>
                <w:noProof/>
                <w:sz w:val="22"/>
                <w:szCs w:val="22"/>
                <w:lang w:val="fr-FR"/>
              </w:rPr>
            </w:pPr>
            <w:r w:rsidRPr="00D57F29">
              <w:rPr>
                <w:rFonts w:ascii="Arial" w:hAnsi="Arial"/>
                <w:noProof/>
                <w:sz w:val="22"/>
                <w:szCs w:val="22"/>
                <w:lang w:val="fr-FR"/>
              </w:rPr>
              <w:t xml:space="preserve">e-mail : </w:t>
            </w:r>
          </w:p>
          <w:p w:rsidR="00DB6A20" w:rsidRPr="00D57F29" w:rsidRDefault="00DB6A20" w:rsidP="00230B3D">
            <w:pPr>
              <w:pStyle w:val="DefaultText2"/>
              <w:tabs>
                <w:tab w:val="left" w:pos="567"/>
                <w:tab w:val="left" w:pos="3402"/>
              </w:tabs>
              <w:ind w:left="567" w:hanging="567"/>
              <w:rPr>
                <w:noProof/>
                <w:lang w:val="fr-FR"/>
              </w:rPr>
            </w:pPr>
          </w:p>
        </w:tc>
        <w:tc>
          <w:tcPr>
            <w:tcW w:w="4508" w:type="dxa"/>
          </w:tcPr>
          <w:p w:rsidR="006D4068" w:rsidRDefault="006D4068" w:rsidP="0010210D">
            <w:pPr>
              <w:pStyle w:val="DefaultText"/>
              <w:rPr>
                <w:noProof/>
                <w:lang w:val="fr-FR"/>
              </w:rPr>
            </w:pPr>
          </w:p>
          <w:p w:rsidR="00202C44" w:rsidRPr="00153A85" w:rsidRDefault="00202C44" w:rsidP="00202C44">
            <w:pPr>
              <w:pStyle w:val="DefaultText1"/>
              <w:tabs>
                <w:tab w:val="left" w:pos="1134"/>
              </w:tabs>
              <w:ind w:left="1134" w:hanging="1134"/>
              <w:rPr>
                <w:rFonts w:ascii="Arial" w:hAnsi="Arial"/>
                <w:noProof/>
                <w:sz w:val="22"/>
                <w:highlight w:val="lightGray"/>
                <w:lang w:val="en-GB"/>
              </w:rPr>
            </w:pPr>
          </w:p>
          <w:p w:rsidR="00202C44" w:rsidRPr="00153A85" w:rsidRDefault="00202C44" w:rsidP="00202C44">
            <w:pPr>
              <w:pStyle w:val="DefaultText1"/>
              <w:tabs>
                <w:tab w:val="left" w:pos="1134"/>
              </w:tabs>
              <w:ind w:left="1134" w:hanging="1134"/>
              <w:rPr>
                <w:rFonts w:ascii="Arial" w:hAnsi="Arial"/>
                <w:noProof/>
                <w:sz w:val="22"/>
                <w:lang w:val="en-GB"/>
              </w:rPr>
            </w:pPr>
            <w:r>
              <w:rPr>
                <w:rFonts w:ascii="Arial" w:hAnsi="Arial"/>
                <w:noProof/>
                <w:sz w:val="22"/>
                <w:lang w:val="en-GB"/>
              </w:rPr>
              <w:t>TBW Global</w:t>
            </w:r>
            <w:r w:rsidR="00333334">
              <w:rPr>
                <w:rFonts w:ascii="Arial" w:hAnsi="Arial"/>
                <w:noProof/>
                <w:sz w:val="22"/>
                <w:lang w:val="en-GB"/>
              </w:rPr>
              <w:t xml:space="preserve"> Ltd</w:t>
            </w:r>
          </w:p>
          <w:p w:rsidR="00202C44" w:rsidRDefault="00202C44" w:rsidP="00202C44">
            <w:pPr>
              <w:pStyle w:val="DefaultText1"/>
              <w:tabs>
                <w:tab w:val="left" w:pos="1134"/>
              </w:tabs>
              <w:ind w:left="1134" w:hanging="1134"/>
              <w:rPr>
                <w:rFonts w:ascii="Arial" w:hAnsi="Arial"/>
                <w:noProof/>
                <w:sz w:val="22"/>
                <w:lang w:val="en-GB"/>
              </w:rPr>
            </w:pPr>
            <w:r>
              <w:rPr>
                <w:rFonts w:ascii="Arial" w:hAnsi="Arial"/>
                <w:noProof/>
                <w:sz w:val="22"/>
                <w:lang w:val="en-GB"/>
              </w:rPr>
              <w:t>Link Up House</w:t>
            </w:r>
          </w:p>
          <w:p w:rsidR="00202C44" w:rsidRDefault="00202C44" w:rsidP="00202C44">
            <w:pPr>
              <w:pStyle w:val="DefaultText1"/>
              <w:tabs>
                <w:tab w:val="left" w:pos="1134"/>
              </w:tabs>
              <w:ind w:left="1134" w:hanging="1134"/>
              <w:rPr>
                <w:rFonts w:ascii="Arial" w:hAnsi="Arial"/>
                <w:noProof/>
                <w:sz w:val="22"/>
                <w:lang w:val="en-GB"/>
              </w:rPr>
            </w:pPr>
            <w:r>
              <w:rPr>
                <w:rFonts w:ascii="Arial" w:hAnsi="Arial"/>
                <w:noProof/>
                <w:sz w:val="22"/>
                <w:lang w:val="en-GB"/>
              </w:rPr>
              <w:t>Ring Road</w:t>
            </w:r>
          </w:p>
          <w:p w:rsidR="00202C44" w:rsidRDefault="00202C44" w:rsidP="00202C44">
            <w:pPr>
              <w:pStyle w:val="DefaultText1"/>
              <w:tabs>
                <w:tab w:val="left" w:pos="1134"/>
              </w:tabs>
              <w:ind w:left="1134" w:hanging="1134"/>
              <w:rPr>
                <w:rFonts w:ascii="Arial" w:hAnsi="Arial"/>
                <w:noProof/>
                <w:sz w:val="22"/>
                <w:lang w:val="en-GB"/>
              </w:rPr>
            </w:pPr>
            <w:r>
              <w:rPr>
                <w:rFonts w:ascii="Arial" w:hAnsi="Arial"/>
                <w:noProof/>
                <w:sz w:val="22"/>
                <w:lang w:val="en-GB"/>
              </w:rPr>
              <w:t>Lower Wortley</w:t>
            </w:r>
          </w:p>
          <w:p w:rsidR="00202C44" w:rsidRPr="00153A85" w:rsidRDefault="00202C44" w:rsidP="00202C44">
            <w:pPr>
              <w:pStyle w:val="DefaultText1"/>
              <w:tabs>
                <w:tab w:val="left" w:pos="1134"/>
              </w:tabs>
              <w:ind w:left="1134" w:hanging="1134"/>
              <w:rPr>
                <w:rFonts w:ascii="Arial" w:hAnsi="Arial" w:cs="Arial"/>
                <w:noProof/>
                <w:sz w:val="22"/>
                <w:lang w:val="en-GB"/>
              </w:rPr>
            </w:pPr>
            <w:r>
              <w:rPr>
                <w:rFonts w:ascii="Arial" w:hAnsi="Arial"/>
                <w:noProof/>
                <w:sz w:val="22"/>
                <w:lang w:val="en-GB"/>
              </w:rPr>
              <w:t>Leeds</w:t>
            </w:r>
          </w:p>
          <w:p w:rsidR="00202C44" w:rsidRPr="00D57F29" w:rsidRDefault="00202C44" w:rsidP="00202C44">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w:t>
            </w:r>
            <w:r>
              <w:rPr>
                <w:rFonts w:ascii="Arial" w:hAnsi="Arial" w:cs="Arial"/>
                <w:noProof/>
                <w:sz w:val="22"/>
                <w:lang w:val="fr-FR"/>
              </w:rPr>
              <w:t>S</w:t>
            </w:r>
            <w:r w:rsidR="0082326E">
              <w:rPr>
                <w:rFonts w:ascii="Arial" w:hAnsi="Arial" w:cs="Arial"/>
                <w:noProof/>
                <w:sz w:val="22"/>
                <w:lang w:val="fr-FR"/>
              </w:rPr>
              <w:t>12 6AB</w:t>
            </w:r>
          </w:p>
          <w:p w:rsidR="00202C44" w:rsidRPr="00D57F29" w:rsidRDefault="00202C44" w:rsidP="00202C44">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202C44" w:rsidRPr="00D57F29" w:rsidRDefault="00B2233D" w:rsidP="00202C44">
            <w:pPr>
              <w:pStyle w:val="DefaultText1"/>
              <w:tabs>
                <w:tab w:val="left" w:pos="1134"/>
              </w:tabs>
              <w:ind w:left="1134" w:hanging="1134"/>
              <w:rPr>
                <w:rFonts w:ascii="Arial" w:hAnsi="Arial"/>
                <w:noProof/>
                <w:sz w:val="22"/>
                <w:szCs w:val="22"/>
                <w:lang w:val="fr-FR"/>
              </w:rPr>
            </w:pPr>
            <w:r>
              <w:rPr>
                <w:rFonts w:ascii="Arial" w:hAnsi="Arial"/>
                <w:noProof/>
                <w:sz w:val="22"/>
                <w:lang w:val="fr-FR"/>
              </w:rPr>
              <w:t xml:space="preserve">Tel  : </w:t>
            </w:r>
          </w:p>
          <w:p w:rsidR="00202C44" w:rsidRDefault="00202C44" w:rsidP="00202C44">
            <w:pPr>
              <w:pStyle w:val="DefaultText2"/>
              <w:tabs>
                <w:tab w:val="left" w:pos="567"/>
                <w:tab w:val="left" w:pos="3402"/>
              </w:tabs>
              <w:ind w:left="567" w:hanging="567"/>
              <w:rPr>
                <w:rStyle w:val="Hyperlink"/>
                <w:rFonts w:ascii="Arial" w:hAnsi="Arial"/>
                <w:noProof/>
                <w:sz w:val="22"/>
                <w:szCs w:val="22"/>
                <w:lang w:val="fr-FR"/>
              </w:rPr>
            </w:pPr>
            <w:r w:rsidRPr="00D57F29">
              <w:rPr>
                <w:rFonts w:ascii="Arial" w:hAnsi="Arial"/>
                <w:noProof/>
                <w:sz w:val="22"/>
                <w:szCs w:val="22"/>
                <w:lang w:val="fr-FR"/>
              </w:rPr>
              <w:t xml:space="preserve">e-mail : </w:t>
            </w:r>
          </w:p>
          <w:p w:rsidR="00202C44" w:rsidRPr="00D57F29" w:rsidRDefault="00202C44" w:rsidP="0010210D">
            <w:pPr>
              <w:pStyle w:val="DefaultText"/>
              <w:rPr>
                <w:noProof/>
                <w:lang w:val="fr-FR"/>
              </w:rPr>
            </w:pPr>
          </w:p>
        </w:tc>
      </w:tr>
    </w:tbl>
    <w:p w:rsidR="006D4068" w:rsidRPr="00D57F29" w:rsidRDefault="006D4068" w:rsidP="006D4068">
      <w:pPr>
        <w:pStyle w:val="DefaultText2"/>
        <w:tabs>
          <w:tab w:val="left" w:pos="851"/>
        </w:tabs>
        <w:ind w:left="851" w:hanging="851"/>
        <w:rPr>
          <w:rFonts w:ascii="Arial" w:hAnsi="Arial"/>
          <w:b/>
          <w:noProof/>
          <w:sz w:val="20"/>
          <w:lang w:val="fr-FR"/>
        </w:rPr>
      </w:pPr>
    </w:p>
    <w:p w:rsidR="006D4068" w:rsidRPr="00D57F29" w:rsidRDefault="006D4068" w:rsidP="006D4068">
      <w:pPr>
        <w:pStyle w:val="DefaultText2"/>
        <w:tabs>
          <w:tab w:val="left" w:pos="851"/>
        </w:tabs>
        <w:ind w:left="851" w:hanging="851"/>
        <w:rPr>
          <w:rFonts w:ascii="Arial" w:hAnsi="Arial"/>
          <w:b/>
          <w:noProof/>
          <w:sz w:val="20"/>
          <w:lang w:val="fr-FR"/>
        </w:rPr>
      </w:pPr>
    </w:p>
    <w:p w:rsidR="0041284B" w:rsidRPr="005304FD" w:rsidRDefault="0041284B" w:rsidP="005304FD">
      <w:pPr>
        <w:pStyle w:val="DefaultText2"/>
        <w:tabs>
          <w:tab w:val="left" w:pos="851"/>
        </w:tabs>
        <w:rPr>
          <w:rStyle w:val="Strong"/>
          <w:rFonts w:ascii="Arial" w:hAnsi="Arial"/>
          <w:bCs w:val="0"/>
          <w:noProof/>
          <w:sz w:val="20"/>
          <w:lang w:val="fr-FR"/>
        </w:rPr>
      </w:pPr>
      <w:r>
        <w:rPr>
          <w:rStyle w:val="Strong"/>
          <w:rFonts w:ascii="Arial" w:hAnsi="Arial" w:cs="Arial"/>
          <w:b w:val="0"/>
          <w:iCs/>
          <w:szCs w:val="24"/>
          <w:lang w:val="en"/>
        </w:rPr>
        <w:br w:type="page"/>
      </w:r>
    </w:p>
    <w:p w:rsidR="00DD4F5F" w:rsidRPr="00A97C01" w:rsidRDefault="00DD4F5F" w:rsidP="00DD4F5F">
      <w:pPr>
        <w:tabs>
          <w:tab w:val="left" w:pos="709"/>
        </w:tabs>
        <w:suppressAutoHyphens/>
        <w:ind w:left="709" w:hanging="709"/>
        <w:rPr>
          <w:rFonts w:ascii="Arial" w:hAnsi="Arial" w:cs="Arial"/>
          <w:b/>
          <w:sz w:val="20"/>
        </w:rPr>
      </w:pPr>
      <w:r w:rsidRPr="00A97C01">
        <w:rPr>
          <w:rFonts w:ascii="Arial" w:hAnsi="Arial" w:cs="Arial"/>
          <w:b/>
          <w:sz w:val="20"/>
        </w:rPr>
        <w:lastRenderedPageBreak/>
        <w:t>Annex 2</w:t>
      </w:r>
    </w:p>
    <w:p w:rsidR="00DD4F5F" w:rsidRDefault="00DD4F5F" w:rsidP="004E55A2">
      <w:pPr>
        <w:tabs>
          <w:tab w:val="left" w:pos="709"/>
        </w:tabs>
        <w:suppressAutoHyphens/>
        <w:ind w:left="709" w:hanging="709"/>
        <w:jc w:val="center"/>
        <w:rPr>
          <w:rFonts w:ascii="Arial" w:hAnsi="Arial" w:cs="Arial"/>
          <w:b/>
          <w:caps/>
          <w:sz w:val="28"/>
          <w:szCs w:val="28"/>
        </w:rPr>
      </w:pPr>
      <w:r w:rsidRPr="004E55A2">
        <w:rPr>
          <w:rFonts w:ascii="Arial" w:hAnsi="Arial" w:cs="Arial"/>
          <w:b/>
          <w:caps/>
          <w:sz w:val="28"/>
          <w:szCs w:val="28"/>
        </w:rPr>
        <w:t>HSE</w:t>
      </w:r>
      <w:r w:rsidR="009E43BE">
        <w:rPr>
          <w:rFonts w:ascii="Arial" w:hAnsi="Arial" w:cs="Arial"/>
          <w:b/>
          <w:caps/>
          <w:sz w:val="28"/>
          <w:szCs w:val="28"/>
        </w:rPr>
        <w:t xml:space="preserve"> uk</w:t>
      </w:r>
      <w:r w:rsidRPr="004E55A2">
        <w:rPr>
          <w:rFonts w:ascii="Arial" w:hAnsi="Arial" w:cs="Arial"/>
          <w:b/>
          <w:caps/>
          <w:sz w:val="28"/>
          <w:szCs w:val="28"/>
        </w:rPr>
        <w:t xml:space="preserve"> Travel and Subsistence Rates</w:t>
      </w:r>
    </w:p>
    <w:p w:rsidR="008B3517" w:rsidRDefault="008B3517" w:rsidP="004E55A2">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A65353" w:rsidRPr="00603B93" w:rsidTr="00603B93">
        <w:tc>
          <w:tcPr>
            <w:tcW w:w="9241" w:type="dxa"/>
            <w:shd w:val="clear" w:color="auto" w:fill="auto"/>
          </w:tcPr>
          <w:p w:rsidR="0050176C" w:rsidRDefault="0050176C" w:rsidP="00603B93">
            <w:pPr>
              <w:tabs>
                <w:tab w:val="left" w:pos="709"/>
              </w:tabs>
              <w:suppressAutoHyphens/>
              <w:ind w:left="709" w:hanging="709"/>
              <w:jc w:val="left"/>
              <w:rPr>
                <w:rFonts w:ascii="Arial" w:hAnsi="Arial" w:cs="Arial"/>
                <w:b/>
                <w:sz w:val="20"/>
              </w:rPr>
            </w:pPr>
          </w:p>
          <w:p w:rsidR="00A65353" w:rsidRPr="00812FEC" w:rsidRDefault="00A65353" w:rsidP="00603B93">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rsidR="00A65353" w:rsidRPr="00812FEC" w:rsidRDefault="00A65353" w:rsidP="00603B93">
            <w:pPr>
              <w:tabs>
                <w:tab w:val="left" w:pos="709"/>
              </w:tabs>
              <w:suppressAutoHyphens/>
              <w:ind w:left="709" w:hanging="709"/>
              <w:jc w:val="left"/>
              <w:rPr>
                <w:rFonts w:ascii="Arial" w:hAnsi="Arial" w:cs="Arial"/>
                <w:b/>
                <w:sz w:val="20"/>
              </w:rPr>
            </w:pPr>
          </w:p>
          <w:p w:rsidR="00A65353" w:rsidRPr="00812FEC" w:rsidRDefault="00A65353"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rsidR="00A65353" w:rsidRPr="00812FEC" w:rsidRDefault="00A65353" w:rsidP="00603B93">
            <w:pPr>
              <w:tabs>
                <w:tab w:val="left" w:pos="709"/>
              </w:tabs>
              <w:suppressAutoHyphens/>
              <w:ind w:left="709" w:hanging="709"/>
              <w:jc w:val="left"/>
              <w:rPr>
                <w:rFonts w:ascii="Arial" w:hAnsi="Arial" w:cs="Arial"/>
                <w:color w:val="000000"/>
                <w:sz w:val="20"/>
              </w:rPr>
            </w:pPr>
          </w:p>
          <w:p w:rsidR="00A65353" w:rsidRPr="00812FEC" w:rsidRDefault="00A65353"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rsidR="00A65353" w:rsidRPr="00812FEC" w:rsidRDefault="00A65353" w:rsidP="00603B93">
            <w:pPr>
              <w:tabs>
                <w:tab w:val="left" w:pos="709"/>
              </w:tabs>
              <w:suppressAutoHyphens/>
              <w:ind w:left="709" w:hanging="709"/>
              <w:jc w:val="left"/>
              <w:rPr>
                <w:rFonts w:ascii="Arial" w:hAnsi="Arial" w:cs="Arial"/>
                <w:color w:val="000000"/>
                <w:sz w:val="20"/>
              </w:rPr>
            </w:pPr>
          </w:p>
          <w:p w:rsidR="00A65353" w:rsidRPr="00812FEC" w:rsidRDefault="00A65353"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rsidR="00A65353" w:rsidRPr="00812FEC" w:rsidRDefault="00A65353" w:rsidP="00603B93">
            <w:pPr>
              <w:tabs>
                <w:tab w:val="left" w:pos="709"/>
              </w:tabs>
              <w:suppressAutoHyphens/>
              <w:jc w:val="left"/>
              <w:rPr>
                <w:rFonts w:ascii="Arial" w:hAnsi="Arial" w:cs="Arial"/>
                <w:b/>
                <w:sz w:val="20"/>
              </w:rPr>
            </w:pPr>
          </w:p>
        </w:tc>
      </w:tr>
      <w:tr w:rsidR="0050176C" w:rsidRPr="00603B93" w:rsidTr="00603B93">
        <w:tc>
          <w:tcPr>
            <w:tcW w:w="9241" w:type="dxa"/>
            <w:shd w:val="clear" w:color="auto" w:fill="auto"/>
          </w:tcPr>
          <w:p w:rsidR="0050176C" w:rsidRDefault="0050176C" w:rsidP="00603B93">
            <w:pPr>
              <w:tabs>
                <w:tab w:val="left" w:pos="709"/>
              </w:tabs>
              <w:suppressAutoHyphens/>
              <w:ind w:left="709" w:hanging="709"/>
              <w:jc w:val="left"/>
              <w:rPr>
                <w:rFonts w:ascii="Arial" w:hAnsi="Arial" w:cs="Arial"/>
                <w:b/>
                <w:color w:val="000000"/>
                <w:sz w:val="20"/>
              </w:rPr>
            </w:pPr>
          </w:p>
          <w:p w:rsidR="0050176C" w:rsidRDefault="0050176C" w:rsidP="00603B93">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rsidR="0050176C" w:rsidRDefault="0050176C" w:rsidP="00603B93">
            <w:pPr>
              <w:tabs>
                <w:tab w:val="left" w:pos="709"/>
              </w:tabs>
              <w:suppressAutoHyphens/>
              <w:ind w:left="709" w:hanging="709"/>
              <w:jc w:val="left"/>
              <w:rPr>
                <w:rFonts w:ascii="Arial" w:hAnsi="Arial" w:cs="Arial"/>
                <w:b/>
                <w:color w:val="000000"/>
                <w:sz w:val="20"/>
              </w:rPr>
            </w:pPr>
          </w:p>
          <w:p w:rsidR="0050176C" w:rsidRPr="0050176C" w:rsidRDefault="0050176C" w:rsidP="0050176C">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w:t>
            </w:r>
            <w:proofErr w:type="spellStart"/>
            <w:r w:rsidRPr="0050176C">
              <w:rPr>
                <w:rFonts w:ascii="Arial" w:hAnsi="Arial" w:cs="Arial"/>
                <w:color w:val="000000"/>
                <w:sz w:val="20"/>
              </w:rPr>
              <w:t>etc</w:t>
            </w:r>
            <w:proofErr w:type="spellEnd"/>
            <w:r w:rsidRPr="0050176C">
              <w:rPr>
                <w:rFonts w:ascii="Arial" w:hAnsi="Arial" w:cs="Arial"/>
                <w:color w:val="000000"/>
                <w:sz w:val="20"/>
              </w:rPr>
              <w:t xml:space="preserve">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rsidR="0050176C" w:rsidRPr="00812FEC" w:rsidRDefault="0050176C" w:rsidP="00603B93">
            <w:pPr>
              <w:tabs>
                <w:tab w:val="left" w:pos="709"/>
              </w:tabs>
              <w:suppressAutoHyphens/>
              <w:ind w:left="709" w:hanging="709"/>
              <w:jc w:val="left"/>
              <w:rPr>
                <w:rFonts w:ascii="Arial" w:hAnsi="Arial" w:cs="Arial"/>
                <w:b/>
                <w:color w:val="000000"/>
                <w:sz w:val="20"/>
              </w:rPr>
            </w:pPr>
          </w:p>
        </w:tc>
      </w:tr>
    </w:tbl>
    <w:p w:rsidR="00A65353" w:rsidRDefault="00A65353" w:rsidP="008B3517">
      <w:pPr>
        <w:tabs>
          <w:tab w:val="left" w:pos="709"/>
        </w:tabs>
        <w:suppressAutoHyphens/>
        <w:ind w:left="709" w:hanging="709"/>
        <w:jc w:val="left"/>
        <w:rPr>
          <w:rFonts w:ascii="Arial Bold" w:hAnsi="Arial Bold" w:cs="Arial"/>
          <w:b/>
          <w:szCs w:val="24"/>
        </w:rPr>
      </w:pPr>
    </w:p>
    <w:p w:rsidR="008B3517" w:rsidRPr="0050176C" w:rsidRDefault="008B3517" w:rsidP="008B3517">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rsidR="00A65353" w:rsidRPr="0050176C" w:rsidRDefault="00A65353" w:rsidP="008B3517">
      <w:pPr>
        <w:tabs>
          <w:tab w:val="left" w:pos="709"/>
        </w:tabs>
        <w:suppressAutoHyphens/>
        <w:ind w:left="709" w:hanging="709"/>
        <w:jc w:val="left"/>
        <w:rPr>
          <w:rFonts w:ascii="Arial" w:hAnsi="Arial" w:cs="Arial"/>
          <w:b/>
          <w:caps/>
          <w:sz w:val="22"/>
          <w:szCs w:val="22"/>
        </w:rPr>
      </w:pPr>
    </w:p>
    <w:p w:rsidR="00A65353" w:rsidRPr="00812FEC" w:rsidRDefault="00A65353" w:rsidP="008B3517">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rsidR="00A65353" w:rsidRDefault="00A65353" w:rsidP="008B3517">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A65353" w:rsidRPr="00603B93" w:rsidTr="00603B93">
        <w:tc>
          <w:tcPr>
            <w:tcW w:w="9241" w:type="dxa"/>
            <w:shd w:val="clear" w:color="auto" w:fill="auto"/>
          </w:tcPr>
          <w:p w:rsidR="0050176C" w:rsidRDefault="0050176C" w:rsidP="00603B93">
            <w:pPr>
              <w:tabs>
                <w:tab w:val="left" w:pos="709"/>
              </w:tabs>
              <w:suppressAutoHyphens/>
              <w:ind w:left="709" w:hanging="709"/>
              <w:jc w:val="left"/>
              <w:rPr>
                <w:rFonts w:ascii="Arial" w:hAnsi="Arial" w:cs="Arial"/>
                <w:b/>
                <w:sz w:val="20"/>
              </w:rPr>
            </w:pPr>
          </w:p>
          <w:p w:rsidR="00A65353" w:rsidRPr="00812FEC" w:rsidRDefault="00A65353" w:rsidP="00603B93">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rsidR="00A65353" w:rsidRPr="00812FEC" w:rsidRDefault="00A65353" w:rsidP="00603B93">
            <w:pPr>
              <w:tabs>
                <w:tab w:val="left" w:pos="709"/>
              </w:tabs>
              <w:suppressAutoHyphens/>
              <w:ind w:left="709" w:hanging="709"/>
              <w:jc w:val="left"/>
              <w:rPr>
                <w:rFonts w:ascii="Arial" w:hAnsi="Arial" w:cs="Arial"/>
                <w:sz w:val="20"/>
              </w:rPr>
            </w:pPr>
          </w:p>
          <w:p w:rsidR="00A65353" w:rsidRPr="00812FEC" w:rsidRDefault="00A65353" w:rsidP="00603B93">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0050176C">
              <w:rPr>
                <w:rFonts w:ascii="Arial" w:hAnsi="Arial" w:cs="Arial"/>
                <w:sz w:val="20"/>
              </w:rPr>
              <w:t xml:space="preserve">             </w:t>
            </w:r>
            <w:r w:rsidRPr="00812FEC">
              <w:rPr>
                <w:rFonts w:ascii="Arial" w:hAnsi="Arial" w:cs="Arial"/>
                <w:sz w:val="20"/>
              </w:rPr>
              <w:t>Actual costs up to £</w:t>
            </w:r>
            <w:r w:rsidR="00812FEC" w:rsidRPr="00812FEC">
              <w:rPr>
                <w:rFonts w:ascii="Arial" w:hAnsi="Arial" w:cs="Arial"/>
                <w:sz w:val="20"/>
              </w:rPr>
              <w:t>6.00</w:t>
            </w:r>
          </w:p>
          <w:p w:rsidR="00A65353" w:rsidRPr="00812FEC" w:rsidRDefault="00A65353" w:rsidP="00603B93">
            <w:pPr>
              <w:tabs>
                <w:tab w:val="left" w:pos="709"/>
              </w:tabs>
              <w:suppressAutoHyphens/>
              <w:ind w:left="709" w:hanging="709"/>
              <w:jc w:val="left"/>
              <w:rPr>
                <w:rFonts w:ascii="Arial" w:hAnsi="Arial" w:cs="Arial"/>
                <w:sz w:val="20"/>
              </w:rPr>
            </w:pPr>
          </w:p>
          <w:p w:rsidR="00A65353" w:rsidRPr="00812FEC" w:rsidRDefault="00A65353" w:rsidP="00603B93">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0050176C">
              <w:rPr>
                <w:rFonts w:ascii="Arial" w:hAnsi="Arial" w:cs="Arial"/>
                <w:sz w:val="20"/>
              </w:rPr>
              <w:t xml:space="preserve">             </w:t>
            </w:r>
            <w:r w:rsidRPr="00812FEC">
              <w:rPr>
                <w:rFonts w:ascii="Arial" w:hAnsi="Arial" w:cs="Arial"/>
                <w:sz w:val="20"/>
              </w:rPr>
              <w:t>Actual costs up to £10.00</w:t>
            </w:r>
          </w:p>
          <w:p w:rsidR="00A65353" w:rsidRPr="00812FEC" w:rsidRDefault="00A65353" w:rsidP="00603B93">
            <w:pPr>
              <w:tabs>
                <w:tab w:val="left" w:pos="709"/>
              </w:tabs>
              <w:suppressAutoHyphens/>
              <w:ind w:left="709" w:hanging="709"/>
              <w:jc w:val="left"/>
              <w:rPr>
                <w:rFonts w:ascii="Arial" w:hAnsi="Arial" w:cs="Arial"/>
                <w:sz w:val="20"/>
              </w:rPr>
            </w:pPr>
          </w:p>
          <w:p w:rsidR="00A65353" w:rsidRPr="00812FEC" w:rsidRDefault="00A65353" w:rsidP="00603B93">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sidR="00812FEC" w:rsidRPr="00812FEC">
              <w:rPr>
                <w:rFonts w:ascii="Arial" w:hAnsi="Arial" w:cs="Arial"/>
                <w:sz w:val="20"/>
              </w:rPr>
              <w:t>6.00</w:t>
            </w:r>
          </w:p>
          <w:p w:rsidR="00A65353" w:rsidRPr="00812FEC" w:rsidRDefault="00A65353" w:rsidP="00603B93">
            <w:pPr>
              <w:tabs>
                <w:tab w:val="left" w:pos="709"/>
              </w:tabs>
              <w:suppressAutoHyphens/>
              <w:jc w:val="left"/>
              <w:rPr>
                <w:rFonts w:ascii="Arial" w:hAnsi="Arial" w:cs="Arial"/>
                <w:sz w:val="20"/>
              </w:rPr>
            </w:pPr>
          </w:p>
        </w:tc>
      </w:tr>
      <w:tr w:rsidR="00A65353" w:rsidRPr="00603B93" w:rsidTr="00603B93">
        <w:tc>
          <w:tcPr>
            <w:tcW w:w="9241" w:type="dxa"/>
            <w:shd w:val="clear" w:color="auto" w:fill="auto"/>
          </w:tcPr>
          <w:p w:rsidR="0050176C" w:rsidRDefault="0050176C" w:rsidP="00603B93">
            <w:pPr>
              <w:tabs>
                <w:tab w:val="left" w:pos="709"/>
              </w:tabs>
              <w:suppressAutoHyphens/>
              <w:ind w:left="709" w:hanging="709"/>
              <w:jc w:val="left"/>
              <w:rPr>
                <w:rFonts w:ascii="Arial" w:hAnsi="Arial" w:cs="Arial"/>
                <w:b/>
                <w:sz w:val="20"/>
              </w:rPr>
            </w:pPr>
          </w:p>
          <w:p w:rsidR="00B30880" w:rsidRPr="00812FEC" w:rsidRDefault="00B30880" w:rsidP="00603B93">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rsidR="00B30880" w:rsidRPr="00812FEC" w:rsidRDefault="00B30880" w:rsidP="00603B93">
            <w:pPr>
              <w:tabs>
                <w:tab w:val="left" w:pos="709"/>
              </w:tabs>
              <w:suppressAutoHyphens/>
              <w:ind w:left="709" w:hanging="709"/>
              <w:jc w:val="left"/>
              <w:rPr>
                <w:rFonts w:ascii="Arial" w:hAnsi="Arial" w:cs="Arial"/>
                <w:sz w:val="20"/>
              </w:rPr>
            </w:pPr>
          </w:p>
          <w:p w:rsidR="00B30880" w:rsidRPr="00812FEC" w:rsidRDefault="00B30880" w:rsidP="00603B93">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rsidR="00B30880" w:rsidRPr="00812FEC" w:rsidRDefault="00B30880" w:rsidP="00603B93">
            <w:pPr>
              <w:tabs>
                <w:tab w:val="left" w:pos="709"/>
              </w:tabs>
              <w:suppressAutoHyphens/>
              <w:ind w:left="709" w:hanging="709"/>
              <w:jc w:val="left"/>
              <w:rPr>
                <w:rFonts w:ascii="Arial" w:hAnsi="Arial" w:cs="Arial"/>
                <w:sz w:val="20"/>
              </w:rPr>
            </w:pPr>
          </w:p>
          <w:p w:rsidR="00B30880" w:rsidRPr="00812FEC" w:rsidRDefault="00B30880" w:rsidP="00603B93">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rsidR="00B30880" w:rsidRPr="00812FEC" w:rsidRDefault="00B30880" w:rsidP="00603B93">
            <w:pPr>
              <w:tabs>
                <w:tab w:val="left" w:pos="709"/>
              </w:tabs>
              <w:suppressAutoHyphens/>
              <w:ind w:left="709" w:hanging="709"/>
              <w:jc w:val="left"/>
              <w:rPr>
                <w:rFonts w:ascii="Arial" w:hAnsi="Arial" w:cs="Arial"/>
                <w:sz w:val="20"/>
              </w:rPr>
            </w:pPr>
          </w:p>
          <w:p w:rsidR="00B30880" w:rsidRPr="00812FEC" w:rsidRDefault="00812FEC" w:rsidP="00603B93">
            <w:pPr>
              <w:tabs>
                <w:tab w:val="left" w:pos="709"/>
              </w:tabs>
              <w:suppressAutoHyphens/>
              <w:ind w:left="709" w:hanging="709"/>
              <w:jc w:val="left"/>
              <w:rPr>
                <w:rFonts w:ascii="Arial" w:hAnsi="Arial" w:cs="Arial"/>
                <w:sz w:val="20"/>
              </w:rPr>
            </w:pPr>
            <w:r w:rsidRPr="00812FEC">
              <w:rPr>
                <w:rFonts w:ascii="Arial" w:hAnsi="Arial" w:cs="Arial"/>
                <w:sz w:val="20"/>
              </w:rPr>
              <w:t>Meal One</w:t>
            </w:r>
            <w:r w:rsidR="00B30880" w:rsidRPr="00812FEC">
              <w:rPr>
                <w:rFonts w:ascii="Arial" w:hAnsi="Arial" w:cs="Arial"/>
                <w:sz w:val="20"/>
              </w:rPr>
              <w:t xml:space="preserve"> </w:t>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Pr="00812FEC">
              <w:rPr>
                <w:rFonts w:ascii="Arial" w:hAnsi="Arial" w:cs="Arial"/>
                <w:sz w:val="20"/>
              </w:rPr>
              <w:t xml:space="preserve">           </w:t>
            </w:r>
            <w:r w:rsidR="0050176C">
              <w:rPr>
                <w:rFonts w:ascii="Arial" w:hAnsi="Arial" w:cs="Arial"/>
                <w:sz w:val="20"/>
              </w:rPr>
              <w:t xml:space="preserve">  </w:t>
            </w:r>
            <w:r w:rsidR="00B30880" w:rsidRPr="00812FEC">
              <w:rPr>
                <w:rFonts w:ascii="Arial" w:hAnsi="Arial" w:cs="Arial"/>
                <w:sz w:val="20"/>
              </w:rPr>
              <w:t>Actual costs up to £</w:t>
            </w:r>
            <w:r w:rsidRPr="00812FEC">
              <w:rPr>
                <w:rFonts w:ascii="Arial" w:hAnsi="Arial" w:cs="Arial"/>
                <w:sz w:val="20"/>
              </w:rPr>
              <w:t>6.00</w:t>
            </w:r>
          </w:p>
          <w:p w:rsidR="00B30880" w:rsidRPr="00812FEC" w:rsidRDefault="00B30880" w:rsidP="00603B93">
            <w:pPr>
              <w:tabs>
                <w:tab w:val="left" w:pos="709"/>
              </w:tabs>
              <w:suppressAutoHyphens/>
              <w:ind w:left="709" w:hanging="709"/>
              <w:jc w:val="left"/>
              <w:rPr>
                <w:rFonts w:ascii="Arial" w:hAnsi="Arial" w:cs="Arial"/>
                <w:sz w:val="20"/>
              </w:rPr>
            </w:pPr>
          </w:p>
          <w:p w:rsidR="00B30880" w:rsidRPr="00812FEC" w:rsidRDefault="00812FEC" w:rsidP="00603B93">
            <w:pPr>
              <w:tabs>
                <w:tab w:val="left" w:pos="709"/>
              </w:tabs>
              <w:suppressAutoHyphens/>
              <w:ind w:left="709" w:hanging="709"/>
              <w:jc w:val="left"/>
              <w:rPr>
                <w:rFonts w:ascii="Arial" w:hAnsi="Arial" w:cs="Arial"/>
                <w:sz w:val="20"/>
              </w:rPr>
            </w:pPr>
            <w:r w:rsidRPr="00812FEC">
              <w:rPr>
                <w:rFonts w:ascii="Arial" w:hAnsi="Arial" w:cs="Arial"/>
                <w:sz w:val="20"/>
              </w:rPr>
              <w:t>Meal Two</w:t>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t>Actual costs up to £</w:t>
            </w:r>
            <w:r w:rsidRPr="00812FEC">
              <w:rPr>
                <w:rFonts w:ascii="Arial" w:hAnsi="Arial" w:cs="Arial"/>
                <w:sz w:val="20"/>
              </w:rPr>
              <w:t>1</w:t>
            </w:r>
            <w:r w:rsidR="00B30880" w:rsidRPr="00812FEC">
              <w:rPr>
                <w:rFonts w:ascii="Arial" w:hAnsi="Arial" w:cs="Arial"/>
                <w:sz w:val="20"/>
              </w:rPr>
              <w:t>5.</w:t>
            </w:r>
            <w:r w:rsidRPr="00812FEC">
              <w:rPr>
                <w:rFonts w:ascii="Arial" w:hAnsi="Arial" w:cs="Arial"/>
                <w:sz w:val="20"/>
              </w:rPr>
              <w:t>0</w:t>
            </w:r>
            <w:r w:rsidR="00B30880" w:rsidRPr="00812FEC">
              <w:rPr>
                <w:rFonts w:ascii="Arial" w:hAnsi="Arial" w:cs="Arial"/>
                <w:sz w:val="20"/>
              </w:rPr>
              <w:t>0</w:t>
            </w:r>
          </w:p>
          <w:p w:rsidR="00812FEC" w:rsidRPr="00812FEC" w:rsidRDefault="00812FEC" w:rsidP="00603B93">
            <w:pPr>
              <w:tabs>
                <w:tab w:val="left" w:pos="709"/>
              </w:tabs>
              <w:suppressAutoHyphens/>
              <w:ind w:left="709" w:hanging="709"/>
              <w:jc w:val="left"/>
              <w:rPr>
                <w:rFonts w:ascii="Arial" w:hAnsi="Arial" w:cs="Arial"/>
                <w:sz w:val="20"/>
              </w:rPr>
            </w:pPr>
          </w:p>
          <w:p w:rsidR="00812FEC" w:rsidRPr="00812FEC" w:rsidRDefault="00812FEC" w:rsidP="00812FEC">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rsidR="00395FE0" w:rsidRPr="00812FEC" w:rsidRDefault="00395FE0" w:rsidP="00603B93">
            <w:pPr>
              <w:tabs>
                <w:tab w:val="left" w:pos="709"/>
              </w:tabs>
              <w:suppressAutoHyphens/>
              <w:ind w:left="709" w:hanging="709"/>
              <w:jc w:val="left"/>
              <w:rPr>
                <w:rFonts w:ascii="Arial" w:hAnsi="Arial" w:cs="Arial"/>
                <w:sz w:val="20"/>
              </w:rPr>
            </w:pPr>
          </w:p>
          <w:p w:rsidR="00395FE0" w:rsidRPr="00812FEC" w:rsidRDefault="00395FE0" w:rsidP="00603B93">
            <w:pPr>
              <w:tabs>
                <w:tab w:val="left" w:pos="709"/>
              </w:tabs>
              <w:suppressAutoHyphens/>
              <w:ind w:left="709" w:hanging="709"/>
              <w:jc w:val="left"/>
              <w:rPr>
                <w:rFonts w:ascii="Arial" w:hAnsi="Arial" w:cs="Arial"/>
                <w:sz w:val="20"/>
              </w:rPr>
            </w:pPr>
          </w:p>
          <w:p w:rsidR="00395FE0" w:rsidRPr="00812FEC" w:rsidRDefault="00395FE0" w:rsidP="00603B93">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rsidR="00395FE0" w:rsidRPr="00812FEC" w:rsidRDefault="00395FE0" w:rsidP="00603B93">
            <w:pPr>
              <w:tabs>
                <w:tab w:val="left" w:pos="709"/>
              </w:tabs>
              <w:suppressAutoHyphens/>
              <w:ind w:left="709" w:hanging="709"/>
              <w:jc w:val="left"/>
              <w:rPr>
                <w:rFonts w:ascii="Arial" w:hAnsi="Arial" w:cs="Arial"/>
                <w:b/>
                <w:sz w:val="20"/>
              </w:rPr>
            </w:pPr>
          </w:p>
          <w:p w:rsidR="00395FE0" w:rsidRPr="00812FEC" w:rsidRDefault="00395FE0"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sidR="0050176C">
              <w:rPr>
                <w:rFonts w:ascii="Arial" w:hAnsi="Arial" w:cs="Arial"/>
                <w:color w:val="000000"/>
                <w:sz w:val="20"/>
              </w:rPr>
              <w:t xml:space="preserve">             </w:t>
            </w:r>
            <w:r w:rsidRPr="00812FEC">
              <w:rPr>
                <w:rFonts w:ascii="Arial" w:hAnsi="Arial" w:cs="Arial"/>
                <w:color w:val="000000"/>
                <w:sz w:val="20"/>
              </w:rPr>
              <w:t>£93.00 per night in London</w:t>
            </w:r>
          </w:p>
          <w:p w:rsidR="00395FE0" w:rsidRPr="00812FEC" w:rsidRDefault="00395FE0"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0050176C">
              <w:rPr>
                <w:rFonts w:ascii="Arial" w:hAnsi="Arial" w:cs="Arial"/>
                <w:color w:val="000000"/>
                <w:sz w:val="20"/>
              </w:rPr>
              <w:t>o</w:t>
            </w:r>
            <w:r w:rsidRPr="00812FEC">
              <w:rPr>
                <w:rFonts w:ascii="Arial" w:hAnsi="Arial" w:cs="Arial"/>
                <w:color w:val="000000"/>
                <w:sz w:val="20"/>
              </w:rPr>
              <w:t>r</w:t>
            </w:r>
          </w:p>
          <w:p w:rsidR="00395FE0" w:rsidRPr="00812FEC" w:rsidRDefault="00395FE0" w:rsidP="00603B93">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rsidR="00A65353" w:rsidRPr="00812FEC" w:rsidRDefault="00A65353" w:rsidP="00603B93">
            <w:pPr>
              <w:tabs>
                <w:tab w:val="left" w:pos="709"/>
              </w:tabs>
              <w:suppressAutoHyphens/>
              <w:jc w:val="left"/>
              <w:rPr>
                <w:rFonts w:ascii="Arial" w:hAnsi="Arial" w:cs="Arial"/>
                <w:sz w:val="20"/>
              </w:rPr>
            </w:pPr>
          </w:p>
        </w:tc>
      </w:tr>
    </w:tbl>
    <w:p w:rsidR="00A65353" w:rsidRPr="00A65353" w:rsidRDefault="00A65353" w:rsidP="008B3517">
      <w:pPr>
        <w:tabs>
          <w:tab w:val="left" w:pos="709"/>
        </w:tabs>
        <w:suppressAutoHyphens/>
        <w:ind w:left="709" w:hanging="709"/>
        <w:jc w:val="left"/>
        <w:rPr>
          <w:rFonts w:ascii="Arial" w:hAnsi="Arial" w:cs="Arial"/>
          <w:b/>
          <w:szCs w:val="24"/>
        </w:rPr>
      </w:pPr>
    </w:p>
    <w:p w:rsidR="0050176C" w:rsidRDefault="0050176C" w:rsidP="00A65353">
      <w:pPr>
        <w:pStyle w:val="DefaultText2"/>
        <w:tabs>
          <w:tab w:val="left" w:pos="851"/>
        </w:tabs>
        <w:suppressAutoHyphens/>
        <w:rPr>
          <w:rFonts w:ascii="Arial" w:hAnsi="Arial" w:cs="Arial"/>
          <w:sz w:val="16"/>
          <w:szCs w:val="16"/>
        </w:rPr>
      </w:pPr>
    </w:p>
    <w:p w:rsidR="0050176C" w:rsidRDefault="0050176C" w:rsidP="00A65353">
      <w:pPr>
        <w:pStyle w:val="DefaultText2"/>
        <w:tabs>
          <w:tab w:val="left" w:pos="851"/>
        </w:tabs>
        <w:suppressAutoHyphens/>
        <w:rPr>
          <w:rFonts w:ascii="Arial" w:hAnsi="Arial" w:cs="Arial"/>
          <w:sz w:val="16"/>
          <w:szCs w:val="16"/>
        </w:rPr>
      </w:pPr>
    </w:p>
    <w:p w:rsidR="00A65353" w:rsidRPr="0050176C" w:rsidRDefault="00A65353" w:rsidP="00A65353">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sidR="00812FEC" w:rsidRPr="0050176C">
        <w:rPr>
          <w:rFonts w:ascii="Arial" w:hAnsi="Arial" w:cs="Arial"/>
          <w:sz w:val="16"/>
          <w:szCs w:val="16"/>
        </w:rPr>
        <w:t>01</w:t>
      </w:r>
      <w:r w:rsidRPr="0050176C">
        <w:rPr>
          <w:rFonts w:ascii="Arial" w:hAnsi="Arial" w:cs="Arial"/>
          <w:sz w:val="16"/>
          <w:szCs w:val="16"/>
        </w:rPr>
        <w:t>/</w:t>
      </w:r>
      <w:r w:rsidR="00812FEC" w:rsidRPr="0050176C">
        <w:rPr>
          <w:rFonts w:ascii="Arial" w:hAnsi="Arial" w:cs="Arial"/>
          <w:sz w:val="16"/>
          <w:szCs w:val="16"/>
        </w:rPr>
        <w:t>08</w:t>
      </w:r>
      <w:r w:rsidRPr="0050176C">
        <w:rPr>
          <w:rFonts w:ascii="Arial" w:hAnsi="Arial" w:cs="Arial"/>
          <w:sz w:val="16"/>
          <w:szCs w:val="16"/>
        </w:rPr>
        <w:t>/201</w:t>
      </w:r>
      <w:r w:rsidR="00812FEC" w:rsidRPr="0050176C">
        <w:rPr>
          <w:rFonts w:ascii="Arial" w:hAnsi="Arial" w:cs="Arial"/>
          <w:sz w:val="16"/>
          <w:szCs w:val="16"/>
        </w:rPr>
        <w:t>5</w:t>
      </w:r>
    </w:p>
    <w:sectPr w:rsidR="00A65353" w:rsidRPr="0050176C" w:rsidSect="006D4068">
      <w:headerReference w:type="default" r:id="rId14"/>
      <w:footerReference w:type="default" r:id="rId15"/>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DF8" w:rsidRDefault="00A35DF8">
      <w:r>
        <w:separator/>
      </w:r>
    </w:p>
  </w:endnote>
  <w:endnote w:type="continuationSeparator" w:id="0">
    <w:p w:rsidR="00A35DF8" w:rsidRDefault="00A3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B2233D">
      <w:rPr>
        <w:rStyle w:val="PageNumber"/>
        <w:rFonts w:ascii="Arial" w:hAnsi="Arial" w:cs="Arial"/>
        <w:noProof/>
        <w:sz w:val="20"/>
      </w:rPr>
      <w:t>13</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B2233D">
      <w:rPr>
        <w:rStyle w:val="PageNumber"/>
        <w:rFonts w:ascii="Arial" w:hAnsi="Arial" w:cs="Arial"/>
        <w:noProof/>
        <w:sz w:val="20"/>
      </w:rPr>
      <w:t>13</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DF8" w:rsidRDefault="00A35DF8">
      <w:r>
        <w:separator/>
      </w:r>
    </w:p>
  </w:footnote>
  <w:footnote w:type="continuationSeparator" w:id="0">
    <w:p w:rsidR="00A35DF8" w:rsidRDefault="00A3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proofErr w:type="gramStart"/>
    <w:r w:rsidR="00090C69" w:rsidRPr="0038711B">
      <w:rPr>
        <w:rFonts w:ascii="Arial" w:hAnsi="Arial" w:cs="Arial"/>
        <w:b/>
        <w:sz w:val="20"/>
      </w:rPr>
      <w:t>1.11.4.</w:t>
    </w:r>
    <w:r w:rsidR="00013F0F">
      <w:rPr>
        <w:rFonts w:ascii="Arial" w:hAnsi="Arial" w:cs="Arial"/>
        <w:b/>
        <w:sz w:val="20"/>
      </w:rPr>
      <w:t>3374</w:t>
    </w:r>
    <w:r w:rsidR="00CA34FD">
      <w:rPr>
        <w:rFonts w:ascii="Arial" w:hAnsi="Arial" w:cs="Arial"/>
        <w:b/>
        <w:sz w:val="20"/>
      </w:rPr>
      <w:t xml:space="preserve">  -</w:t>
    </w:r>
    <w:proofErr w:type="gramEnd"/>
    <w:r w:rsidR="00CA34FD">
      <w:rPr>
        <w:rFonts w:ascii="Arial" w:hAnsi="Arial" w:cs="Arial"/>
        <w:b/>
        <w:sz w:val="20"/>
      </w:rPr>
      <w:t xml:space="preserve">  Part 2</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8">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9">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5">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7">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3"/>
  </w:num>
  <w:num w:numId="4">
    <w:abstractNumId w:val="16"/>
  </w:num>
  <w:num w:numId="5">
    <w:abstractNumId w:val="6"/>
  </w:num>
  <w:num w:numId="6">
    <w:abstractNumId w:val="21"/>
  </w:num>
  <w:num w:numId="7">
    <w:abstractNumId w:val="14"/>
  </w:num>
  <w:num w:numId="8">
    <w:abstractNumId w:val="20"/>
  </w:num>
  <w:num w:numId="9">
    <w:abstractNumId w:val="10"/>
  </w:num>
  <w:num w:numId="10">
    <w:abstractNumId w:val="0"/>
  </w:num>
  <w:num w:numId="11">
    <w:abstractNumId w:val="22"/>
  </w:num>
  <w:num w:numId="12">
    <w:abstractNumId w:val="4"/>
  </w:num>
  <w:num w:numId="13">
    <w:abstractNumId w:val="17"/>
  </w:num>
  <w:num w:numId="14">
    <w:abstractNumId w:val="13"/>
  </w:num>
  <w:num w:numId="15">
    <w:abstractNumId w:val="7"/>
  </w:num>
  <w:num w:numId="16">
    <w:abstractNumId w:val="18"/>
  </w:num>
  <w:num w:numId="17">
    <w:abstractNumId w:val="1"/>
  </w:num>
  <w:num w:numId="18">
    <w:abstractNumId w:val="2"/>
  </w:num>
  <w:num w:numId="19">
    <w:abstractNumId w:val="12"/>
  </w:num>
  <w:num w:numId="20">
    <w:abstractNumId w:val="9"/>
  </w:num>
  <w:num w:numId="21">
    <w:abstractNumId w:val="11"/>
  </w:num>
  <w:num w:numId="22">
    <w:abstractNumId w:val="15"/>
  </w:num>
  <w:num w:numId="23">
    <w:abstractNumId w:val="19"/>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77"/>
    <w:rsid w:val="00013B7A"/>
    <w:rsid w:val="00013F0F"/>
    <w:rsid w:val="00016CCF"/>
    <w:rsid w:val="000212F9"/>
    <w:rsid w:val="000336CA"/>
    <w:rsid w:val="00035EAB"/>
    <w:rsid w:val="0003713F"/>
    <w:rsid w:val="000423CF"/>
    <w:rsid w:val="00052F61"/>
    <w:rsid w:val="00054F09"/>
    <w:rsid w:val="00060468"/>
    <w:rsid w:val="00062C09"/>
    <w:rsid w:val="0006629B"/>
    <w:rsid w:val="000853B6"/>
    <w:rsid w:val="00085B2C"/>
    <w:rsid w:val="00090C69"/>
    <w:rsid w:val="000937AD"/>
    <w:rsid w:val="00093D1C"/>
    <w:rsid w:val="000B0BA3"/>
    <w:rsid w:val="000B2403"/>
    <w:rsid w:val="000C039B"/>
    <w:rsid w:val="000C3A34"/>
    <w:rsid w:val="000D4035"/>
    <w:rsid w:val="000D7A68"/>
    <w:rsid w:val="000E6A1C"/>
    <w:rsid w:val="0010210D"/>
    <w:rsid w:val="00103CDD"/>
    <w:rsid w:val="001044CD"/>
    <w:rsid w:val="0011368C"/>
    <w:rsid w:val="00113DB3"/>
    <w:rsid w:val="0011757A"/>
    <w:rsid w:val="001418B0"/>
    <w:rsid w:val="00142AD6"/>
    <w:rsid w:val="00161764"/>
    <w:rsid w:val="001635E7"/>
    <w:rsid w:val="00165973"/>
    <w:rsid w:val="00167E9C"/>
    <w:rsid w:val="00173553"/>
    <w:rsid w:val="00173635"/>
    <w:rsid w:val="001802D9"/>
    <w:rsid w:val="00197382"/>
    <w:rsid w:val="001A51D1"/>
    <w:rsid w:val="001B39FF"/>
    <w:rsid w:val="001C26D4"/>
    <w:rsid w:val="001D7AD8"/>
    <w:rsid w:val="001E69BE"/>
    <w:rsid w:val="001F4912"/>
    <w:rsid w:val="00201939"/>
    <w:rsid w:val="00202C44"/>
    <w:rsid w:val="00205909"/>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44B5"/>
    <w:rsid w:val="0029522E"/>
    <w:rsid w:val="002A19E3"/>
    <w:rsid w:val="002A31A7"/>
    <w:rsid w:val="002A7240"/>
    <w:rsid w:val="002C0B32"/>
    <w:rsid w:val="002C1F23"/>
    <w:rsid w:val="002C442E"/>
    <w:rsid w:val="002D0C6A"/>
    <w:rsid w:val="002E3507"/>
    <w:rsid w:val="002E65D5"/>
    <w:rsid w:val="002F5FDA"/>
    <w:rsid w:val="00302D1A"/>
    <w:rsid w:val="00307744"/>
    <w:rsid w:val="00314004"/>
    <w:rsid w:val="00315074"/>
    <w:rsid w:val="00321E10"/>
    <w:rsid w:val="00333334"/>
    <w:rsid w:val="00337213"/>
    <w:rsid w:val="0034766C"/>
    <w:rsid w:val="00347873"/>
    <w:rsid w:val="00350447"/>
    <w:rsid w:val="003513E1"/>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319A"/>
    <w:rsid w:val="003F10B5"/>
    <w:rsid w:val="003F468A"/>
    <w:rsid w:val="003F59D5"/>
    <w:rsid w:val="004030F2"/>
    <w:rsid w:val="0041284B"/>
    <w:rsid w:val="00423746"/>
    <w:rsid w:val="0043404D"/>
    <w:rsid w:val="00447350"/>
    <w:rsid w:val="0046212E"/>
    <w:rsid w:val="004707D7"/>
    <w:rsid w:val="0048411A"/>
    <w:rsid w:val="004D576B"/>
    <w:rsid w:val="004E4491"/>
    <w:rsid w:val="004E55A2"/>
    <w:rsid w:val="004F3AF4"/>
    <w:rsid w:val="00500876"/>
    <w:rsid w:val="0050176C"/>
    <w:rsid w:val="00513B2F"/>
    <w:rsid w:val="00522527"/>
    <w:rsid w:val="005304FD"/>
    <w:rsid w:val="00555007"/>
    <w:rsid w:val="005568F8"/>
    <w:rsid w:val="005620A0"/>
    <w:rsid w:val="00566501"/>
    <w:rsid w:val="00570F0A"/>
    <w:rsid w:val="00581226"/>
    <w:rsid w:val="00590156"/>
    <w:rsid w:val="00595B2C"/>
    <w:rsid w:val="005A1317"/>
    <w:rsid w:val="005A2D64"/>
    <w:rsid w:val="005A7370"/>
    <w:rsid w:val="005B2C51"/>
    <w:rsid w:val="005B7077"/>
    <w:rsid w:val="005C182B"/>
    <w:rsid w:val="005D0580"/>
    <w:rsid w:val="005D63C6"/>
    <w:rsid w:val="005E2081"/>
    <w:rsid w:val="005E32B9"/>
    <w:rsid w:val="005F1168"/>
    <w:rsid w:val="00602214"/>
    <w:rsid w:val="00603B93"/>
    <w:rsid w:val="00613173"/>
    <w:rsid w:val="00621AF8"/>
    <w:rsid w:val="00622B2C"/>
    <w:rsid w:val="006258D9"/>
    <w:rsid w:val="00631851"/>
    <w:rsid w:val="00633B55"/>
    <w:rsid w:val="006362AB"/>
    <w:rsid w:val="0063773A"/>
    <w:rsid w:val="00643A6E"/>
    <w:rsid w:val="00661073"/>
    <w:rsid w:val="00663ADF"/>
    <w:rsid w:val="00697C59"/>
    <w:rsid w:val="006A0D96"/>
    <w:rsid w:val="006A3905"/>
    <w:rsid w:val="006B76C7"/>
    <w:rsid w:val="006C5AC4"/>
    <w:rsid w:val="006D4068"/>
    <w:rsid w:val="006E0037"/>
    <w:rsid w:val="006E06E4"/>
    <w:rsid w:val="006F018E"/>
    <w:rsid w:val="00702B2C"/>
    <w:rsid w:val="007036C6"/>
    <w:rsid w:val="00705556"/>
    <w:rsid w:val="0071274E"/>
    <w:rsid w:val="007143F0"/>
    <w:rsid w:val="00722FCC"/>
    <w:rsid w:val="00726FC9"/>
    <w:rsid w:val="00731B4E"/>
    <w:rsid w:val="0073783D"/>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C02B0"/>
    <w:rsid w:val="007C2A32"/>
    <w:rsid w:val="007D2146"/>
    <w:rsid w:val="007D750C"/>
    <w:rsid w:val="007E3363"/>
    <w:rsid w:val="007E48E4"/>
    <w:rsid w:val="007F54BA"/>
    <w:rsid w:val="00804703"/>
    <w:rsid w:val="00812FEC"/>
    <w:rsid w:val="00821D2C"/>
    <w:rsid w:val="0082326E"/>
    <w:rsid w:val="0082339A"/>
    <w:rsid w:val="00824D45"/>
    <w:rsid w:val="00831BC8"/>
    <w:rsid w:val="008420FD"/>
    <w:rsid w:val="0084620C"/>
    <w:rsid w:val="0084676D"/>
    <w:rsid w:val="00851F2D"/>
    <w:rsid w:val="008540CB"/>
    <w:rsid w:val="00854D9A"/>
    <w:rsid w:val="00860EE0"/>
    <w:rsid w:val="00870A1E"/>
    <w:rsid w:val="0087249C"/>
    <w:rsid w:val="00872FCD"/>
    <w:rsid w:val="008854E2"/>
    <w:rsid w:val="00891FEB"/>
    <w:rsid w:val="00892B57"/>
    <w:rsid w:val="00895EC3"/>
    <w:rsid w:val="008A6AC4"/>
    <w:rsid w:val="008B3517"/>
    <w:rsid w:val="008C2A2F"/>
    <w:rsid w:val="008C472A"/>
    <w:rsid w:val="008D7016"/>
    <w:rsid w:val="008D7B4F"/>
    <w:rsid w:val="008E58AA"/>
    <w:rsid w:val="008F06CA"/>
    <w:rsid w:val="008F3787"/>
    <w:rsid w:val="009077F7"/>
    <w:rsid w:val="00911AE8"/>
    <w:rsid w:val="009221AC"/>
    <w:rsid w:val="0092358F"/>
    <w:rsid w:val="00923D55"/>
    <w:rsid w:val="00930799"/>
    <w:rsid w:val="00940CE1"/>
    <w:rsid w:val="009410F1"/>
    <w:rsid w:val="00941FA1"/>
    <w:rsid w:val="00945CEB"/>
    <w:rsid w:val="009468E8"/>
    <w:rsid w:val="00955C8E"/>
    <w:rsid w:val="00955E30"/>
    <w:rsid w:val="00963003"/>
    <w:rsid w:val="00964459"/>
    <w:rsid w:val="00982219"/>
    <w:rsid w:val="009872D6"/>
    <w:rsid w:val="00990CCC"/>
    <w:rsid w:val="00993F3D"/>
    <w:rsid w:val="009A6E39"/>
    <w:rsid w:val="009C4BE9"/>
    <w:rsid w:val="009C60C3"/>
    <w:rsid w:val="009D1DBA"/>
    <w:rsid w:val="009D4721"/>
    <w:rsid w:val="009D6547"/>
    <w:rsid w:val="009D7A7C"/>
    <w:rsid w:val="009E01CF"/>
    <w:rsid w:val="009E41B6"/>
    <w:rsid w:val="009E43BE"/>
    <w:rsid w:val="009F5F06"/>
    <w:rsid w:val="009F7083"/>
    <w:rsid w:val="009F7509"/>
    <w:rsid w:val="00A02C57"/>
    <w:rsid w:val="00A05891"/>
    <w:rsid w:val="00A14897"/>
    <w:rsid w:val="00A164D6"/>
    <w:rsid w:val="00A2057B"/>
    <w:rsid w:val="00A20EBB"/>
    <w:rsid w:val="00A25EA0"/>
    <w:rsid w:val="00A3208B"/>
    <w:rsid w:val="00A32E5E"/>
    <w:rsid w:val="00A3331A"/>
    <w:rsid w:val="00A34403"/>
    <w:rsid w:val="00A35DF8"/>
    <w:rsid w:val="00A4762C"/>
    <w:rsid w:val="00A54F43"/>
    <w:rsid w:val="00A557F7"/>
    <w:rsid w:val="00A55A57"/>
    <w:rsid w:val="00A56AA0"/>
    <w:rsid w:val="00A645FC"/>
    <w:rsid w:val="00A65353"/>
    <w:rsid w:val="00A76286"/>
    <w:rsid w:val="00A77A35"/>
    <w:rsid w:val="00A95417"/>
    <w:rsid w:val="00A95DCC"/>
    <w:rsid w:val="00AA7D8A"/>
    <w:rsid w:val="00AB0232"/>
    <w:rsid w:val="00AB77CD"/>
    <w:rsid w:val="00AC1328"/>
    <w:rsid w:val="00AC579D"/>
    <w:rsid w:val="00AE6203"/>
    <w:rsid w:val="00AE7789"/>
    <w:rsid w:val="00AE7998"/>
    <w:rsid w:val="00AF1160"/>
    <w:rsid w:val="00B05B13"/>
    <w:rsid w:val="00B06B75"/>
    <w:rsid w:val="00B209FF"/>
    <w:rsid w:val="00B220B2"/>
    <w:rsid w:val="00B2233D"/>
    <w:rsid w:val="00B30880"/>
    <w:rsid w:val="00B40AFF"/>
    <w:rsid w:val="00B42A96"/>
    <w:rsid w:val="00B434CE"/>
    <w:rsid w:val="00B671E8"/>
    <w:rsid w:val="00B71386"/>
    <w:rsid w:val="00B74483"/>
    <w:rsid w:val="00B817AD"/>
    <w:rsid w:val="00B84D8F"/>
    <w:rsid w:val="00B853DD"/>
    <w:rsid w:val="00B94F52"/>
    <w:rsid w:val="00BA4ADC"/>
    <w:rsid w:val="00BB167D"/>
    <w:rsid w:val="00BB6316"/>
    <w:rsid w:val="00BC4805"/>
    <w:rsid w:val="00BF30F3"/>
    <w:rsid w:val="00C004FC"/>
    <w:rsid w:val="00C16C22"/>
    <w:rsid w:val="00C20489"/>
    <w:rsid w:val="00C22238"/>
    <w:rsid w:val="00C27529"/>
    <w:rsid w:val="00C32422"/>
    <w:rsid w:val="00C51768"/>
    <w:rsid w:val="00C53DAD"/>
    <w:rsid w:val="00C6156F"/>
    <w:rsid w:val="00C63D50"/>
    <w:rsid w:val="00C65CB6"/>
    <w:rsid w:val="00C7057E"/>
    <w:rsid w:val="00C757A9"/>
    <w:rsid w:val="00C84B62"/>
    <w:rsid w:val="00C873B3"/>
    <w:rsid w:val="00C90C07"/>
    <w:rsid w:val="00C95573"/>
    <w:rsid w:val="00CA337D"/>
    <w:rsid w:val="00CA34FD"/>
    <w:rsid w:val="00CB4A93"/>
    <w:rsid w:val="00CC57A8"/>
    <w:rsid w:val="00CC6891"/>
    <w:rsid w:val="00CC7682"/>
    <w:rsid w:val="00CD7DBA"/>
    <w:rsid w:val="00CE0F1B"/>
    <w:rsid w:val="00CE3C07"/>
    <w:rsid w:val="00CF09D9"/>
    <w:rsid w:val="00CF2D2D"/>
    <w:rsid w:val="00D035A9"/>
    <w:rsid w:val="00D04BFC"/>
    <w:rsid w:val="00D34876"/>
    <w:rsid w:val="00D3512C"/>
    <w:rsid w:val="00D35884"/>
    <w:rsid w:val="00D36A33"/>
    <w:rsid w:val="00D413C4"/>
    <w:rsid w:val="00D56EBB"/>
    <w:rsid w:val="00D5725E"/>
    <w:rsid w:val="00D57F29"/>
    <w:rsid w:val="00D66E1D"/>
    <w:rsid w:val="00D703A4"/>
    <w:rsid w:val="00D70F55"/>
    <w:rsid w:val="00D73615"/>
    <w:rsid w:val="00D73B3A"/>
    <w:rsid w:val="00D7454E"/>
    <w:rsid w:val="00D7637B"/>
    <w:rsid w:val="00D81946"/>
    <w:rsid w:val="00D94023"/>
    <w:rsid w:val="00DA2A5F"/>
    <w:rsid w:val="00DA2A91"/>
    <w:rsid w:val="00DB344E"/>
    <w:rsid w:val="00DB6A20"/>
    <w:rsid w:val="00DD1819"/>
    <w:rsid w:val="00DD4F5F"/>
    <w:rsid w:val="00DD6284"/>
    <w:rsid w:val="00DF4342"/>
    <w:rsid w:val="00E17C6B"/>
    <w:rsid w:val="00E2218A"/>
    <w:rsid w:val="00E23389"/>
    <w:rsid w:val="00E24A10"/>
    <w:rsid w:val="00E251E6"/>
    <w:rsid w:val="00E37FFA"/>
    <w:rsid w:val="00E41407"/>
    <w:rsid w:val="00E52107"/>
    <w:rsid w:val="00E548B8"/>
    <w:rsid w:val="00E57899"/>
    <w:rsid w:val="00E676F5"/>
    <w:rsid w:val="00E710BF"/>
    <w:rsid w:val="00E72B43"/>
    <w:rsid w:val="00E75E51"/>
    <w:rsid w:val="00E86200"/>
    <w:rsid w:val="00E863FB"/>
    <w:rsid w:val="00E921CF"/>
    <w:rsid w:val="00EB4072"/>
    <w:rsid w:val="00EC1A86"/>
    <w:rsid w:val="00ED1B50"/>
    <w:rsid w:val="00ED55C0"/>
    <w:rsid w:val="00ED7378"/>
    <w:rsid w:val="00EE20C0"/>
    <w:rsid w:val="00EF3BBD"/>
    <w:rsid w:val="00F01FA8"/>
    <w:rsid w:val="00F12F34"/>
    <w:rsid w:val="00F14F10"/>
    <w:rsid w:val="00F22DD1"/>
    <w:rsid w:val="00F24EB1"/>
    <w:rsid w:val="00F427C9"/>
    <w:rsid w:val="00F703B1"/>
    <w:rsid w:val="00F768FC"/>
    <w:rsid w:val="00F846A7"/>
    <w:rsid w:val="00F853B7"/>
    <w:rsid w:val="00FA226D"/>
    <w:rsid w:val="00FA2943"/>
    <w:rsid w:val="00FA3540"/>
    <w:rsid w:val="00FA64BF"/>
    <w:rsid w:val="00FA6E13"/>
    <w:rsid w:val="00FB4467"/>
    <w:rsid w:val="00FB5DAD"/>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1522">
      <w:bodyDiv w:val="1"/>
      <w:marLeft w:val="0"/>
      <w:marRight w:val="0"/>
      <w:marTop w:val="0"/>
      <w:marBottom w:val="0"/>
      <w:divBdr>
        <w:top w:val="none" w:sz="0" w:space="0" w:color="auto"/>
        <w:left w:val="none" w:sz="0" w:space="0" w:color="auto"/>
        <w:bottom w:val="none" w:sz="0" w:space="0" w:color="auto"/>
        <w:right w:val="none" w:sz="0" w:space="0" w:color="auto"/>
      </w:divBdr>
    </w:div>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binetoffice.gov.uk/sites/default/files/resources/hmg-personnel-security-control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invoices-HAS-U@sscl.gs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133A-3DB4-43D8-9EC2-CE5FE5ED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2412</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16365</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creator>joneill</dc:creator>
  <cp:lastModifiedBy>Name</cp:lastModifiedBy>
  <cp:revision>3</cp:revision>
  <cp:lastPrinted>2019-04-12T08:52:00Z</cp:lastPrinted>
  <dcterms:created xsi:type="dcterms:W3CDTF">2019-04-24T07:24:00Z</dcterms:created>
  <dcterms:modified xsi:type="dcterms:W3CDTF">2019-04-24T07:32:00Z</dcterms:modified>
</cp:coreProperties>
</file>