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537E1AA1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RM6208</w:t>
      </w:r>
      <w:r w:rsidR="0047091F" w:rsidRPr="0047091F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47091F" w:rsidRPr="0047091F">
        <w:rPr>
          <w:rFonts w:ascii="Arial" w:eastAsia="Arial" w:hAnsi="Arial" w:cs="Arial"/>
          <w:sz w:val="22"/>
          <w:szCs w:val="22"/>
          <w:highlight w:val="white"/>
        </w:rPr>
        <w:t>RM6208 Debt Management Services</w:t>
      </w:r>
      <w:r w:rsidRPr="0047091F">
        <w:rPr>
          <w:rFonts w:ascii="Arial" w:eastAsia="Calibri" w:hAnsi="Arial" w:cs="Arial"/>
        </w:rPr>
        <w:t xml:space="preserve"> 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9A35BA" w:rsidRPr="0047091F">
        <w:rPr>
          <w:rFonts w:ascii="Arial" w:eastAsia="Calibri" w:hAnsi="Arial" w:cs="Arial"/>
          <w:lang w:val="en-GB"/>
        </w:rPr>
        <w:t xml:space="preserve">that exist on </w:t>
      </w:r>
      <w:r w:rsidR="0047091F">
        <w:rPr>
          <w:rFonts w:ascii="Arial" w:eastAsia="Calibri" w:hAnsi="Arial" w:cs="Arial"/>
          <w:lang w:val="en-GB"/>
        </w:rPr>
        <w:t>18/03</w:t>
      </w:r>
      <w:r w:rsidR="00EC3030">
        <w:rPr>
          <w:rFonts w:ascii="Arial" w:eastAsia="Calibri" w:hAnsi="Arial" w:cs="Arial"/>
          <w:lang w:val="en-GB"/>
        </w:rPr>
        <w:t>/2020</w:t>
      </w:r>
      <w:bookmarkStart w:id="0" w:name="_GoBack"/>
      <w:bookmarkEnd w:id="0"/>
      <w:r w:rsidR="00C42571" w:rsidRPr="0047091F">
        <w:rPr>
          <w:rFonts w:ascii="Arial" w:eastAsia="Calibri" w:hAnsi="Arial" w:cs="Arial"/>
          <w:lang w:val="en-GB"/>
        </w:rPr>
        <w:t>,</w:t>
      </w:r>
      <w:r w:rsidR="004D2FD0" w:rsidRPr="0047091F">
        <w:rPr>
          <w:rFonts w:ascii="Arial" w:eastAsia="Calibri" w:hAnsi="Arial" w:cs="Arial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5B64F" w14:textId="77777777" w:rsidR="009773B6" w:rsidRDefault="009773B6" w:rsidP="000F07AF">
      <w:r>
        <w:separator/>
      </w:r>
    </w:p>
  </w:endnote>
  <w:endnote w:type="continuationSeparator" w:id="0">
    <w:p w14:paraId="1CD1E0AC" w14:textId="77777777" w:rsidR="009773B6" w:rsidRDefault="009773B6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E9AE8" w14:textId="77777777" w:rsidR="009773B6" w:rsidRDefault="009773B6" w:rsidP="000F07AF">
      <w:r>
        <w:separator/>
      </w:r>
    </w:p>
  </w:footnote>
  <w:footnote w:type="continuationSeparator" w:id="0">
    <w:p w14:paraId="7573A6DC" w14:textId="77777777" w:rsidR="009773B6" w:rsidRDefault="009773B6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091F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624A9"/>
    <w:rsid w:val="00680E59"/>
    <w:rsid w:val="006B0F9D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317C3"/>
    <w:rsid w:val="00942098"/>
    <w:rsid w:val="009773B6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2236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Richard Landor</cp:lastModifiedBy>
  <cp:revision>2</cp:revision>
  <cp:lastPrinted>2017-11-20T12:15:00Z</cp:lastPrinted>
  <dcterms:created xsi:type="dcterms:W3CDTF">2020-03-18T13:19:00Z</dcterms:created>
  <dcterms:modified xsi:type="dcterms:W3CDTF">2020-03-18T13:19:00Z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