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B739A" w:rsidRDefault="008B739A" w:rsidP="00F27B0E">
      <w:pPr>
        <w:spacing w:after="0"/>
        <w:rPr>
          <w:rFonts w:ascii="Arial" w:hAnsi="Arial" w:cs="Arial"/>
          <w:sz w:val="28"/>
          <w:szCs w:val="28"/>
        </w:rPr>
      </w:pPr>
    </w:p>
    <w:p w:rsidR="00F27B0E" w:rsidRPr="00F27B0E" w:rsidRDefault="00F27B0E" w:rsidP="00F27B0E">
      <w:pPr>
        <w:spacing w:after="0"/>
        <w:rPr>
          <w:rFonts w:ascii="Arial" w:hAnsi="Arial" w:cs="Arial"/>
          <w:sz w:val="28"/>
          <w:szCs w:val="28"/>
        </w:rPr>
      </w:pPr>
    </w:p>
    <w:p w:rsidR="00F27B0E" w:rsidRPr="00F27B0E" w:rsidRDefault="00F27B0E" w:rsidP="00F27B0E">
      <w:pPr>
        <w:spacing w:after="0"/>
        <w:rPr>
          <w:rFonts w:ascii="Arial" w:hAnsi="Arial" w:cs="Arial"/>
          <w:sz w:val="28"/>
          <w:szCs w:val="28"/>
        </w:rPr>
      </w:pPr>
    </w:p>
    <w:p w:rsidR="00F27B0E" w:rsidRPr="00F27B0E" w:rsidRDefault="00F27B0E" w:rsidP="00F27B0E">
      <w:pPr>
        <w:spacing w:after="0"/>
        <w:rPr>
          <w:rFonts w:ascii="Arial" w:hAnsi="Arial" w:cs="Arial"/>
          <w:sz w:val="28"/>
          <w:szCs w:val="28"/>
        </w:rPr>
      </w:pPr>
    </w:p>
    <w:p w:rsidR="003A730F" w:rsidRPr="00F27B0E" w:rsidRDefault="003A730F" w:rsidP="00F27B0E">
      <w:pPr>
        <w:spacing w:after="0"/>
        <w:rPr>
          <w:rFonts w:ascii="Arial" w:hAnsi="Arial" w:cs="Arial"/>
          <w:b/>
          <w:sz w:val="28"/>
          <w:szCs w:val="28"/>
        </w:rPr>
      </w:pPr>
      <w:r w:rsidRPr="00F27B0E">
        <w:rPr>
          <w:rFonts w:ascii="Arial" w:hAnsi="Arial" w:cs="Arial"/>
          <w:b/>
          <w:sz w:val="28"/>
          <w:szCs w:val="28"/>
        </w:rPr>
        <w:t>Service Specification</w:t>
      </w:r>
    </w:p>
    <w:p w:rsidR="003A730F" w:rsidRPr="00F27B0E" w:rsidRDefault="003A730F" w:rsidP="00F27B0E">
      <w:pPr>
        <w:spacing w:after="0"/>
        <w:rPr>
          <w:rFonts w:ascii="Arial" w:hAnsi="Arial" w:cs="Arial"/>
          <w:sz w:val="28"/>
          <w:szCs w:val="28"/>
        </w:rPr>
      </w:pPr>
      <w:r w:rsidRPr="00F27B0E">
        <w:rPr>
          <w:rFonts w:ascii="Arial" w:hAnsi="Arial" w:cs="Arial"/>
          <w:noProof/>
          <w:sz w:val="28"/>
          <w:szCs w:val="28"/>
          <w:lang w:eastAsia="en-GB"/>
        </w:rPr>
        <mc:AlternateContent>
          <mc:Choice Requires="wps">
            <w:drawing>
              <wp:anchor distT="4294967294" distB="4294967294" distL="114300" distR="114300" simplePos="0" relativeHeight="251658240" behindDoc="0" locked="0" layoutInCell="1" allowOverlap="1" wp14:anchorId="635649B1" wp14:editId="0055FE52">
                <wp:simplePos x="0" y="0"/>
                <wp:positionH relativeFrom="column">
                  <wp:posOffset>20955</wp:posOffset>
                </wp:positionH>
                <wp:positionV relativeFrom="paragraph">
                  <wp:posOffset>130809</wp:posOffset>
                </wp:positionV>
                <wp:extent cx="42291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5pt;margin-top:10.3pt;width:333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b7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sMlmkC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"/>
            </w:pict>
          </mc:Fallback>
        </mc:AlternateContent>
      </w:r>
    </w:p>
    <w:p w:rsidR="003A730F" w:rsidRDefault="003A730F" w:rsidP="00F27B0E">
      <w:pPr>
        <w:spacing w:after="0"/>
        <w:rPr>
          <w:rFonts w:ascii="Arial" w:hAnsi="Arial" w:cs="Arial"/>
          <w:sz w:val="28"/>
          <w:szCs w:val="28"/>
        </w:rPr>
      </w:pPr>
    </w:p>
    <w:p w:rsidR="00F27B0E" w:rsidRPr="00F27B0E" w:rsidRDefault="00F27B0E" w:rsidP="00F27B0E">
      <w:pPr>
        <w:spacing w:after="0"/>
        <w:rPr>
          <w:rFonts w:ascii="Arial" w:hAnsi="Arial" w:cs="Arial"/>
          <w:sz w:val="28"/>
          <w:szCs w:val="28"/>
        </w:rPr>
      </w:pPr>
    </w:p>
    <w:p w:rsidR="003A730F" w:rsidRDefault="00E04FAF" w:rsidP="00F27B0E">
      <w:pPr>
        <w:spacing w:after="0"/>
        <w:rPr>
          <w:rFonts w:ascii="Arial" w:hAnsi="Arial" w:cs="Arial"/>
          <w:sz w:val="28"/>
          <w:szCs w:val="28"/>
        </w:rPr>
      </w:pPr>
      <w:r w:rsidRPr="00F27B0E">
        <w:rPr>
          <w:rFonts w:ascii="Arial" w:hAnsi="Arial" w:cs="Arial"/>
          <w:sz w:val="28"/>
          <w:szCs w:val="28"/>
        </w:rPr>
        <w:t>For the p</w:t>
      </w:r>
      <w:r w:rsidR="003A730F" w:rsidRPr="00F27B0E">
        <w:rPr>
          <w:rFonts w:ascii="Arial" w:hAnsi="Arial" w:cs="Arial"/>
          <w:sz w:val="28"/>
          <w:szCs w:val="28"/>
        </w:rPr>
        <w:t>rovision of:</w:t>
      </w:r>
    </w:p>
    <w:p w:rsidR="00F27B0E" w:rsidRDefault="00F27B0E" w:rsidP="00F27B0E">
      <w:pPr>
        <w:spacing w:after="0"/>
        <w:rPr>
          <w:rFonts w:ascii="Arial" w:hAnsi="Arial" w:cs="Arial"/>
          <w:sz w:val="28"/>
          <w:szCs w:val="28"/>
        </w:rPr>
      </w:pPr>
    </w:p>
    <w:p w:rsidR="00F27B0E" w:rsidRDefault="00F27B0E" w:rsidP="00F27B0E">
      <w:pPr>
        <w:spacing w:after="0"/>
        <w:rPr>
          <w:rFonts w:ascii="Arial" w:hAnsi="Arial" w:cs="Arial"/>
          <w:sz w:val="28"/>
          <w:szCs w:val="28"/>
        </w:rPr>
      </w:pPr>
    </w:p>
    <w:p w:rsidR="003A730F" w:rsidRPr="00F27B0E" w:rsidRDefault="00B512ED" w:rsidP="00F27B0E">
      <w:pPr>
        <w:spacing w:after="0"/>
        <w:rPr>
          <w:rFonts w:ascii="Arial" w:hAnsi="Arial" w:cs="Arial"/>
          <w:b/>
          <w:bCs/>
          <w:color w:val="548DD4" w:themeColor="text2" w:themeTint="99"/>
          <w:sz w:val="28"/>
          <w:szCs w:val="28"/>
        </w:rPr>
      </w:pPr>
      <w:r>
        <w:rPr>
          <w:rFonts w:ascii="Arial" w:hAnsi="Arial" w:cs="Arial"/>
          <w:b/>
          <w:bCs/>
          <w:color w:val="548DD4" w:themeColor="text2" w:themeTint="99"/>
          <w:sz w:val="28"/>
          <w:szCs w:val="28"/>
        </w:rPr>
        <w:t>Access to and management of p</w:t>
      </w:r>
      <w:r w:rsidR="00826E2F" w:rsidRPr="00F27B0E">
        <w:rPr>
          <w:rFonts w:ascii="Arial" w:hAnsi="Arial" w:cs="Arial"/>
          <w:b/>
          <w:bCs/>
          <w:color w:val="548DD4" w:themeColor="text2" w:themeTint="99"/>
          <w:sz w:val="28"/>
          <w:szCs w:val="28"/>
        </w:rPr>
        <w:t xml:space="preserve">rimary and </w:t>
      </w:r>
      <w:r>
        <w:rPr>
          <w:rFonts w:ascii="Arial" w:hAnsi="Arial" w:cs="Arial"/>
          <w:b/>
          <w:bCs/>
          <w:color w:val="548DD4" w:themeColor="text2" w:themeTint="99"/>
          <w:sz w:val="28"/>
          <w:szCs w:val="28"/>
        </w:rPr>
        <w:t>s</w:t>
      </w:r>
      <w:r w:rsidR="00826E2F" w:rsidRPr="00F27B0E">
        <w:rPr>
          <w:rFonts w:ascii="Arial" w:hAnsi="Arial" w:cs="Arial"/>
          <w:b/>
          <w:bCs/>
          <w:color w:val="548DD4" w:themeColor="text2" w:themeTint="99"/>
          <w:sz w:val="28"/>
          <w:szCs w:val="28"/>
        </w:rPr>
        <w:t>econ</w:t>
      </w:r>
      <w:r w:rsidR="00F27B0E" w:rsidRPr="00F27B0E">
        <w:rPr>
          <w:rFonts w:ascii="Arial" w:hAnsi="Arial" w:cs="Arial"/>
          <w:b/>
          <w:bCs/>
          <w:color w:val="548DD4" w:themeColor="text2" w:themeTint="99"/>
          <w:sz w:val="28"/>
          <w:szCs w:val="28"/>
        </w:rPr>
        <w:t xml:space="preserve">dary </w:t>
      </w:r>
      <w:r>
        <w:rPr>
          <w:rFonts w:ascii="Arial" w:hAnsi="Arial" w:cs="Arial"/>
          <w:b/>
          <w:bCs/>
          <w:color w:val="548DD4" w:themeColor="text2" w:themeTint="99"/>
          <w:sz w:val="28"/>
          <w:szCs w:val="28"/>
        </w:rPr>
        <w:t>c</w:t>
      </w:r>
      <w:r w:rsidR="00F27B0E" w:rsidRPr="00F27B0E">
        <w:rPr>
          <w:rFonts w:ascii="Arial" w:hAnsi="Arial" w:cs="Arial"/>
          <w:b/>
          <w:bCs/>
          <w:color w:val="548DD4" w:themeColor="text2" w:themeTint="99"/>
          <w:sz w:val="28"/>
          <w:szCs w:val="28"/>
        </w:rPr>
        <w:t>are data to support Stoke-on-</w:t>
      </w:r>
      <w:r w:rsidR="00826E2F" w:rsidRPr="00F27B0E">
        <w:rPr>
          <w:rFonts w:ascii="Arial" w:hAnsi="Arial" w:cs="Arial"/>
          <w:b/>
          <w:bCs/>
          <w:color w:val="548DD4" w:themeColor="text2" w:themeTint="99"/>
          <w:sz w:val="28"/>
          <w:szCs w:val="28"/>
        </w:rPr>
        <w:t>Trent City Co</w:t>
      </w:r>
      <w:r w:rsidR="00F27B0E" w:rsidRPr="00F27B0E">
        <w:rPr>
          <w:rFonts w:ascii="Arial" w:hAnsi="Arial" w:cs="Arial"/>
          <w:b/>
          <w:bCs/>
          <w:color w:val="548DD4" w:themeColor="text2" w:themeTint="99"/>
          <w:sz w:val="28"/>
          <w:szCs w:val="28"/>
        </w:rPr>
        <w:t>uncil’s Public Health functions</w:t>
      </w:r>
    </w:p>
    <w:p w:rsidR="003A730F" w:rsidRDefault="003A730F" w:rsidP="00F27B0E">
      <w:pPr>
        <w:spacing w:after="0"/>
        <w:rPr>
          <w:rFonts w:ascii="Arial" w:hAnsi="Arial" w:cs="Arial"/>
          <w:sz w:val="28"/>
          <w:szCs w:val="28"/>
        </w:rPr>
      </w:pPr>
    </w:p>
    <w:p w:rsidR="00F27B0E" w:rsidRPr="00F27B0E" w:rsidRDefault="00F27B0E" w:rsidP="00F27B0E">
      <w:pPr>
        <w:spacing w:after="0"/>
        <w:rPr>
          <w:rFonts w:ascii="Arial" w:hAnsi="Arial" w:cs="Arial"/>
          <w:sz w:val="28"/>
          <w:szCs w:val="28"/>
        </w:rPr>
      </w:pPr>
    </w:p>
    <w:p w:rsidR="003A730F" w:rsidRPr="00F27B0E" w:rsidRDefault="00F27B0E" w:rsidP="00F27B0E">
      <w:pPr>
        <w:spacing w:after="0"/>
        <w:rPr>
          <w:rFonts w:ascii="Arial" w:hAnsi="Arial" w:cs="Arial"/>
          <w:sz w:val="28"/>
          <w:szCs w:val="28"/>
        </w:rPr>
      </w:pPr>
      <w:r>
        <w:rPr>
          <w:rFonts w:ascii="Arial" w:hAnsi="Arial" w:cs="Arial"/>
          <w:sz w:val="28"/>
          <w:szCs w:val="28"/>
        </w:rPr>
        <w:t xml:space="preserve">On behalf of Stoke-on-Trent </w:t>
      </w:r>
      <w:r w:rsidR="00B512ED">
        <w:rPr>
          <w:rFonts w:ascii="Arial" w:hAnsi="Arial" w:cs="Arial"/>
          <w:sz w:val="28"/>
          <w:szCs w:val="28"/>
        </w:rPr>
        <w:t>City Council</w:t>
      </w:r>
    </w:p>
    <w:p w:rsidR="003A730F" w:rsidRDefault="003A730F" w:rsidP="00F27B0E">
      <w:pPr>
        <w:spacing w:after="0"/>
        <w:rPr>
          <w:rFonts w:ascii="Arial" w:hAnsi="Arial" w:cs="Arial"/>
          <w:sz w:val="28"/>
          <w:szCs w:val="28"/>
        </w:rPr>
      </w:pPr>
    </w:p>
    <w:p w:rsidR="00F27B0E" w:rsidRDefault="00F27B0E" w:rsidP="00F27B0E">
      <w:pPr>
        <w:spacing w:after="0"/>
        <w:rPr>
          <w:rFonts w:ascii="Arial" w:hAnsi="Arial" w:cs="Arial"/>
          <w:sz w:val="28"/>
          <w:szCs w:val="28"/>
        </w:rPr>
      </w:pPr>
    </w:p>
    <w:p w:rsidR="00F27B0E" w:rsidRDefault="00F27B0E" w:rsidP="00F27B0E">
      <w:pPr>
        <w:spacing w:after="0"/>
        <w:rPr>
          <w:rFonts w:ascii="Arial" w:hAnsi="Arial" w:cs="Arial"/>
          <w:sz w:val="28"/>
          <w:szCs w:val="28"/>
        </w:rPr>
      </w:pPr>
    </w:p>
    <w:p w:rsidR="00F27B0E" w:rsidRPr="00F27B0E" w:rsidRDefault="00F27B0E" w:rsidP="00F27B0E">
      <w:pPr>
        <w:spacing w:after="0"/>
        <w:rPr>
          <w:rFonts w:ascii="Arial" w:hAnsi="Arial" w:cs="Arial"/>
          <w:sz w:val="28"/>
          <w:szCs w:val="28"/>
        </w:rPr>
      </w:pPr>
      <w:r>
        <w:rPr>
          <w:rFonts w:ascii="Arial" w:hAnsi="Arial" w:cs="Arial"/>
          <w:b/>
          <w:sz w:val="28"/>
          <w:szCs w:val="28"/>
        </w:rPr>
        <w:t>Date: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8F3A06">
        <w:rPr>
          <w:rFonts w:ascii="Arial" w:hAnsi="Arial" w:cs="Arial"/>
          <w:sz w:val="28"/>
          <w:szCs w:val="28"/>
        </w:rPr>
        <w:t xml:space="preserve">February </w:t>
      </w:r>
      <w:r>
        <w:rPr>
          <w:rFonts w:ascii="Arial" w:hAnsi="Arial" w:cs="Arial"/>
          <w:sz w:val="28"/>
          <w:szCs w:val="28"/>
        </w:rPr>
        <w:t>2017</w:t>
      </w:r>
    </w:p>
    <w:p w:rsidR="00F27B0E" w:rsidRDefault="00F27B0E" w:rsidP="00F27B0E">
      <w:pPr>
        <w:spacing w:after="0"/>
        <w:rPr>
          <w:rFonts w:ascii="Arial" w:hAnsi="Arial" w:cs="Arial"/>
          <w:sz w:val="28"/>
          <w:szCs w:val="28"/>
        </w:rPr>
      </w:pPr>
    </w:p>
    <w:p w:rsidR="00F27B0E" w:rsidRDefault="00F27B0E" w:rsidP="00F27B0E">
      <w:pPr>
        <w:spacing w:after="0"/>
        <w:rPr>
          <w:rFonts w:ascii="Arial" w:hAnsi="Arial" w:cs="Arial"/>
          <w:sz w:val="28"/>
          <w:szCs w:val="28"/>
        </w:rPr>
      </w:pPr>
    </w:p>
    <w:p w:rsidR="00F27B0E" w:rsidRPr="00F27B0E" w:rsidRDefault="00F27B0E" w:rsidP="00F27B0E">
      <w:pPr>
        <w:spacing w:after="0"/>
        <w:rPr>
          <w:rFonts w:ascii="Arial" w:hAnsi="Arial" w:cs="Arial"/>
          <w:sz w:val="28"/>
          <w:szCs w:val="28"/>
        </w:rPr>
      </w:pPr>
      <w:r>
        <w:rPr>
          <w:rFonts w:ascii="Arial" w:hAnsi="Arial" w:cs="Arial"/>
          <w:b/>
          <w:sz w:val="28"/>
          <w:szCs w:val="28"/>
        </w:rPr>
        <w:t>Lead Officer:</w:t>
      </w:r>
      <w:r>
        <w:rPr>
          <w:rFonts w:ascii="Arial" w:hAnsi="Arial" w:cs="Arial"/>
          <w:sz w:val="28"/>
          <w:szCs w:val="28"/>
        </w:rPr>
        <w:tab/>
      </w:r>
      <w:r>
        <w:rPr>
          <w:rFonts w:ascii="Arial" w:hAnsi="Arial" w:cs="Arial"/>
          <w:sz w:val="28"/>
          <w:szCs w:val="28"/>
        </w:rPr>
        <w:tab/>
      </w:r>
      <w:r>
        <w:rPr>
          <w:rFonts w:ascii="Arial" w:hAnsi="Arial" w:cs="Arial"/>
          <w:sz w:val="28"/>
          <w:szCs w:val="28"/>
        </w:rPr>
        <w:tab/>
        <w:t>Alistair Fisher</w:t>
      </w:r>
    </w:p>
    <w:p w:rsidR="00F27B0E" w:rsidRDefault="00F27B0E" w:rsidP="00F27B0E">
      <w:pPr>
        <w:spacing w:after="0"/>
        <w:rPr>
          <w:rFonts w:ascii="Arial" w:hAnsi="Arial" w:cs="Arial"/>
          <w:sz w:val="28"/>
          <w:szCs w:val="28"/>
        </w:rPr>
      </w:pPr>
    </w:p>
    <w:p w:rsidR="00F27B0E" w:rsidRDefault="00F27B0E" w:rsidP="00F27B0E">
      <w:pPr>
        <w:spacing w:after="0"/>
        <w:rPr>
          <w:rFonts w:ascii="Arial" w:hAnsi="Arial" w:cs="Arial"/>
          <w:sz w:val="28"/>
          <w:szCs w:val="28"/>
        </w:rPr>
      </w:pPr>
    </w:p>
    <w:p w:rsidR="00F27B0E" w:rsidRPr="00F27B0E" w:rsidRDefault="00F27B0E" w:rsidP="00F27B0E">
      <w:pPr>
        <w:spacing w:after="0"/>
        <w:rPr>
          <w:rFonts w:ascii="Arial" w:hAnsi="Arial" w:cs="Arial"/>
          <w:sz w:val="28"/>
          <w:szCs w:val="28"/>
        </w:rPr>
      </w:pPr>
      <w:r>
        <w:rPr>
          <w:rFonts w:ascii="Arial" w:hAnsi="Arial" w:cs="Arial"/>
          <w:b/>
          <w:sz w:val="28"/>
          <w:szCs w:val="28"/>
        </w:rPr>
        <w:t>Contract Reference:</w:t>
      </w:r>
      <w:r>
        <w:rPr>
          <w:rFonts w:ascii="Arial" w:hAnsi="Arial" w:cs="Arial"/>
          <w:sz w:val="28"/>
          <w:szCs w:val="28"/>
        </w:rPr>
        <w:tab/>
      </w:r>
      <w:r>
        <w:rPr>
          <w:rFonts w:ascii="Arial" w:hAnsi="Arial" w:cs="Arial"/>
          <w:sz w:val="28"/>
          <w:szCs w:val="28"/>
        </w:rPr>
        <w:tab/>
      </w:r>
      <w:r w:rsidR="0081273B">
        <w:rPr>
          <w:rFonts w:ascii="Arial" w:hAnsi="Arial" w:cs="Arial"/>
          <w:sz w:val="28"/>
          <w:szCs w:val="28"/>
        </w:rPr>
        <w:t>PH/2017/</w:t>
      </w:r>
      <w:r w:rsidR="00B72A76" w:rsidRPr="00B72A76">
        <w:rPr>
          <w:rFonts w:ascii="Arial" w:hAnsi="Arial" w:cs="Arial"/>
          <w:sz w:val="28"/>
          <w:szCs w:val="28"/>
        </w:rPr>
        <w:t>226</w:t>
      </w:r>
    </w:p>
    <w:p w:rsidR="00DE2BC3" w:rsidRDefault="00DE2BC3" w:rsidP="00F27B0E">
      <w:pPr>
        <w:spacing w:after="0" w:line="240" w:lineRule="auto"/>
        <w:rPr>
          <w:rFonts w:ascii="Arial" w:eastAsia="MS ??" w:hAnsi="Arial" w:cs="Arial"/>
          <w:bCs/>
        </w:rPr>
      </w:pPr>
    </w:p>
    <w:p w:rsidR="00F27B0E" w:rsidRDefault="00F27B0E" w:rsidP="00F27B0E">
      <w:pPr>
        <w:spacing w:after="0" w:line="240" w:lineRule="auto"/>
        <w:rPr>
          <w:rFonts w:ascii="Arial" w:eastAsia="MS ??" w:hAnsi="Arial" w:cs="Arial"/>
          <w:bCs/>
        </w:rPr>
      </w:pPr>
    </w:p>
    <w:p w:rsidR="00F27B0E" w:rsidRPr="00F27B0E" w:rsidRDefault="00F27B0E" w:rsidP="00F27B0E">
      <w:pPr>
        <w:spacing w:after="0" w:line="240" w:lineRule="auto"/>
        <w:rPr>
          <w:rFonts w:ascii="Arial" w:eastAsia="MS ??" w:hAnsi="Arial" w:cs="Arial"/>
          <w:bCs/>
        </w:rPr>
      </w:pPr>
    </w:p>
    <w:p w:rsidR="00DE2BC3" w:rsidRPr="00F27B0E" w:rsidRDefault="00DE2BC3" w:rsidP="00F27B0E">
      <w:pPr>
        <w:spacing w:after="0" w:line="240" w:lineRule="auto"/>
        <w:rPr>
          <w:rFonts w:ascii="Arial" w:eastAsia="MS ??" w:hAnsi="Arial" w:cs="Arial"/>
          <w:bCs/>
        </w:rPr>
      </w:pPr>
    </w:p>
    <w:p w:rsidR="00DE2BC3" w:rsidRPr="00F27B0E" w:rsidRDefault="00DE2BC3" w:rsidP="00F27B0E">
      <w:pPr>
        <w:spacing w:after="0" w:line="240" w:lineRule="auto"/>
        <w:rPr>
          <w:rFonts w:ascii="Arial" w:eastAsia="MS ??" w:hAnsi="Arial" w:cs="Arial"/>
          <w:bCs/>
        </w:rPr>
      </w:pPr>
    </w:p>
    <w:p w:rsidR="00F27B0E" w:rsidRDefault="00F27B0E" w:rsidP="00F27B0E">
      <w:pPr>
        <w:spacing w:after="0" w:line="240" w:lineRule="auto"/>
        <w:rPr>
          <w:rFonts w:ascii="Arial" w:eastAsia="MS ??" w:hAnsi="Arial" w:cs="Arial"/>
          <w:bCs/>
        </w:rPr>
        <w:sectPr w:rsidR="00F27B0E" w:rsidSect="00CB3A17">
          <w:footerReference w:type="default" r:id="rId9"/>
          <w:pgSz w:w="11906" w:h="16838"/>
          <w:pgMar w:top="1440" w:right="1440" w:bottom="1440" w:left="1440" w:header="708" w:footer="708" w:gutter="0"/>
          <w:cols w:space="708"/>
          <w:titlePg/>
          <w:docGrid w:linePitch="360"/>
        </w:sectPr>
      </w:pPr>
    </w:p>
    <w:p w:rsidR="00DE2BC3" w:rsidRPr="00CB3A17" w:rsidRDefault="00F55361" w:rsidP="00F27B0E">
      <w:pPr>
        <w:spacing w:after="0" w:line="240" w:lineRule="auto"/>
        <w:rPr>
          <w:rFonts w:ascii="Arial" w:eastAsia="MS ??" w:hAnsi="Arial" w:cs="Arial"/>
          <w:b/>
          <w:bCs/>
          <w:color w:val="548DD4" w:themeColor="text2" w:themeTint="99"/>
        </w:rPr>
      </w:pPr>
      <w:r>
        <w:rPr>
          <w:rFonts w:ascii="Arial" w:eastAsia="MS ??" w:hAnsi="Arial" w:cs="Arial"/>
          <w:b/>
          <w:bCs/>
          <w:color w:val="548DD4" w:themeColor="text2" w:themeTint="99"/>
        </w:rPr>
        <w:lastRenderedPageBreak/>
        <w:t>1</w:t>
      </w:r>
      <w:r w:rsidR="00CB3A17" w:rsidRPr="00CB3A17">
        <w:rPr>
          <w:rFonts w:ascii="Arial" w:eastAsia="MS ??" w:hAnsi="Arial" w:cs="Arial"/>
          <w:b/>
          <w:bCs/>
          <w:color w:val="548DD4" w:themeColor="text2" w:themeTint="99"/>
        </w:rPr>
        <w:tab/>
        <w:t>Introduction</w:t>
      </w:r>
    </w:p>
    <w:p w:rsidR="00F27B0E" w:rsidRDefault="00F27B0E" w:rsidP="00F27B0E">
      <w:pPr>
        <w:spacing w:after="0" w:line="240" w:lineRule="auto"/>
        <w:rPr>
          <w:rFonts w:ascii="Arial" w:eastAsia="MS ??" w:hAnsi="Arial" w:cs="Arial"/>
          <w:bCs/>
        </w:rPr>
      </w:pPr>
    </w:p>
    <w:p w:rsidR="00F27B0E" w:rsidRDefault="00B400DC" w:rsidP="00B400DC">
      <w:pPr>
        <w:spacing w:after="0" w:line="240" w:lineRule="auto"/>
        <w:jc w:val="both"/>
        <w:rPr>
          <w:rFonts w:ascii="Arial" w:eastAsia="MS ??" w:hAnsi="Arial" w:cs="Arial"/>
          <w:bCs/>
        </w:rPr>
      </w:pPr>
      <w:r>
        <w:rPr>
          <w:rFonts w:ascii="Arial" w:eastAsia="MS ??" w:hAnsi="Arial" w:cs="Arial"/>
          <w:bCs/>
        </w:rPr>
        <w:t>The transfer of Public Health from the NHS to local gover</w:t>
      </w:r>
      <w:r w:rsidR="00B512ED">
        <w:rPr>
          <w:rFonts w:ascii="Arial" w:eastAsia="MS ??" w:hAnsi="Arial" w:cs="Arial"/>
          <w:bCs/>
        </w:rPr>
        <w:t xml:space="preserve">nment and Public Health England </w:t>
      </w:r>
      <w:r w:rsidR="004B4A7A">
        <w:rPr>
          <w:rFonts w:ascii="Arial" w:eastAsia="MS ??" w:hAnsi="Arial" w:cs="Arial"/>
          <w:bCs/>
        </w:rPr>
        <w:t xml:space="preserve">(PHE) </w:t>
      </w:r>
      <w:r>
        <w:rPr>
          <w:rFonts w:ascii="Arial" w:eastAsia="MS ??" w:hAnsi="Arial" w:cs="Arial"/>
          <w:bCs/>
        </w:rPr>
        <w:t>in April 2013 was one of the most significant extensions of local government powers and duties in a generation.  It represents a unique opportunity to change the focus from treating sickness to actively promoting health and wellbeing.</w:t>
      </w:r>
    </w:p>
    <w:p w:rsidR="00B400DC" w:rsidRDefault="00B400DC" w:rsidP="00B400DC">
      <w:pPr>
        <w:spacing w:after="0" w:line="240" w:lineRule="auto"/>
        <w:jc w:val="both"/>
        <w:rPr>
          <w:rFonts w:ascii="Arial" w:eastAsia="MS ??" w:hAnsi="Arial" w:cs="Arial"/>
          <w:bCs/>
        </w:rPr>
      </w:pPr>
    </w:p>
    <w:p w:rsidR="00B400DC" w:rsidRDefault="00B400DC" w:rsidP="00B400DC">
      <w:pPr>
        <w:spacing w:after="0" w:line="240" w:lineRule="auto"/>
        <w:jc w:val="both"/>
        <w:rPr>
          <w:rFonts w:ascii="Arial" w:eastAsia="MS ??" w:hAnsi="Arial" w:cs="Arial"/>
          <w:bCs/>
        </w:rPr>
      </w:pPr>
      <w:r>
        <w:rPr>
          <w:rFonts w:ascii="Arial" w:eastAsia="MS ??" w:hAnsi="Arial" w:cs="Arial"/>
          <w:bCs/>
        </w:rPr>
        <w:t xml:space="preserve">Single and upper-tier local </w:t>
      </w:r>
      <w:r w:rsidR="00E6519B">
        <w:rPr>
          <w:rFonts w:ascii="Arial" w:eastAsia="MS ??" w:hAnsi="Arial" w:cs="Arial"/>
          <w:bCs/>
        </w:rPr>
        <w:t>authorities</w:t>
      </w:r>
      <w:r>
        <w:rPr>
          <w:rFonts w:ascii="Arial" w:eastAsia="MS ??" w:hAnsi="Arial" w:cs="Arial"/>
          <w:bCs/>
        </w:rPr>
        <w:t xml:space="preserve"> will be responsible for a wide range of local public health and health improvement services and will receive a ring-fenced public health budget to meet their new duty.  To support the mandatory duties and to support the delivery of local priorities, access to and the management of primary and secondary care data is required which is fully compliant with NHS Information Governance and </w:t>
      </w:r>
      <w:r w:rsidR="00E6519B">
        <w:rPr>
          <w:rFonts w:ascii="Arial" w:eastAsia="MS ??" w:hAnsi="Arial" w:cs="Arial"/>
          <w:bCs/>
        </w:rPr>
        <w:t>Caldicott</w:t>
      </w:r>
      <w:r>
        <w:rPr>
          <w:rFonts w:ascii="Arial" w:eastAsia="MS ??" w:hAnsi="Arial" w:cs="Arial"/>
          <w:bCs/>
        </w:rPr>
        <w:t xml:space="preserve"> principles.</w:t>
      </w:r>
    </w:p>
    <w:p w:rsidR="00B400DC" w:rsidRDefault="00B400DC" w:rsidP="00B400DC">
      <w:pPr>
        <w:spacing w:after="0" w:line="240" w:lineRule="auto"/>
        <w:jc w:val="both"/>
        <w:rPr>
          <w:rFonts w:ascii="Arial" w:eastAsia="MS ??" w:hAnsi="Arial" w:cs="Arial"/>
          <w:bCs/>
        </w:rPr>
      </w:pPr>
    </w:p>
    <w:p w:rsidR="00B400DC" w:rsidRDefault="00B400DC" w:rsidP="00B400DC">
      <w:pPr>
        <w:spacing w:after="0" w:line="240" w:lineRule="auto"/>
        <w:jc w:val="both"/>
        <w:rPr>
          <w:rFonts w:ascii="Arial" w:eastAsia="MS ??" w:hAnsi="Arial" w:cs="Arial"/>
          <w:bCs/>
        </w:rPr>
      </w:pPr>
    </w:p>
    <w:p w:rsidR="00B400DC" w:rsidRPr="00B400DC" w:rsidRDefault="00F55361" w:rsidP="00B400DC">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2</w:t>
      </w:r>
      <w:r w:rsidR="00B400DC">
        <w:rPr>
          <w:rFonts w:ascii="Arial" w:eastAsia="MS ??" w:hAnsi="Arial" w:cs="Arial"/>
          <w:b/>
          <w:bCs/>
          <w:color w:val="548DD4" w:themeColor="text2" w:themeTint="99"/>
        </w:rPr>
        <w:tab/>
        <w:t>Scope</w:t>
      </w:r>
    </w:p>
    <w:p w:rsidR="00F27B0E" w:rsidRDefault="00F27B0E" w:rsidP="00B400DC">
      <w:pPr>
        <w:spacing w:after="0" w:line="240" w:lineRule="auto"/>
        <w:jc w:val="both"/>
        <w:rPr>
          <w:rFonts w:ascii="Arial" w:eastAsia="MS ??" w:hAnsi="Arial" w:cs="Arial"/>
          <w:bCs/>
        </w:rPr>
      </w:pPr>
    </w:p>
    <w:p w:rsidR="00F27B0E" w:rsidRPr="00B400DC" w:rsidRDefault="00B400DC" w:rsidP="00B400DC">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2.1</w:t>
      </w:r>
      <w:r>
        <w:rPr>
          <w:rFonts w:ascii="Arial" w:eastAsia="MS ??" w:hAnsi="Arial" w:cs="Arial"/>
          <w:b/>
          <w:bCs/>
          <w:color w:val="548DD4" w:themeColor="text2" w:themeTint="99"/>
        </w:rPr>
        <w:tab/>
        <w:t>Aims of the service</w:t>
      </w:r>
    </w:p>
    <w:p w:rsidR="00F27B0E" w:rsidRDefault="00F27B0E" w:rsidP="00B400DC">
      <w:pPr>
        <w:spacing w:after="0" w:line="240" w:lineRule="auto"/>
        <w:jc w:val="both"/>
        <w:rPr>
          <w:rFonts w:ascii="Arial" w:eastAsia="MS ??" w:hAnsi="Arial" w:cs="Arial"/>
          <w:bCs/>
        </w:rPr>
      </w:pPr>
    </w:p>
    <w:p w:rsidR="00F27B0E" w:rsidRDefault="00B400DC" w:rsidP="00B400DC">
      <w:pPr>
        <w:spacing w:after="0" w:line="240" w:lineRule="auto"/>
        <w:jc w:val="both"/>
        <w:rPr>
          <w:rFonts w:ascii="Arial" w:eastAsia="MS ??" w:hAnsi="Arial" w:cs="Arial"/>
          <w:bCs/>
        </w:rPr>
      </w:pPr>
      <w:r>
        <w:rPr>
          <w:rFonts w:ascii="Arial" w:eastAsia="MS ??" w:hAnsi="Arial" w:cs="Arial"/>
          <w:bCs/>
        </w:rPr>
        <w:t xml:space="preserve">This service will cover two core areas.  Firstly, routine data extraction and </w:t>
      </w:r>
      <w:r w:rsidR="00EF5625">
        <w:rPr>
          <w:rFonts w:ascii="Arial" w:eastAsia="MS ??" w:hAnsi="Arial" w:cs="Arial"/>
          <w:bCs/>
        </w:rPr>
        <w:t xml:space="preserve">ad-hoc data extraction from GP </w:t>
      </w:r>
      <w:r w:rsidR="00E6519B">
        <w:rPr>
          <w:rFonts w:ascii="Arial" w:eastAsia="MS ??" w:hAnsi="Arial" w:cs="Arial"/>
          <w:bCs/>
        </w:rPr>
        <w:t>clinical</w:t>
      </w:r>
      <w:r>
        <w:rPr>
          <w:rFonts w:ascii="Arial" w:eastAsia="MS ??" w:hAnsi="Arial" w:cs="Arial"/>
          <w:bCs/>
        </w:rPr>
        <w:t xml:space="preserve"> </w:t>
      </w:r>
      <w:r w:rsidR="00EF5625">
        <w:rPr>
          <w:rFonts w:ascii="Arial" w:eastAsia="MS ??" w:hAnsi="Arial" w:cs="Arial"/>
          <w:bCs/>
        </w:rPr>
        <w:t>s</w:t>
      </w:r>
      <w:r>
        <w:rPr>
          <w:rFonts w:ascii="Arial" w:eastAsia="MS ??" w:hAnsi="Arial" w:cs="Arial"/>
          <w:bCs/>
        </w:rPr>
        <w:t xml:space="preserve">ystems to allow audit and monitoring of public health commissioned services.  </w:t>
      </w:r>
      <w:r w:rsidR="00C8647E">
        <w:rPr>
          <w:rFonts w:ascii="Arial" w:eastAsia="MS ??" w:hAnsi="Arial" w:cs="Arial"/>
          <w:bCs/>
        </w:rPr>
        <w:t xml:space="preserve">Second, access to GP </w:t>
      </w:r>
      <w:r w:rsidR="00EF5625">
        <w:rPr>
          <w:rFonts w:ascii="Arial" w:eastAsia="MS ??" w:hAnsi="Arial" w:cs="Arial"/>
          <w:bCs/>
        </w:rPr>
        <w:t>c</w:t>
      </w:r>
      <w:r w:rsidR="00C8647E">
        <w:rPr>
          <w:rFonts w:ascii="Arial" w:eastAsia="MS ??" w:hAnsi="Arial" w:cs="Arial"/>
          <w:bCs/>
        </w:rPr>
        <w:t xml:space="preserve">linical </w:t>
      </w:r>
      <w:r w:rsidR="00EF5625">
        <w:rPr>
          <w:rFonts w:ascii="Arial" w:eastAsia="MS ??" w:hAnsi="Arial" w:cs="Arial"/>
          <w:bCs/>
        </w:rPr>
        <w:t>s</w:t>
      </w:r>
      <w:r w:rsidR="00C8647E">
        <w:rPr>
          <w:rFonts w:ascii="Arial" w:eastAsia="MS ??" w:hAnsi="Arial" w:cs="Arial"/>
          <w:bCs/>
        </w:rPr>
        <w:t>ystems and local secondary health</w:t>
      </w:r>
      <w:r w:rsidR="0077354B">
        <w:rPr>
          <w:rFonts w:ascii="Arial" w:eastAsia="MS ??" w:hAnsi="Arial" w:cs="Arial"/>
          <w:bCs/>
        </w:rPr>
        <w:t xml:space="preserve"> </w:t>
      </w:r>
      <w:r w:rsidR="00C8647E">
        <w:rPr>
          <w:rFonts w:ascii="Arial" w:eastAsia="MS ??" w:hAnsi="Arial" w:cs="Arial"/>
          <w:bCs/>
        </w:rPr>
        <w:t>care data</w:t>
      </w:r>
      <w:r w:rsidR="001F627D">
        <w:rPr>
          <w:rFonts w:ascii="Arial" w:eastAsia="MS ??" w:hAnsi="Arial" w:cs="Arial"/>
          <w:bCs/>
        </w:rPr>
        <w:t xml:space="preserve"> (for example, A&amp;E and hospital admission</w:t>
      </w:r>
      <w:r w:rsidR="007D29E7">
        <w:rPr>
          <w:rFonts w:ascii="Arial" w:eastAsia="MS ??" w:hAnsi="Arial" w:cs="Arial"/>
          <w:bCs/>
        </w:rPr>
        <w:t>s</w:t>
      </w:r>
      <w:r w:rsidR="001F627D">
        <w:rPr>
          <w:rFonts w:ascii="Arial" w:eastAsia="MS ??" w:hAnsi="Arial" w:cs="Arial"/>
          <w:bCs/>
        </w:rPr>
        <w:t xml:space="preserve"> data) to allow analysis and reporting by public health epidemiologists.</w:t>
      </w:r>
    </w:p>
    <w:p w:rsidR="001F627D" w:rsidRDefault="001F627D" w:rsidP="00B400DC">
      <w:pPr>
        <w:spacing w:after="0" w:line="240" w:lineRule="auto"/>
        <w:jc w:val="both"/>
        <w:rPr>
          <w:rFonts w:ascii="Arial" w:eastAsia="MS ??" w:hAnsi="Arial" w:cs="Arial"/>
          <w:bCs/>
        </w:rPr>
      </w:pPr>
    </w:p>
    <w:p w:rsidR="001F627D" w:rsidRPr="001F627D" w:rsidRDefault="001F627D" w:rsidP="00B400DC">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Key aims</w:t>
      </w:r>
    </w:p>
    <w:p w:rsidR="00F27B0E" w:rsidRDefault="00F27B0E" w:rsidP="00B400DC">
      <w:pPr>
        <w:spacing w:after="0" w:line="240" w:lineRule="auto"/>
        <w:jc w:val="both"/>
        <w:rPr>
          <w:rFonts w:ascii="Arial" w:eastAsia="MS ??" w:hAnsi="Arial" w:cs="Arial"/>
          <w:bCs/>
        </w:rPr>
      </w:pPr>
    </w:p>
    <w:p w:rsidR="00F27B0E" w:rsidRDefault="00EF5625" w:rsidP="001F627D">
      <w:pPr>
        <w:pStyle w:val="ListParagraph"/>
        <w:numPr>
          <w:ilvl w:val="0"/>
          <w:numId w:val="37"/>
        </w:numPr>
        <w:spacing w:after="0" w:line="240" w:lineRule="auto"/>
        <w:jc w:val="both"/>
        <w:rPr>
          <w:rFonts w:ascii="Arial" w:eastAsia="MS ??" w:hAnsi="Arial" w:cs="Arial"/>
          <w:bCs/>
        </w:rPr>
      </w:pPr>
      <w:r>
        <w:rPr>
          <w:rFonts w:ascii="Arial" w:eastAsia="MS ??" w:hAnsi="Arial" w:cs="Arial"/>
          <w:bCs/>
        </w:rPr>
        <w:t>Provide comprehensive access to GP clinical systems and secondary care patient identifiable information for local reporting</w:t>
      </w:r>
    </w:p>
    <w:p w:rsidR="00EF5625" w:rsidRDefault="00EF5625" w:rsidP="00EF5625">
      <w:pPr>
        <w:spacing w:after="0" w:line="240" w:lineRule="auto"/>
        <w:jc w:val="both"/>
        <w:rPr>
          <w:rFonts w:ascii="Arial" w:eastAsia="MS ??" w:hAnsi="Arial" w:cs="Arial"/>
          <w:bCs/>
        </w:rPr>
      </w:pPr>
    </w:p>
    <w:p w:rsidR="00EF5625" w:rsidRDefault="00EF5625" w:rsidP="00EF5625">
      <w:pPr>
        <w:pStyle w:val="ListParagraph"/>
        <w:numPr>
          <w:ilvl w:val="0"/>
          <w:numId w:val="37"/>
        </w:numPr>
        <w:spacing w:after="0" w:line="240" w:lineRule="auto"/>
        <w:jc w:val="both"/>
        <w:rPr>
          <w:rFonts w:ascii="Arial" w:eastAsia="MS ??" w:hAnsi="Arial" w:cs="Arial"/>
          <w:bCs/>
        </w:rPr>
      </w:pPr>
      <w:r>
        <w:rPr>
          <w:rFonts w:ascii="Arial" w:eastAsia="MS ??" w:hAnsi="Arial" w:cs="Arial"/>
          <w:bCs/>
        </w:rPr>
        <w:t>Data extraction using bespoke local search templates from all local GP practices</w:t>
      </w:r>
    </w:p>
    <w:p w:rsidR="00EF5625" w:rsidRDefault="00EF5625" w:rsidP="00EF5625">
      <w:pPr>
        <w:spacing w:after="0" w:line="240" w:lineRule="auto"/>
        <w:jc w:val="both"/>
        <w:rPr>
          <w:rFonts w:ascii="Arial" w:eastAsia="MS ??" w:hAnsi="Arial" w:cs="Arial"/>
          <w:bCs/>
        </w:rPr>
      </w:pPr>
    </w:p>
    <w:p w:rsidR="00EF5625" w:rsidRDefault="00EF5625" w:rsidP="00EF5625">
      <w:pPr>
        <w:pStyle w:val="ListParagraph"/>
        <w:numPr>
          <w:ilvl w:val="0"/>
          <w:numId w:val="37"/>
        </w:numPr>
        <w:spacing w:after="0" w:line="240" w:lineRule="auto"/>
        <w:jc w:val="both"/>
        <w:rPr>
          <w:rFonts w:ascii="Arial" w:eastAsia="MS ??" w:hAnsi="Arial" w:cs="Arial"/>
          <w:bCs/>
        </w:rPr>
      </w:pPr>
      <w:r>
        <w:rPr>
          <w:rFonts w:ascii="Arial" w:eastAsia="MS ??" w:hAnsi="Arial" w:cs="Arial"/>
          <w:bCs/>
        </w:rPr>
        <w:t xml:space="preserve">Use </w:t>
      </w:r>
      <w:r w:rsidR="00BA7FCD">
        <w:rPr>
          <w:rFonts w:ascii="Arial" w:eastAsia="MS ??" w:hAnsi="Arial" w:cs="Arial"/>
          <w:bCs/>
        </w:rPr>
        <w:t xml:space="preserve">of </w:t>
      </w:r>
      <w:r>
        <w:rPr>
          <w:rFonts w:ascii="Arial" w:eastAsia="MS ??" w:hAnsi="Arial" w:cs="Arial"/>
          <w:bCs/>
        </w:rPr>
        <w:t>national and local codes within search templates</w:t>
      </w:r>
    </w:p>
    <w:p w:rsidR="00EF5625" w:rsidRDefault="00EF5625" w:rsidP="00EF5625">
      <w:pPr>
        <w:spacing w:after="0" w:line="240" w:lineRule="auto"/>
        <w:jc w:val="both"/>
        <w:rPr>
          <w:rFonts w:ascii="Arial" w:eastAsia="MS ??" w:hAnsi="Arial" w:cs="Arial"/>
          <w:bCs/>
        </w:rPr>
      </w:pPr>
    </w:p>
    <w:p w:rsidR="00EF5625" w:rsidRDefault="00EF5625" w:rsidP="00EF5625">
      <w:pPr>
        <w:pStyle w:val="ListParagraph"/>
        <w:numPr>
          <w:ilvl w:val="0"/>
          <w:numId w:val="37"/>
        </w:numPr>
        <w:spacing w:after="0" w:line="240" w:lineRule="auto"/>
        <w:jc w:val="both"/>
        <w:rPr>
          <w:rFonts w:ascii="Arial" w:eastAsia="MS ??" w:hAnsi="Arial" w:cs="Arial"/>
          <w:bCs/>
        </w:rPr>
      </w:pPr>
      <w:r>
        <w:rPr>
          <w:rFonts w:ascii="Arial" w:eastAsia="MS ??" w:hAnsi="Arial" w:cs="Arial"/>
          <w:bCs/>
        </w:rPr>
        <w:t>Delivery of anonymised data within pre-arranged deadlines to public health commissioners</w:t>
      </w:r>
    </w:p>
    <w:p w:rsidR="00EF5625" w:rsidRDefault="00EF5625" w:rsidP="00EF5625">
      <w:pPr>
        <w:spacing w:after="0" w:line="240" w:lineRule="auto"/>
        <w:jc w:val="both"/>
        <w:rPr>
          <w:rFonts w:ascii="Arial" w:eastAsia="MS ??" w:hAnsi="Arial" w:cs="Arial"/>
          <w:bCs/>
        </w:rPr>
      </w:pPr>
    </w:p>
    <w:p w:rsidR="00EF5625" w:rsidRDefault="00047A84" w:rsidP="00EF5625">
      <w:pPr>
        <w:pStyle w:val="ListParagraph"/>
        <w:numPr>
          <w:ilvl w:val="0"/>
          <w:numId w:val="37"/>
        </w:numPr>
        <w:spacing w:after="0" w:line="240" w:lineRule="auto"/>
        <w:jc w:val="both"/>
        <w:rPr>
          <w:rFonts w:ascii="Arial" w:eastAsia="MS ??" w:hAnsi="Arial" w:cs="Arial"/>
          <w:bCs/>
        </w:rPr>
      </w:pPr>
      <w:r>
        <w:rPr>
          <w:rFonts w:ascii="Arial" w:eastAsia="MS ??" w:hAnsi="Arial" w:cs="Arial"/>
          <w:bCs/>
        </w:rPr>
        <w:t>Capacity to respond to local clinical system issues as they arise</w:t>
      </w:r>
    </w:p>
    <w:p w:rsidR="00047A84" w:rsidRDefault="00047A84" w:rsidP="00047A84">
      <w:pPr>
        <w:spacing w:after="0" w:line="240" w:lineRule="auto"/>
        <w:jc w:val="both"/>
        <w:rPr>
          <w:rFonts w:ascii="Arial" w:eastAsia="MS ??" w:hAnsi="Arial" w:cs="Arial"/>
          <w:bCs/>
        </w:rPr>
      </w:pPr>
    </w:p>
    <w:p w:rsidR="00047A84" w:rsidRDefault="00047A84" w:rsidP="00047A84">
      <w:pPr>
        <w:pStyle w:val="ListParagraph"/>
        <w:numPr>
          <w:ilvl w:val="0"/>
          <w:numId w:val="37"/>
        </w:numPr>
        <w:spacing w:after="0" w:line="240" w:lineRule="auto"/>
        <w:jc w:val="both"/>
        <w:rPr>
          <w:rFonts w:ascii="Arial" w:eastAsia="MS ??" w:hAnsi="Arial" w:cs="Arial"/>
          <w:bCs/>
        </w:rPr>
      </w:pPr>
      <w:r>
        <w:rPr>
          <w:rFonts w:ascii="Arial" w:eastAsia="MS ??" w:hAnsi="Arial" w:cs="Arial"/>
          <w:bCs/>
        </w:rPr>
        <w:t>Ensure searches are user friendly and easily accessible to allow practice staff to undertake reviews as and when required</w:t>
      </w:r>
    </w:p>
    <w:p w:rsidR="00047A84" w:rsidRDefault="00047A84" w:rsidP="00047A84">
      <w:pPr>
        <w:spacing w:after="0" w:line="240" w:lineRule="auto"/>
        <w:jc w:val="both"/>
        <w:rPr>
          <w:rFonts w:ascii="Arial" w:eastAsia="MS ??" w:hAnsi="Arial" w:cs="Arial"/>
          <w:bCs/>
        </w:rPr>
      </w:pPr>
    </w:p>
    <w:p w:rsidR="00047A84" w:rsidRDefault="00047A84" w:rsidP="00047A84">
      <w:pPr>
        <w:pStyle w:val="ListParagraph"/>
        <w:numPr>
          <w:ilvl w:val="0"/>
          <w:numId w:val="37"/>
        </w:numPr>
        <w:spacing w:after="0" w:line="240" w:lineRule="auto"/>
        <w:jc w:val="both"/>
        <w:rPr>
          <w:rFonts w:ascii="Arial" w:eastAsia="MS ??" w:hAnsi="Arial" w:cs="Arial"/>
          <w:bCs/>
        </w:rPr>
      </w:pPr>
      <w:r>
        <w:rPr>
          <w:rFonts w:ascii="Arial" w:eastAsia="MS ??" w:hAnsi="Arial" w:cs="Arial"/>
          <w:bCs/>
        </w:rPr>
        <w:t>Add value to local service delivery by offering advice on system improvements</w:t>
      </w:r>
    </w:p>
    <w:p w:rsidR="00047A84" w:rsidRDefault="00047A84" w:rsidP="00047A84">
      <w:pPr>
        <w:spacing w:after="0" w:line="240" w:lineRule="auto"/>
        <w:jc w:val="both"/>
        <w:rPr>
          <w:rFonts w:ascii="Arial" w:eastAsia="MS ??" w:hAnsi="Arial" w:cs="Arial"/>
          <w:bCs/>
        </w:rPr>
      </w:pPr>
    </w:p>
    <w:p w:rsidR="00047A84" w:rsidRDefault="009E1CD9" w:rsidP="00047A84">
      <w:pPr>
        <w:pStyle w:val="ListParagraph"/>
        <w:numPr>
          <w:ilvl w:val="0"/>
          <w:numId w:val="37"/>
        </w:numPr>
        <w:spacing w:after="0" w:line="240" w:lineRule="auto"/>
        <w:jc w:val="both"/>
        <w:rPr>
          <w:rFonts w:ascii="Arial" w:eastAsia="MS ??" w:hAnsi="Arial" w:cs="Arial"/>
          <w:bCs/>
        </w:rPr>
      </w:pPr>
      <w:r>
        <w:rPr>
          <w:rFonts w:ascii="Arial" w:eastAsia="MS ??" w:hAnsi="Arial" w:cs="Arial"/>
          <w:bCs/>
        </w:rPr>
        <w:t>Provide on-going and ad-hoc access to primary and secondary care data to public health epidemiologists for a number of purposes including needs assessment, reports and evaluations</w:t>
      </w:r>
    </w:p>
    <w:p w:rsidR="009E1CD9" w:rsidRDefault="009E1CD9" w:rsidP="009E1CD9">
      <w:pPr>
        <w:spacing w:after="0" w:line="240" w:lineRule="auto"/>
        <w:jc w:val="both"/>
        <w:rPr>
          <w:rFonts w:ascii="Arial" w:eastAsia="MS ??" w:hAnsi="Arial" w:cs="Arial"/>
          <w:bCs/>
        </w:rPr>
      </w:pPr>
    </w:p>
    <w:p w:rsidR="009E1CD9" w:rsidRDefault="00BA7FCD" w:rsidP="00BA7FCD">
      <w:pPr>
        <w:pStyle w:val="ListParagraph"/>
        <w:numPr>
          <w:ilvl w:val="0"/>
          <w:numId w:val="37"/>
        </w:numPr>
        <w:spacing w:after="0" w:line="240" w:lineRule="auto"/>
        <w:jc w:val="both"/>
        <w:rPr>
          <w:rFonts w:ascii="Arial" w:eastAsia="MS ??" w:hAnsi="Arial" w:cs="Arial"/>
          <w:bCs/>
        </w:rPr>
      </w:pPr>
      <w:r>
        <w:rPr>
          <w:rFonts w:ascii="Arial" w:eastAsia="MS ??" w:hAnsi="Arial" w:cs="Arial"/>
          <w:bCs/>
        </w:rPr>
        <w:t>Provide ad-hoc training to public health epidemiologists to enable them to access and interrogate primary and secondary care data</w:t>
      </w:r>
    </w:p>
    <w:p w:rsidR="00BA7FCD" w:rsidRDefault="00BA7FCD" w:rsidP="00BA7FCD">
      <w:pPr>
        <w:spacing w:after="0" w:line="240" w:lineRule="auto"/>
        <w:jc w:val="both"/>
        <w:rPr>
          <w:rFonts w:ascii="Arial" w:eastAsia="MS ??" w:hAnsi="Arial" w:cs="Arial"/>
          <w:bCs/>
        </w:rPr>
      </w:pPr>
    </w:p>
    <w:p w:rsidR="00BA7FCD" w:rsidRDefault="00BA7FCD" w:rsidP="00BA7FCD">
      <w:pPr>
        <w:spacing w:after="0" w:line="240" w:lineRule="auto"/>
        <w:jc w:val="both"/>
        <w:rPr>
          <w:rFonts w:ascii="Arial" w:eastAsia="MS ??" w:hAnsi="Arial" w:cs="Arial"/>
          <w:bCs/>
        </w:rPr>
      </w:pPr>
    </w:p>
    <w:p w:rsidR="00BA7FCD" w:rsidRDefault="00BA7FCD" w:rsidP="00BA7FCD">
      <w:pPr>
        <w:spacing w:after="0" w:line="240" w:lineRule="auto"/>
        <w:jc w:val="both"/>
        <w:rPr>
          <w:rFonts w:ascii="Arial" w:eastAsia="MS ??" w:hAnsi="Arial" w:cs="Arial"/>
          <w:bCs/>
        </w:rPr>
      </w:pPr>
    </w:p>
    <w:p w:rsidR="00BA7FCD" w:rsidRDefault="00BA7FCD" w:rsidP="00BA7FCD">
      <w:pPr>
        <w:spacing w:after="0" w:line="240" w:lineRule="auto"/>
        <w:jc w:val="both"/>
        <w:rPr>
          <w:rFonts w:ascii="Arial" w:eastAsia="MS ??" w:hAnsi="Arial" w:cs="Arial"/>
          <w:bCs/>
        </w:rPr>
      </w:pPr>
    </w:p>
    <w:p w:rsidR="00BA7FCD" w:rsidRDefault="00BA7FCD" w:rsidP="00BA7FCD">
      <w:pPr>
        <w:spacing w:after="0" w:line="240" w:lineRule="auto"/>
        <w:jc w:val="both"/>
        <w:rPr>
          <w:rFonts w:ascii="Arial" w:eastAsia="MS ??" w:hAnsi="Arial" w:cs="Arial"/>
          <w:bCs/>
        </w:rPr>
      </w:pPr>
    </w:p>
    <w:p w:rsidR="00BA7FCD" w:rsidRPr="00BA7FCD" w:rsidRDefault="00BA7FCD" w:rsidP="00BA7FCD">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lastRenderedPageBreak/>
        <w:t>2.2</w:t>
      </w:r>
      <w:r>
        <w:rPr>
          <w:rFonts w:ascii="Arial" w:eastAsia="MS ??" w:hAnsi="Arial" w:cs="Arial"/>
          <w:b/>
          <w:bCs/>
          <w:color w:val="548DD4" w:themeColor="text2" w:themeTint="99"/>
        </w:rPr>
        <w:tab/>
        <w:t xml:space="preserve">Service </w:t>
      </w:r>
      <w:r w:rsidR="00E6519B">
        <w:rPr>
          <w:rFonts w:ascii="Arial" w:eastAsia="MS ??" w:hAnsi="Arial" w:cs="Arial"/>
          <w:b/>
          <w:bCs/>
          <w:color w:val="548DD4" w:themeColor="text2" w:themeTint="99"/>
        </w:rPr>
        <w:t>description</w:t>
      </w:r>
    </w:p>
    <w:p w:rsidR="00F27B0E" w:rsidRDefault="00F27B0E" w:rsidP="00B400DC">
      <w:pPr>
        <w:spacing w:after="0" w:line="240" w:lineRule="auto"/>
        <w:jc w:val="both"/>
        <w:rPr>
          <w:rFonts w:ascii="Arial" w:eastAsia="MS ??" w:hAnsi="Arial" w:cs="Arial"/>
          <w:bCs/>
        </w:rPr>
      </w:pPr>
    </w:p>
    <w:p w:rsidR="00F27B0E" w:rsidRDefault="00DD4BC4" w:rsidP="00B400DC">
      <w:pPr>
        <w:spacing w:after="0" w:line="240" w:lineRule="auto"/>
        <w:jc w:val="both"/>
        <w:rPr>
          <w:rFonts w:ascii="Arial" w:eastAsia="MS ??" w:hAnsi="Arial" w:cs="Arial"/>
          <w:bCs/>
        </w:rPr>
      </w:pPr>
      <w:bookmarkStart w:id="0" w:name="_GoBack"/>
      <w:r>
        <w:rPr>
          <w:rFonts w:ascii="Arial" w:eastAsia="MS ??" w:hAnsi="Arial" w:cs="Arial"/>
          <w:bCs/>
        </w:rPr>
        <w:t>The primary commissioned service which this contract will support is the delivery of NHS Health C</w:t>
      </w:r>
      <w:r w:rsidR="0045529E">
        <w:rPr>
          <w:rFonts w:ascii="Arial" w:eastAsia="MS ??" w:hAnsi="Arial" w:cs="Arial"/>
          <w:bCs/>
        </w:rPr>
        <w:t>hecks, although additional services delivered in general practice may also be covered including alcohol, drugs, smoking cessation, weight management, physical activity and sexual health.</w:t>
      </w:r>
    </w:p>
    <w:p w:rsidR="0045529E" w:rsidRDefault="0045529E" w:rsidP="00B400DC">
      <w:pPr>
        <w:spacing w:after="0" w:line="240" w:lineRule="auto"/>
        <w:jc w:val="both"/>
        <w:rPr>
          <w:rFonts w:ascii="Arial" w:eastAsia="MS ??" w:hAnsi="Arial" w:cs="Arial"/>
          <w:bCs/>
        </w:rPr>
      </w:pPr>
    </w:p>
    <w:p w:rsidR="0045529E" w:rsidRDefault="0045529E" w:rsidP="00B400DC">
      <w:pPr>
        <w:spacing w:after="0" w:line="240" w:lineRule="auto"/>
        <w:jc w:val="both"/>
        <w:rPr>
          <w:rFonts w:ascii="Arial" w:eastAsia="MS ??" w:hAnsi="Arial" w:cs="Arial"/>
          <w:bCs/>
        </w:rPr>
      </w:pPr>
      <w:r>
        <w:rPr>
          <w:rFonts w:ascii="Arial" w:eastAsia="MS ??" w:hAnsi="Arial" w:cs="Arial"/>
          <w:bCs/>
        </w:rPr>
        <w:t xml:space="preserve">Primary and secondary data access is also required from a number of sources which the </w:t>
      </w:r>
      <w:r w:rsidR="00B362B2">
        <w:rPr>
          <w:rFonts w:ascii="Arial" w:eastAsia="MS ??" w:hAnsi="Arial" w:cs="Arial"/>
          <w:bCs/>
        </w:rPr>
        <w:t>P</w:t>
      </w:r>
      <w:r>
        <w:rPr>
          <w:rFonts w:ascii="Arial" w:eastAsia="MS ??" w:hAnsi="Arial" w:cs="Arial"/>
          <w:bCs/>
        </w:rPr>
        <w:t xml:space="preserve">rovider must be able to provide access directly to or via arrangements with third parties (such as the accredited </w:t>
      </w:r>
      <w:r w:rsidR="00D935F2">
        <w:rPr>
          <w:rFonts w:ascii="Arial" w:eastAsia="MS ??" w:hAnsi="Arial" w:cs="Arial"/>
          <w:bCs/>
        </w:rPr>
        <w:t>Data Services fo</w:t>
      </w:r>
      <w:r w:rsidR="00AA7E45">
        <w:rPr>
          <w:rFonts w:ascii="Arial" w:eastAsia="MS ??" w:hAnsi="Arial" w:cs="Arial"/>
          <w:bCs/>
        </w:rPr>
        <w:t>r Commissioners Regional Office (DSCRO) status organisation for the West Midlands</w:t>
      </w:r>
    </w:p>
    <w:bookmarkEnd w:id="0"/>
    <w:p w:rsidR="0045529E" w:rsidRDefault="0045529E" w:rsidP="00B400DC">
      <w:pPr>
        <w:spacing w:after="0" w:line="240" w:lineRule="auto"/>
        <w:jc w:val="both"/>
        <w:rPr>
          <w:rFonts w:ascii="Arial" w:eastAsia="MS ??" w:hAnsi="Arial" w:cs="Arial"/>
          <w:bCs/>
        </w:rPr>
      </w:pPr>
    </w:p>
    <w:p w:rsidR="00176119" w:rsidRDefault="00176119" w:rsidP="00B400DC">
      <w:pPr>
        <w:spacing w:after="0" w:line="240" w:lineRule="auto"/>
        <w:jc w:val="both"/>
        <w:rPr>
          <w:rFonts w:ascii="Arial" w:eastAsia="MS ??" w:hAnsi="Arial" w:cs="Arial"/>
          <w:bCs/>
        </w:rPr>
      </w:pPr>
    </w:p>
    <w:p w:rsidR="0045529E" w:rsidRPr="000C7284" w:rsidRDefault="000C7284" w:rsidP="00B400DC">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2.3</w:t>
      </w:r>
      <w:r>
        <w:rPr>
          <w:rFonts w:ascii="Arial" w:eastAsia="MS ??" w:hAnsi="Arial" w:cs="Arial"/>
          <w:b/>
          <w:bCs/>
          <w:color w:val="548DD4" w:themeColor="text2" w:themeTint="99"/>
        </w:rPr>
        <w:tab/>
        <w:t>Population covered and inclusion criteria</w:t>
      </w:r>
    </w:p>
    <w:p w:rsidR="0045529E" w:rsidRDefault="0045529E" w:rsidP="00B400DC">
      <w:pPr>
        <w:spacing w:after="0" w:line="240" w:lineRule="auto"/>
        <w:jc w:val="both"/>
        <w:rPr>
          <w:rFonts w:ascii="Arial" w:eastAsia="MS ??" w:hAnsi="Arial" w:cs="Arial"/>
          <w:bCs/>
        </w:rPr>
      </w:pPr>
    </w:p>
    <w:p w:rsidR="00DD4BC4" w:rsidRDefault="0077354B" w:rsidP="00B400DC">
      <w:pPr>
        <w:spacing w:after="0" w:line="240" w:lineRule="auto"/>
        <w:jc w:val="both"/>
        <w:rPr>
          <w:rFonts w:ascii="Arial" w:eastAsia="MS ??" w:hAnsi="Arial" w:cs="Arial"/>
          <w:bCs/>
        </w:rPr>
      </w:pPr>
      <w:r>
        <w:rPr>
          <w:rFonts w:ascii="Arial" w:eastAsia="MS ??" w:hAnsi="Arial" w:cs="Arial"/>
          <w:bCs/>
        </w:rPr>
        <w:t>All local residents registered with a GP in Stoke-on-Trent and all residents attending secondary health care services, plus non-residents attending local primary and secondary health care services.</w:t>
      </w:r>
    </w:p>
    <w:p w:rsidR="00DD4BC4" w:rsidRDefault="00DD4BC4" w:rsidP="00B400DC">
      <w:pPr>
        <w:spacing w:after="0" w:line="240" w:lineRule="auto"/>
        <w:jc w:val="both"/>
        <w:rPr>
          <w:rFonts w:ascii="Arial" w:eastAsia="MS ??" w:hAnsi="Arial" w:cs="Arial"/>
          <w:bCs/>
        </w:rPr>
      </w:pPr>
    </w:p>
    <w:p w:rsidR="00176119" w:rsidRDefault="00176119" w:rsidP="00B400DC">
      <w:pPr>
        <w:spacing w:after="0" w:line="240" w:lineRule="auto"/>
        <w:jc w:val="both"/>
        <w:rPr>
          <w:rFonts w:ascii="Arial" w:eastAsia="MS ??" w:hAnsi="Arial" w:cs="Arial"/>
          <w:bCs/>
        </w:rPr>
      </w:pPr>
    </w:p>
    <w:p w:rsidR="00DD4BC4" w:rsidRPr="0077354B" w:rsidRDefault="0077354B" w:rsidP="00B400DC">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2.4</w:t>
      </w:r>
      <w:r>
        <w:rPr>
          <w:rFonts w:ascii="Arial" w:eastAsia="MS ??" w:hAnsi="Arial" w:cs="Arial"/>
          <w:b/>
          <w:bCs/>
          <w:color w:val="548DD4" w:themeColor="text2" w:themeTint="99"/>
        </w:rPr>
        <w:tab/>
      </w:r>
      <w:r w:rsidR="00E6519B">
        <w:rPr>
          <w:rFonts w:ascii="Arial" w:eastAsia="MS ??" w:hAnsi="Arial" w:cs="Arial"/>
          <w:b/>
          <w:bCs/>
          <w:color w:val="548DD4" w:themeColor="text2" w:themeTint="99"/>
        </w:rPr>
        <w:t>Interdependences</w:t>
      </w:r>
      <w:r>
        <w:rPr>
          <w:rFonts w:ascii="Arial" w:eastAsia="MS ??" w:hAnsi="Arial" w:cs="Arial"/>
          <w:b/>
          <w:bCs/>
          <w:color w:val="548DD4" w:themeColor="text2" w:themeTint="99"/>
        </w:rPr>
        <w:t xml:space="preserve"> with other services</w:t>
      </w:r>
    </w:p>
    <w:p w:rsidR="00DD4BC4" w:rsidRDefault="00DD4BC4" w:rsidP="00B400DC">
      <w:pPr>
        <w:spacing w:after="0" w:line="240" w:lineRule="auto"/>
        <w:jc w:val="both"/>
        <w:rPr>
          <w:rFonts w:ascii="Arial" w:eastAsia="MS ??" w:hAnsi="Arial" w:cs="Arial"/>
          <w:bCs/>
        </w:rPr>
      </w:pPr>
    </w:p>
    <w:p w:rsidR="00DD4BC4" w:rsidRDefault="0077354B" w:rsidP="00B400DC">
      <w:pPr>
        <w:spacing w:after="0" w:line="240" w:lineRule="auto"/>
        <w:jc w:val="both"/>
        <w:rPr>
          <w:rFonts w:ascii="Arial" w:eastAsia="MS ??" w:hAnsi="Arial" w:cs="Arial"/>
          <w:bCs/>
        </w:rPr>
      </w:pPr>
      <w:r>
        <w:rPr>
          <w:rFonts w:ascii="Arial" w:eastAsia="MS ??" w:hAnsi="Arial" w:cs="Arial"/>
          <w:bCs/>
        </w:rPr>
        <w:t>Key services to which interdependencies will exist include:</w:t>
      </w:r>
    </w:p>
    <w:p w:rsidR="0077354B" w:rsidRDefault="0077354B" w:rsidP="00B400DC">
      <w:pPr>
        <w:spacing w:after="0" w:line="240" w:lineRule="auto"/>
        <w:jc w:val="both"/>
        <w:rPr>
          <w:rFonts w:ascii="Arial" w:eastAsia="MS ??" w:hAnsi="Arial" w:cs="Arial"/>
          <w:bCs/>
        </w:rPr>
      </w:pPr>
    </w:p>
    <w:p w:rsidR="0077354B" w:rsidRDefault="0077354B" w:rsidP="0077354B">
      <w:pPr>
        <w:pStyle w:val="ListParagraph"/>
        <w:numPr>
          <w:ilvl w:val="0"/>
          <w:numId w:val="38"/>
        </w:numPr>
        <w:spacing w:after="0" w:line="240" w:lineRule="auto"/>
        <w:jc w:val="both"/>
        <w:rPr>
          <w:rFonts w:ascii="Arial" w:eastAsia="MS ??" w:hAnsi="Arial" w:cs="Arial"/>
          <w:bCs/>
        </w:rPr>
      </w:pPr>
      <w:r>
        <w:rPr>
          <w:rFonts w:ascii="Arial" w:eastAsia="MS ??" w:hAnsi="Arial" w:cs="Arial"/>
          <w:bCs/>
        </w:rPr>
        <w:t>Stoke-on-Trent GP practices</w:t>
      </w:r>
    </w:p>
    <w:p w:rsidR="0077354B" w:rsidRDefault="0077354B" w:rsidP="0077354B">
      <w:pPr>
        <w:pStyle w:val="ListParagraph"/>
        <w:numPr>
          <w:ilvl w:val="0"/>
          <w:numId w:val="38"/>
        </w:numPr>
        <w:spacing w:after="0" w:line="240" w:lineRule="auto"/>
        <w:jc w:val="both"/>
        <w:rPr>
          <w:rFonts w:ascii="Arial" w:eastAsia="MS ??" w:hAnsi="Arial" w:cs="Arial"/>
          <w:bCs/>
        </w:rPr>
      </w:pPr>
      <w:r>
        <w:rPr>
          <w:rFonts w:ascii="Arial" w:eastAsia="MS ??" w:hAnsi="Arial" w:cs="Arial"/>
          <w:bCs/>
        </w:rPr>
        <w:t>Stoke-on-</w:t>
      </w:r>
      <w:r w:rsidR="00E6519B">
        <w:rPr>
          <w:rFonts w:ascii="Arial" w:eastAsia="MS ??" w:hAnsi="Arial" w:cs="Arial"/>
          <w:bCs/>
        </w:rPr>
        <w:t>Trent</w:t>
      </w:r>
      <w:r>
        <w:rPr>
          <w:rFonts w:ascii="Arial" w:eastAsia="MS ??" w:hAnsi="Arial" w:cs="Arial"/>
          <w:bCs/>
        </w:rPr>
        <w:t xml:space="preserve"> Clinical Commissioning Group</w:t>
      </w:r>
      <w:r w:rsidR="00F55361">
        <w:rPr>
          <w:rFonts w:ascii="Arial" w:eastAsia="MS ??" w:hAnsi="Arial" w:cs="Arial"/>
          <w:bCs/>
        </w:rPr>
        <w:t xml:space="preserve"> (including focus on appropriate locality groups)</w:t>
      </w:r>
    </w:p>
    <w:p w:rsidR="0077354B" w:rsidRDefault="0077354B" w:rsidP="0077354B">
      <w:pPr>
        <w:pStyle w:val="ListParagraph"/>
        <w:numPr>
          <w:ilvl w:val="0"/>
          <w:numId w:val="38"/>
        </w:numPr>
        <w:spacing w:after="0" w:line="240" w:lineRule="auto"/>
        <w:jc w:val="both"/>
        <w:rPr>
          <w:rFonts w:ascii="Arial" w:eastAsia="MS ??" w:hAnsi="Arial" w:cs="Arial"/>
          <w:bCs/>
        </w:rPr>
      </w:pPr>
      <w:r>
        <w:rPr>
          <w:rFonts w:ascii="Arial" w:eastAsia="MS ??" w:hAnsi="Arial" w:cs="Arial"/>
          <w:bCs/>
        </w:rPr>
        <w:t>Staffordshire and Stoke-on-Trent Partnership Trust</w:t>
      </w:r>
    </w:p>
    <w:p w:rsidR="0077354B" w:rsidRDefault="0077354B" w:rsidP="0077354B">
      <w:pPr>
        <w:pStyle w:val="ListParagraph"/>
        <w:numPr>
          <w:ilvl w:val="0"/>
          <w:numId w:val="38"/>
        </w:numPr>
        <w:spacing w:after="0" w:line="240" w:lineRule="auto"/>
        <w:jc w:val="both"/>
        <w:rPr>
          <w:rFonts w:ascii="Arial" w:eastAsia="MS ??" w:hAnsi="Arial" w:cs="Arial"/>
          <w:bCs/>
        </w:rPr>
      </w:pPr>
      <w:r>
        <w:rPr>
          <w:rFonts w:ascii="Arial" w:eastAsia="MS ??" w:hAnsi="Arial" w:cs="Arial"/>
          <w:bCs/>
        </w:rPr>
        <w:t>University Hospitals of North Midlands NHS Trust</w:t>
      </w:r>
    </w:p>
    <w:p w:rsidR="0077354B" w:rsidRDefault="0077354B" w:rsidP="0077354B">
      <w:pPr>
        <w:pStyle w:val="ListParagraph"/>
        <w:numPr>
          <w:ilvl w:val="0"/>
          <w:numId w:val="38"/>
        </w:numPr>
        <w:spacing w:after="0" w:line="240" w:lineRule="auto"/>
        <w:jc w:val="both"/>
        <w:rPr>
          <w:rFonts w:ascii="Arial" w:eastAsia="MS ??" w:hAnsi="Arial" w:cs="Arial"/>
          <w:bCs/>
        </w:rPr>
      </w:pPr>
      <w:r>
        <w:rPr>
          <w:rFonts w:ascii="Arial" w:eastAsia="MS ??" w:hAnsi="Arial" w:cs="Arial"/>
          <w:bCs/>
        </w:rPr>
        <w:t>North Staffordshire Combined Healthcare NHS Trust</w:t>
      </w:r>
    </w:p>
    <w:p w:rsidR="0077354B" w:rsidRDefault="0077354B" w:rsidP="0077354B">
      <w:pPr>
        <w:pStyle w:val="ListParagraph"/>
        <w:numPr>
          <w:ilvl w:val="0"/>
          <w:numId w:val="38"/>
        </w:numPr>
        <w:spacing w:after="0" w:line="240" w:lineRule="auto"/>
        <w:jc w:val="both"/>
        <w:rPr>
          <w:rFonts w:ascii="Arial" w:eastAsia="MS ??" w:hAnsi="Arial" w:cs="Arial"/>
          <w:bCs/>
        </w:rPr>
      </w:pPr>
      <w:r>
        <w:rPr>
          <w:rFonts w:ascii="Arial" w:eastAsia="MS ??" w:hAnsi="Arial" w:cs="Arial"/>
          <w:bCs/>
        </w:rPr>
        <w:t>Stoke-on-Trent City Council</w:t>
      </w:r>
    </w:p>
    <w:p w:rsidR="00F55361" w:rsidRDefault="00F55361" w:rsidP="0077354B">
      <w:pPr>
        <w:pStyle w:val="ListParagraph"/>
        <w:numPr>
          <w:ilvl w:val="0"/>
          <w:numId w:val="38"/>
        </w:numPr>
        <w:spacing w:after="0" w:line="240" w:lineRule="auto"/>
        <w:jc w:val="both"/>
        <w:rPr>
          <w:rFonts w:ascii="Arial" w:eastAsia="MS ??" w:hAnsi="Arial" w:cs="Arial"/>
          <w:bCs/>
        </w:rPr>
      </w:pPr>
      <w:r>
        <w:rPr>
          <w:rFonts w:ascii="Arial" w:eastAsia="MS ??" w:hAnsi="Arial" w:cs="Arial"/>
          <w:bCs/>
        </w:rPr>
        <w:t>Onward lifestyle services (for example, smoking cessation, community alcohol service, Lifestyle Programme, smoke free homes etc)</w:t>
      </w:r>
    </w:p>
    <w:p w:rsidR="0077354B" w:rsidRDefault="0077354B" w:rsidP="0077354B">
      <w:pPr>
        <w:pStyle w:val="ListParagraph"/>
        <w:numPr>
          <w:ilvl w:val="0"/>
          <w:numId w:val="38"/>
        </w:numPr>
        <w:spacing w:after="0" w:line="240" w:lineRule="auto"/>
        <w:jc w:val="both"/>
        <w:rPr>
          <w:rFonts w:ascii="Arial" w:eastAsia="MS ??" w:hAnsi="Arial" w:cs="Arial"/>
          <w:bCs/>
        </w:rPr>
      </w:pPr>
      <w:r>
        <w:rPr>
          <w:rFonts w:ascii="Arial" w:eastAsia="MS ??" w:hAnsi="Arial" w:cs="Arial"/>
          <w:bCs/>
        </w:rPr>
        <w:t xml:space="preserve">NHS Digital (formerly the </w:t>
      </w:r>
      <w:r w:rsidR="00F55361">
        <w:rPr>
          <w:rFonts w:ascii="Arial" w:eastAsia="MS ??" w:hAnsi="Arial" w:cs="Arial"/>
          <w:bCs/>
        </w:rPr>
        <w:t xml:space="preserve">NHS </w:t>
      </w:r>
      <w:r>
        <w:rPr>
          <w:rFonts w:ascii="Arial" w:eastAsia="MS ??" w:hAnsi="Arial" w:cs="Arial"/>
          <w:bCs/>
        </w:rPr>
        <w:t>Health and Social Care Information Centre)</w:t>
      </w:r>
    </w:p>
    <w:p w:rsidR="0077354B" w:rsidRDefault="00F55361" w:rsidP="0077354B">
      <w:pPr>
        <w:pStyle w:val="ListParagraph"/>
        <w:numPr>
          <w:ilvl w:val="0"/>
          <w:numId w:val="38"/>
        </w:numPr>
        <w:spacing w:after="0" w:line="240" w:lineRule="auto"/>
        <w:jc w:val="both"/>
        <w:rPr>
          <w:rFonts w:ascii="Arial" w:eastAsia="MS ??" w:hAnsi="Arial" w:cs="Arial"/>
          <w:bCs/>
        </w:rPr>
      </w:pPr>
      <w:r>
        <w:rPr>
          <w:rFonts w:ascii="Arial" w:eastAsia="MS ??" w:hAnsi="Arial" w:cs="Arial"/>
          <w:bCs/>
        </w:rPr>
        <w:t>Accredited DSCRO status organisation for the West Mid</w:t>
      </w:r>
      <w:r w:rsidR="00D935F2">
        <w:rPr>
          <w:rFonts w:ascii="Arial" w:eastAsia="MS ??" w:hAnsi="Arial" w:cs="Arial"/>
          <w:bCs/>
        </w:rPr>
        <w:t>lands</w:t>
      </w:r>
    </w:p>
    <w:p w:rsidR="00F27B0E" w:rsidRDefault="00F27B0E" w:rsidP="00B400DC">
      <w:pPr>
        <w:spacing w:after="0" w:line="240" w:lineRule="auto"/>
        <w:jc w:val="both"/>
        <w:rPr>
          <w:rFonts w:ascii="Arial" w:eastAsia="MS ??" w:hAnsi="Arial" w:cs="Arial"/>
          <w:bCs/>
        </w:rPr>
      </w:pPr>
    </w:p>
    <w:p w:rsidR="00F27B0E" w:rsidRDefault="00F27B0E" w:rsidP="00B400DC">
      <w:pPr>
        <w:spacing w:after="0" w:line="240" w:lineRule="auto"/>
        <w:jc w:val="both"/>
        <w:rPr>
          <w:rFonts w:ascii="Arial" w:eastAsia="MS ??" w:hAnsi="Arial" w:cs="Arial"/>
          <w:bCs/>
        </w:rPr>
      </w:pPr>
    </w:p>
    <w:p w:rsidR="00F27B0E" w:rsidRDefault="00F55361" w:rsidP="00B400DC">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3</w:t>
      </w:r>
      <w:r>
        <w:rPr>
          <w:rFonts w:ascii="Arial" w:eastAsia="MS ??" w:hAnsi="Arial" w:cs="Arial"/>
          <w:b/>
          <w:bCs/>
          <w:color w:val="548DD4" w:themeColor="text2" w:themeTint="99"/>
        </w:rPr>
        <w:tab/>
      </w:r>
      <w:r w:rsidR="00B470BA">
        <w:rPr>
          <w:rFonts w:ascii="Arial" w:eastAsia="MS ??" w:hAnsi="Arial" w:cs="Arial"/>
          <w:b/>
          <w:bCs/>
          <w:color w:val="548DD4" w:themeColor="text2" w:themeTint="99"/>
        </w:rPr>
        <w:t>Statement of requirements</w:t>
      </w:r>
    </w:p>
    <w:p w:rsidR="00EF0E3E" w:rsidRDefault="00EF0E3E" w:rsidP="00B400DC">
      <w:pPr>
        <w:spacing w:after="0" w:line="240" w:lineRule="auto"/>
        <w:jc w:val="both"/>
        <w:rPr>
          <w:rFonts w:ascii="Arial" w:eastAsia="MS ??" w:hAnsi="Arial" w:cs="Arial"/>
          <w:bCs/>
        </w:rPr>
      </w:pPr>
    </w:p>
    <w:p w:rsidR="008D16B6" w:rsidRDefault="008D16B6" w:rsidP="00B400DC">
      <w:pPr>
        <w:spacing w:after="0" w:line="240" w:lineRule="auto"/>
        <w:jc w:val="both"/>
        <w:rPr>
          <w:rFonts w:ascii="Arial" w:eastAsia="MS ??" w:hAnsi="Arial" w:cs="Arial"/>
          <w:bCs/>
        </w:rPr>
      </w:pPr>
      <w:r>
        <w:rPr>
          <w:rFonts w:ascii="Arial" w:eastAsia="MS ??" w:hAnsi="Arial" w:cs="Arial"/>
          <w:bCs/>
        </w:rPr>
        <w:t>This contract will support the delivery of the following Key Performance Indicators (KPIs):</w:t>
      </w:r>
    </w:p>
    <w:p w:rsidR="008D16B6" w:rsidRDefault="008D16B6" w:rsidP="00B400DC">
      <w:pPr>
        <w:spacing w:after="0" w:line="240" w:lineRule="auto"/>
        <w:jc w:val="both"/>
        <w:rPr>
          <w:rFonts w:ascii="Arial" w:eastAsia="MS ??" w:hAnsi="Arial" w:cs="Arial"/>
          <w:bCs/>
        </w:rPr>
      </w:pPr>
    </w:p>
    <w:p w:rsidR="00EF0E3E" w:rsidRPr="00EF0E3E" w:rsidRDefault="00EF0E3E" w:rsidP="00B400DC">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3.1</w:t>
      </w:r>
      <w:r>
        <w:rPr>
          <w:rFonts w:ascii="Arial" w:eastAsia="MS ??" w:hAnsi="Arial" w:cs="Arial"/>
          <w:b/>
          <w:bCs/>
          <w:color w:val="548DD4" w:themeColor="text2" w:themeTint="99"/>
        </w:rPr>
        <w:tab/>
        <w:t>NHS Health Checks</w:t>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101"/>
        <w:gridCol w:w="6095"/>
        <w:gridCol w:w="2046"/>
      </w:tblGrid>
      <w:tr w:rsidR="00EF0E3E" w:rsidTr="008D16B6">
        <w:tc>
          <w:tcPr>
            <w:tcW w:w="1101" w:type="dxa"/>
            <w:shd w:val="clear" w:color="auto" w:fill="4F81BD" w:themeFill="accent1"/>
          </w:tcPr>
          <w:p w:rsidR="00EF0E3E" w:rsidRPr="00D17B04" w:rsidRDefault="00EF0E3E" w:rsidP="00B400DC">
            <w:pPr>
              <w:jc w:val="both"/>
              <w:rPr>
                <w:rFonts w:ascii="Arial" w:eastAsia="MS ??" w:hAnsi="Arial" w:cs="Arial"/>
                <w:b/>
                <w:bCs/>
                <w:color w:val="FFFFFF" w:themeColor="background1"/>
              </w:rPr>
            </w:pPr>
            <w:r w:rsidRPr="00D17B04">
              <w:rPr>
                <w:rFonts w:ascii="Arial" w:eastAsia="MS ??" w:hAnsi="Arial" w:cs="Arial"/>
                <w:b/>
                <w:bCs/>
                <w:color w:val="FFFFFF" w:themeColor="background1"/>
              </w:rPr>
              <w:t>Number</w:t>
            </w:r>
          </w:p>
        </w:tc>
        <w:tc>
          <w:tcPr>
            <w:tcW w:w="6095" w:type="dxa"/>
            <w:shd w:val="clear" w:color="auto" w:fill="4F81BD" w:themeFill="accent1"/>
          </w:tcPr>
          <w:p w:rsidR="00EF0E3E" w:rsidRPr="00D17B04" w:rsidRDefault="00EF0E3E" w:rsidP="00B400DC">
            <w:pPr>
              <w:jc w:val="both"/>
              <w:rPr>
                <w:rFonts w:ascii="Arial" w:eastAsia="MS ??" w:hAnsi="Arial" w:cs="Arial"/>
                <w:b/>
                <w:bCs/>
                <w:color w:val="FFFFFF" w:themeColor="background1"/>
              </w:rPr>
            </w:pPr>
            <w:r w:rsidRPr="00D17B04">
              <w:rPr>
                <w:rFonts w:ascii="Arial" w:eastAsia="MS ??" w:hAnsi="Arial" w:cs="Arial"/>
                <w:b/>
                <w:bCs/>
                <w:color w:val="FFFFFF" w:themeColor="background1"/>
              </w:rPr>
              <w:t>Indicator</w:t>
            </w:r>
          </w:p>
        </w:tc>
        <w:tc>
          <w:tcPr>
            <w:tcW w:w="2046" w:type="dxa"/>
            <w:shd w:val="clear" w:color="auto" w:fill="4F81BD" w:themeFill="accent1"/>
          </w:tcPr>
          <w:p w:rsidR="00EF0E3E" w:rsidRPr="00D17B04" w:rsidRDefault="00EF0E3E" w:rsidP="00EF0E3E">
            <w:pPr>
              <w:jc w:val="center"/>
              <w:rPr>
                <w:rFonts w:ascii="Arial" w:eastAsia="MS ??" w:hAnsi="Arial" w:cs="Arial"/>
                <w:b/>
                <w:bCs/>
                <w:color w:val="FFFFFF" w:themeColor="background1"/>
              </w:rPr>
            </w:pPr>
            <w:r w:rsidRPr="00D17B04">
              <w:rPr>
                <w:rFonts w:ascii="Arial" w:eastAsia="MS ??" w:hAnsi="Arial" w:cs="Arial"/>
                <w:b/>
                <w:bCs/>
                <w:color w:val="FFFFFF" w:themeColor="background1"/>
              </w:rPr>
              <w:t>Delivery date</w:t>
            </w:r>
          </w:p>
        </w:tc>
      </w:tr>
      <w:tr w:rsidR="00EF0E3E" w:rsidTr="008D16B6">
        <w:tc>
          <w:tcPr>
            <w:tcW w:w="1101" w:type="dxa"/>
          </w:tcPr>
          <w:p w:rsidR="00EF0E3E" w:rsidRDefault="00EF0E3E" w:rsidP="00B400DC">
            <w:pPr>
              <w:jc w:val="both"/>
              <w:rPr>
                <w:rFonts w:ascii="Arial" w:eastAsia="MS ??" w:hAnsi="Arial" w:cs="Arial"/>
                <w:bCs/>
              </w:rPr>
            </w:pPr>
            <w:r>
              <w:rPr>
                <w:rFonts w:ascii="Arial" w:eastAsia="MS ??" w:hAnsi="Arial" w:cs="Arial"/>
                <w:bCs/>
              </w:rPr>
              <w:t>1</w:t>
            </w:r>
          </w:p>
        </w:tc>
        <w:tc>
          <w:tcPr>
            <w:tcW w:w="6095" w:type="dxa"/>
          </w:tcPr>
          <w:p w:rsidR="00EF0E3E" w:rsidRDefault="00D17B04" w:rsidP="00176D89">
            <w:pPr>
              <w:jc w:val="both"/>
              <w:rPr>
                <w:rFonts w:ascii="Arial" w:eastAsia="MS ??" w:hAnsi="Arial" w:cs="Arial"/>
                <w:bCs/>
              </w:rPr>
            </w:pPr>
            <w:r>
              <w:rPr>
                <w:rFonts w:ascii="Arial" w:eastAsia="MS ??" w:hAnsi="Arial" w:cs="Arial"/>
                <w:bCs/>
              </w:rPr>
              <w:t>Create/update localised NHS Health Check</w:t>
            </w:r>
            <w:r w:rsidR="0056516C">
              <w:rPr>
                <w:rFonts w:ascii="Arial" w:eastAsia="MS ??" w:hAnsi="Arial" w:cs="Arial"/>
                <w:bCs/>
              </w:rPr>
              <w:t>s</w:t>
            </w:r>
            <w:r>
              <w:rPr>
                <w:rFonts w:ascii="Arial" w:eastAsia="MS ??" w:hAnsi="Arial" w:cs="Arial"/>
                <w:bCs/>
              </w:rPr>
              <w:t xml:space="preserve"> template for all GP clinical systems used in Stoke-on-Trent in line with P</w:t>
            </w:r>
            <w:r w:rsidR="00176D89">
              <w:rPr>
                <w:rFonts w:ascii="Arial" w:eastAsia="MS ??" w:hAnsi="Arial" w:cs="Arial"/>
                <w:bCs/>
              </w:rPr>
              <w:t>HEs NHS Health Check</w:t>
            </w:r>
            <w:r>
              <w:rPr>
                <w:rFonts w:ascii="Arial" w:eastAsia="MS ??" w:hAnsi="Arial" w:cs="Arial"/>
                <w:bCs/>
              </w:rPr>
              <w:t xml:space="preserve"> Best Practice Guidance and in consultation with the local commissioner</w:t>
            </w:r>
            <w:r w:rsidR="007D29E7">
              <w:rPr>
                <w:rFonts w:ascii="Arial" w:eastAsia="MS ??" w:hAnsi="Arial" w:cs="Arial"/>
                <w:bCs/>
              </w:rPr>
              <w:t>.</w:t>
            </w:r>
          </w:p>
        </w:tc>
        <w:tc>
          <w:tcPr>
            <w:tcW w:w="2046" w:type="dxa"/>
          </w:tcPr>
          <w:p w:rsidR="00EF0E3E" w:rsidRPr="00B72A76" w:rsidRDefault="00D17B04" w:rsidP="00D17B04">
            <w:pPr>
              <w:jc w:val="center"/>
              <w:rPr>
                <w:rFonts w:ascii="Arial" w:eastAsia="MS ??" w:hAnsi="Arial" w:cs="Arial"/>
                <w:bCs/>
              </w:rPr>
            </w:pPr>
            <w:r w:rsidRPr="00B72A76">
              <w:rPr>
                <w:rFonts w:ascii="Arial" w:eastAsia="MS ??" w:hAnsi="Arial" w:cs="Arial"/>
                <w:bCs/>
              </w:rPr>
              <w:t>TBC</w:t>
            </w:r>
          </w:p>
        </w:tc>
      </w:tr>
      <w:tr w:rsidR="00D17B04" w:rsidTr="008D16B6">
        <w:tc>
          <w:tcPr>
            <w:tcW w:w="1101" w:type="dxa"/>
          </w:tcPr>
          <w:p w:rsidR="00D17B04" w:rsidRDefault="00D17B04" w:rsidP="00B400DC">
            <w:pPr>
              <w:jc w:val="both"/>
              <w:rPr>
                <w:rFonts w:ascii="Arial" w:eastAsia="MS ??" w:hAnsi="Arial" w:cs="Arial"/>
                <w:bCs/>
              </w:rPr>
            </w:pPr>
            <w:r>
              <w:rPr>
                <w:rFonts w:ascii="Arial" w:eastAsia="MS ??" w:hAnsi="Arial" w:cs="Arial"/>
                <w:bCs/>
              </w:rPr>
              <w:t>2</w:t>
            </w:r>
          </w:p>
        </w:tc>
        <w:tc>
          <w:tcPr>
            <w:tcW w:w="6095" w:type="dxa"/>
          </w:tcPr>
          <w:p w:rsidR="00D17B04" w:rsidRDefault="00176D89" w:rsidP="00B400DC">
            <w:pPr>
              <w:jc w:val="both"/>
              <w:rPr>
                <w:rFonts w:ascii="Arial" w:eastAsia="MS ??" w:hAnsi="Arial" w:cs="Arial"/>
                <w:bCs/>
              </w:rPr>
            </w:pPr>
            <w:r>
              <w:rPr>
                <w:rFonts w:ascii="Arial" w:eastAsia="MS ??" w:hAnsi="Arial" w:cs="Arial"/>
                <w:bCs/>
              </w:rPr>
              <w:t>Calculation of practice level targets by using an eligibility search in line with PHEs NHS Health Check Best Practice Guidance and in consultation with the local commissioner</w:t>
            </w:r>
            <w:r w:rsidR="007D29E7">
              <w:rPr>
                <w:rFonts w:ascii="Arial" w:eastAsia="MS ??" w:hAnsi="Arial" w:cs="Arial"/>
                <w:bCs/>
              </w:rPr>
              <w:t>.</w:t>
            </w:r>
          </w:p>
        </w:tc>
        <w:tc>
          <w:tcPr>
            <w:tcW w:w="2046" w:type="dxa"/>
          </w:tcPr>
          <w:p w:rsidR="00D17B04" w:rsidRPr="00B72A76" w:rsidRDefault="00D17B04" w:rsidP="00E175DD">
            <w:pPr>
              <w:jc w:val="center"/>
              <w:rPr>
                <w:rFonts w:ascii="Arial" w:eastAsia="MS ??" w:hAnsi="Arial" w:cs="Arial"/>
                <w:bCs/>
              </w:rPr>
            </w:pPr>
            <w:r w:rsidRPr="00B72A76">
              <w:rPr>
                <w:rFonts w:ascii="Arial" w:eastAsia="MS ??" w:hAnsi="Arial" w:cs="Arial"/>
                <w:bCs/>
              </w:rPr>
              <w:t>TBC</w:t>
            </w:r>
          </w:p>
        </w:tc>
      </w:tr>
      <w:tr w:rsidR="00D17B04" w:rsidTr="008D16B6">
        <w:tc>
          <w:tcPr>
            <w:tcW w:w="1101" w:type="dxa"/>
          </w:tcPr>
          <w:p w:rsidR="00D17B04" w:rsidRDefault="00D17B04" w:rsidP="00B400DC">
            <w:pPr>
              <w:jc w:val="both"/>
              <w:rPr>
                <w:rFonts w:ascii="Arial" w:eastAsia="MS ??" w:hAnsi="Arial" w:cs="Arial"/>
                <w:bCs/>
              </w:rPr>
            </w:pPr>
            <w:r>
              <w:rPr>
                <w:rFonts w:ascii="Arial" w:eastAsia="MS ??" w:hAnsi="Arial" w:cs="Arial"/>
                <w:bCs/>
              </w:rPr>
              <w:t>3</w:t>
            </w:r>
          </w:p>
        </w:tc>
        <w:tc>
          <w:tcPr>
            <w:tcW w:w="6095" w:type="dxa"/>
          </w:tcPr>
          <w:p w:rsidR="00D17B04" w:rsidRDefault="0083127C" w:rsidP="00B400DC">
            <w:pPr>
              <w:jc w:val="both"/>
              <w:rPr>
                <w:rFonts w:ascii="Arial" w:eastAsia="MS ??" w:hAnsi="Arial" w:cs="Arial"/>
                <w:bCs/>
              </w:rPr>
            </w:pPr>
            <w:r>
              <w:rPr>
                <w:rFonts w:ascii="Arial" w:eastAsia="MS ??" w:hAnsi="Arial" w:cs="Arial"/>
                <w:bCs/>
              </w:rPr>
              <w:t>Eligibility search to be made easily available to practice staff ranked by 10-year risk of developing CVD calculated by Q Risk</w:t>
            </w:r>
            <w:r w:rsidR="007D29E7">
              <w:rPr>
                <w:rFonts w:ascii="Arial" w:eastAsia="MS ??" w:hAnsi="Arial" w:cs="Arial"/>
                <w:bCs/>
              </w:rPr>
              <w:t>.</w:t>
            </w:r>
          </w:p>
        </w:tc>
        <w:tc>
          <w:tcPr>
            <w:tcW w:w="2046" w:type="dxa"/>
          </w:tcPr>
          <w:p w:rsidR="00D17B04" w:rsidRPr="00B72A76" w:rsidRDefault="00D17B04" w:rsidP="00E175DD">
            <w:pPr>
              <w:jc w:val="center"/>
              <w:rPr>
                <w:rFonts w:ascii="Arial" w:eastAsia="MS ??" w:hAnsi="Arial" w:cs="Arial"/>
                <w:bCs/>
              </w:rPr>
            </w:pPr>
            <w:r w:rsidRPr="00B72A76">
              <w:rPr>
                <w:rFonts w:ascii="Arial" w:eastAsia="MS ??" w:hAnsi="Arial" w:cs="Arial"/>
                <w:bCs/>
              </w:rPr>
              <w:t>TBC</w:t>
            </w:r>
          </w:p>
        </w:tc>
      </w:tr>
    </w:tbl>
    <w:p w:rsidR="0023399A" w:rsidRDefault="00176119" w:rsidP="00B400DC">
      <w:pPr>
        <w:spacing w:after="0" w:line="240" w:lineRule="auto"/>
        <w:jc w:val="both"/>
        <w:rPr>
          <w:rFonts w:ascii="Arial" w:eastAsia="MS ??" w:hAnsi="Arial" w:cs="Arial"/>
          <w:bCs/>
        </w:rPr>
      </w:pPr>
      <w:r>
        <w:rPr>
          <w:rFonts w:ascii="Arial" w:eastAsia="MS ??" w:hAnsi="Arial" w:cs="Arial"/>
          <w:bCs/>
        </w:rPr>
        <w:t>continued over….</w:t>
      </w:r>
    </w:p>
    <w:p w:rsidR="00F55361" w:rsidRPr="0023399A" w:rsidRDefault="0023399A" w:rsidP="00B400DC">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lastRenderedPageBreak/>
        <w:t>NHS Health Checks continued</w:t>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101"/>
        <w:gridCol w:w="6095"/>
        <w:gridCol w:w="2046"/>
      </w:tblGrid>
      <w:tr w:rsidR="0023399A" w:rsidRPr="00D17B04" w:rsidTr="00E175DD">
        <w:tc>
          <w:tcPr>
            <w:tcW w:w="1101" w:type="dxa"/>
            <w:shd w:val="clear" w:color="auto" w:fill="4F81BD" w:themeFill="accent1"/>
          </w:tcPr>
          <w:p w:rsidR="0023399A" w:rsidRPr="00D17B04" w:rsidRDefault="0023399A" w:rsidP="00E175DD">
            <w:pPr>
              <w:jc w:val="both"/>
              <w:rPr>
                <w:rFonts w:ascii="Arial" w:eastAsia="MS ??" w:hAnsi="Arial" w:cs="Arial"/>
                <w:b/>
                <w:bCs/>
                <w:color w:val="FFFFFF" w:themeColor="background1"/>
              </w:rPr>
            </w:pPr>
            <w:r w:rsidRPr="00D17B04">
              <w:rPr>
                <w:rFonts w:ascii="Arial" w:eastAsia="MS ??" w:hAnsi="Arial" w:cs="Arial"/>
                <w:b/>
                <w:bCs/>
                <w:color w:val="FFFFFF" w:themeColor="background1"/>
              </w:rPr>
              <w:t>Number</w:t>
            </w:r>
          </w:p>
        </w:tc>
        <w:tc>
          <w:tcPr>
            <w:tcW w:w="6095" w:type="dxa"/>
            <w:shd w:val="clear" w:color="auto" w:fill="4F81BD" w:themeFill="accent1"/>
          </w:tcPr>
          <w:p w:rsidR="0023399A" w:rsidRPr="00D17B04" w:rsidRDefault="0023399A" w:rsidP="00E175DD">
            <w:pPr>
              <w:jc w:val="both"/>
              <w:rPr>
                <w:rFonts w:ascii="Arial" w:eastAsia="MS ??" w:hAnsi="Arial" w:cs="Arial"/>
                <w:b/>
                <w:bCs/>
                <w:color w:val="FFFFFF" w:themeColor="background1"/>
              </w:rPr>
            </w:pPr>
            <w:r w:rsidRPr="00D17B04">
              <w:rPr>
                <w:rFonts w:ascii="Arial" w:eastAsia="MS ??" w:hAnsi="Arial" w:cs="Arial"/>
                <w:b/>
                <w:bCs/>
                <w:color w:val="FFFFFF" w:themeColor="background1"/>
              </w:rPr>
              <w:t>Indicator</w:t>
            </w:r>
          </w:p>
        </w:tc>
        <w:tc>
          <w:tcPr>
            <w:tcW w:w="2046" w:type="dxa"/>
            <w:shd w:val="clear" w:color="auto" w:fill="4F81BD" w:themeFill="accent1"/>
          </w:tcPr>
          <w:p w:rsidR="0023399A" w:rsidRPr="00D17B04" w:rsidRDefault="0023399A" w:rsidP="00E175DD">
            <w:pPr>
              <w:jc w:val="center"/>
              <w:rPr>
                <w:rFonts w:ascii="Arial" w:eastAsia="MS ??" w:hAnsi="Arial" w:cs="Arial"/>
                <w:b/>
                <w:bCs/>
                <w:color w:val="FFFFFF" w:themeColor="background1"/>
              </w:rPr>
            </w:pPr>
            <w:r w:rsidRPr="00D17B04">
              <w:rPr>
                <w:rFonts w:ascii="Arial" w:eastAsia="MS ??" w:hAnsi="Arial" w:cs="Arial"/>
                <w:b/>
                <w:bCs/>
                <w:color w:val="FFFFFF" w:themeColor="background1"/>
              </w:rPr>
              <w:t>Delivery date</w:t>
            </w:r>
          </w:p>
        </w:tc>
      </w:tr>
      <w:tr w:rsidR="0023399A" w:rsidTr="00E175DD">
        <w:tc>
          <w:tcPr>
            <w:tcW w:w="1101" w:type="dxa"/>
          </w:tcPr>
          <w:p w:rsidR="0023399A" w:rsidRDefault="0023399A" w:rsidP="00E175DD">
            <w:pPr>
              <w:jc w:val="both"/>
              <w:rPr>
                <w:rFonts w:ascii="Arial" w:eastAsia="MS ??" w:hAnsi="Arial" w:cs="Arial"/>
                <w:bCs/>
              </w:rPr>
            </w:pPr>
            <w:r>
              <w:rPr>
                <w:rFonts w:ascii="Arial" w:eastAsia="MS ??" w:hAnsi="Arial" w:cs="Arial"/>
                <w:bCs/>
              </w:rPr>
              <w:t>4</w:t>
            </w:r>
          </w:p>
        </w:tc>
        <w:tc>
          <w:tcPr>
            <w:tcW w:w="6095" w:type="dxa"/>
          </w:tcPr>
          <w:p w:rsidR="0023399A" w:rsidRDefault="008E49E0" w:rsidP="00E175DD">
            <w:pPr>
              <w:jc w:val="both"/>
              <w:rPr>
                <w:rFonts w:ascii="Arial" w:eastAsia="MS ??" w:hAnsi="Arial" w:cs="Arial"/>
                <w:bCs/>
              </w:rPr>
            </w:pPr>
            <w:r>
              <w:rPr>
                <w:rFonts w:ascii="Arial" w:eastAsia="MS ??" w:hAnsi="Arial" w:cs="Arial"/>
                <w:bCs/>
              </w:rPr>
              <w:t>Provide practice level activity data for NHS Health Checks on a quarterly basis to help support payment va</w:t>
            </w:r>
            <w:r w:rsidR="00B72A76">
              <w:rPr>
                <w:rFonts w:ascii="Arial" w:eastAsia="MS ??" w:hAnsi="Arial" w:cs="Arial"/>
                <w:bCs/>
              </w:rPr>
              <w:t>lidation.</w:t>
            </w:r>
          </w:p>
          <w:p w:rsidR="008E49E0" w:rsidRDefault="008E49E0" w:rsidP="00E175DD">
            <w:pPr>
              <w:jc w:val="both"/>
              <w:rPr>
                <w:rFonts w:ascii="Arial" w:eastAsia="MS ??" w:hAnsi="Arial" w:cs="Arial"/>
                <w:bCs/>
              </w:rPr>
            </w:pPr>
          </w:p>
          <w:p w:rsidR="008E49E0" w:rsidRDefault="008E49E0" w:rsidP="00176119">
            <w:pPr>
              <w:jc w:val="both"/>
              <w:rPr>
                <w:rFonts w:ascii="Arial" w:eastAsia="MS ??" w:hAnsi="Arial" w:cs="Arial"/>
                <w:bCs/>
              </w:rPr>
            </w:pPr>
            <w:r>
              <w:rPr>
                <w:rFonts w:ascii="Arial" w:eastAsia="MS ??" w:hAnsi="Arial" w:cs="Arial"/>
                <w:bCs/>
              </w:rPr>
              <w:t xml:space="preserve">The validation process will identify both validated and invalidated Health Checks completed during the </w:t>
            </w:r>
            <w:r w:rsidR="00B72A76">
              <w:rPr>
                <w:rFonts w:ascii="Arial" w:eastAsia="MS ??" w:hAnsi="Arial" w:cs="Arial"/>
                <w:bCs/>
              </w:rPr>
              <w:t xml:space="preserve">current and </w:t>
            </w:r>
            <w:r>
              <w:rPr>
                <w:rFonts w:ascii="Arial" w:eastAsia="MS ??" w:hAnsi="Arial" w:cs="Arial"/>
                <w:bCs/>
              </w:rPr>
              <w:t xml:space="preserve">preceding quarter (these findings will need to be made available to the commissioner and individual GP practices).  </w:t>
            </w:r>
            <w:r w:rsidR="00176119">
              <w:rPr>
                <w:rFonts w:ascii="Arial" w:eastAsia="MS ??" w:hAnsi="Arial" w:cs="Arial"/>
                <w:bCs/>
              </w:rPr>
              <w:t>The validation process will also need to identify which Health Checks (in the preceding quarter) were invalidated due to missing data and which have subsequently been fully completed.</w:t>
            </w:r>
          </w:p>
        </w:tc>
        <w:tc>
          <w:tcPr>
            <w:tcW w:w="2046" w:type="dxa"/>
          </w:tcPr>
          <w:p w:rsidR="0023399A" w:rsidRPr="00B72A76" w:rsidRDefault="0023399A" w:rsidP="00E175DD">
            <w:pPr>
              <w:jc w:val="center"/>
              <w:rPr>
                <w:rFonts w:ascii="Arial" w:eastAsia="MS ??" w:hAnsi="Arial" w:cs="Arial"/>
                <w:bCs/>
              </w:rPr>
            </w:pPr>
            <w:r w:rsidRPr="00B72A76">
              <w:rPr>
                <w:rFonts w:ascii="Arial" w:eastAsia="MS ??" w:hAnsi="Arial" w:cs="Arial"/>
                <w:bCs/>
              </w:rPr>
              <w:t>TBC</w:t>
            </w:r>
          </w:p>
        </w:tc>
      </w:tr>
    </w:tbl>
    <w:p w:rsidR="00F27B0E" w:rsidRDefault="00F27B0E" w:rsidP="00F27B0E">
      <w:pPr>
        <w:spacing w:after="0" w:line="240" w:lineRule="auto"/>
        <w:rPr>
          <w:rFonts w:ascii="Arial" w:eastAsia="MS ??" w:hAnsi="Arial" w:cs="Arial"/>
          <w:bCs/>
        </w:rPr>
      </w:pPr>
    </w:p>
    <w:p w:rsidR="00176119" w:rsidRDefault="00176119" w:rsidP="00F27B0E">
      <w:pPr>
        <w:spacing w:after="0" w:line="240" w:lineRule="auto"/>
        <w:rPr>
          <w:rFonts w:ascii="Arial" w:eastAsia="MS ??" w:hAnsi="Arial" w:cs="Arial"/>
          <w:bCs/>
        </w:rPr>
      </w:pPr>
    </w:p>
    <w:p w:rsidR="00176119" w:rsidRPr="00EF0E3E" w:rsidRDefault="00176119" w:rsidP="00176119">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3.2</w:t>
      </w:r>
      <w:r>
        <w:rPr>
          <w:rFonts w:ascii="Arial" w:eastAsia="MS ??" w:hAnsi="Arial" w:cs="Arial"/>
          <w:b/>
          <w:bCs/>
          <w:color w:val="548DD4" w:themeColor="text2" w:themeTint="99"/>
        </w:rPr>
        <w:tab/>
        <w:t>Epidemiology</w:t>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101"/>
        <w:gridCol w:w="6095"/>
        <w:gridCol w:w="2046"/>
      </w:tblGrid>
      <w:tr w:rsidR="00176119" w:rsidTr="00E175DD">
        <w:tc>
          <w:tcPr>
            <w:tcW w:w="1101" w:type="dxa"/>
            <w:shd w:val="clear" w:color="auto" w:fill="4F81BD" w:themeFill="accent1"/>
          </w:tcPr>
          <w:p w:rsidR="00176119" w:rsidRPr="00D17B04" w:rsidRDefault="00176119" w:rsidP="00E175DD">
            <w:pPr>
              <w:jc w:val="both"/>
              <w:rPr>
                <w:rFonts w:ascii="Arial" w:eastAsia="MS ??" w:hAnsi="Arial" w:cs="Arial"/>
                <w:b/>
                <w:bCs/>
                <w:color w:val="FFFFFF" w:themeColor="background1"/>
              </w:rPr>
            </w:pPr>
            <w:r w:rsidRPr="00D17B04">
              <w:rPr>
                <w:rFonts w:ascii="Arial" w:eastAsia="MS ??" w:hAnsi="Arial" w:cs="Arial"/>
                <w:b/>
                <w:bCs/>
                <w:color w:val="FFFFFF" w:themeColor="background1"/>
              </w:rPr>
              <w:t>Number</w:t>
            </w:r>
          </w:p>
        </w:tc>
        <w:tc>
          <w:tcPr>
            <w:tcW w:w="6095" w:type="dxa"/>
            <w:shd w:val="clear" w:color="auto" w:fill="4F81BD" w:themeFill="accent1"/>
          </w:tcPr>
          <w:p w:rsidR="00176119" w:rsidRPr="00D17B04" w:rsidRDefault="00176119" w:rsidP="00E175DD">
            <w:pPr>
              <w:jc w:val="both"/>
              <w:rPr>
                <w:rFonts w:ascii="Arial" w:eastAsia="MS ??" w:hAnsi="Arial" w:cs="Arial"/>
                <w:b/>
                <w:bCs/>
                <w:color w:val="FFFFFF" w:themeColor="background1"/>
              </w:rPr>
            </w:pPr>
            <w:r w:rsidRPr="00D17B04">
              <w:rPr>
                <w:rFonts w:ascii="Arial" w:eastAsia="MS ??" w:hAnsi="Arial" w:cs="Arial"/>
                <w:b/>
                <w:bCs/>
                <w:color w:val="FFFFFF" w:themeColor="background1"/>
              </w:rPr>
              <w:t>Indicator</w:t>
            </w:r>
          </w:p>
        </w:tc>
        <w:tc>
          <w:tcPr>
            <w:tcW w:w="2046" w:type="dxa"/>
            <w:shd w:val="clear" w:color="auto" w:fill="4F81BD" w:themeFill="accent1"/>
          </w:tcPr>
          <w:p w:rsidR="00176119" w:rsidRPr="00D17B04" w:rsidRDefault="00176119" w:rsidP="00E175DD">
            <w:pPr>
              <w:jc w:val="center"/>
              <w:rPr>
                <w:rFonts w:ascii="Arial" w:eastAsia="MS ??" w:hAnsi="Arial" w:cs="Arial"/>
                <w:b/>
                <w:bCs/>
                <w:color w:val="FFFFFF" w:themeColor="background1"/>
              </w:rPr>
            </w:pPr>
            <w:r w:rsidRPr="00D17B04">
              <w:rPr>
                <w:rFonts w:ascii="Arial" w:eastAsia="MS ??" w:hAnsi="Arial" w:cs="Arial"/>
                <w:b/>
                <w:bCs/>
                <w:color w:val="FFFFFF" w:themeColor="background1"/>
              </w:rPr>
              <w:t>Delivery date</w:t>
            </w:r>
          </w:p>
        </w:tc>
      </w:tr>
      <w:tr w:rsidR="00176119" w:rsidTr="00E175DD">
        <w:tc>
          <w:tcPr>
            <w:tcW w:w="1101" w:type="dxa"/>
          </w:tcPr>
          <w:p w:rsidR="00176119" w:rsidRDefault="00176119" w:rsidP="00E175DD">
            <w:pPr>
              <w:jc w:val="both"/>
              <w:rPr>
                <w:rFonts w:ascii="Arial" w:eastAsia="MS ??" w:hAnsi="Arial" w:cs="Arial"/>
                <w:bCs/>
              </w:rPr>
            </w:pPr>
            <w:r>
              <w:rPr>
                <w:rFonts w:ascii="Arial" w:eastAsia="MS ??" w:hAnsi="Arial" w:cs="Arial"/>
                <w:bCs/>
              </w:rPr>
              <w:t>1</w:t>
            </w:r>
          </w:p>
        </w:tc>
        <w:tc>
          <w:tcPr>
            <w:tcW w:w="6095" w:type="dxa"/>
          </w:tcPr>
          <w:p w:rsidR="00176119" w:rsidRDefault="007D29E7" w:rsidP="00E175DD">
            <w:pPr>
              <w:jc w:val="both"/>
              <w:rPr>
                <w:rFonts w:ascii="Arial" w:eastAsia="MS ??" w:hAnsi="Arial" w:cs="Arial"/>
                <w:bCs/>
              </w:rPr>
            </w:pPr>
            <w:r>
              <w:rPr>
                <w:rFonts w:ascii="Arial" w:eastAsia="MS ??" w:hAnsi="Arial" w:cs="Arial"/>
                <w:bCs/>
              </w:rPr>
              <w:t>Routine and ad-hoc access to primary care and secondary care data, including A&amp;E and hospital admissions data.</w:t>
            </w:r>
          </w:p>
        </w:tc>
        <w:tc>
          <w:tcPr>
            <w:tcW w:w="2046" w:type="dxa"/>
          </w:tcPr>
          <w:p w:rsidR="00176119" w:rsidRDefault="00176119" w:rsidP="00E175DD">
            <w:pPr>
              <w:jc w:val="center"/>
              <w:rPr>
                <w:rFonts w:ascii="Arial" w:eastAsia="MS ??" w:hAnsi="Arial" w:cs="Arial"/>
                <w:bCs/>
              </w:rPr>
            </w:pPr>
            <w:r>
              <w:rPr>
                <w:rFonts w:ascii="Arial" w:eastAsia="MS ??" w:hAnsi="Arial" w:cs="Arial"/>
                <w:bCs/>
              </w:rPr>
              <w:t>On-going</w:t>
            </w:r>
          </w:p>
        </w:tc>
      </w:tr>
      <w:tr w:rsidR="00176119" w:rsidTr="00E175DD">
        <w:tc>
          <w:tcPr>
            <w:tcW w:w="1101" w:type="dxa"/>
          </w:tcPr>
          <w:p w:rsidR="00176119" w:rsidRDefault="00176119" w:rsidP="00E175DD">
            <w:pPr>
              <w:jc w:val="both"/>
              <w:rPr>
                <w:rFonts w:ascii="Arial" w:eastAsia="MS ??" w:hAnsi="Arial" w:cs="Arial"/>
                <w:bCs/>
              </w:rPr>
            </w:pPr>
            <w:r>
              <w:rPr>
                <w:rFonts w:ascii="Arial" w:eastAsia="MS ??" w:hAnsi="Arial" w:cs="Arial"/>
                <w:bCs/>
              </w:rPr>
              <w:t>2</w:t>
            </w:r>
          </w:p>
        </w:tc>
        <w:tc>
          <w:tcPr>
            <w:tcW w:w="6095" w:type="dxa"/>
          </w:tcPr>
          <w:p w:rsidR="00176119" w:rsidRDefault="007E1AD6" w:rsidP="00B362B2">
            <w:pPr>
              <w:jc w:val="both"/>
              <w:rPr>
                <w:rFonts w:ascii="Arial" w:eastAsia="MS ??" w:hAnsi="Arial" w:cs="Arial"/>
                <w:bCs/>
              </w:rPr>
            </w:pPr>
            <w:r>
              <w:rPr>
                <w:rFonts w:ascii="Arial" w:eastAsia="MS ??" w:hAnsi="Arial" w:cs="Arial"/>
                <w:bCs/>
              </w:rPr>
              <w:t xml:space="preserve">Provision of more detailed data in response to specific requests from </w:t>
            </w:r>
            <w:r w:rsidR="00C651B9">
              <w:rPr>
                <w:rFonts w:ascii="Arial" w:eastAsia="MS ??" w:hAnsi="Arial" w:cs="Arial"/>
                <w:bCs/>
              </w:rPr>
              <w:t xml:space="preserve">the </w:t>
            </w:r>
            <w:r>
              <w:rPr>
                <w:rFonts w:ascii="Arial" w:eastAsia="MS ??" w:hAnsi="Arial" w:cs="Arial"/>
                <w:bCs/>
              </w:rPr>
              <w:t xml:space="preserve">commissioner (data to be made available from the </w:t>
            </w:r>
            <w:r w:rsidR="00B362B2">
              <w:rPr>
                <w:rFonts w:ascii="Arial" w:eastAsia="MS ??" w:hAnsi="Arial" w:cs="Arial"/>
                <w:bCs/>
              </w:rPr>
              <w:t>P</w:t>
            </w:r>
            <w:r>
              <w:rPr>
                <w:rFonts w:ascii="Arial" w:eastAsia="MS ??" w:hAnsi="Arial" w:cs="Arial"/>
                <w:bCs/>
              </w:rPr>
              <w:t>rovider within two weeks of the request).</w:t>
            </w:r>
          </w:p>
        </w:tc>
        <w:tc>
          <w:tcPr>
            <w:tcW w:w="2046" w:type="dxa"/>
          </w:tcPr>
          <w:p w:rsidR="00176119" w:rsidRDefault="007E1AD6" w:rsidP="00E175DD">
            <w:pPr>
              <w:jc w:val="center"/>
              <w:rPr>
                <w:rFonts w:ascii="Arial" w:eastAsia="MS ??" w:hAnsi="Arial" w:cs="Arial"/>
                <w:bCs/>
              </w:rPr>
            </w:pPr>
            <w:r>
              <w:rPr>
                <w:rFonts w:ascii="Arial" w:eastAsia="MS ??" w:hAnsi="Arial" w:cs="Arial"/>
                <w:bCs/>
              </w:rPr>
              <w:t>Up to five per year</w:t>
            </w:r>
          </w:p>
        </w:tc>
      </w:tr>
      <w:tr w:rsidR="00176119" w:rsidTr="00E175DD">
        <w:tc>
          <w:tcPr>
            <w:tcW w:w="1101" w:type="dxa"/>
          </w:tcPr>
          <w:p w:rsidR="00176119" w:rsidRDefault="00176119" w:rsidP="00E175DD">
            <w:pPr>
              <w:jc w:val="both"/>
              <w:rPr>
                <w:rFonts w:ascii="Arial" w:eastAsia="MS ??" w:hAnsi="Arial" w:cs="Arial"/>
                <w:bCs/>
              </w:rPr>
            </w:pPr>
            <w:r>
              <w:rPr>
                <w:rFonts w:ascii="Arial" w:eastAsia="MS ??" w:hAnsi="Arial" w:cs="Arial"/>
                <w:bCs/>
              </w:rPr>
              <w:t>3</w:t>
            </w:r>
          </w:p>
        </w:tc>
        <w:tc>
          <w:tcPr>
            <w:tcW w:w="6095" w:type="dxa"/>
          </w:tcPr>
          <w:p w:rsidR="00176119" w:rsidRDefault="007E1AD6" w:rsidP="007E1AD6">
            <w:pPr>
              <w:jc w:val="both"/>
              <w:rPr>
                <w:rFonts w:ascii="Arial" w:eastAsia="MS ??" w:hAnsi="Arial" w:cs="Arial"/>
                <w:bCs/>
              </w:rPr>
            </w:pPr>
            <w:r>
              <w:rPr>
                <w:rFonts w:ascii="Arial" w:eastAsia="MS ??" w:hAnsi="Arial" w:cs="Arial"/>
                <w:bCs/>
              </w:rPr>
              <w:t>Provide appropriate training to enable Public Health staff to build and produce their own data queries.</w:t>
            </w:r>
          </w:p>
        </w:tc>
        <w:tc>
          <w:tcPr>
            <w:tcW w:w="2046" w:type="dxa"/>
          </w:tcPr>
          <w:p w:rsidR="00176119" w:rsidRDefault="007E1AD6" w:rsidP="00E175DD">
            <w:pPr>
              <w:jc w:val="center"/>
              <w:rPr>
                <w:rFonts w:ascii="Arial" w:eastAsia="MS ??" w:hAnsi="Arial" w:cs="Arial"/>
                <w:bCs/>
              </w:rPr>
            </w:pPr>
            <w:r>
              <w:rPr>
                <w:rFonts w:ascii="Arial" w:eastAsia="MS ??" w:hAnsi="Arial" w:cs="Arial"/>
                <w:bCs/>
              </w:rPr>
              <w:t>Ad-hoc</w:t>
            </w:r>
          </w:p>
        </w:tc>
      </w:tr>
    </w:tbl>
    <w:p w:rsidR="00F27B0E" w:rsidRDefault="00F27B0E" w:rsidP="00F27B0E">
      <w:pPr>
        <w:spacing w:after="0" w:line="240" w:lineRule="auto"/>
        <w:rPr>
          <w:rFonts w:ascii="Arial" w:eastAsia="MS ??" w:hAnsi="Arial" w:cs="Arial"/>
          <w:bCs/>
        </w:rPr>
      </w:pPr>
    </w:p>
    <w:p w:rsidR="00F27B0E" w:rsidRDefault="00F27B0E" w:rsidP="00F27B0E">
      <w:pPr>
        <w:spacing w:after="0" w:line="240" w:lineRule="auto"/>
        <w:rPr>
          <w:rFonts w:ascii="Arial" w:eastAsia="MS ??" w:hAnsi="Arial" w:cs="Arial"/>
          <w:bCs/>
        </w:rPr>
      </w:pPr>
    </w:p>
    <w:p w:rsidR="007E1AD6" w:rsidRPr="00EF0E3E" w:rsidRDefault="007E1AD6" w:rsidP="007E1AD6">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3.3</w:t>
      </w:r>
      <w:r>
        <w:rPr>
          <w:rFonts w:ascii="Arial" w:eastAsia="MS ??" w:hAnsi="Arial" w:cs="Arial"/>
          <w:b/>
          <w:bCs/>
          <w:color w:val="548DD4" w:themeColor="text2" w:themeTint="99"/>
        </w:rPr>
        <w:tab/>
        <w:t>Alcohol service audit</w:t>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101"/>
        <w:gridCol w:w="6095"/>
        <w:gridCol w:w="2046"/>
      </w:tblGrid>
      <w:tr w:rsidR="007E1AD6" w:rsidTr="00E175DD">
        <w:tc>
          <w:tcPr>
            <w:tcW w:w="1101" w:type="dxa"/>
            <w:shd w:val="clear" w:color="auto" w:fill="4F81BD" w:themeFill="accent1"/>
          </w:tcPr>
          <w:p w:rsidR="007E1AD6" w:rsidRPr="00D17B04" w:rsidRDefault="007E1AD6" w:rsidP="00E175DD">
            <w:pPr>
              <w:jc w:val="both"/>
              <w:rPr>
                <w:rFonts w:ascii="Arial" w:eastAsia="MS ??" w:hAnsi="Arial" w:cs="Arial"/>
                <w:b/>
                <w:bCs/>
                <w:color w:val="FFFFFF" w:themeColor="background1"/>
              </w:rPr>
            </w:pPr>
            <w:r w:rsidRPr="00D17B04">
              <w:rPr>
                <w:rFonts w:ascii="Arial" w:eastAsia="MS ??" w:hAnsi="Arial" w:cs="Arial"/>
                <w:b/>
                <w:bCs/>
                <w:color w:val="FFFFFF" w:themeColor="background1"/>
              </w:rPr>
              <w:t>Number</w:t>
            </w:r>
          </w:p>
        </w:tc>
        <w:tc>
          <w:tcPr>
            <w:tcW w:w="6095" w:type="dxa"/>
            <w:shd w:val="clear" w:color="auto" w:fill="4F81BD" w:themeFill="accent1"/>
          </w:tcPr>
          <w:p w:rsidR="007E1AD6" w:rsidRPr="00D17B04" w:rsidRDefault="007E1AD6" w:rsidP="00E175DD">
            <w:pPr>
              <w:jc w:val="both"/>
              <w:rPr>
                <w:rFonts w:ascii="Arial" w:eastAsia="MS ??" w:hAnsi="Arial" w:cs="Arial"/>
                <w:b/>
                <w:bCs/>
                <w:color w:val="FFFFFF" w:themeColor="background1"/>
              </w:rPr>
            </w:pPr>
            <w:r w:rsidRPr="00D17B04">
              <w:rPr>
                <w:rFonts w:ascii="Arial" w:eastAsia="MS ??" w:hAnsi="Arial" w:cs="Arial"/>
                <w:b/>
                <w:bCs/>
                <w:color w:val="FFFFFF" w:themeColor="background1"/>
              </w:rPr>
              <w:t>Indicator</w:t>
            </w:r>
          </w:p>
        </w:tc>
        <w:tc>
          <w:tcPr>
            <w:tcW w:w="2046" w:type="dxa"/>
            <w:shd w:val="clear" w:color="auto" w:fill="4F81BD" w:themeFill="accent1"/>
          </w:tcPr>
          <w:p w:rsidR="007E1AD6" w:rsidRPr="00D17B04" w:rsidRDefault="007E1AD6" w:rsidP="00E175DD">
            <w:pPr>
              <w:jc w:val="center"/>
              <w:rPr>
                <w:rFonts w:ascii="Arial" w:eastAsia="MS ??" w:hAnsi="Arial" w:cs="Arial"/>
                <w:b/>
                <w:bCs/>
                <w:color w:val="FFFFFF" w:themeColor="background1"/>
              </w:rPr>
            </w:pPr>
            <w:r w:rsidRPr="00D17B04">
              <w:rPr>
                <w:rFonts w:ascii="Arial" w:eastAsia="MS ??" w:hAnsi="Arial" w:cs="Arial"/>
                <w:b/>
                <w:bCs/>
                <w:color w:val="FFFFFF" w:themeColor="background1"/>
              </w:rPr>
              <w:t>Delivery date</w:t>
            </w:r>
          </w:p>
        </w:tc>
      </w:tr>
      <w:tr w:rsidR="007E1AD6" w:rsidTr="00E175DD">
        <w:tc>
          <w:tcPr>
            <w:tcW w:w="1101" w:type="dxa"/>
          </w:tcPr>
          <w:p w:rsidR="007E1AD6" w:rsidRDefault="007E1AD6" w:rsidP="00E175DD">
            <w:pPr>
              <w:jc w:val="both"/>
              <w:rPr>
                <w:rFonts w:ascii="Arial" w:eastAsia="MS ??" w:hAnsi="Arial" w:cs="Arial"/>
                <w:bCs/>
              </w:rPr>
            </w:pPr>
            <w:r>
              <w:rPr>
                <w:rFonts w:ascii="Arial" w:eastAsia="MS ??" w:hAnsi="Arial" w:cs="Arial"/>
                <w:bCs/>
              </w:rPr>
              <w:t>1</w:t>
            </w:r>
          </w:p>
        </w:tc>
        <w:tc>
          <w:tcPr>
            <w:tcW w:w="6095" w:type="dxa"/>
          </w:tcPr>
          <w:p w:rsidR="007E1AD6" w:rsidRDefault="00E6519B" w:rsidP="00E175DD">
            <w:pPr>
              <w:jc w:val="both"/>
              <w:rPr>
                <w:rFonts w:ascii="Arial" w:eastAsia="MS ??" w:hAnsi="Arial" w:cs="Arial"/>
                <w:bCs/>
              </w:rPr>
            </w:pPr>
            <w:r>
              <w:rPr>
                <w:rFonts w:ascii="Arial" w:eastAsia="MS ??" w:hAnsi="Arial" w:cs="Arial"/>
                <w:bCs/>
              </w:rPr>
              <w:t>Work with commissioners to develop and carry out a bespoke audit of primary care data (subject to be confirmed).</w:t>
            </w:r>
          </w:p>
        </w:tc>
        <w:tc>
          <w:tcPr>
            <w:tcW w:w="2046" w:type="dxa"/>
          </w:tcPr>
          <w:p w:rsidR="007E1AD6" w:rsidRDefault="007E1AD6" w:rsidP="00E175DD">
            <w:pPr>
              <w:jc w:val="center"/>
              <w:rPr>
                <w:rFonts w:ascii="Arial" w:eastAsia="MS ??" w:hAnsi="Arial" w:cs="Arial"/>
                <w:bCs/>
              </w:rPr>
            </w:pPr>
            <w:r>
              <w:rPr>
                <w:rFonts w:ascii="Arial" w:eastAsia="MS ??" w:hAnsi="Arial" w:cs="Arial"/>
                <w:bCs/>
              </w:rPr>
              <w:t>One audit per year</w:t>
            </w:r>
          </w:p>
        </w:tc>
      </w:tr>
    </w:tbl>
    <w:p w:rsidR="00F27B0E" w:rsidRDefault="00F27B0E" w:rsidP="00F27B0E">
      <w:pPr>
        <w:spacing w:after="0" w:line="240" w:lineRule="auto"/>
        <w:rPr>
          <w:rFonts w:ascii="Arial" w:eastAsia="MS ??" w:hAnsi="Arial" w:cs="Arial"/>
          <w:bCs/>
        </w:rPr>
      </w:pPr>
    </w:p>
    <w:p w:rsidR="00F27B0E" w:rsidRDefault="00F27B0E" w:rsidP="00F27B0E">
      <w:pPr>
        <w:spacing w:after="0" w:line="240" w:lineRule="auto"/>
        <w:rPr>
          <w:rFonts w:ascii="Arial" w:eastAsia="MS ??" w:hAnsi="Arial" w:cs="Arial"/>
          <w:bCs/>
        </w:rPr>
      </w:pPr>
    </w:p>
    <w:p w:rsidR="00412EB4" w:rsidRPr="00412EB4" w:rsidRDefault="00412EB4" w:rsidP="00F27B0E">
      <w:pPr>
        <w:spacing w:after="0" w:line="240" w:lineRule="auto"/>
        <w:rPr>
          <w:rFonts w:ascii="Arial" w:eastAsia="MS ??" w:hAnsi="Arial" w:cs="Arial"/>
          <w:b/>
          <w:bCs/>
          <w:color w:val="548DD4" w:themeColor="text2" w:themeTint="99"/>
        </w:rPr>
      </w:pPr>
      <w:r>
        <w:rPr>
          <w:rFonts w:ascii="Arial" w:eastAsia="MS ??" w:hAnsi="Arial" w:cs="Arial"/>
          <w:b/>
          <w:bCs/>
          <w:color w:val="548DD4" w:themeColor="text2" w:themeTint="99"/>
        </w:rPr>
        <w:t>3.4</w:t>
      </w:r>
      <w:r>
        <w:rPr>
          <w:rFonts w:ascii="Arial" w:eastAsia="MS ??" w:hAnsi="Arial" w:cs="Arial"/>
          <w:b/>
          <w:bCs/>
          <w:color w:val="548DD4" w:themeColor="text2" w:themeTint="99"/>
        </w:rPr>
        <w:tab/>
        <w:t>Additional request</w:t>
      </w:r>
    </w:p>
    <w:p w:rsidR="00412EB4" w:rsidRDefault="00412EB4" w:rsidP="00412EB4">
      <w:pPr>
        <w:spacing w:after="0" w:line="240" w:lineRule="auto"/>
        <w:jc w:val="both"/>
        <w:rPr>
          <w:rFonts w:ascii="Arial" w:eastAsia="MS ??" w:hAnsi="Arial" w:cs="Arial"/>
          <w:bCs/>
        </w:rPr>
      </w:pPr>
    </w:p>
    <w:p w:rsidR="00412EB4" w:rsidRDefault="00412EB4" w:rsidP="00412EB4">
      <w:pPr>
        <w:spacing w:after="0" w:line="240" w:lineRule="auto"/>
        <w:jc w:val="both"/>
        <w:rPr>
          <w:rFonts w:ascii="Arial" w:eastAsia="MS ??" w:hAnsi="Arial" w:cs="Arial"/>
          <w:bCs/>
        </w:rPr>
      </w:pPr>
      <w:r>
        <w:rPr>
          <w:rFonts w:ascii="Arial" w:eastAsia="MS ??" w:hAnsi="Arial" w:cs="Arial"/>
          <w:bCs/>
        </w:rPr>
        <w:t xml:space="preserve">In addition to the KPIs set out above, the commissioner may request additional support to carry out tasks to continuously improve local public health services delivery.  The cost of these tasks are not included in the core contract but the </w:t>
      </w:r>
      <w:r w:rsidR="00B362B2">
        <w:rPr>
          <w:rFonts w:ascii="Arial" w:eastAsia="MS ??" w:hAnsi="Arial" w:cs="Arial"/>
          <w:bCs/>
        </w:rPr>
        <w:t>P</w:t>
      </w:r>
      <w:r>
        <w:rPr>
          <w:rFonts w:ascii="Arial" w:eastAsia="MS ??" w:hAnsi="Arial" w:cs="Arial"/>
          <w:bCs/>
        </w:rPr>
        <w:t>rovider will be required to release capacity to complete the work following agreement of KPIs, timelines and additional cost with the commissioner.</w:t>
      </w:r>
    </w:p>
    <w:p w:rsidR="00412EB4" w:rsidRDefault="00412EB4" w:rsidP="00412EB4">
      <w:pPr>
        <w:spacing w:after="0" w:line="240" w:lineRule="auto"/>
        <w:jc w:val="both"/>
        <w:rPr>
          <w:rFonts w:ascii="Arial" w:eastAsia="MS ??" w:hAnsi="Arial" w:cs="Arial"/>
          <w:bCs/>
        </w:rPr>
      </w:pPr>
    </w:p>
    <w:p w:rsidR="00412EB4" w:rsidRDefault="00412EB4" w:rsidP="00412EB4">
      <w:pPr>
        <w:spacing w:after="0" w:line="240" w:lineRule="auto"/>
        <w:jc w:val="both"/>
        <w:rPr>
          <w:rFonts w:ascii="Arial" w:eastAsia="MS ??" w:hAnsi="Arial" w:cs="Arial"/>
          <w:bCs/>
        </w:rPr>
      </w:pPr>
    </w:p>
    <w:p w:rsidR="00412EB4" w:rsidRDefault="00412EB4" w:rsidP="00412EB4">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4</w:t>
      </w:r>
      <w:r>
        <w:rPr>
          <w:rFonts w:ascii="Arial" w:eastAsia="MS ??" w:hAnsi="Arial" w:cs="Arial"/>
          <w:b/>
          <w:bCs/>
          <w:color w:val="548DD4" w:themeColor="text2" w:themeTint="99"/>
        </w:rPr>
        <w:tab/>
        <w:t>Quality standards</w:t>
      </w:r>
    </w:p>
    <w:p w:rsidR="00F27B0E" w:rsidRDefault="00F27B0E" w:rsidP="00412EB4">
      <w:pPr>
        <w:spacing w:after="0" w:line="240" w:lineRule="auto"/>
        <w:jc w:val="both"/>
        <w:rPr>
          <w:rFonts w:ascii="Arial" w:eastAsia="MS ??" w:hAnsi="Arial" w:cs="Arial"/>
          <w:bCs/>
        </w:rPr>
      </w:pPr>
    </w:p>
    <w:p w:rsidR="00412EB4" w:rsidRDefault="00412EB4" w:rsidP="00412EB4">
      <w:pPr>
        <w:spacing w:after="0" w:line="240" w:lineRule="auto"/>
        <w:jc w:val="both"/>
        <w:rPr>
          <w:rFonts w:ascii="Arial" w:eastAsia="MS ??" w:hAnsi="Arial" w:cs="Arial"/>
          <w:bCs/>
        </w:rPr>
      </w:pPr>
      <w:r>
        <w:rPr>
          <w:rFonts w:ascii="Arial" w:eastAsia="MS ??" w:hAnsi="Arial" w:cs="Arial"/>
          <w:bCs/>
        </w:rPr>
        <w:t>T</w:t>
      </w:r>
      <w:r w:rsidR="00B362B2">
        <w:rPr>
          <w:rFonts w:ascii="Arial" w:eastAsia="MS ??" w:hAnsi="Arial" w:cs="Arial"/>
          <w:bCs/>
        </w:rPr>
        <w:t>he P</w:t>
      </w:r>
      <w:r w:rsidR="00BB096E">
        <w:rPr>
          <w:rFonts w:ascii="Arial" w:eastAsia="MS ??" w:hAnsi="Arial" w:cs="Arial"/>
          <w:bCs/>
        </w:rPr>
        <w:t>rovider will need to ensure that the following quality standards are fully met:</w:t>
      </w:r>
    </w:p>
    <w:p w:rsidR="00412EB4" w:rsidRDefault="00412EB4" w:rsidP="00412EB4">
      <w:pPr>
        <w:spacing w:after="0" w:line="240" w:lineRule="auto"/>
        <w:jc w:val="both"/>
        <w:rPr>
          <w:rFonts w:ascii="Arial" w:eastAsia="MS ??" w:hAnsi="Arial" w:cs="Arial"/>
          <w:bCs/>
        </w:rPr>
      </w:pPr>
    </w:p>
    <w:p w:rsidR="00412EB4" w:rsidRDefault="00412EB4" w:rsidP="00412EB4">
      <w:pPr>
        <w:pStyle w:val="ListParagraph"/>
        <w:numPr>
          <w:ilvl w:val="0"/>
          <w:numId w:val="39"/>
        </w:numPr>
        <w:spacing w:after="0" w:line="240" w:lineRule="auto"/>
        <w:jc w:val="both"/>
        <w:rPr>
          <w:rFonts w:ascii="Arial" w:eastAsia="MS ??" w:hAnsi="Arial" w:cs="Arial"/>
          <w:bCs/>
        </w:rPr>
      </w:pPr>
      <w:r>
        <w:rPr>
          <w:rFonts w:ascii="Arial" w:eastAsia="MS ??" w:hAnsi="Arial" w:cs="Arial"/>
          <w:bCs/>
        </w:rPr>
        <w:t>Compatibility with all GP clinical system providers</w:t>
      </w:r>
    </w:p>
    <w:p w:rsidR="00412EB4" w:rsidRDefault="00412EB4" w:rsidP="00412EB4">
      <w:pPr>
        <w:pStyle w:val="ListParagraph"/>
        <w:numPr>
          <w:ilvl w:val="0"/>
          <w:numId w:val="39"/>
        </w:numPr>
        <w:spacing w:after="0" w:line="240" w:lineRule="auto"/>
        <w:jc w:val="both"/>
        <w:rPr>
          <w:rFonts w:ascii="Arial" w:eastAsia="MS ??" w:hAnsi="Arial" w:cs="Arial"/>
          <w:bCs/>
        </w:rPr>
      </w:pPr>
      <w:r>
        <w:rPr>
          <w:rFonts w:ascii="Arial" w:eastAsia="MS ??" w:hAnsi="Arial" w:cs="Arial"/>
          <w:bCs/>
        </w:rPr>
        <w:t>Ability to access to secondary care data at a postcode level</w:t>
      </w:r>
    </w:p>
    <w:p w:rsidR="00412EB4" w:rsidRDefault="00F439EA" w:rsidP="00412EB4">
      <w:pPr>
        <w:pStyle w:val="ListParagraph"/>
        <w:numPr>
          <w:ilvl w:val="0"/>
          <w:numId w:val="39"/>
        </w:numPr>
        <w:spacing w:after="0" w:line="240" w:lineRule="auto"/>
        <w:jc w:val="both"/>
        <w:rPr>
          <w:rFonts w:ascii="Arial" w:eastAsia="MS ??" w:hAnsi="Arial" w:cs="Arial"/>
          <w:bCs/>
        </w:rPr>
      </w:pPr>
      <w:r>
        <w:rPr>
          <w:rFonts w:ascii="Arial" w:eastAsia="MS ??" w:hAnsi="Arial" w:cs="Arial"/>
          <w:bCs/>
        </w:rPr>
        <w:t>Patient identifiable data remains at a practice level</w:t>
      </w:r>
    </w:p>
    <w:p w:rsidR="00F439EA" w:rsidRDefault="00F439EA" w:rsidP="00412EB4">
      <w:pPr>
        <w:pStyle w:val="ListParagraph"/>
        <w:numPr>
          <w:ilvl w:val="0"/>
          <w:numId w:val="39"/>
        </w:numPr>
        <w:spacing w:after="0" w:line="240" w:lineRule="auto"/>
        <w:jc w:val="both"/>
        <w:rPr>
          <w:rFonts w:ascii="Arial" w:eastAsia="MS ??" w:hAnsi="Arial" w:cs="Arial"/>
          <w:bCs/>
        </w:rPr>
      </w:pPr>
      <w:r>
        <w:rPr>
          <w:rFonts w:ascii="Arial" w:eastAsia="MS ??" w:hAnsi="Arial" w:cs="Arial"/>
          <w:bCs/>
        </w:rPr>
        <w:t>Anonymised data can be viewed centrally by commissioners</w:t>
      </w:r>
    </w:p>
    <w:p w:rsidR="00F439EA" w:rsidRPr="00412EB4" w:rsidRDefault="00F439EA" w:rsidP="00412EB4">
      <w:pPr>
        <w:pStyle w:val="ListParagraph"/>
        <w:numPr>
          <w:ilvl w:val="0"/>
          <w:numId w:val="39"/>
        </w:numPr>
        <w:spacing w:after="0" w:line="240" w:lineRule="auto"/>
        <w:jc w:val="both"/>
        <w:rPr>
          <w:rFonts w:ascii="Arial" w:eastAsia="MS ??" w:hAnsi="Arial" w:cs="Arial"/>
          <w:bCs/>
        </w:rPr>
      </w:pPr>
      <w:r>
        <w:rPr>
          <w:rFonts w:ascii="Arial" w:eastAsia="MS ??" w:hAnsi="Arial" w:cs="Arial"/>
          <w:bCs/>
        </w:rPr>
        <w:t xml:space="preserve">Issues with searches and data requests for this contract are actioned within </w:t>
      </w:r>
      <w:r w:rsidR="00C651B9">
        <w:rPr>
          <w:rFonts w:ascii="Arial" w:eastAsia="MS ??" w:hAnsi="Arial" w:cs="Arial"/>
          <w:bCs/>
        </w:rPr>
        <w:t>two weeks of the request</w:t>
      </w:r>
    </w:p>
    <w:p w:rsidR="00412EB4" w:rsidRDefault="00412EB4" w:rsidP="00412EB4">
      <w:pPr>
        <w:spacing w:after="0" w:line="240" w:lineRule="auto"/>
        <w:jc w:val="both"/>
        <w:rPr>
          <w:rFonts w:ascii="Arial" w:eastAsia="MS ??" w:hAnsi="Arial" w:cs="Arial"/>
          <w:bCs/>
        </w:rPr>
      </w:pPr>
    </w:p>
    <w:p w:rsidR="001E5C20" w:rsidRDefault="001E5C20" w:rsidP="00412EB4">
      <w:pPr>
        <w:spacing w:after="0" w:line="240" w:lineRule="auto"/>
        <w:jc w:val="both"/>
        <w:rPr>
          <w:rFonts w:ascii="Arial" w:eastAsia="MS ??" w:hAnsi="Arial" w:cs="Arial"/>
          <w:bCs/>
        </w:rPr>
      </w:pPr>
    </w:p>
    <w:p w:rsidR="00F439EA" w:rsidRDefault="00012755" w:rsidP="00F439EA">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lastRenderedPageBreak/>
        <w:t>5</w:t>
      </w:r>
      <w:r>
        <w:rPr>
          <w:rFonts w:ascii="Arial" w:eastAsia="MS ??" w:hAnsi="Arial" w:cs="Arial"/>
          <w:b/>
          <w:bCs/>
          <w:color w:val="548DD4" w:themeColor="text2" w:themeTint="99"/>
        </w:rPr>
        <w:tab/>
        <w:t>Clinical and i</w:t>
      </w:r>
      <w:r w:rsidR="00F439EA">
        <w:rPr>
          <w:rFonts w:ascii="Arial" w:eastAsia="MS ??" w:hAnsi="Arial" w:cs="Arial"/>
          <w:b/>
          <w:bCs/>
          <w:color w:val="548DD4" w:themeColor="text2" w:themeTint="99"/>
        </w:rPr>
        <w:t xml:space="preserve">nformation </w:t>
      </w:r>
      <w:r>
        <w:rPr>
          <w:rFonts w:ascii="Arial" w:eastAsia="MS ??" w:hAnsi="Arial" w:cs="Arial"/>
          <w:b/>
          <w:bCs/>
          <w:color w:val="548DD4" w:themeColor="text2" w:themeTint="99"/>
        </w:rPr>
        <w:t>g</w:t>
      </w:r>
      <w:r w:rsidR="00F439EA">
        <w:rPr>
          <w:rFonts w:ascii="Arial" w:eastAsia="MS ??" w:hAnsi="Arial" w:cs="Arial"/>
          <w:b/>
          <w:bCs/>
          <w:color w:val="548DD4" w:themeColor="text2" w:themeTint="99"/>
        </w:rPr>
        <w:t>overnance</w:t>
      </w:r>
    </w:p>
    <w:p w:rsidR="00F27B0E" w:rsidRDefault="00F27B0E" w:rsidP="00412EB4">
      <w:pPr>
        <w:spacing w:after="0" w:line="240" w:lineRule="auto"/>
        <w:jc w:val="both"/>
        <w:rPr>
          <w:rFonts w:ascii="Arial" w:eastAsia="MS ??" w:hAnsi="Arial" w:cs="Arial"/>
          <w:bCs/>
        </w:rPr>
      </w:pPr>
    </w:p>
    <w:p w:rsidR="00F439EA" w:rsidRDefault="00BB096E" w:rsidP="00412EB4">
      <w:pPr>
        <w:spacing w:after="0" w:line="240" w:lineRule="auto"/>
        <w:jc w:val="both"/>
        <w:rPr>
          <w:rFonts w:ascii="Arial" w:eastAsia="MS ??" w:hAnsi="Arial" w:cs="Arial"/>
          <w:bCs/>
        </w:rPr>
      </w:pPr>
      <w:r>
        <w:rPr>
          <w:rFonts w:ascii="Arial" w:eastAsia="MS ??" w:hAnsi="Arial" w:cs="Arial"/>
          <w:bCs/>
        </w:rPr>
        <w:t xml:space="preserve">The </w:t>
      </w:r>
      <w:r w:rsidR="00B362B2">
        <w:rPr>
          <w:rFonts w:ascii="Arial" w:eastAsia="MS ??" w:hAnsi="Arial" w:cs="Arial"/>
          <w:bCs/>
        </w:rPr>
        <w:t>P</w:t>
      </w:r>
      <w:r>
        <w:rPr>
          <w:rFonts w:ascii="Arial" w:eastAsia="MS ??" w:hAnsi="Arial" w:cs="Arial"/>
          <w:bCs/>
        </w:rPr>
        <w:t>rovider should ensure they meet the requirements of the 1998 Data Protection Act and are fully compliant with NHS Information Governance and Caldicott principles.  To support this it is essential that:</w:t>
      </w:r>
    </w:p>
    <w:p w:rsidR="00BB096E" w:rsidRDefault="00BB096E" w:rsidP="00412EB4">
      <w:pPr>
        <w:spacing w:after="0" w:line="240" w:lineRule="auto"/>
        <w:jc w:val="both"/>
        <w:rPr>
          <w:rFonts w:ascii="Arial" w:eastAsia="MS ??" w:hAnsi="Arial" w:cs="Arial"/>
          <w:bCs/>
        </w:rPr>
      </w:pPr>
    </w:p>
    <w:p w:rsidR="00BB096E" w:rsidRDefault="00B362B2" w:rsidP="00BB096E">
      <w:pPr>
        <w:pStyle w:val="ListParagraph"/>
        <w:numPr>
          <w:ilvl w:val="0"/>
          <w:numId w:val="40"/>
        </w:numPr>
        <w:spacing w:after="0" w:line="240" w:lineRule="auto"/>
        <w:jc w:val="both"/>
        <w:rPr>
          <w:rFonts w:ascii="Arial" w:eastAsia="MS ??" w:hAnsi="Arial" w:cs="Arial"/>
          <w:bCs/>
        </w:rPr>
      </w:pPr>
      <w:r>
        <w:rPr>
          <w:rFonts w:ascii="Arial" w:eastAsia="MS ??" w:hAnsi="Arial" w:cs="Arial"/>
          <w:bCs/>
        </w:rPr>
        <w:t>The P</w:t>
      </w:r>
      <w:r w:rsidR="00BB096E">
        <w:rPr>
          <w:rFonts w:ascii="Arial" w:eastAsia="MS ??" w:hAnsi="Arial" w:cs="Arial"/>
          <w:bCs/>
        </w:rPr>
        <w:t>rovider ensures compliance with the 1998 Data Protection Act</w:t>
      </w:r>
    </w:p>
    <w:p w:rsidR="00BB096E" w:rsidRDefault="00BB096E" w:rsidP="00BB096E">
      <w:pPr>
        <w:spacing w:after="0" w:line="240" w:lineRule="auto"/>
        <w:jc w:val="both"/>
        <w:rPr>
          <w:rFonts w:ascii="Arial" w:eastAsia="MS ??" w:hAnsi="Arial" w:cs="Arial"/>
          <w:bCs/>
        </w:rPr>
      </w:pPr>
    </w:p>
    <w:p w:rsidR="00BB096E" w:rsidRDefault="00B362B2" w:rsidP="00BB096E">
      <w:pPr>
        <w:pStyle w:val="ListParagraph"/>
        <w:numPr>
          <w:ilvl w:val="0"/>
          <w:numId w:val="40"/>
        </w:numPr>
        <w:spacing w:after="0" w:line="240" w:lineRule="auto"/>
        <w:jc w:val="both"/>
        <w:rPr>
          <w:rFonts w:ascii="Arial" w:eastAsia="MS ??" w:hAnsi="Arial" w:cs="Arial"/>
          <w:bCs/>
        </w:rPr>
      </w:pPr>
      <w:r>
        <w:rPr>
          <w:rFonts w:ascii="Arial" w:eastAsia="MS ??" w:hAnsi="Arial" w:cs="Arial"/>
          <w:bCs/>
        </w:rPr>
        <w:t>The P</w:t>
      </w:r>
      <w:r w:rsidR="00BB096E">
        <w:rPr>
          <w:rFonts w:ascii="Arial" w:eastAsia="MS ??" w:hAnsi="Arial" w:cs="Arial"/>
          <w:bCs/>
        </w:rPr>
        <w:t>rovider applies industry standard best practice in relation to information security management standards</w:t>
      </w:r>
    </w:p>
    <w:p w:rsidR="00BB096E" w:rsidRDefault="00BB096E" w:rsidP="00BB096E">
      <w:pPr>
        <w:spacing w:after="0" w:line="240" w:lineRule="auto"/>
        <w:jc w:val="both"/>
        <w:rPr>
          <w:rFonts w:ascii="Arial" w:eastAsia="MS ??" w:hAnsi="Arial" w:cs="Arial"/>
          <w:bCs/>
        </w:rPr>
      </w:pPr>
    </w:p>
    <w:p w:rsidR="00BB096E" w:rsidRDefault="00B362B2" w:rsidP="00BB096E">
      <w:pPr>
        <w:pStyle w:val="ListParagraph"/>
        <w:numPr>
          <w:ilvl w:val="0"/>
          <w:numId w:val="40"/>
        </w:numPr>
        <w:spacing w:after="0" w:line="240" w:lineRule="auto"/>
        <w:jc w:val="both"/>
        <w:rPr>
          <w:rFonts w:ascii="Arial" w:eastAsia="MS ??" w:hAnsi="Arial" w:cs="Arial"/>
          <w:bCs/>
        </w:rPr>
      </w:pPr>
      <w:r>
        <w:rPr>
          <w:rFonts w:ascii="Arial" w:eastAsia="MS ??" w:hAnsi="Arial" w:cs="Arial"/>
          <w:bCs/>
        </w:rPr>
        <w:t>The P</w:t>
      </w:r>
      <w:r w:rsidR="00BB096E">
        <w:rPr>
          <w:rFonts w:ascii="Arial" w:eastAsia="MS ??" w:hAnsi="Arial" w:cs="Arial"/>
          <w:bCs/>
        </w:rPr>
        <w:t xml:space="preserve">rovider ensures that all system users receive appropriate information security awareness training </w:t>
      </w:r>
      <w:r>
        <w:rPr>
          <w:rFonts w:ascii="Arial" w:eastAsia="MS ??" w:hAnsi="Arial" w:cs="Arial"/>
          <w:bCs/>
        </w:rPr>
        <w:t xml:space="preserve">at </w:t>
      </w:r>
      <w:r w:rsidR="00BB096E">
        <w:rPr>
          <w:rFonts w:ascii="Arial" w:eastAsia="MS ??" w:hAnsi="Arial" w:cs="Arial"/>
          <w:bCs/>
        </w:rPr>
        <w:t xml:space="preserve">the </w:t>
      </w:r>
      <w:r>
        <w:rPr>
          <w:rFonts w:ascii="Arial" w:eastAsia="MS ??" w:hAnsi="Arial" w:cs="Arial"/>
          <w:bCs/>
        </w:rPr>
        <w:t>P</w:t>
      </w:r>
      <w:r w:rsidR="00BB096E">
        <w:rPr>
          <w:rFonts w:ascii="Arial" w:eastAsia="MS ??" w:hAnsi="Arial" w:cs="Arial"/>
          <w:bCs/>
        </w:rPr>
        <w:t>roviders expense</w:t>
      </w:r>
    </w:p>
    <w:p w:rsidR="00BB096E" w:rsidRDefault="00BB096E" w:rsidP="00BB096E">
      <w:pPr>
        <w:spacing w:after="0" w:line="240" w:lineRule="auto"/>
        <w:jc w:val="both"/>
        <w:rPr>
          <w:rFonts w:ascii="Arial" w:eastAsia="MS ??" w:hAnsi="Arial" w:cs="Arial"/>
          <w:bCs/>
        </w:rPr>
      </w:pPr>
    </w:p>
    <w:p w:rsidR="00BB096E" w:rsidRDefault="00BB096E" w:rsidP="00BB096E">
      <w:pPr>
        <w:pStyle w:val="ListParagraph"/>
        <w:numPr>
          <w:ilvl w:val="0"/>
          <w:numId w:val="40"/>
        </w:numPr>
        <w:spacing w:after="0" w:line="240" w:lineRule="auto"/>
        <w:jc w:val="both"/>
        <w:rPr>
          <w:rFonts w:ascii="Arial" w:eastAsia="MS ??" w:hAnsi="Arial" w:cs="Arial"/>
          <w:bCs/>
        </w:rPr>
      </w:pPr>
      <w:r>
        <w:rPr>
          <w:rFonts w:ascii="Arial" w:eastAsia="MS ??" w:hAnsi="Arial" w:cs="Arial"/>
          <w:bCs/>
        </w:rPr>
        <w:t>The system is password protected and all data encrypted if being transmitted.  Encryption should be to FIPS 140-2.  If encryption that does not meet this standard is proposed, approval must be sought in advance.</w:t>
      </w:r>
    </w:p>
    <w:p w:rsidR="00BB096E" w:rsidRDefault="00BB096E" w:rsidP="00BB096E">
      <w:pPr>
        <w:spacing w:after="0" w:line="240" w:lineRule="auto"/>
        <w:jc w:val="both"/>
        <w:rPr>
          <w:rFonts w:ascii="Arial" w:eastAsia="MS ??" w:hAnsi="Arial" w:cs="Arial"/>
          <w:bCs/>
        </w:rPr>
      </w:pPr>
    </w:p>
    <w:p w:rsidR="00BB096E" w:rsidRDefault="00B362B2" w:rsidP="00BB096E">
      <w:pPr>
        <w:pStyle w:val="ListParagraph"/>
        <w:numPr>
          <w:ilvl w:val="0"/>
          <w:numId w:val="40"/>
        </w:numPr>
        <w:spacing w:after="0" w:line="240" w:lineRule="auto"/>
        <w:jc w:val="both"/>
        <w:rPr>
          <w:rFonts w:ascii="Arial" w:eastAsia="MS ??" w:hAnsi="Arial" w:cs="Arial"/>
          <w:bCs/>
        </w:rPr>
      </w:pPr>
      <w:r>
        <w:rPr>
          <w:rFonts w:ascii="Arial" w:eastAsia="MS ??" w:hAnsi="Arial" w:cs="Arial"/>
          <w:bCs/>
        </w:rPr>
        <w:t>The P</w:t>
      </w:r>
      <w:r w:rsidR="00BB096E">
        <w:rPr>
          <w:rFonts w:ascii="Arial" w:eastAsia="MS ??" w:hAnsi="Arial" w:cs="Arial"/>
          <w:bCs/>
        </w:rPr>
        <w:t>rovider has a full audit log for monitoring any system misuse</w:t>
      </w:r>
    </w:p>
    <w:p w:rsidR="00BB096E" w:rsidRDefault="00BB096E" w:rsidP="00BB096E">
      <w:pPr>
        <w:spacing w:after="0" w:line="240" w:lineRule="auto"/>
        <w:jc w:val="both"/>
        <w:rPr>
          <w:rFonts w:ascii="Arial" w:eastAsia="MS ??" w:hAnsi="Arial" w:cs="Arial"/>
          <w:bCs/>
        </w:rPr>
      </w:pPr>
    </w:p>
    <w:p w:rsidR="00BB096E" w:rsidRPr="00BB096E" w:rsidRDefault="00BB096E" w:rsidP="00BB096E">
      <w:pPr>
        <w:spacing w:after="0" w:line="240" w:lineRule="auto"/>
        <w:jc w:val="both"/>
        <w:rPr>
          <w:rFonts w:ascii="Arial" w:eastAsia="MS ??" w:hAnsi="Arial" w:cs="Arial"/>
          <w:bCs/>
        </w:rPr>
      </w:pPr>
    </w:p>
    <w:p w:rsidR="00BB096E" w:rsidRDefault="00BB096E" w:rsidP="00BB096E">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6</w:t>
      </w:r>
      <w:r>
        <w:rPr>
          <w:rFonts w:ascii="Arial" w:eastAsia="MS ??" w:hAnsi="Arial" w:cs="Arial"/>
          <w:b/>
          <w:bCs/>
          <w:color w:val="548DD4" w:themeColor="text2" w:themeTint="99"/>
        </w:rPr>
        <w:tab/>
        <w:t>Staffing responsibilities</w:t>
      </w:r>
    </w:p>
    <w:p w:rsidR="00F439EA" w:rsidRDefault="00F439EA" w:rsidP="00412EB4">
      <w:pPr>
        <w:spacing w:after="0" w:line="240" w:lineRule="auto"/>
        <w:jc w:val="both"/>
        <w:rPr>
          <w:rFonts w:ascii="Arial" w:eastAsia="MS ??" w:hAnsi="Arial" w:cs="Arial"/>
          <w:bCs/>
        </w:rPr>
      </w:pPr>
    </w:p>
    <w:p w:rsidR="00F439EA" w:rsidRDefault="00B362B2" w:rsidP="00412EB4">
      <w:pPr>
        <w:spacing w:after="0" w:line="240" w:lineRule="auto"/>
        <w:jc w:val="both"/>
        <w:rPr>
          <w:rFonts w:ascii="Arial" w:eastAsia="MS ??" w:hAnsi="Arial" w:cs="Arial"/>
          <w:bCs/>
        </w:rPr>
      </w:pPr>
      <w:r>
        <w:rPr>
          <w:rFonts w:ascii="Arial" w:eastAsia="MS ??" w:hAnsi="Arial" w:cs="Arial"/>
          <w:bCs/>
        </w:rPr>
        <w:t>The P</w:t>
      </w:r>
      <w:r w:rsidR="00543F83">
        <w:rPr>
          <w:rFonts w:ascii="Arial" w:eastAsia="MS ??" w:hAnsi="Arial" w:cs="Arial"/>
          <w:bCs/>
        </w:rPr>
        <w:t>rovider will be responsible</w:t>
      </w:r>
      <w:r w:rsidR="00DA0945">
        <w:rPr>
          <w:rFonts w:ascii="Arial" w:eastAsia="MS ??" w:hAnsi="Arial" w:cs="Arial"/>
          <w:bCs/>
        </w:rPr>
        <w:t xml:space="preserve"> for the collection, cleansing, verification, maintenance and storage of all primary care and secondary care data required by th</w:t>
      </w:r>
      <w:r>
        <w:rPr>
          <w:rFonts w:ascii="Arial" w:eastAsia="MS ??" w:hAnsi="Arial" w:cs="Arial"/>
          <w:bCs/>
        </w:rPr>
        <w:t>e commissioner.  The P</w:t>
      </w:r>
      <w:r w:rsidR="00DA0945">
        <w:rPr>
          <w:rFonts w:ascii="Arial" w:eastAsia="MS ??" w:hAnsi="Arial" w:cs="Arial"/>
          <w:bCs/>
        </w:rPr>
        <w:t>rovider will need to provide assurances and evidence that their staff have the requisite skills and knowledge to both provide the data required by the commissioner and to deliver any appropriate training.</w:t>
      </w:r>
    </w:p>
    <w:p w:rsidR="00DA0945" w:rsidRDefault="00DA0945" w:rsidP="00412EB4">
      <w:pPr>
        <w:spacing w:after="0" w:line="240" w:lineRule="auto"/>
        <w:jc w:val="both"/>
        <w:rPr>
          <w:rFonts w:ascii="Arial" w:eastAsia="MS ??" w:hAnsi="Arial" w:cs="Arial"/>
          <w:bCs/>
        </w:rPr>
      </w:pPr>
    </w:p>
    <w:p w:rsidR="00DA0945" w:rsidRDefault="00DA0945" w:rsidP="00412EB4">
      <w:pPr>
        <w:spacing w:after="0" w:line="240" w:lineRule="auto"/>
        <w:jc w:val="both"/>
        <w:rPr>
          <w:rFonts w:ascii="Arial" w:eastAsia="MS ??" w:hAnsi="Arial" w:cs="Arial"/>
          <w:bCs/>
        </w:rPr>
      </w:pPr>
    </w:p>
    <w:p w:rsidR="00A7351C" w:rsidRDefault="00A7351C" w:rsidP="00A7351C">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7</w:t>
      </w:r>
      <w:r>
        <w:rPr>
          <w:rFonts w:ascii="Arial" w:eastAsia="MS ??" w:hAnsi="Arial" w:cs="Arial"/>
          <w:b/>
          <w:bCs/>
          <w:color w:val="548DD4" w:themeColor="text2" w:themeTint="99"/>
        </w:rPr>
        <w:tab/>
      </w:r>
      <w:r w:rsidR="00B362B2">
        <w:rPr>
          <w:rFonts w:ascii="Arial" w:eastAsia="MS ??" w:hAnsi="Arial" w:cs="Arial"/>
          <w:b/>
          <w:bCs/>
          <w:color w:val="548DD4" w:themeColor="text2" w:themeTint="99"/>
        </w:rPr>
        <w:t>Security</w:t>
      </w:r>
    </w:p>
    <w:p w:rsidR="00DA0945" w:rsidRDefault="00DA0945" w:rsidP="00412EB4">
      <w:pPr>
        <w:spacing w:after="0" w:line="240" w:lineRule="auto"/>
        <w:jc w:val="both"/>
        <w:rPr>
          <w:rFonts w:ascii="Arial" w:eastAsia="MS ??" w:hAnsi="Arial" w:cs="Arial"/>
          <w:bCs/>
        </w:rPr>
      </w:pPr>
    </w:p>
    <w:p w:rsidR="00BB096E" w:rsidRDefault="00B362B2" w:rsidP="00412EB4">
      <w:pPr>
        <w:spacing w:after="0" w:line="240" w:lineRule="auto"/>
        <w:jc w:val="both"/>
        <w:rPr>
          <w:rFonts w:ascii="Arial" w:eastAsia="MS ??" w:hAnsi="Arial" w:cs="Arial"/>
          <w:bCs/>
        </w:rPr>
      </w:pPr>
      <w:r>
        <w:rPr>
          <w:rFonts w:ascii="Arial" w:eastAsia="MS ??" w:hAnsi="Arial" w:cs="Arial"/>
          <w:bCs/>
        </w:rPr>
        <w:t>The Provider must ensure that procedures and processes are in place to ensure security and protection of data as appropriate to the service specification.</w:t>
      </w:r>
    </w:p>
    <w:p w:rsidR="00B362B2" w:rsidRDefault="00B362B2" w:rsidP="00412EB4">
      <w:pPr>
        <w:spacing w:after="0" w:line="240" w:lineRule="auto"/>
        <w:jc w:val="both"/>
        <w:rPr>
          <w:rFonts w:ascii="Arial" w:eastAsia="MS ??" w:hAnsi="Arial" w:cs="Arial"/>
          <w:bCs/>
        </w:rPr>
      </w:pPr>
    </w:p>
    <w:p w:rsidR="00B362B2" w:rsidRDefault="00B362B2" w:rsidP="00412EB4">
      <w:pPr>
        <w:spacing w:after="0" w:line="240" w:lineRule="auto"/>
        <w:jc w:val="both"/>
        <w:rPr>
          <w:rFonts w:ascii="Arial" w:eastAsia="MS ??" w:hAnsi="Arial" w:cs="Arial"/>
          <w:bCs/>
        </w:rPr>
      </w:pPr>
    </w:p>
    <w:p w:rsidR="00B362B2" w:rsidRDefault="00B362B2" w:rsidP="00B362B2">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8</w:t>
      </w:r>
      <w:r>
        <w:rPr>
          <w:rFonts w:ascii="Arial" w:eastAsia="MS ??" w:hAnsi="Arial" w:cs="Arial"/>
          <w:b/>
          <w:bCs/>
          <w:color w:val="548DD4" w:themeColor="text2" w:themeTint="99"/>
        </w:rPr>
        <w:tab/>
        <w:t>Contract period</w:t>
      </w:r>
    </w:p>
    <w:p w:rsidR="00B362B2" w:rsidRDefault="00B362B2" w:rsidP="00412EB4">
      <w:pPr>
        <w:spacing w:after="0" w:line="240" w:lineRule="auto"/>
        <w:jc w:val="both"/>
        <w:rPr>
          <w:rFonts w:ascii="Arial" w:eastAsia="MS ??" w:hAnsi="Arial" w:cs="Arial"/>
          <w:bCs/>
        </w:rPr>
      </w:pPr>
    </w:p>
    <w:p w:rsidR="00BB096E" w:rsidRDefault="004208BD" w:rsidP="00412EB4">
      <w:pPr>
        <w:spacing w:after="0" w:line="240" w:lineRule="auto"/>
        <w:jc w:val="both"/>
        <w:rPr>
          <w:rFonts w:ascii="Arial" w:eastAsia="MS ??" w:hAnsi="Arial" w:cs="Arial"/>
          <w:bCs/>
        </w:rPr>
      </w:pPr>
      <w:r>
        <w:rPr>
          <w:rFonts w:ascii="Arial" w:eastAsia="MS ??" w:hAnsi="Arial" w:cs="Arial"/>
          <w:bCs/>
        </w:rPr>
        <w:t>For the successful Provider, the contract will run over two years from the 1</w:t>
      </w:r>
      <w:r w:rsidRPr="004208BD">
        <w:rPr>
          <w:rFonts w:ascii="Arial" w:eastAsia="MS ??" w:hAnsi="Arial" w:cs="Arial"/>
          <w:bCs/>
          <w:vertAlign w:val="superscript"/>
        </w:rPr>
        <w:t>st</w:t>
      </w:r>
      <w:r>
        <w:rPr>
          <w:rFonts w:ascii="Arial" w:eastAsia="MS ??" w:hAnsi="Arial" w:cs="Arial"/>
          <w:bCs/>
        </w:rPr>
        <w:t xml:space="preserve"> April 2017 to the 31</w:t>
      </w:r>
      <w:r w:rsidRPr="004208BD">
        <w:rPr>
          <w:rFonts w:ascii="Arial" w:eastAsia="MS ??" w:hAnsi="Arial" w:cs="Arial"/>
          <w:bCs/>
          <w:vertAlign w:val="superscript"/>
        </w:rPr>
        <w:t>st</w:t>
      </w:r>
      <w:r>
        <w:rPr>
          <w:rFonts w:ascii="Arial" w:eastAsia="MS ??" w:hAnsi="Arial" w:cs="Arial"/>
          <w:bCs/>
        </w:rPr>
        <w:t xml:space="preserve"> March 2019.</w:t>
      </w:r>
    </w:p>
    <w:p w:rsidR="004208BD" w:rsidRDefault="004208BD" w:rsidP="00412EB4">
      <w:pPr>
        <w:spacing w:after="0" w:line="240" w:lineRule="auto"/>
        <w:jc w:val="both"/>
        <w:rPr>
          <w:rFonts w:ascii="Arial" w:eastAsia="MS ??" w:hAnsi="Arial" w:cs="Arial"/>
          <w:bCs/>
        </w:rPr>
      </w:pPr>
    </w:p>
    <w:p w:rsidR="004208BD" w:rsidRDefault="004208BD" w:rsidP="00412EB4">
      <w:pPr>
        <w:spacing w:after="0" w:line="240" w:lineRule="auto"/>
        <w:jc w:val="both"/>
        <w:rPr>
          <w:rFonts w:ascii="Arial" w:eastAsia="MS ??" w:hAnsi="Arial" w:cs="Arial"/>
          <w:bCs/>
        </w:rPr>
      </w:pPr>
    </w:p>
    <w:p w:rsidR="004208BD" w:rsidRDefault="004208BD" w:rsidP="004208BD">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9</w:t>
      </w:r>
      <w:r>
        <w:rPr>
          <w:rFonts w:ascii="Arial" w:eastAsia="MS ??" w:hAnsi="Arial" w:cs="Arial"/>
          <w:b/>
          <w:bCs/>
          <w:color w:val="548DD4" w:themeColor="text2" w:themeTint="99"/>
        </w:rPr>
        <w:tab/>
        <w:t>Budget and payments</w:t>
      </w:r>
    </w:p>
    <w:p w:rsidR="004208BD" w:rsidRDefault="004208BD" w:rsidP="00412EB4">
      <w:pPr>
        <w:spacing w:after="0" w:line="240" w:lineRule="auto"/>
        <w:jc w:val="both"/>
        <w:rPr>
          <w:rFonts w:ascii="Arial" w:eastAsia="MS ??" w:hAnsi="Arial" w:cs="Arial"/>
          <w:bCs/>
        </w:rPr>
      </w:pPr>
    </w:p>
    <w:p w:rsidR="00BB096E" w:rsidRDefault="00D77A13" w:rsidP="00412EB4">
      <w:pPr>
        <w:spacing w:after="0" w:line="240" w:lineRule="auto"/>
        <w:jc w:val="both"/>
        <w:rPr>
          <w:rFonts w:ascii="Arial" w:eastAsia="MS ??" w:hAnsi="Arial" w:cs="Arial"/>
          <w:bCs/>
        </w:rPr>
      </w:pPr>
      <w:r>
        <w:rPr>
          <w:rFonts w:ascii="Arial" w:eastAsia="MS ??" w:hAnsi="Arial" w:cs="Arial"/>
          <w:bCs/>
        </w:rPr>
        <w:t>The budget for this contract is up to £20,000 per year (excluding VAT), and will be paid as follows:</w:t>
      </w:r>
    </w:p>
    <w:p w:rsidR="00D77A13" w:rsidRDefault="00D77A13" w:rsidP="00412EB4">
      <w:pPr>
        <w:spacing w:after="0" w:line="240" w:lineRule="auto"/>
        <w:jc w:val="both"/>
        <w:rPr>
          <w:rFonts w:ascii="Arial" w:eastAsia="MS ??" w:hAnsi="Arial" w:cs="Arial"/>
          <w:bCs/>
        </w:rPr>
      </w:pPr>
    </w:p>
    <w:p w:rsidR="00D77A13" w:rsidRDefault="00D77A13" w:rsidP="00D77A13">
      <w:pPr>
        <w:pStyle w:val="ListParagraph"/>
        <w:numPr>
          <w:ilvl w:val="0"/>
          <w:numId w:val="41"/>
        </w:numPr>
        <w:spacing w:after="0" w:line="240" w:lineRule="auto"/>
        <w:jc w:val="both"/>
        <w:rPr>
          <w:rFonts w:ascii="Arial" w:eastAsia="MS ??" w:hAnsi="Arial" w:cs="Arial"/>
          <w:bCs/>
        </w:rPr>
      </w:pPr>
      <w:r>
        <w:rPr>
          <w:rFonts w:ascii="Arial" w:eastAsia="MS ??" w:hAnsi="Arial" w:cs="Arial"/>
          <w:bCs/>
        </w:rPr>
        <w:t>By quarterly instalments in arrears</w:t>
      </w:r>
    </w:p>
    <w:p w:rsidR="00D77A13" w:rsidRDefault="00D77A13" w:rsidP="00D77A13">
      <w:pPr>
        <w:spacing w:after="0" w:line="240" w:lineRule="auto"/>
        <w:jc w:val="both"/>
        <w:rPr>
          <w:rFonts w:ascii="Arial" w:eastAsia="MS ??" w:hAnsi="Arial" w:cs="Arial"/>
          <w:bCs/>
        </w:rPr>
      </w:pPr>
    </w:p>
    <w:p w:rsidR="00D77A13" w:rsidRDefault="00391F94" w:rsidP="00D77A13">
      <w:pPr>
        <w:spacing w:after="0" w:line="240" w:lineRule="auto"/>
        <w:jc w:val="both"/>
        <w:rPr>
          <w:rFonts w:ascii="Arial" w:eastAsia="MS ??" w:hAnsi="Arial" w:cs="Arial"/>
          <w:bCs/>
        </w:rPr>
      </w:pPr>
      <w:r>
        <w:rPr>
          <w:rFonts w:ascii="Arial" w:eastAsia="MS ??" w:hAnsi="Arial" w:cs="Arial"/>
          <w:bCs/>
        </w:rPr>
        <w:t xml:space="preserve">The Provider will invoice </w:t>
      </w:r>
      <w:r>
        <w:rPr>
          <w:rFonts w:ascii="Arial" w:eastAsia="MS ??" w:hAnsi="Arial" w:cs="Arial"/>
          <w:b/>
          <w:bCs/>
        </w:rPr>
        <w:t>Public Health and Adult Social Care, Stoke-on-Trent City Council, Civic Centre, Glebe Street, Stoke-on-Trent, Staffs, ST4 1HH</w:t>
      </w:r>
      <w:r>
        <w:rPr>
          <w:rFonts w:ascii="Arial" w:eastAsia="MS ??" w:hAnsi="Arial" w:cs="Arial"/>
          <w:bCs/>
        </w:rPr>
        <w:t xml:space="preserve"> by emailing </w:t>
      </w:r>
      <w:hyperlink r:id="rId10" w:history="1">
        <w:r w:rsidRPr="00815CDC">
          <w:rPr>
            <w:rStyle w:val="Hyperlink"/>
            <w:rFonts w:ascii="Arial" w:eastAsia="MS ??" w:hAnsi="Arial" w:cs="Arial"/>
            <w:bCs/>
          </w:rPr>
          <w:t>Alistair.Fisher@stoke.gov.uk</w:t>
        </w:r>
      </w:hyperlink>
      <w:r>
        <w:rPr>
          <w:rFonts w:ascii="Arial" w:eastAsia="MS ??" w:hAnsi="Arial" w:cs="Arial"/>
          <w:bCs/>
        </w:rPr>
        <w:t>.  If the Provider is a new supplier to the City Council, creditor details will be requested on signing of the contract to enable payments to be made.</w:t>
      </w:r>
    </w:p>
    <w:p w:rsidR="00391F94" w:rsidRPr="00391F94" w:rsidRDefault="00391F94" w:rsidP="00D77A13">
      <w:pPr>
        <w:spacing w:after="0" w:line="240" w:lineRule="auto"/>
        <w:jc w:val="both"/>
        <w:rPr>
          <w:rFonts w:ascii="Arial" w:eastAsia="MS ??" w:hAnsi="Arial" w:cs="Arial"/>
          <w:bCs/>
        </w:rPr>
      </w:pPr>
    </w:p>
    <w:p w:rsidR="00391F94" w:rsidRDefault="00391F94" w:rsidP="00391F94">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lastRenderedPageBreak/>
        <w:t>10</w:t>
      </w:r>
      <w:r>
        <w:rPr>
          <w:rFonts w:ascii="Arial" w:eastAsia="MS ??" w:hAnsi="Arial" w:cs="Arial"/>
          <w:b/>
          <w:bCs/>
          <w:color w:val="548DD4" w:themeColor="text2" w:themeTint="99"/>
        </w:rPr>
        <w:tab/>
        <w:t>Implementation timetable</w:t>
      </w:r>
    </w:p>
    <w:p w:rsidR="00D77A13" w:rsidRPr="00D77A13" w:rsidRDefault="00D77A13" w:rsidP="00D77A13">
      <w:pPr>
        <w:spacing w:after="0" w:line="240" w:lineRule="auto"/>
        <w:jc w:val="both"/>
        <w:rPr>
          <w:rFonts w:ascii="Arial" w:eastAsia="MS ??" w:hAnsi="Arial" w:cs="Arial"/>
          <w:bCs/>
        </w:rPr>
      </w:pPr>
    </w:p>
    <w:p w:rsidR="00BB096E" w:rsidRPr="00B72A76" w:rsidRDefault="00391F94" w:rsidP="00412EB4">
      <w:pPr>
        <w:spacing w:after="0" w:line="240" w:lineRule="auto"/>
        <w:jc w:val="both"/>
        <w:rPr>
          <w:rFonts w:ascii="Arial" w:eastAsia="MS ??" w:hAnsi="Arial" w:cs="Arial"/>
          <w:bCs/>
        </w:rPr>
      </w:pPr>
      <w:r>
        <w:rPr>
          <w:rFonts w:ascii="Arial" w:eastAsia="MS ??" w:hAnsi="Arial" w:cs="Arial"/>
          <w:bCs/>
        </w:rPr>
        <w:t>Tender closing date</w:t>
      </w:r>
      <w:r>
        <w:rPr>
          <w:rFonts w:ascii="Arial" w:eastAsia="MS ??" w:hAnsi="Arial" w:cs="Arial"/>
          <w:bCs/>
        </w:rPr>
        <w:tab/>
      </w:r>
      <w:r>
        <w:rPr>
          <w:rFonts w:ascii="Arial" w:eastAsia="MS ??" w:hAnsi="Arial" w:cs="Arial"/>
          <w:bCs/>
        </w:rPr>
        <w:tab/>
      </w:r>
      <w:r>
        <w:rPr>
          <w:rFonts w:ascii="Arial" w:eastAsia="MS ??" w:hAnsi="Arial" w:cs="Arial"/>
          <w:bCs/>
        </w:rPr>
        <w:tab/>
      </w:r>
      <w:r>
        <w:rPr>
          <w:rFonts w:ascii="Arial" w:eastAsia="MS ??" w:hAnsi="Arial" w:cs="Arial"/>
          <w:bCs/>
        </w:rPr>
        <w:tab/>
      </w:r>
      <w:r w:rsidR="00B72A76">
        <w:rPr>
          <w:rFonts w:ascii="Arial" w:eastAsia="MS ??" w:hAnsi="Arial" w:cs="Arial"/>
          <w:bCs/>
        </w:rPr>
        <w:t>17</w:t>
      </w:r>
      <w:r w:rsidR="00B72A76" w:rsidRPr="00B72A76">
        <w:rPr>
          <w:rFonts w:ascii="Arial" w:eastAsia="MS ??" w:hAnsi="Arial" w:cs="Arial"/>
          <w:bCs/>
          <w:vertAlign w:val="superscript"/>
        </w:rPr>
        <w:t>th</w:t>
      </w:r>
      <w:r w:rsidR="00B72A76">
        <w:rPr>
          <w:rFonts w:ascii="Arial" w:eastAsia="MS ??" w:hAnsi="Arial" w:cs="Arial"/>
          <w:bCs/>
        </w:rPr>
        <w:t xml:space="preserve"> March 2017 (12 noon)</w:t>
      </w:r>
    </w:p>
    <w:p w:rsidR="00391F94" w:rsidRDefault="00391F94" w:rsidP="00412EB4">
      <w:pPr>
        <w:spacing w:after="0" w:line="240" w:lineRule="auto"/>
        <w:jc w:val="both"/>
        <w:rPr>
          <w:rFonts w:ascii="Arial" w:eastAsia="MS ??" w:hAnsi="Arial" w:cs="Arial"/>
          <w:bCs/>
        </w:rPr>
      </w:pPr>
    </w:p>
    <w:p w:rsidR="00391F94" w:rsidRPr="00B72A76" w:rsidRDefault="00391F94" w:rsidP="00412EB4">
      <w:pPr>
        <w:spacing w:after="0" w:line="240" w:lineRule="auto"/>
        <w:jc w:val="both"/>
        <w:rPr>
          <w:rFonts w:ascii="Arial" w:eastAsia="MS ??" w:hAnsi="Arial" w:cs="Arial"/>
          <w:bCs/>
        </w:rPr>
      </w:pPr>
      <w:r>
        <w:rPr>
          <w:rFonts w:ascii="Arial" w:eastAsia="MS ??" w:hAnsi="Arial" w:cs="Arial"/>
          <w:bCs/>
        </w:rPr>
        <w:t>Contract award date (planned)</w:t>
      </w:r>
      <w:r>
        <w:rPr>
          <w:rFonts w:ascii="Arial" w:eastAsia="MS ??" w:hAnsi="Arial" w:cs="Arial"/>
          <w:bCs/>
        </w:rPr>
        <w:tab/>
      </w:r>
      <w:r>
        <w:rPr>
          <w:rFonts w:ascii="Arial" w:eastAsia="MS ??" w:hAnsi="Arial" w:cs="Arial"/>
          <w:bCs/>
        </w:rPr>
        <w:tab/>
      </w:r>
      <w:r w:rsidR="00B72A76">
        <w:rPr>
          <w:rFonts w:ascii="Arial" w:eastAsia="MS ??" w:hAnsi="Arial" w:cs="Arial"/>
          <w:bCs/>
        </w:rPr>
        <w:t>1</w:t>
      </w:r>
      <w:r w:rsidR="00B72A76" w:rsidRPr="00B72A76">
        <w:rPr>
          <w:rFonts w:ascii="Arial" w:eastAsia="MS ??" w:hAnsi="Arial" w:cs="Arial"/>
          <w:bCs/>
          <w:vertAlign w:val="superscript"/>
        </w:rPr>
        <w:t>st</w:t>
      </w:r>
      <w:r w:rsidR="00B72A76">
        <w:rPr>
          <w:rFonts w:ascii="Arial" w:eastAsia="MS ??" w:hAnsi="Arial" w:cs="Arial"/>
          <w:bCs/>
        </w:rPr>
        <w:t xml:space="preserve"> April 2017</w:t>
      </w:r>
    </w:p>
    <w:p w:rsidR="00391F94" w:rsidRDefault="00391F94" w:rsidP="00412EB4">
      <w:pPr>
        <w:spacing w:after="0" w:line="240" w:lineRule="auto"/>
        <w:jc w:val="both"/>
        <w:rPr>
          <w:rFonts w:ascii="Arial" w:eastAsia="MS ??" w:hAnsi="Arial" w:cs="Arial"/>
          <w:bCs/>
        </w:rPr>
      </w:pPr>
    </w:p>
    <w:p w:rsidR="00391F94" w:rsidRDefault="00391F94" w:rsidP="00412EB4">
      <w:pPr>
        <w:spacing w:after="0" w:line="240" w:lineRule="auto"/>
        <w:jc w:val="both"/>
        <w:rPr>
          <w:rFonts w:ascii="Arial" w:eastAsia="MS ??" w:hAnsi="Arial" w:cs="Arial"/>
          <w:bCs/>
        </w:rPr>
      </w:pPr>
      <w:r>
        <w:rPr>
          <w:rFonts w:ascii="Arial" w:eastAsia="MS ??" w:hAnsi="Arial" w:cs="Arial"/>
          <w:bCs/>
        </w:rPr>
        <w:t>Start date (planned)</w:t>
      </w:r>
      <w:r>
        <w:rPr>
          <w:rFonts w:ascii="Arial" w:eastAsia="MS ??" w:hAnsi="Arial" w:cs="Arial"/>
          <w:bCs/>
        </w:rPr>
        <w:tab/>
      </w:r>
      <w:r>
        <w:rPr>
          <w:rFonts w:ascii="Arial" w:eastAsia="MS ??" w:hAnsi="Arial" w:cs="Arial"/>
          <w:bCs/>
        </w:rPr>
        <w:tab/>
      </w:r>
      <w:r>
        <w:rPr>
          <w:rFonts w:ascii="Arial" w:eastAsia="MS ??" w:hAnsi="Arial" w:cs="Arial"/>
          <w:bCs/>
        </w:rPr>
        <w:tab/>
      </w:r>
      <w:r>
        <w:rPr>
          <w:rFonts w:ascii="Arial" w:eastAsia="MS ??" w:hAnsi="Arial" w:cs="Arial"/>
          <w:bCs/>
        </w:rPr>
        <w:tab/>
      </w:r>
      <w:r w:rsidR="00676C51">
        <w:rPr>
          <w:rFonts w:ascii="Arial" w:eastAsia="MS ??" w:hAnsi="Arial" w:cs="Arial"/>
          <w:bCs/>
        </w:rPr>
        <w:t>1</w:t>
      </w:r>
      <w:r w:rsidR="00676C51" w:rsidRPr="00676C51">
        <w:rPr>
          <w:rFonts w:ascii="Arial" w:eastAsia="MS ??" w:hAnsi="Arial" w:cs="Arial"/>
          <w:bCs/>
          <w:vertAlign w:val="superscript"/>
        </w:rPr>
        <w:t>st</w:t>
      </w:r>
      <w:r w:rsidR="00676C51">
        <w:rPr>
          <w:rFonts w:ascii="Arial" w:eastAsia="MS ??" w:hAnsi="Arial" w:cs="Arial"/>
          <w:bCs/>
        </w:rPr>
        <w:t xml:space="preserve"> April 2017</w:t>
      </w:r>
    </w:p>
    <w:p w:rsidR="00391F94" w:rsidRDefault="00391F94" w:rsidP="00412EB4">
      <w:pPr>
        <w:spacing w:after="0" w:line="240" w:lineRule="auto"/>
        <w:jc w:val="both"/>
        <w:rPr>
          <w:rFonts w:ascii="Arial" w:eastAsia="MS ??" w:hAnsi="Arial" w:cs="Arial"/>
          <w:bCs/>
        </w:rPr>
      </w:pPr>
    </w:p>
    <w:p w:rsidR="00391F94" w:rsidRDefault="00391F94" w:rsidP="00412EB4">
      <w:pPr>
        <w:spacing w:after="0" w:line="240" w:lineRule="auto"/>
        <w:jc w:val="both"/>
        <w:rPr>
          <w:rFonts w:ascii="Arial" w:eastAsia="MS ??" w:hAnsi="Arial" w:cs="Arial"/>
          <w:bCs/>
        </w:rPr>
      </w:pPr>
      <w:r>
        <w:rPr>
          <w:rFonts w:ascii="Arial" w:eastAsia="MS ??" w:hAnsi="Arial" w:cs="Arial"/>
          <w:bCs/>
        </w:rPr>
        <w:t>Contract end date</w:t>
      </w:r>
      <w:r w:rsidR="00676C51">
        <w:rPr>
          <w:rFonts w:ascii="Arial" w:eastAsia="MS ??" w:hAnsi="Arial" w:cs="Arial"/>
          <w:bCs/>
        </w:rPr>
        <w:tab/>
      </w:r>
      <w:r w:rsidR="00676C51">
        <w:rPr>
          <w:rFonts w:ascii="Arial" w:eastAsia="MS ??" w:hAnsi="Arial" w:cs="Arial"/>
          <w:bCs/>
        </w:rPr>
        <w:tab/>
      </w:r>
      <w:r w:rsidR="00676C51">
        <w:rPr>
          <w:rFonts w:ascii="Arial" w:eastAsia="MS ??" w:hAnsi="Arial" w:cs="Arial"/>
          <w:bCs/>
        </w:rPr>
        <w:tab/>
      </w:r>
      <w:r w:rsidR="00676C51">
        <w:rPr>
          <w:rFonts w:ascii="Arial" w:eastAsia="MS ??" w:hAnsi="Arial" w:cs="Arial"/>
          <w:bCs/>
        </w:rPr>
        <w:tab/>
        <w:t>31</w:t>
      </w:r>
      <w:r w:rsidR="00676C51" w:rsidRPr="00676C51">
        <w:rPr>
          <w:rFonts w:ascii="Arial" w:eastAsia="MS ??" w:hAnsi="Arial" w:cs="Arial"/>
          <w:bCs/>
          <w:vertAlign w:val="superscript"/>
        </w:rPr>
        <w:t>st</w:t>
      </w:r>
      <w:r w:rsidR="00676C51">
        <w:rPr>
          <w:rFonts w:ascii="Arial" w:eastAsia="MS ??" w:hAnsi="Arial" w:cs="Arial"/>
          <w:bCs/>
        </w:rPr>
        <w:t xml:space="preserve"> March 2019</w:t>
      </w:r>
    </w:p>
    <w:p w:rsidR="00676C51" w:rsidRDefault="00676C51" w:rsidP="00412EB4">
      <w:pPr>
        <w:spacing w:after="0" w:line="240" w:lineRule="auto"/>
        <w:jc w:val="both"/>
        <w:rPr>
          <w:rFonts w:ascii="Arial" w:eastAsia="MS ??" w:hAnsi="Arial" w:cs="Arial"/>
          <w:bCs/>
        </w:rPr>
      </w:pPr>
    </w:p>
    <w:p w:rsidR="00676C51" w:rsidRDefault="00676C51" w:rsidP="00412EB4">
      <w:pPr>
        <w:spacing w:after="0" w:line="240" w:lineRule="auto"/>
        <w:jc w:val="both"/>
        <w:rPr>
          <w:rFonts w:ascii="Arial" w:eastAsia="MS ??" w:hAnsi="Arial" w:cs="Arial"/>
          <w:bCs/>
        </w:rPr>
      </w:pPr>
    </w:p>
    <w:p w:rsidR="00676C51" w:rsidRDefault="00676C51" w:rsidP="00676C51">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11</w:t>
      </w:r>
      <w:r>
        <w:rPr>
          <w:rFonts w:ascii="Arial" w:eastAsia="MS ??" w:hAnsi="Arial" w:cs="Arial"/>
          <w:b/>
          <w:bCs/>
          <w:color w:val="548DD4" w:themeColor="text2" w:themeTint="99"/>
        </w:rPr>
        <w:tab/>
        <w:t>Submissions</w:t>
      </w:r>
    </w:p>
    <w:p w:rsidR="00676C51" w:rsidRDefault="00676C51" w:rsidP="00412EB4">
      <w:pPr>
        <w:spacing w:after="0" w:line="240" w:lineRule="auto"/>
        <w:jc w:val="both"/>
        <w:rPr>
          <w:rFonts w:ascii="Arial" w:eastAsia="MS ??" w:hAnsi="Arial" w:cs="Arial"/>
          <w:bCs/>
        </w:rPr>
      </w:pPr>
    </w:p>
    <w:p w:rsidR="00122C1B" w:rsidRPr="00122C1B" w:rsidRDefault="00122C1B" w:rsidP="00412EB4">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11.1</w:t>
      </w:r>
      <w:r>
        <w:rPr>
          <w:rFonts w:ascii="Arial" w:eastAsia="MS ??" w:hAnsi="Arial" w:cs="Arial"/>
          <w:b/>
          <w:bCs/>
          <w:color w:val="548DD4" w:themeColor="text2" w:themeTint="99"/>
        </w:rPr>
        <w:tab/>
        <w:t>Date</w:t>
      </w:r>
    </w:p>
    <w:p w:rsidR="00122C1B" w:rsidRDefault="00122C1B" w:rsidP="00412EB4">
      <w:pPr>
        <w:spacing w:after="0" w:line="240" w:lineRule="auto"/>
        <w:jc w:val="both"/>
        <w:rPr>
          <w:rFonts w:ascii="Arial" w:eastAsia="MS ??" w:hAnsi="Arial" w:cs="Arial"/>
          <w:bCs/>
        </w:rPr>
      </w:pPr>
    </w:p>
    <w:p w:rsidR="00676C51" w:rsidRDefault="00037D6B" w:rsidP="00412EB4">
      <w:pPr>
        <w:spacing w:after="0" w:line="240" w:lineRule="auto"/>
        <w:jc w:val="both"/>
        <w:rPr>
          <w:rFonts w:ascii="Arial" w:eastAsia="MS ??" w:hAnsi="Arial" w:cs="Arial"/>
          <w:bCs/>
        </w:rPr>
      </w:pPr>
      <w:r>
        <w:rPr>
          <w:rFonts w:ascii="Arial" w:eastAsia="MS ??" w:hAnsi="Arial" w:cs="Arial"/>
          <w:bCs/>
        </w:rPr>
        <w:t xml:space="preserve">All interested individuals or organisations wishing to apply for this contract must send a completed submission to </w:t>
      </w:r>
      <w:hyperlink r:id="rId11" w:history="1">
        <w:r w:rsidRPr="00815CDC">
          <w:rPr>
            <w:rStyle w:val="Hyperlink"/>
            <w:rFonts w:ascii="Arial" w:eastAsia="MS ??" w:hAnsi="Arial" w:cs="Arial"/>
            <w:bCs/>
          </w:rPr>
          <w:t>Alistair.Fisher@stoke.gov.uk</w:t>
        </w:r>
      </w:hyperlink>
      <w:r>
        <w:rPr>
          <w:rFonts w:ascii="Arial" w:eastAsia="MS ??" w:hAnsi="Arial" w:cs="Arial"/>
          <w:bCs/>
        </w:rPr>
        <w:t xml:space="preserve"> by </w:t>
      </w:r>
      <w:r w:rsidR="00B72A76">
        <w:rPr>
          <w:rFonts w:ascii="Arial" w:eastAsia="MS ??" w:hAnsi="Arial" w:cs="Arial"/>
          <w:bCs/>
        </w:rPr>
        <w:t>17</w:t>
      </w:r>
      <w:r w:rsidR="00B72A76" w:rsidRPr="00B72A76">
        <w:rPr>
          <w:rFonts w:ascii="Arial" w:eastAsia="MS ??" w:hAnsi="Arial" w:cs="Arial"/>
          <w:bCs/>
          <w:vertAlign w:val="superscript"/>
        </w:rPr>
        <w:t>th</w:t>
      </w:r>
      <w:r w:rsidR="00B72A76">
        <w:rPr>
          <w:rFonts w:ascii="Arial" w:eastAsia="MS ??" w:hAnsi="Arial" w:cs="Arial"/>
          <w:bCs/>
        </w:rPr>
        <w:t xml:space="preserve"> March 2017 (12 noon) </w:t>
      </w:r>
      <w:r>
        <w:rPr>
          <w:rFonts w:ascii="Arial" w:eastAsia="MS ??" w:hAnsi="Arial" w:cs="Arial"/>
          <w:bCs/>
        </w:rPr>
        <w:t>which meets the requirements set out in this section.</w:t>
      </w:r>
    </w:p>
    <w:p w:rsidR="00676C51" w:rsidRDefault="00676C51" w:rsidP="00412EB4">
      <w:pPr>
        <w:spacing w:after="0" w:line="240" w:lineRule="auto"/>
        <w:jc w:val="both"/>
        <w:rPr>
          <w:rFonts w:ascii="Arial" w:eastAsia="MS ??" w:hAnsi="Arial" w:cs="Arial"/>
          <w:bCs/>
        </w:rPr>
      </w:pPr>
    </w:p>
    <w:p w:rsidR="00676C51" w:rsidRDefault="00E6519B" w:rsidP="00412EB4">
      <w:pPr>
        <w:spacing w:after="0" w:line="240" w:lineRule="auto"/>
        <w:jc w:val="both"/>
        <w:rPr>
          <w:rFonts w:ascii="Arial" w:eastAsia="MS ??" w:hAnsi="Arial" w:cs="Arial"/>
          <w:bCs/>
        </w:rPr>
      </w:pPr>
      <w:r>
        <w:rPr>
          <w:rFonts w:ascii="Arial" w:eastAsia="MS ??" w:hAnsi="Arial" w:cs="Arial"/>
          <w:bCs/>
        </w:rPr>
        <w:t xml:space="preserve">If you have any questions about the content of this service specification or the requirements of the submission section, email </w:t>
      </w:r>
      <w:hyperlink r:id="rId12" w:history="1">
        <w:r w:rsidRPr="00815CDC">
          <w:rPr>
            <w:rStyle w:val="Hyperlink"/>
            <w:rFonts w:ascii="Arial" w:eastAsia="MS ??" w:hAnsi="Arial" w:cs="Arial"/>
            <w:bCs/>
          </w:rPr>
          <w:t>Alistair.Fisher@stoke.gov.uk</w:t>
        </w:r>
      </w:hyperlink>
      <w:r>
        <w:rPr>
          <w:rFonts w:ascii="Arial" w:eastAsia="MS ??" w:hAnsi="Arial" w:cs="Arial"/>
          <w:bCs/>
        </w:rPr>
        <w:t xml:space="preserve"> or call Alistair on 01782 234593.</w:t>
      </w:r>
    </w:p>
    <w:p w:rsidR="00037D6B" w:rsidRDefault="00037D6B" w:rsidP="00412EB4">
      <w:pPr>
        <w:spacing w:after="0" w:line="240" w:lineRule="auto"/>
        <w:jc w:val="both"/>
        <w:rPr>
          <w:rFonts w:ascii="Arial" w:eastAsia="MS ??" w:hAnsi="Arial" w:cs="Arial"/>
          <w:bCs/>
        </w:rPr>
      </w:pPr>
    </w:p>
    <w:p w:rsidR="00037D6B" w:rsidRDefault="00037D6B" w:rsidP="00412EB4">
      <w:pPr>
        <w:spacing w:after="0" w:line="240" w:lineRule="auto"/>
        <w:jc w:val="both"/>
        <w:rPr>
          <w:rFonts w:ascii="Arial" w:eastAsia="MS ??" w:hAnsi="Arial" w:cs="Arial"/>
          <w:bCs/>
        </w:rPr>
      </w:pPr>
    </w:p>
    <w:p w:rsidR="00676C51" w:rsidRPr="00122C1B" w:rsidRDefault="00122C1B" w:rsidP="00412EB4">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11.2</w:t>
      </w:r>
      <w:r>
        <w:rPr>
          <w:rFonts w:ascii="Arial" w:eastAsia="MS ??" w:hAnsi="Arial" w:cs="Arial"/>
          <w:b/>
          <w:bCs/>
          <w:color w:val="548DD4" w:themeColor="text2" w:themeTint="99"/>
        </w:rPr>
        <w:tab/>
        <w:t>Criteria</w:t>
      </w:r>
    </w:p>
    <w:p w:rsidR="00122C1B" w:rsidRDefault="00122C1B" w:rsidP="00412EB4">
      <w:pPr>
        <w:spacing w:after="0" w:line="240" w:lineRule="auto"/>
        <w:jc w:val="both"/>
        <w:rPr>
          <w:rFonts w:ascii="Arial" w:eastAsia="MS ??" w:hAnsi="Arial" w:cs="Arial"/>
          <w:bCs/>
        </w:rPr>
      </w:pPr>
    </w:p>
    <w:p w:rsidR="00122C1B" w:rsidRDefault="00787832" w:rsidP="00412EB4">
      <w:pPr>
        <w:spacing w:after="0" w:line="240" w:lineRule="auto"/>
        <w:jc w:val="both"/>
        <w:rPr>
          <w:rFonts w:ascii="Arial" w:eastAsia="MS ??" w:hAnsi="Arial" w:cs="Arial"/>
          <w:bCs/>
        </w:rPr>
      </w:pPr>
      <w:r>
        <w:rPr>
          <w:rFonts w:ascii="Arial" w:eastAsia="MS ??" w:hAnsi="Arial" w:cs="Arial"/>
          <w:bCs/>
        </w:rPr>
        <w:t>The</w:t>
      </w:r>
      <w:r w:rsidR="00122C1B">
        <w:rPr>
          <w:rFonts w:ascii="Arial" w:eastAsia="MS ??" w:hAnsi="Arial" w:cs="Arial"/>
          <w:bCs/>
        </w:rPr>
        <w:t xml:space="preserve"> contract will be awarded to the successful Provider using the following three criteria weighted as shown below:</w:t>
      </w:r>
    </w:p>
    <w:p w:rsidR="00122C1B" w:rsidRDefault="00122C1B" w:rsidP="00412EB4">
      <w:pPr>
        <w:spacing w:after="0" w:line="240" w:lineRule="auto"/>
        <w:jc w:val="both"/>
        <w:rPr>
          <w:rFonts w:ascii="Arial" w:eastAsia="MS ??" w:hAnsi="Arial" w:cs="Arial"/>
          <w:bCs/>
        </w:rPr>
      </w:pPr>
    </w:p>
    <w:p w:rsidR="00122C1B" w:rsidRDefault="00122C1B" w:rsidP="00122C1B">
      <w:pPr>
        <w:pStyle w:val="ListParagraph"/>
        <w:numPr>
          <w:ilvl w:val="0"/>
          <w:numId w:val="42"/>
        </w:numPr>
        <w:spacing w:after="0" w:line="240" w:lineRule="auto"/>
        <w:jc w:val="both"/>
        <w:rPr>
          <w:rFonts w:ascii="Arial" w:eastAsia="MS ??" w:hAnsi="Arial" w:cs="Arial"/>
          <w:bCs/>
        </w:rPr>
      </w:pPr>
      <w:r>
        <w:rPr>
          <w:rFonts w:ascii="Arial" w:eastAsia="MS ??" w:hAnsi="Arial" w:cs="Arial"/>
          <w:bCs/>
        </w:rPr>
        <w:t>Insurance</w:t>
      </w:r>
      <w:r>
        <w:rPr>
          <w:rFonts w:ascii="Arial" w:eastAsia="MS ??" w:hAnsi="Arial" w:cs="Arial"/>
          <w:bCs/>
        </w:rPr>
        <w:tab/>
        <w:t>(</w:t>
      </w:r>
      <w:r w:rsidR="00320B6E">
        <w:rPr>
          <w:rFonts w:ascii="Arial" w:eastAsia="MS ??" w:hAnsi="Arial" w:cs="Arial"/>
          <w:bCs/>
        </w:rPr>
        <w:t>Pass/Fail</w:t>
      </w:r>
      <w:r>
        <w:rPr>
          <w:rFonts w:ascii="Arial" w:eastAsia="MS ??" w:hAnsi="Arial" w:cs="Arial"/>
          <w:bCs/>
        </w:rPr>
        <w:t>)</w:t>
      </w:r>
    </w:p>
    <w:p w:rsidR="00122C1B" w:rsidRDefault="00122C1B" w:rsidP="00122C1B">
      <w:pPr>
        <w:pStyle w:val="ListParagraph"/>
        <w:numPr>
          <w:ilvl w:val="0"/>
          <w:numId w:val="42"/>
        </w:numPr>
        <w:spacing w:after="0" w:line="240" w:lineRule="auto"/>
        <w:jc w:val="both"/>
        <w:rPr>
          <w:rFonts w:ascii="Arial" w:eastAsia="MS ??" w:hAnsi="Arial" w:cs="Arial"/>
          <w:bCs/>
        </w:rPr>
      </w:pPr>
      <w:r>
        <w:rPr>
          <w:rFonts w:ascii="Arial" w:eastAsia="MS ??" w:hAnsi="Arial" w:cs="Arial"/>
          <w:bCs/>
        </w:rPr>
        <w:t>Price</w:t>
      </w:r>
      <w:r>
        <w:rPr>
          <w:rFonts w:ascii="Arial" w:eastAsia="MS ??" w:hAnsi="Arial" w:cs="Arial"/>
          <w:bCs/>
        </w:rPr>
        <w:tab/>
      </w:r>
      <w:r>
        <w:rPr>
          <w:rFonts w:ascii="Arial" w:eastAsia="MS ??" w:hAnsi="Arial" w:cs="Arial"/>
          <w:bCs/>
        </w:rPr>
        <w:tab/>
      </w:r>
      <w:r w:rsidR="00304099">
        <w:rPr>
          <w:rFonts w:ascii="Arial" w:eastAsia="MS ??" w:hAnsi="Arial" w:cs="Arial"/>
          <w:bCs/>
        </w:rPr>
        <w:t>(200</w:t>
      </w:r>
      <w:r>
        <w:rPr>
          <w:rFonts w:ascii="Arial" w:eastAsia="MS ??" w:hAnsi="Arial" w:cs="Arial"/>
          <w:bCs/>
        </w:rPr>
        <w:t xml:space="preserve"> marks)</w:t>
      </w:r>
    </w:p>
    <w:p w:rsidR="00122C1B" w:rsidRDefault="00304099" w:rsidP="00122C1B">
      <w:pPr>
        <w:pStyle w:val="ListParagraph"/>
        <w:numPr>
          <w:ilvl w:val="0"/>
          <w:numId w:val="42"/>
        </w:numPr>
        <w:spacing w:after="0" w:line="240" w:lineRule="auto"/>
        <w:jc w:val="both"/>
        <w:rPr>
          <w:rFonts w:ascii="Arial" w:eastAsia="MS ??" w:hAnsi="Arial" w:cs="Arial"/>
          <w:bCs/>
        </w:rPr>
      </w:pPr>
      <w:r>
        <w:rPr>
          <w:rFonts w:ascii="Arial" w:eastAsia="MS ??" w:hAnsi="Arial" w:cs="Arial"/>
          <w:bCs/>
        </w:rPr>
        <w:t>Quality</w:t>
      </w:r>
      <w:r>
        <w:rPr>
          <w:rFonts w:ascii="Arial" w:eastAsia="MS ??" w:hAnsi="Arial" w:cs="Arial"/>
          <w:bCs/>
        </w:rPr>
        <w:tab/>
      </w:r>
      <w:r>
        <w:rPr>
          <w:rFonts w:ascii="Arial" w:eastAsia="MS ??" w:hAnsi="Arial" w:cs="Arial"/>
          <w:bCs/>
        </w:rPr>
        <w:tab/>
        <w:t>(800</w:t>
      </w:r>
      <w:r w:rsidR="00122C1B">
        <w:rPr>
          <w:rFonts w:ascii="Arial" w:eastAsia="MS ??" w:hAnsi="Arial" w:cs="Arial"/>
          <w:bCs/>
        </w:rPr>
        <w:t xml:space="preserve"> marks)</w:t>
      </w:r>
    </w:p>
    <w:p w:rsidR="00122C1B" w:rsidRDefault="00122C1B" w:rsidP="00122C1B">
      <w:pPr>
        <w:spacing w:after="0" w:line="240" w:lineRule="auto"/>
        <w:jc w:val="both"/>
        <w:rPr>
          <w:rFonts w:ascii="Arial" w:eastAsia="MS ??" w:hAnsi="Arial" w:cs="Arial"/>
          <w:bCs/>
        </w:rPr>
      </w:pPr>
    </w:p>
    <w:p w:rsidR="002A156D" w:rsidRDefault="002A156D" w:rsidP="00122C1B">
      <w:pPr>
        <w:spacing w:after="0" w:line="240" w:lineRule="auto"/>
        <w:jc w:val="both"/>
        <w:rPr>
          <w:rFonts w:ascii="Arial" w:eastAsia="MS ??" w:hAnsi="Arial" w:cs="Arial"/>
          <w:bCs/>
        </w:rPr>
      </w:pPr>
      <w:r>
        <w:rPr>
          <w:rFonts w:ascii="Arial" w:eastAsia="MS ??" w:hAnsi="Arial" w:cs="Arial"/>
          <w:bCs/>
        </w:rPr>
        <w:t>Further details of these criteria are outlined below.</w:t>
      </w:r>
    </w:p>
    <w:p w:rsidR="002A156D" w:rsidRDefault="002A156D" w:rsidP="00122C1B">
      <w:pPr>
        <w:spacing w:after="0" w:line="240" w:lineRule="auto"/>
        <w:jc w:val="both"/>
        <w:rPr>
          <w:rFonts w:ascii="Arial" w:eastAsia="MS ??" w:hAnsi="Arial" w:cs="Arial"/>
          <w:bCs/>
        </w:rPr>
      </w:pPr>
    </w:p>
    <w:p w:rsidR="002A156D" w:rsidRDefault="002A156D" w:rsidP="00122C1B">
      <w:pPr>
        <w:spacing w:after="0" w:line="240" w:lineRule="auto"/>
        <w:jc w:val="both"/>
        <w:rPr>
          <w:rFonts w:ascii="Arial" w:eastAsia="MS ??" w:hAnsi="Arial" w:cs="Arial"/>
          <w:bCs/>
        </w:rPr>
      </w:pPr>
    </w:p>
    <w:p w:rsidR="00122C1B" w:rsidRPr="00497BA1" w:rsidRDefault="00497BA1" w:rsidP="00122C1B">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1</w:t>
      </w:r>
      <w:r>
        <w:rPr>
          <w:rFonts w:ascii="Arial" w:eastAsia="MS ??" w:hAnsi="Arial" w:cs="Arial"/>
          <w:b/>
          <w:bCs/>
          <w:color w:val="548DD4" w:themeColor="text2" w:themeTint="99"/>
        </w:rPr>
        <w:tab/>
      </w:r>
      <w:r w:rsidR="002A156D">
        <w:rPr>
          <w:rFonts w:ascii="Arial" w:eastAsia="MS ??" w:hAnsi="Arial" w:cs="Arial"/>
          <w:b/>
          <w:bCs/>
          <w:color w:val="548DD4" w:themeColor="text2" w:themeTint="99"/>
        </w:rPr>
        <w:t>Insurance</w:t>
      </w:r>
    </w:p>
    <w:p w:rsidR="00122C1B" w:rsidRDefault="00122C1B" w:rsidP="00412EB4">
      <w:pPr>
        <w:spacing w:after="0" w:line="240" w:lineRule="auto"/>
        <w:jc w:val="both"/>
        <w:rPr>
          <w:rFonts w:ascii="Arial" w:eastAsia="MS ??" w:hAnsi="Arial" w:cs="Arial"/>
          <w:bCs/>
        </w:rPr>
      </w:pPr>
    </w:p>
    <w:p w:rsidR="00497BA1" w:rsidRDefault="002A156D" w:rsidP="00412EB4">
      <w:pPr>
        <w:spacing w:after="0" w:line="240" w:lineRule="auto"/>
        <w:jc w:val="both"/>
        <w:rPr>
          <w:rFonts w:ascii="Arial" w:eastAsia="MS ??" w:hAnsi="Arial" w:cs="Arial"/>
          <w:bCs/>
        </w:rPr>
      </w:pPr>
      <w:r>
        <w:rPr>
          <w:rFonts w:ascii="Arial" w:eastAsia="MS ??" w:hAnsi="Arial" w:cs="Arial"/>
          <w:bCs/>
        </w:rPr>
        <w:t xml:space="preserve">There is one element of the quotation that is scored on a </w:t>
      </w:r>
      <w:r>
        <w:rPr>
          <w:rFonts w:ascii="Arial" w:eastAsia="MS ??" w:hAnsi="Arial" w:cs="Arial"/>
          <w:b/>
          <w:bCs/>
        </w:rPr>
        <w:t>pass/fail</w:t>
      </w:r>
      <w:r>
        <w:rPr>
          <w:rFonts w:ascii="Arial" w:eastAsia="MS ??" w:hAnsi="Arial" w:cs="Arial"/>
          <w:bCs/>
        </w:rPr>
        <w:t xml:space="preserve"> basis.  The Provider must confirm they have the following insurances in place:</w:t>
      </w:r>
    </w:p>
    <w:p w:rsidR="002A156D" w:rsidRDefault="002A156D" w:rsidP="00412EB4">
      <w:pPr>
        <w:spacing w:after="0" w:line="240" w:lineRule="auto"/>
        <w:jc w:val="both"/>
        <w:rPr>
          <w:rFonts w:ascii="Arial" w:eastAsia="MS ??" w:hAnsi="Arial" w:cs="Arial"/>
          <w:bCs/>
        </w:rPr>
      </w:pPr>
    </w:p>
    <w:p w:rsidR="002A156D" w:rsidRDefault="00E6519B" w:rsidP="002A156D">
      <w:pPr>
        <w:pStyle w:val="ListParagraph"/>
        <w:numPr>
          <w:ilvl w:val="0"/>
          <w:numId w:val="41"/>
        </w:numPr>
        <w:spacing w:after="0" w:line="240" w:lineRule="auto"/>
        <w:jc w:val="both"/>
        <w:rPr>
          <w:rFonts w:ascii="Arial" w:eastAsia="MS ??" w:hAnsi="Arial" w:cs="Arial"/>
          <w:bCs/>
        </w:rPr>
      </w:pPr>
      <w:r>
        <w:rPr>
          <w:rFonts w:ascii="Arial" w:eastAsia="MS ??" w:hAnsi="Arial" w:cs="Arial"/>
          <w:bCs/>
        </w:rPr>
        <w:t>Employers</w:t>
      </w:r>
      <w:r w:rsidR="002A156D">
        <w:rPr>
          <w:rFonts w:ascii="Arial" w:eastAsia="MS ??" w:hAnsi="Arial" w:cs="Arial"/>
          <w:bCs/>
        </w:rPr>
        <w:t xml:space="preserve"> liability at a minimum of £10 million</w:t>
      </w:r>
    </w:p>
    <w:p w:rsidR="002A156D" w:rsidRDefault="002A156D" w:rsidP="002A156D">
      <w:pPr>
        <w:pStyle w:val="ListParagraph"/>
        <w:numPr>
          <w:ilvl w:val="0"/>
          <w:numId w:val="41"/>
        </w:numPr>
        <w:spacing w:after="0" w:line="240" w:lineRule="auto"/>
        <w:jc w:val="both"/>
        <w:rPr>
          <w:rFonts w:ascii="Arial" w:eastAsia="MS ??" w:hAnsi="Arial" w:cs="Arial"/>
          <w:bCs/>
        </w:rPr>
      </w:pPr>
      <w:r>
        <w:rPr>
          <w:rFonts w:ascii="Arial" w:eastAsia="MS ??" w:hAnsi="Arial" w:cs="Arial"/>
          <w:bCs/>
        </w:rPr>
        <w:t>Public liability at a minimum of £5 million</w:t>
      </w:r>
    </w:p>
    <w:p w:rsidR="002A156D" w:rsidRDefault="005E506E" w:rsidP="002A156D">
      <w:pPr>
        <w:pStyle w:val="ListParagraph"/>
        <w:numPr>
          <w:ilvl w:val="0"/>
          <w:numId w:val="41"/>
        </w:numPr>
        <w:spacing w:after="0" w:line="240" w:lineRule="auto"/>
        <w:jc w:val="both"/>
        <w:rPr>
          <w:rFonts w:ascii="Arial" w:eastAsia="MS ??" w:hAnsi="Arial" w:cs="Arial"/>
          <w:bCs/>
        </w:rPr>
      </w:pPr>
      <w:r>
        <w:rPr>
          <w:rFonts w:ascii="Arial" w:eastAsia="MS ??" w:hAnsi="Arial" w:cs="Arial"/>
          <w:bCs/>
        </w:rPr>
        <w:t xml:space="preserve">Professional indemnity of </w:t>
      </w:r>
      <w:r w:rsidR="002A156D">
        <w:rPr>
          <w:rFonts w:ascii="Arial" w:eastAsia="MS ??" w:hAnsi="Arial" w:cs="Arial"/>
          <w:bCs/>
        </w:rPr>
        <w:t>£1 million</w:t>
      </w:r>
    </w:p>
    <w:p w:rsidR="002A156D" w:rsidRDefault="002A156D" w:rsidP="002A156D">
      <w:pPr>
        <w:spacing w:after="0" w:line="240" w:lineRule="auto"/>
        <w:jc w:val="both"/>
        <w:rPr>
          <w:rFonts w:ascii="Arial" w:eastAsia="MS ??" w:hAnsi="Arial" w:cs="Arial"/>
          <w:bCs/>
        </w:rPr>
      </w:pPr>
    </w:p>
    <w:p w:rsidR="002A156D" w:rsidRDefault="002A156D" w:rsidP="002A156D">
      <w:pPr>
        <w:spacing w:after="0" w:line="240" w:lineRule="auto"/>
        <w:jc w:val="both"/>
        <w:rPr>
          <w:rFonts w:ascii="Arial" w:eastAsia="MS ??" w:hAnsi="Arial" w:cs="Arial"/>
          <w:bCs/>
        </w:rPr>
      </w:pPr>
      <w:r>
        <w:rPr>
          <w:rFonts w:ascii="Arial" w:eastAsia="MS ??" w:hAnsi="Arial" w:cs="Arial"/>
          <w:bCs/>
        </w:rPr>
        <w:t xml:space="preserve">If the Provider </w:t>
      </w:r>
      <w:r>
        <w:rPr>
          <w:rFonts w:ascii="Arial" w:eastAsia="MS ??" w:hAnsi="Arial" w:cs="Arial"/>
          <w:b/>
          <w:bCs/>
        </w:rPr>
        <w:t>fails</w:t>
      </w:r>
      <w:r>
        <w:rPr>
          <w:rFonts w:ascii="Arial" w:eastAsia="MS ??" w:hAnsi="Arial" w:cs="Arial"/>
          <w:bCs/>
        </w:rPr>
        <w:t xml:space="preserve"> on this section, their bid </w:t>
      </w:r>
      <w:r w:rsidRPr="002A156D">
        <w:rPr>
          <w:rFonts w:ascii="Arial" w:eastAsia="MS ??" w:hAnsi="Arial" w:cs="Arial"/>
          <w:b/>
          <w:bCs/>
        </w:rPr>
        <w:t>will not</w:t>
      </w:r>
      <w:r>
        <w:rPr>
          <w:rFonts w:ascii="Arial" w:eastAsia="MS ??" w:hAnsi="Arial" w:cs="Arial"/>
          <w:bCs/>
        </w:rPr>
        <w:t xml:space="preserve"> be taken any further.</w:t>
      </w:r>
    </w:p>
    <w:p w:rsidR="002A156D" w:rsidRDefault="002A156D" w:rsidP="002A156D">
      <w:pPr>
        <w:spacing w:after="0" w:line="240" w:lineRule="auto"/>
        <w:jc w:val="both"/>
        <w:rPr>
          <w:rFonts w:ascii="Arial" w:eastAsia="MS ??" w:hAnsi="Arial" w:cs="Arial"/>
          <w:bCs/>
        </w:rPr>
      </w:pPr>
    </w:p>
    <w:p w:rsidR="002A156D" w:rsidRDefault="002A156D" w:rsidP="002A156D">
      <w:pPr>
        <w:spacing w:after="0" w:line="240" w:lineRule="auto"/>
        <w:jc w:val="both"/>
        <w:rPr>
          <w:rFonts w:ascii="Arial" w:eastAsia="MS ??" w:hAnsi="Arial" w:cs="Arial"/>
          <w:bCs/>
        </w:rPr>
      </w:pPr>
    </w:p>
    <w:p w:rsidR="002A156D" w:rsidRPr="002A156D" w:rsidRDefault="002A156D" w:rsidP="002A156D">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2</w:t>
      </w:r>
      <w:r>
        <w:rPr>
          <w:rFonts w:ascii="Arial" w:eastAsia="MS ??" w:hAnsi="Arial" w:cs="Arial"/>
          <w:b/>
          <w:bCs/>
          <w:color w:val="548DD4" w:themeColor="text2" w:themeTint="99"/>
        </w:rPr>
        <w:tab/>
        <w:t>Price</w:t>
      </w:r>
    </w:p>
    <w:p w:rsidR="00497BA1" w:rsidRDefault="00497BA1" w:rsidP="00412EB4">
      <w:pPr>
        <w:spacing w:after="0" w:line="240" w:lineRule="auto"/>
        <w:jc w:val="both"/>
        <w:rPr>
          <w:rFonts w:ascii="Arial" w:eastAsia="MS ??" w:hAnsi="Arial" w:cs="Arial"/>
          <w:bCs/>
        </w:rPr>
      </w:pPr>
    </w:p>
    <w:p w:rsidR="0076753A" w:rsidRDefault="0076753A" w:rsidP="00412EB4">
      <w:pPr>
        <w:spacing w:after="0" w:line="240" w:lineRule="auto"/>
        <w:jc w:val="both"/>
        <w:rPr>
          <w:rFonts w:ascii="Arial" w:eastAsia="MS ??" w:hAnsi="Arial" w:cs="Arial"/>
          <w:bCs/>
        </w:rPr>
      </w:pPr>
      <w:r>
        <w:rPr>
          <w:rFonts w:ascii="Arial" w:eastAsia="MS ??" w:hAnsi="Arial" w:cs="Arial"/>
          <w:bCs/>
        </w:rPr>
        <w:t>Provide a total price for deliverin</w:t>
      </w:r>
      <w:r w:rsidR="0073562C">
        <w:rPr>
          <w:rFonts w:ascii="Arial" w:eastAsia="MS ??" w:hAnsi="Arial" w:cs="Arial"/>
          <w:bCs/>
        </w:rPr>
        <w:t>g the activity outlined in the s</w:t>
      </w:r>
      <w:r>
        <w:rPr>
          <w:rFonts w:ascii="Arial" w:eastAsia="MS ??" w:hAnsi="Arial" w:cs="Arial"/>
          <w:bCs/>
        </w:rPr>
        <w:t xml:space="preserve">pecification.  The total price provided should include all expenses, disbursements and costs but be exclusive of VAT.  No additional charges shall be accepted by the City Council.  The quotation pricing shall be </w:t>
      </w:r>
      <w:r>
        <w:rPr>
          <w:rFonts w:ascii="Arial" w:eastAsia="MS ??" w:hAnsi="Arial" w:cs="Arial"/>
          <w:bCs/>
        </w:rPr>
        <w:lastRenderedPageBreak/>
        <w:t xml:space="preserve">fixed for the duration of the contract.  The </w:t>
      </w:r>
      <w:r>
        <w:rPr>
          <w:rFonts w:ascii="Arial" w:eastAsia="MS ??" w:hAnsi="Arial" w:cs="Arial"/>
          <w:b/>
          <w:bCs/>
        </w:rPr>
        <w:t>maximum</w:t>
      </w:r>
      <w:r>
        <w:rPr>
          <w:rFonts w:ascii="Arial" w:eastAsia="MS ??" w:hAnsi="Arial" w:cs="Arial"/>
          <w:bCs/>
        </w:rPr>
        <w:t xml:space="preserve"> value of the contract is </w:t>
      </w:r>
      <w:r w:rsidR="005E506E">
        <w:rPr>
          <w:rFonts w:ascii="Arial" w:eastAsia="MS ??" w:hAnsi="Arial" w:cs="Arial"/>
          <w:bCs/>
        </w:rPr>
        <w:t xml:space="preserve">up to </w:t>
      </w:r>
      <w:r>
        <w:rPr>
          <w:rFonts w:ascii="Arial" w:eastAsia="MS ??" w:hAnsi="Arial" w:cs="Arial"/>
          <w:b/>
          <w:bCs/>
        </w:rPr>
        <w:t>£20,000 per</w:t>
      </w:r>
      <w:r w:rsidR="005E506E">
        <w:rPr>
          <w:rFonts w:ascii="Arial" w:eastAsia="MS ??" w:hAnsi="Arial" w:cs="Arial"/>
          <w:b/>
          <w:bCs/>
        </w:rPr>
        <w:t xml:space="preserve"> year</w:t>
      </w:r>
      <w:r>
        <w:rPr>
          <w:rFonts w:ascii="Arial" w:eastAsia="MS ??" w:hAnsi="Arial" w:cs="Arial"/>
          <w:bCs/>
        </w:rPr>
        <w:t>.</w:t>
      </w:r>
    </w:p>
    <w:p w:rsidR="0076753A" w:rsidRDefault="0076753A" w:rsidP="00412EB4">
      <w:pPr>
        <w:spacing w:after="0" w:line="240" w:lineRule="auto"/>
        <w:jc w:val="both"/>
        <w:rPr>
          <w:rFonts w:ascii="Arial" w:eastAsia="MS ??" w:hAnsi="Arial" w:cs="Arial"/>
          <w:bCs/>
        </w:rPr>
      </w:pPr>
    </w:p>
    <w:p w:rsidR="00497BA1" w:rsidRPr="0076753A" w:rsidRDefault="0076753A" w:rsidP="00412EB4">
      <w:pPr>
        <w:spacing w:after="0" w:line="240" w:lineRule="auto"/>
        <w:jc w:val="both"/>
        <w:rPr>
          <w:rFonts w:ascii="Arial" w:eastAsia="MS ??" w:hAnsi="Arial" w:cs="Arial"/>
          <w:bCs/>
          <w:i/>
        </w:rPr>
      </w:pPr>
      <w:r>
        <w:rPr>
          <w:rFonts w:ascii="Arial" w:eastAsia="MS ??" w:hAnsi="Arial" w:cs="Arial"/>
          <w:bCs/>
          <w:i/>
        </w:rPr>
        <w:t xml:space="preserve">[Please provide a maximum of 300 words outlining pricing – </w:t>
      </w:r>
      <w:r w:rsidR="00304099">
        <w:rPr>
          <w:rFonts w:ascii="Arial" w:eastAsia="MS ??" w:hAnsi="Arial" w:cs="Arial"/>
          <w:bCs/>
          <w:i/>
        </w:rPr>
        <w:t xml:space="preserve">up to 200 </w:t>
      </w:r>
      <w:r>
        <w:rPr>
          <w:rFonts w:ascii="Arial" w:eastAsia="MS ??" w:hAnsi="Arial" w:cs="Arial"/>
          <w:bCs/>
          <w:i/>
        </w:rPr>
        <w:t>marks will be awarded for this criteria</w:t>
      </w:r>
      <w:r w:rsidR="00304099">
        <w:rPr>
          <w:rFonts w:ascii="Arial" w:eastAsia="MS ??" w:hAnsi="Arial" w:cs="Arial"/>
          <w:bCs/>
          <w:i/>
        </w:rPr>
        <w:t>].</w:t>
      </w:r>
    </w:p>
    <w:p w:rsidR="0076753A" w:rsidRDefault="0076753A" w:rsidP="00412EB4">
      <w:pPr>
        <w:spacing w:after="0" w:line="240" w:lineRule="auto"/>
        <w:jc w:val="both"/>
        <w:rPr>
          <w:rFonts w:ascii="Arial" w:eastAsia="MS ??" w:hAnsi="Arial" w:cs="Arial"/>
          <w:bCs/>
        </w:rPr>
      </w:pPr>
    </w:p>
    <w:p w:rsidR="0076753A" w:rsidRDefault="0076753A" w:rsidP="00412EB4">
      <w:pPr>
        <w:spacing w:after="0" w:line="240" w:lineRule="auto"/>
        <w:jc w:val="both"/>
        <w:rPr>
          <w:rFonts w:ascii="Arial" w:eastAsia="MS ??" w:hAnsi="Arial" w:cs="Arial"/>
          <w:bCs/>
        </w:rPr>
      </w:pPr>
    </w:p>
    <w:p w:rsidR="0076753A" w:rsidRPr="0076753A" w:rsidRDefault="00F53C54" w:rsidP="00412EB4">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3</w:t>
      </w:r>
      <w:r>
        <w:rPr>
          <w:rFonts w:ascii="Arial" w:eastAsia="MS ??" w:hAnsi="Arial" w:cs="Arial"/>
          <w:b/>
          <w:bCs/>
          <w:color w:val="548DD4" w:themeColor="text2" w:themeTint="99"/>
        </w:rPr>
        <w:tab/>
        <w:t>Quality</w:t>
      </w:r>
    </w:p>
    <w:p w:rsidR="002A156D" w:rsidRDefault="002A156D" w:rsidP="00412EB4">
      <w:pPr>
        <w:spacing w:after="0" w:line="240" w:lineRule="auto"/>
        <w:jc w:val="both"/>
        <w:rPr>
          <w:rFonts w:ascii="Arial" w:eastAsia="MS ??" w:hAnsi="Arial" w:cs="Arial"/>
          <w:bCs/>
        </w:rPr>
      </w:pPr>
    </w:p>
    <w:p w:rsidR="002A156D" w:rsidRPr="00304099" w:rsidRDefault="00304099" w:rsidP="00412EB4">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3.1</w:t>
      </w:r>
      <w:r>
        <w:rPr>
          <w:rFonts w:ascii="Arial" w:eastAsia="MS ??" w:hAnsi="Arial" w:cs="Arial"/>
          <w:b/>
          <w:bCs/>
          <w:color w:val="548DD4" w:themeColor="text2" w:themeTint="99"/>
        </w:rPr>
        <w:tab/>
        <w:t>Experience</w:t>
      </w:r>
    </w:p>
    <w:p w:rsidR="00497BA1" w:rsidRDefault="00497BA1" w:rsidP="00412EB4">
      <w:pPr>
        <w:spacing w:after="0" w:line="240" w:lineRule="auto"/>
        <w:jc w:val="both"/>
        <w:rPr>
          <w:rFonts w:ascii="Arial" w:eastAsia="MS ??" w:hAnsi="Arial" w:cs="Arial"/>
          <w:bCs/>
        </w:rPr>
      </w:pPr>
    </w:p>
    <w:p w:rsidR="0073562C" w:rsidRDefault="0073562C" w:rsidP="0073562C">
      <w:pPr>
        <w:spacing w:after="0" w:line="240" w:lineRule="auto"/>
        <w:jc w:val="both"/>
        <w:rPr>
          <w:rFonts w:ascii="Arial" w:eastAsia="MS ??" w:hAnsi="Arial" w:cs="Arial"/>
          <w:bCs/>
        </w:rPr>
      </w:pPr>
      <w:r>
        <w:rPr>
          <w:rFonts w:ascii="Arial" w:eastAsia="MS ??" w:hAnsi="Arial" w:cs="Arial"/>
          <w:bCs/>
        </w:rPr>
        <w:t>Evidence of relevant experience to carry out the requirements of the specification, which includes access to and presentation of primary and secondary care data from source (such as Stoke-on-Trent GPs and the University Hospitals of North Midlands NHS Trust).</w:t>
      </w:r>
    </w:p>
    <w:p w:rsidR="00F439EA" w:rsidRDefault="00F439EA" w:rsidP="00412EB4">
      <w:pPr>
        <w:spacing w:after="0" w:line="240" w:lineRule="auto"/>
        <w:jc w:val="both"/>
        <w:rPr>
          <w:rFonts w:ascii="Arial" w:eastAsia="MS ??" w:hAnsi="Arial" w:cs="Arial"/>
          <w:bCs/>
        </w:rPr>
      </w:pPr>
    </w:p>
    <w:p w:rsidR="0073562C" w:rsidRPr="0076753A" w:rsidRDefault="0073562C" w:rsidP="0073562C">
      <w:pPr>
        <w:spacing w:after="0" w:line="240" w:lineRule="auto"/>
        <w:jc w:val="both"/>
        <w:rPr>
          <w:rFonts w:ascii="Arial" w:eastAsia="MS ??" w:hAnsi="Arial" w:cs="Arial"/>
          <w:bCs/>
          <w:i/>
        </w:rPr>
      </w:pPr>
      <w:r>
        <w:rPr>
          <w:rFonts w:ascii="Arial" w:eastAsia="MS ??" w:hAnsi="Arial" w:cs="Arial"/>
          <w:bCs/>
          <w:i/>
        </w:rPr>
        <w:t xml:space="preserve">[Please provide a maximum of </w:t>
      </w:r>
      <w:r w:rsidR="00D935F2">
        <w:rPr>
          <w:rFonts w:ascii="Arial" w:eastAsia="MS ??" w:hAnsi="Arial" w:cs="Arial"/>
          <w:bCs/>
          <w:i/>
        </w:rPr>
        <w:t xml:space="preserve">300 </w:t>
      </w:r>
      <w:r>
        <w:rPr>
          <w:rFonts w:ascii="Arial" w:eastAsia="MS ??" w:hAnsi="Arial" w:cs="Arial"/>
          <w:bCs/>
          <w:i/>
        </w:rPr>
        <w:t>words outlining experience – up to 150 marks will be awarded for this criteria].</w:t>
      </w:r>
    </w:p>
    <w:p w:rsidR="00304099" w:rsidRDefault="00304099" w:rsidP="00412EB4">
      <w:pPr>
        <w:spacing w:after="0" w:line="240" w:lineRule="auto"/>
        <w:jc w:val="both"/>
        <w:rPr>
          <w:rFonts w:ascii="Arial" w:eastAsia="MS ??" w:hAnsi="Arial" w:cs="Arial"/>
          <w:bCs/>
        </w:rPr>
      </w:pPr>
    </w:p>
    <w:p w:rsidR="00304099" w:rsidRDefault="00304099" w:rsidP="00412EB4">
      <w:pPr>
        <w:spacing w:after="0" w:line="240" w:lineRule="auto"/>
        <w:jc w:val="both"/>
        <w:rPr>
          <w:rFonts w:ascii="Arial" w:eastAsia="MS ??" w:hAnsi="Arial" w:cs="Arial"/>
          <w:bCs/>
        </w:rPr>
      </w:pPr>
    </w:p>
    <w:p w:rsidR="00304099" w:rsidRPr="00F233B1" w:rsidRDefault="00F233B1" w:rsidP="00412EB4">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3.2</w:t>
      </w:r>
      <w:r>
        <w:rPr>
          <w:rFonts w:ascii="Arial" w:eastAsia="MS ??" w:hAnsi="Arial" w:cs="Arial"/>
          <w:b/>
          <w:bCs/>
          <w:color w:val="548DD4" w:themeColor="text2" w:themeTint="99"/>
        </w:rPr>
        <w:tab/>
        <w:t>Technical merit</w:t>
      </w:r>
    </w:p>
    <w:p w:rsidR="00304099" w:rsidRDefault="00304099" w:rsidP="00412EB4">
      <w:pPr>
        <w:spacing w:after="0" w:line="240" w:lineRule="auto"/>
        <w:jc w:val="both"/>
        <w:rPr>
          <w:rFonts w:ascii="Arial" w:eastAsia="MS ??" w:hAnsi="Arial" w:cs="Arial"/>
          <w:bCs/>
        </w:rPr>
      </w:pPr>
    </w:p>
    <w:p w:rsidR="00F233B1" w:rsidRDefault="00D935F2" w:rsidP="00412EB4">
      <w:pPr>
        <w:spacing w:after="0" w:line="240" w:lineRule="auto"/>
        <w:jc w:val="both"/>
        <w:rPr>
          <w:rFonts w:ascii="Arial" w:eastAsia="MS ??" w:hAnsi="Arial" w:cs="Arial"/>
          <w:bCs/>
        </w:rPr>
      </w:pPr>
      <w:r>
        <w:rPr>
          <w:rFonts w:ascii="Arial" w:eastAsia="MS ??" w:hAnsi="Arial" w:cs="Arial"/>
          <w:bCs/>
        </w:rPr>
        <w:t>Evidence that your organisation has the technical resources (including knowledge, competencies and skills) required to handle patient identifiable information from primary and secondary care data sources.</w:t>
      </w:r>
    </w:p>
    <w:p w:rsidR="00D935F2" w:rsidRDefault="00D935F2" w:rsidP="00412EB4">
      <w:pPr>
        <w:spacing w:after="0" w:line="240" w:lineRule="auto"/>
        <w:jc w:val="both"/>
        <w:rPr>
          <w:rFonts w:ascii="Arial" w:eastAsia="MS ??" w:hAnsi="Arial" w:cs="Arial"/>
          <w:bCs/>
        </w:rPr>
      </w:pPr>
    </w:p>
    <w:p w:rsidR="00D935F2" w:rsidRPr="0076753A" w:rsidRDefault="00D935F2" w:rsidP="00D935F2">
      <w:pPr>
        <w:spacing w:after="0" w:line="240" w:lineRule="auto"/>
        <w:jc w:val="both"/>
        <w:rPr>
          <w:rFonts w:ascii="Arial" w:eastAsia="MS ??" w:hAnsi="Arial" w:cs="Arial"/>
          <w:bCs/>
          <w:i/>
        </w:rPr>
      </w:pPr>
      <w:r>
        <w:rPr>
          <w:rFonts w:ascii="Arial" w:eastAsia="MS ??" w:hAnsi="Arial" w:cs="Arial"/>
          <w:bCs/>
          <w:i/>
        </w:rPr>
        <w:t xml:space="preserve">[Please provide a maximum of 300 words outlining </w:t>
      </w:r>
      <w:r w:rsidR="000C07CF">
        <w:rPr>
          <w:rFonts w:ascii="Arial" w:eastAsia="MS ??" w:hAnsi="Arial" w:cs="Arial"/>
          <w:bCs/>
          <w:i/>
        </w:rPr>
        <w:t xml:space="preserve">technical merit </w:t>
      </w:r>
      <w:r>
        <w:rPr>
          <w:rFonts w:ascii="Arial" w:eastAsia="MS ??" w:hAnsi="Arial" w:cs="Arial"/>
          <w:bCs/>
          <w:i/>
        </w:rPr>
        <w:t>– up to 200 marks will be awarded for this criteria].</w:t>
      </w:r>
    </w:p>
    <w:p w:rsidR="00D935F2" w:rsidRDefault="00D935F2" w:rsidP="00412EB4">
      <w:pPr>
        <w:spacing w:after="0" w:line="240" w:lineRule="auto"/>
        <w:jc w:val="both"/>
        <w:rPr>
          <w:rFonts w:ascii="Arial" w:eastAsia="MS ??" w:hAnsi="Arial" w:cs="Arial"/>
          <w:bCs/>
        </w:rPr>
      </w:pPr>
    </w:p>
    <w:p w:rsidR="00F233B1" w:rsidRDefault="00F233B1" w:rsidP="00412EB4">
      <w:pPr>
        <w:spacing w:after="0" w:line="240" w:lineRule="auto"/>
        <w:jc w:val="both"/>
        <w:rPr>
          <w:rFonts w:ascii="Arial" w:eastAsia="MS ??" w:hAnsi="Arial" w:cs="Arial"/>
          <w:bCs/>
        </w:rPr>
      </w:pPr>
    </w:p>
    <w:p w:rsidR="00F233B1" w:rsidRPr="00D935F2" w:rsidRDefault="00D935F2" w:rsidP="00412EB4">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3.3</w:t>
      </w:r>
      <w:r>
        <w:rPr>
          <w:rFonts w:ascii="Arial" w:eastAsia="MS ??" w:hAnsi="Arial" w:cs="Arial"/>
          <w:b/>
          <w:bCs/>
          <w:color w:val="548DD4" w:themeColor="text2" w:themeTint="99"/>
        </w:rPr>
        <w:tab/>
        <w:t>Data access</w:t>
      </w:r>
    </w:p>
    <w:p w:rsidR="00F233B1" w:rsidRDefault="00F233B1" w:rsidP="00412EB4">
      <w:pPr>
        <w:spacing w:after="0" w:line="240" w:lineRule="auto"/>
        <w:jc w:val="both"/>
        <w:rPr>
          <w:rFonts w:ascii="Arial" w:eastAsia="MS ??" w:hAnsi="Arial" w:cs="Arial"/>
          <w:bCs/>
        </w:rPr>
      </w:pPr>
    </w:p>
    <w:p w:rsidR="00F233B1" w:rsidRDefault="00D935F2" w:rsidP="00412EB4">
      <w:pPr>
        <w:spacing w:after="0" w:line="240" w:lineRule="auto"/>
        <w:jc w:val="both"/>
        <w:rPr>
          <w:rFonts w:ascii="Arial" w:eastAsia="MS ??" w:hAnsi="Arial" w:cs="Arial"/>
          <w:bCs/>
        </w:rPr>
      </w:pPr>
      <w:r>
        <w:rPr>
          <w:rFonts w:ascii="Arial" w:eastAsia="MS ??" w:hAnsi="Arial" w:cs="Arial"/>
          <w:bCs/>
        </w:rPr>
        <w:t>Evidence that your organisation has, or will have, appropriate data sharing agreements in place to access patient identifiable information – from all GPs in Stoke-on-Trent, from local secondary care data sources and from an accredited DSCRO</w:t>
      </w:r>
      <w:r w:rsidR="007F5B3B">
        <w:rPr>
          <w:rFonts w:ascii="Arial" w:eastAsia="MS ??" w:hAnsi="Arial" w:cs="Arial"/>
          <w:bCs/>
        </w:rPr>
        <w:t xml:space="preserve"> status organisation for the West Midlands (or equivalent) – to enable anonymised data to be shared with the commissioner </w:t>
      </w:r>
      <w:r w:rsidR="007F5B3B" w:rsidRPr="007F5B3B">
        <w:rPr>
          <w:rFonts w:ascii="Arial" w:eastAsia="MS ??" w:hAnsi="Arial" w:cs="Arial"/>
          <w:b/>
          <w:bCs/>
        </w:rPr>
        <w:t>four</w:t>
      </w:r>
      <w:r w:rsidR="007F5B3B">
        <w:rPr>
          <w:rFonts w:ascii="Arial" w:eastAsia="MS ??" w:hAnsi="Arial" w:cs="Arial"/>
          <w:bCs/>
        </w:rPr>
        <w:t xml:space="preserve"> weeks following the signing of the contract.</w:t>
      </w:r>
    </w:p>
    <w:p w:rsidR="007F5B3B" w:rsidRDefault="007F5B3B" w:rsidP="00412EB4">
      <w:pPr>
        <w:spacing w:after="0" w:line="240" w:lineRule="auto"/>
        <w:jc w:val="both"/>
        <w:rPr>
          <w:rFonts w:ascii="Arial" w:eastAsia="MS ??" w:hAnsi="Arial" w:cs="Arial"/>
          <w:bCs/>
        </w:rPr>
      </w:pPr>
    </w:p>
    <w:p w:rsidR="007F5B3B" w:rsidRDefault="007F5B3B" w:rsidP="007F5B3B">
      <w:pPr>
        <w:spacing w:after="0" w:line="240" w:lineRule="auto"/>
        <w:jc w:val="both"/>
        <w:rPr>
          <w:rFonts w:ascii="Arial" w:eastAsia="MS ??" w:hAnsi="Arial" w:cs="Arial"/>
          <w:bCs/>
          <w:i/>
        </w:rPr>
      </w:pPr>
      <w:r>
        <w:rPr>
          <w:rFonts w:ascii="Arial" w:eastAsia="MS ??" w:hAnsi="Arial" w:cs="Arial"/>
          <w:bCs/>
          <w:i/>
        </w:rPr>
        <w:t xml:space="preserve">[Please provide a maximum of 300 words outlining </w:t>
      </w:r>
      <w:r w:rsidR="000C07CF">
        <w:rPr>
          <w:rFonts w:ascii="Arial" w:eastAsia="MS ??" w:hAnsi="Arial" w:cs="Arial"/>
          <w:bCs/>
          <w:i/>
        </w:rPr>
        <w:t xml:space="preserve">data access </w:t>
      </w:r>
      <w:r>
        <w:rPr>
          <w:rFonts w:ascii="Arial" w:eastAsia="MS ??" w:hAnsi="Arial" w:cs="Arial"/>
          <w:bCs/>
          <w:i/>
        </w:rPr>
        <w:t>– up to 300 marks will be awarded for this criteria].</w:t>
      </w:r>
    </w:p>
    <w:p w:rsidR="007F5B3B" w:rsidRDefault="007F5B3B" w:rsidP="00412EB4">
      <w:pPr>
        <w:spacing w:after="0" w:line="240" w:lineRule="auto"/>
        <w:jc w:val="both"/>
        <w:rPr>
          <w:rFonts w:ascii="Arial" w:eastAsia="MS ??" w:hAnsi="Arial" w:cs="Arial"/>
          <w:bCs/>
        </w:rPr>
      </w:pPr>
    </w:p>
    <w:p w:rsidR="00F233B1" w:rsidRDefault="00F233B1" w:rsidP="00412EB4">
      <w:pPr>
        <w:spacing w:after="0" w:line="240" w:lineRule="auto"/>
        <w:jc w:val="both"/>
        <w:rPr>
          <w:rFonts w:ascii="Arial" w:eastAsia="MS ??" w:hAnsi="Arial" w:cs="Arial"/>
          <w:bCs/>
        </w:rPr>
      </w:pPr>
    </w:p>
    <w:p w:rsidR="007F5B3B" w:rsidRPr="007F5B3B" w:rsidRDefault="007F5B3B" w:rsidP="00412EB4">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t>Data protection and information governance</w:t>
      </w:r>
    </w:p>
    <w:p w:rsidR="007F5B3B" w:rsidRDefault="007F5B3B" w:rsidP="00412EB4">
      <w:pPr>
        <w:spacing w:after="0" w:line="240" w:lineRule="auto"/>
        <w:jc w:val="both"/>
        <w:rPr>
          <w:rFonts w:ascii="Arial" w:eastAsia="MS ??" w:hAnsi="Arial" w:cs="Arial"/>
          <w:bCs/>
        </w:rPr>
      </w:pPr>
    </w:p>
    <w:p w:rsidR="007F5B3B" w:rsidRDefault="007F5B3B" w:rsidP="00412EB4">
      <w:pPr>
        <w:spacing w:after="0" w:line="240" w:lineRule="auto"/>
        <w:jc w:val="both"/>
        <w:rPr>
          <w:rFonts w:ascii="Arial" w:eastAsia="MS ??" w:hAnsi="Arial" w:cs="Arial"/>
          <w:bCs/>
        </w:rPr>
      </w:pPr>
      <w:r>
        <w:rPr>
          <w:rFonts w:ascii="Arial" w:eastAsia="MS ??" w:hAnsi="Arial" w:cs="Arial"/>
          <w:bCs/>
        </w:rPr>
        <w:t>Evidence to show how your organisation meets the requirements of the 1998 Data Protection Act and are fully compliant with NHS Information Governance and Caldicott principles.</w:t>
      </w:r>
    </w:p>
    <w:p w:rsidR="007F5B3B" w:rsidRDefault="007F5B3B" w:rsidP="00412EB4">
      <w:pPr>
        <w:spacing w:after="0" w:line="240" w:lineRule="auto"/>
        <w:jc w:val="both"/>
        <w:rPr>
          <w:rFonts w:ascii="Arial" w:eastAsia="MS ??" w:hAnsi="Arial" w:cs="Arial"/>
          <w:bCs/>
        </w:rPr>
      </w:pPr>
    </w:p>
    <w:p w:rsidR="007F5B3B" w:rsidRPr="0076753A" w:rsidRDefault="007F5B3B" w:rsidP="007F5B3B">
      <w:pPr>
        <w:spacing w:after="0" w:line="240" w:lineRule="auto"/>
        <w:jc w:val="both"/>
        <w:rPr>
          <w:rFonts w:ascii="Arial" w:eastAsia="MS ??" w:hAnsi="Arial" w:cs="Arial"/>
          <w:bCs/>
          <w:i/>
        </w:rPr>
      </w:pPr>
      <w:r>
        <w:rPr>
          <w:rFonts w:ascii="Arial" w:eastAsia="MS ??" w:hAnsi="Arial" w:cs="Arial"/>
          <w:bCs/>
          <w:i/>
        </w:rPr>
        <w:t xml:space="preserve">[Please provide a maximum of 300 words outlining </w:t>
      </w:r>
      <w:r w:rsidR="000C07CF">
        <w:rPr>
          <w:rFonts w:ascii="Arial" w:eastAsia="MS ??" w:hAnsi="Arial" w:cs="Arial"/>
          <w:bCs/>
          <w:i/>
        </w:rPr>
        <w:t xml:space="preserve">data protection and information governance </w:t>
      </w:r>
      <w:r>
        <w:rPr>
          <w:rFonts w:ascii="Arial" w:eastAsia="MS ??" w:hAnsi="Arial" w:cs="Arial"/>
          <w:bCs/>
          <w:i/>
        </w:rPr>
        <w:t>– up to 150 marks will be awarded for this criteria].</w:t>
      </w:r>
    </w:p>
    <w:p w:rsidR="007F5B3B" w:rsidRDefault="007F5B3B" w:rsidP="00412EB4">
      <w:pPr>
        <w:spacing w:after="0" w:line="240" w:lineRule="auto"/>
        <w:jc w:val="both"/>
        <w:rPr>
          <w:rFonts w:ascii="Arial" w:eastAsia="MS ??" w:hAnsi="Arial" w:cs="Arial"/>
          <w:bCs/>
        </w:rPr>
      </w:pPr>
    </w:p>
    <w:p w:rsidR="005B2299" w:rsidRDefault="005B2299" w:rsidP="00412EB4">
      <w:pPr>
        <w:spacing w:after="0" w:line="240" w:lineRule="auto"/>
        <w:jc w:val="both"/>
        <w:rPr>
          <w:rFonts w:ascii="Arial" w:eastAsia="MS ??" w:hAnsi="Arial" w:cs="Arial"/>
          <w:bCs/>
        </w:rPr>
      </w:pPr>
    </w:p>
    <w:p w:rsidR="005B2299" w:rsidRDefault="005B2299" w:rsidP="00412EB4">
      <w:pPr>
        <w:spacing w:after="0" w:line="240" w:lineRule="auto"/>
        <w:jc w:val="both"/>
        <w:rPr>
          <w:rFonts w:ascii="Arial" w:eastAsia="MS ??" w:hAnsi="Arial" w:cs="Arial"/>
          <w:bCs/>
        </w:rPr>
      </w:pPr>
    </w:p>
    <w:p w:rsidR="005B2299" w:rsidRDefault="005B2299" w:rsidP="00412EB4">
      <w:pPr>
        <w:spacing w:after="0" w:line="240" w:lineRule="auto"/>
        <w:jc w:val="both"/>
        <w:rPr>
          <w:rFonts w:ascii="Arial" w:eastAsia="MS ??" w:hAnsi="Arial" w:cs="Arial"/>
          <w:bCs/>
        </w:rPr>
      </w:pPr>
    </w:p>
    <w:p w:rsidR="005B2299" w:rsidRDefault="005B2299" w:rsidP="00412EB4">
      <w:pPr>
        <w:spacing w:after="0" w:line="240" w:lineRule="auto"/>
        <w:jc w:val="both"/>
        <w:rPr>
          <w:rFonts w:ascii="Arial" w:eastAsia="MS ??" w:hAnsi="Arial" w:cs="Arial"/>
          <w:bCs/>
        </w:rPr>
      </w:pPr>
    </w:p>
    <w:p w:rsidR="005B2299" w:rsidRDefault="005B2299" w:rsidP="00412EB4">
      <w:pPr>
        <w:spacing w:after="0" w:line="240" w:lineRule="auto"/>
        <w:jc w:val="both"/>
        <w:rPr>
          <w:rFonts w:ascii="Arial" w:eastAsia="MS ??" w:hAnsi="Arial" w:cs="Arial"/>
          <w:bCs/>
        </w:rPr>
      </w:pPr>
    </w:p>
    <w:p w:rsidR="005B2299" w:rsidRPr="00122C1B" w:rsidRDefault="005B2299" w:rsidP="005B2299">
      <w:pPr>
        <w:spacing w:after="0" w:line="240" w:lineRule="auto"/>
        <w:jc w:val="both"/>
        <w:rPr>
          <w:rFonts w:ascii="Arial" w:eastAsia="MS ??" w:hAnsi="Arial" w:cs="Arial"/>
          <w:b/>
          <w:bCs/>
          <w:color w:val="548DD4" w:themeColor="text2" w:themeTint="99"/>
        </w:rPr>
      </w:pPr>
      <w:r>
        <w:rPr>
          <w:rFonts w:ascii="Arial" w:eastAsia="MS ??" w:hAnsi="Arial" w:cs="Arial"/>
          <w:b/>
          <w:bCs/>
          <w:color w:val="548DD4" w:themeColor="text2" w:themeTint="99"/>
        </w:rPr>
        <w:lastRenderedPageBreak/>
        <w:t>11.3</w:t>
      </w:r>
      <w:r>
        <w:rPr>
          <w:rFonts w:ascii="Arial" w:eastAsia="MS ??" w:hAnsi="Arial" w:cs="Arial"/>
          <w:b/>
          <w:bCs/>
          <w:color w:val="548DD4" w:themeColor="text2" w:themeTint="99"/>
        </w:rPr>
        <w:tab/>
        <w:t>Evaluation rationale</w:t>
      </w:r>
    </w:p>
    <w:p w:rsidR="007F5B3B" w:rsidRDefault="007F5B3B" w:rsidP="00412EB4">
      <w:pPr>
        <w:spacing w:after="0" w:line="240" w:lineRule="auto"/>
        <w:jc w:val="both"/>
        <w:rPr>
          <w:rFonts w:ascii="Arial" w:eastAsia="MS ??" w:hAnsi="Arial" w:cs="Arial"/>
          <w:bCs/>
        </w:rPr>
      </w:pPr>
    </w:p>
    <w:p w:rsidR="005B2299" w:rsidRDefault="005B2299" w:rsidP="00412EB4">
      <w:pPr>
        <w:spacing w:after="0" w:line="240" w:lineRule="auto"/>
        <w:jc w:val="both"/>
        <w:rPr>
          <w:rFonts w:ascii="Arial" w:eastAsia="MS ??" w:hAnsi="Arial" w:cs="Arial"/>
          <w:bCs/>
        </w:rPr>
      </w:pPr>
      <w:r>
        <w:rPr>
          <w:rFonts w:ascii="Arial" w:eastAsia="MS ??" w:hAnsi="Arial" w:cs="Arial"/>
          <w:bCs/>
        </w:rPr>
        <w:t>Responses will be evaluated and scored using the following rationale:</w:t>
      </w:r>
    </w:p>
    <w:p w:rsidR="005B2299" w:rsidRDefault="005B2299" w:rsidP="00412EB4">
      <w:pPr>
        <w:spacing w:after="0" w:line="240" w:lineRule="auto"/>
        <w:jc w:val="both"/>
        <w:rPr>
          <w:rFonts w:ascii="Arial" w:eastAsia="MS ??" w:hAnsi="Arial" w:cs="Arial"/>
          <w:bCs/>
        </w:rPr>
      </w:pPr>
    </w:p>
    <w:p w:rsidR="005B2299" w:rsidRDefault="000C07CF" w:rsidP="005B2299">
      <w:pPr>
        <w:pStyle w:val="ListParagraph"/>
        <w:numPr>
          <w:ilvl w:val="0"/>
          <w:numId w:val="43"/>
        </w:numPr>
        <w:tabs>
          <w:tab w:val="left" w:pos="1843"/>
        </w:tabs>
        <w:spacing w:after="0" w:line="240" w:lineRule="auto"/>
        <w:jc w:val="both"/>
        <w:rPr>
          <w:rFonts w:ascii="Arial" w:eastAsia="MS ??" w:hAnsi="Arial" w:cs="Arial"/>
          <w:bCs/>
        </w:rPr>
      </w:pPr>
      <w:r>
        <w:rPr>
          <w:rFonts w:ascii="Arial" w:eastAsia="MS ??" w:hAnsi="Arial" w:cs="Arial"/>
          <w:bCs/>
        </w:rPr>
        <w:t xml:space="preserve">Score 0 – </w:t>
      </w:r>
      <w:r w:rsidR="005B2299">
        <w:rPr>
          <w:rFonts w:ascii="Arial" w:eastAsia="MS ??" w:hAnsi="Arial" w:cs="Arial"/>
          <w:bCs/>
        </w:rPr>
        <w:t>if no information is required</w:t>
      </w:r>
    </w:p>
    <w:p w:rsidR="005B2299" w:rsidRDefault="005B2299" w:rsidP="005B2299">
      <w:pPr>
        <w:tabs>
          <w:tab w:val="left" w:pos="1843"/>
        </w:tabs>
        <w:spacing w:after="0" w:line="240" w:lineRule="auto"/>
        <w:jc w:val="both"/>
        <w:rPr>
          <w:rFonts w:ascii="Arial" w:eastAsia="MS ??" w:hAnsi="Arial" w:cs="Arial"/>
          <w:bCs/>
        </w:rPr>
      </w:pPr>
    </w:p>
    <w:p w:rsidR="005B2299" w:rsidRDefault="000C07CF" w:rsidP="005B2299">
      <w:pPr>
        <w:pStyle w:val="ListParagraph"/>
        <w:numPr>
          <w:ilvl w:val="0"/>
          <w:numId w:val="43"/>
        </w:numPr>
        <w:tabs>
          <w:tab w:val="left" w:pos="1843"/>
        </w:tabs>
        <w:spacing w:after="0" w:line="240" w:lineRule="auto"/>
        <w:jc w:val="both"/>
        <w:rPr>
          <w:rFonts w:ascii="Arial" w:eastAsia="MS ??" w:hAnsi="Arial" w:cs="Arial"/>
          <w:bCs/>
        </w:rPr>
      </w:pPr>
      <w:r>
        <w:rPr>
          <w:rFonts w:ascii="Arial" w:eastAsia="MS ??" w:hAnsi="Arial" w:cs="Arial"/>
          <w:bCs/>
        </w:rPr>
        <w:t xml:space="preserve">Score 1 – </w:t>
      </w:r>
      <w:r w:rsidR="005B2299">
        <w:rPr>
          <w:rFonts w:ascii="Arial" w:eastAsia="MS ??" w:hAnsi="Arial" w:cs="Arial"/>
          <w:bCs/>
        </w:rPr>
        <w:t>if answer provided is poor</w:t>
      </w:r>
    </w:p>
    <w:p w:rsidR="005B2299" w:rsidRDefault="005B2299" w:rsidP="005B2299">
      <w:pPr>
        <w:tabs>
          <w:tab w:val="left" w:pos="1843"/>
        </w:tabs>
        <w:spacing w:after="0" w:line="240" w:lineRule="auto"/>
        <w:jc w:val="both"/>
        <w:rPr>
          <w:rFonts w:ascii="Arial" w:eastAsia="MS ??" w:hAnsi="Arial" w:cs="Arial"/>
          <w:bCs/>
        </w:rPr>
      </w:pPr>
    </w:p>
    <w:p w:rsidR="005B2299" w:rsidRDefault="000C07CF" w:rsidP="005B2299">
      <w:pPr>
        <w:pStyle w:val="ListParagraph"/>
        <w:numPr>
          <w:ilvl w:val="0"/>
          <w:numId w:val="43"/>
        </w:numPr>
        <w:tabs>
          <w:tab w:val="left" w:pos="1843"/>
        </w:tabs>
        <w:spacing w:after="0" w:line="240" w:lineRule="auto"/>
        <w:jc w:val="both"/>
        <w:rPr>
          <w:rFonts w:ascii="Arial" w:eastAsia="MS ??" w:hAnsi="Arial" w:cs="Arial"/>
          <w:bCs/>
        </w:rPr>
      </w:pPr>
      <w:r>
        <w:rPr>
          <w:rFonts w:ascii="Arial" w:eastAsia="MS ??" w:hAnsi="Arial" w:cs="Arial"/>
          <w:bCs/>
        </w:rPr>
        <w:t xml:space="preserve">Score 2 – </w:t>
      </w:r>
      <w:r w:rsidR="005B2299">
        <w:rPr>
          <w:rFonts w:ascii="Arial" w:eastAsia="MS ??" w:hAnsi="Arial" w:cs="Arial"/>
          <w:bCs/>
        </w:rPr>
        <w:t>if answer provided is not comprehensive and below average</w:t>
      </w:r>
    </w:p>
    <w:p w:rsidR="005B2299" w:rsidRDefault="005B2299" w:rsidP="005B2299">
      <w:pPr>
        <w:tabs>
          <w:tab w:val="left" w:pos="1843"/>
        </w:tabs>
        <w:spacing w:after="0" w:line="240" w:lineRule="auto"/>
        <w:jc w:val="both"/>
        <w:rPr>
          <w:rFonts w:ascii="Arial" w:eastAsia="MS ??" w:hAnsi="Arial" w:cs="Arial"/>
          <w:bCs/>
        </w:rPr>
      </w:pPr>
    </w:p>
    <w:p w:rsidR="005B2299" w:rsidRDefault="000C07CF" w:rsidP="005B2299">
      <w:pPr>
        <w:pStyle w:val="ListParagraph"/>
        <w:numPr>
          <w:ilvl w:val="0"/>
          <w:numId w:val="43"/>
        </w:numPr>
        <w:tabs>
          <w:tab w:val="left" w:pos="1843"/>
        </w:tabs>
        <w:spacing w:after="0" w:line="240" w:lineRule="auto"/>
        <w:jc w:val="both"/>
        <w:rPr>
          <w:rFonts w:ascii="Arial" w:eastAsia="MS ??" w:hAnsi="Arial" w:cs="Arial"/>
          <w:bCs/>
        </w:rPr>
      </w:pPr>
      <w:r>
        <w:rPr>
          <w:rFonts w:ascii="Arial" w:eastAsia="MS ??" w:hAnsi="Arial" w:cs="Arial"/>
          <w:bCs/>
        </w:rPr>
        <w:t xml:space="preserve">Score 3 – </w:t>
      </w:r>
      <w:r w:rsidR="005B2299">
        <w:rPr>
          <w:rFonts w:ascii="Arial" w:eastAsia="MS ??" w:hAnsi="Arial" w:cs="Arial"/>
          <w:bCs/>
        </w:rPr>
        <w:t>if some requirements are met and response is average</w:t>
      </w:r>
    </w:p>
    <w:p w:rsidR="005B2299" w:rsidRDefault="005B2299" w:rsidP="005B2299">
      <w:pPr>
        <w:tabs>
          <w:tab w:val="left" w:pos="1843"/>
        </w:tabs>
        <w:spacing w:after="0" w:line="240" w:lineRule="auto"/>
        <w:jc w:val="both"/>
        <w:rPr>
          <w:rFonts w:ascii="Arial" w:eastAsia="MS ??" w:hAnsi="Arial" w:cs="Arial"/>
          <w:bCs/>
        </w:rPr>
      </w:pPr>
    </w:p>
    <w:p w:rsidR="005B2299" w:rsidRDefault="000C07CF" w:rsidP="005B2299">
      <w:pPr>
        <w:pStyle w:val="ListParagraph"/>
        <w:numPr>
          <w:ilvl w:val="0"/>
          <w:numId w:val="43"/>
        </w:numPr>
        <w:tabs>
          <w:tab w:val="left" w:pos="1843"/>
        </w:tabs>
        <w:spacing w:after="0" w:line="240" w:lineRule="auto"/>
        <w:jc w:val="both"/>
        <w:rPr>
          <w:rFonts w:ascii="Arial" w:eastAsia="MS ??" w:hAnsi="Arial" w:cs="Arial"/>
          <w:bCs/>
        </w:rPr>
      </w:pPr>
      <w:r>
        <w:rPr>
          <w:rFonts w:ascii="Arial" w:eastAsia="MS ??" w:hAnsi="Arial" w:cs="Arial"/>
          <w:bCs/>
        </w:rPr>
        <w:t xml:space="preserve">Score 4 – </w:t>
      </w:r>
      <w:r w:rsidR="005B2299">
        <w:rPr>
          <w:rFonts w:ascii="Arial" w:eastAsia="MS ??" w:hAnsi="Arial" w:cs="Arial"/>
          <w:bCs/>
        </w:rPr>
        <w:t>if most requirements are met and response provided is good</w:t>
      </w:r>
    </w:p>
    <w:p w:rsidR="005B2299" w:rsidRDefault="005B2299" w:rsidP="005B2299">
      <w:pPr>
        <w:tabs>
          <w:tab w:val="left" w:pos="1843"/>
        </w:tabs>
        <w:spacing w:after="0" w:line="240" w:lineRule="auto"/>
        <w:jc w:val="both"/>
        <w:rPr>
          <w:rFonts w:ascii="Arial" w:eastAsia="MS ??" w:hAnsi="Arial" w:cs="Arial"/>
          <w:bCs/>
        </w:rPr>
      </w:pPr>
    </w:p>
    <w:p w:rsidR="005B2299" w:rsidRDefault="000C07CF" w:rsidP="005B2299">
      <w:pPr>
        <w:pStyle w:val="ListParagraph"/>
        <w:numPr>
          <w:ilvl w:val="0"/>
          <w:numId w:val="43"/>
        </w:numPr>
        <w:tabs>
          <w:tab w:val="left" w:pos="1843"/>
        </w:tabs>
        <w:spacing w:after="0" w:line="240" w:lineRule="auto"/>
        <w:jc w:val="both"/>
        <w:rPr>
          <w:rFonts w:ascii="Arial" w:eastAsia="MS ??" w:hAnsi="Arial" w:cs="Arial"/>
          <w:bCs/>
        </w:rPr>
      </w:pPr>
      <w:r>
        <w:rPr>
          <w:rFonts w:ascii="Arial" w:eastAsia="MS ??" w:hAnsi="Arial" w:cs="Arial"/>
          <w:bCs/>
        </w:rPr>
        <w:t xml:space="preserve">Score 5 – </w:t>
      </w:r>
      <w:r w:rsidR="00E6519B">
        <w:rPr>
          <w:rFonts w:ascii="Arial" w:eastAsia="MS ??" w:hAnsi="Arial" w:cs="Arial"/>
          <w:bCs/>
        </w:rPr>
        <w:t>if all requirements are met and response provided is excellent</w:t>
      </w:r>
    </w:p>
    <w:p w:rsidR="00E6519B" w:rsidRDefault="00E6519B" w:rsidP="00E6519B">
      <w:pPr>
        <w:tabs>
          <w:tab w:val="left" w:pos="1843"/>
        </w:tabs>
        <w:spacing w:after="0" w:line="240" w:lineRule="auto"/>
        <w:jc w:val="both"/>
        <w:rPr>
          <w:rFonts w:ascii="Arial" w:eastAsia="MS ??" w:hAnsi="Arial" w:cs="Arial"/>
          <w:bCs/>
        </w:rPr>
      </w:pPr>
    </w:p>
    <w:p w:rsidR="00E6519B" w:rsidRDefault="00E6519B" w:rsidP="00E6519B">
      <w:pPr>
        <w:tabs>
          <w:tab w:val="left" w:pos="1843"/>
        </w:tabs>
        <w:spacing w:after="0" w:line="240" w:lineRule="auto"/>
        <w:jc w:val="both"/>
        <w:rPr>
          <w:rFonts w:ascii="Arial" w:eastAsia="MS ??" w:hAnsi="Arial" w:cs="Arial"/>
          <w:bCs/>
        </w:rPr>
      </w:pPr>
    </w:p>
    <w:p w:rsidR="00E6519B" w:rsidRPr="00E6519B" w:rsidRDefault="00E6519B" w:rsidP="00E6519B">
      <w:pPr>
        <w:tabs>
          <w:tab w:val="left" w:pos="1843"/>
        </w:tabs>
        <w:spacing w:after="0" w:line="240" w:lineRule="auto"/>
        <w:jc w:val="both"/>
        <w:rPr>
          <w:rFonts w:ascii="Arial" w:eastAsia="MS ??" w:hAnsi="Arial" w:cs="Arial"/>
          <w:b/>
          <w:bCs/>
        </w:rPr>
      </w:pPr>
      <w:r>
        <w:rPr>
          <w:rFonts w:ascii="Arial" w:eastAsia="MS ??" w:hAnsi="Arial" w:cs="Arial"/>
          <w:b/>
          <w:bCs/>
        </w:rPr>
        <w:t>Deadline for submissions</w:t>
      </w:r>
    </w:p>
    <w:p w:rsidR="005B2299" w:rsidRDefault="005B2299" w:rsidP="005B2299">
      <w:pPr>
        <w:tabs>
          <w:tab w:val="left" w:pos="1843"/>
        </w:tabs>
        <w:spacing w:after="0" w:line="240" w:lineRule="auto"/>
        <w:jc w:val="both"/>
        <w:rPr>
          <w:rFonts w:ascii="Arial" w:eastAsia="MS ??" w:hAnsi="Arial" w:cs="Arial"/>
          <w:bCs/>
        </w:rPr>
      </w:pPr>
    </w:p>
    <w:p w:rsidR="005B2299" w:rsidRDefault="00E6519B" w:rsidP="005B2299">
      <w:pPr>
        <w:tabs>
          <w:tab w:val="left" w:pos="1843"/>
        </w:tabs>
        <w:spacing w:after="0" w:line="240" w:lineRule="auto"/>
        <w:jc w:val="both"/>
        <w:rPr>
          <w:rFonts w:ascii="Arial" w:eastAsia="MS ??" w:hAnsi="Arial" w:cs="Arial"/>
          <w:bCs/>
        </w:rPr>
      </w:pPr>
      <w:r>
        <w:rPr>
          <w:rFonts w:ascii="Arial" w:eastAsia="MS ??" w:hAnsi="Arial" w:cs="Arial"/>
          <w:bCs/>
        </w:rPr>
        <w:t xml:space="preserve">Proposals are to be submitted by </w:t>
      </w:r>
      <w:r w:rsidR="00B72A76">
        <w:rPr>
          <w:rFonts w:ascii="Arial" w:eastAsia="MS ??" w:hAnsi="Arial" w:cs="Arial"/>
          <w:bCs/>
        </w:rPr>
        <w:t>17</w:t>
      </w:r>
      <w:r w:rsidR="00B72A76" w:rsidRPr="00B72A76">
        <w:rPr>
          <w:rFonts w:ascii="Arial" w:eastAsia="MS ??" w:hAnsi="Arial" w:cs="Arial"/>
          <w:bCs/>
          <w:vertAlign w:val="superscript"/>
        </w:rPr>
        <w:t>th</w:t>
      </w:r>
      <w:r w:rsidR="00B72A76">
        <w:rPr>
          <w:rFonts w:ascii="Arial" w:eastAsia="MS ??" w:hAnsi="Arial" w:cs="Arial"/>
          <w:bCs/>
        </w:rPr>
        <w:t xml:space="preserve"> March 2017 (12 noon)</w:t>
      </w:r>
      <w:r>
        <w:rPr>
          <w:rFonts w:ascii="Arial" w:eastAsia="MS ??" w:hAnsi="Arial" w:cs="Arial"/>
          <w:bCs/>
        </w:rPr>
        <w:t xml:space="preserve">, via email for the attention of: Alistair Fisher at </w:t>
      </w:r>
      <w:hyperlink r:id="rId13" w:history="1">
        <w:r w:rsidRPr="00CE5531">
          <w:rPr>
            <w:rStyle w:val="Hyperlink"/>
            <w:rFonts w:ascii="Arial" w:eastAsia="MS ??" w:hAnsi="Arial" w:cs="Arial"/>
            <w:bCs/>
          </w:rPr>
          <w:t>Alistair.Fisher@stoke.gov.uk</w:t>
        </w:r>
      </w:hyperlink>
    </w:p>
    <w:p w:rsidR="00E6519B" w:rsidRDefault="00E6519B" w:rsidP="005B2299">
      <w:pPr>
        <w:tabs>
          <w:tab w:val="left" w:pos="1843"/>
        </w:tabs>
        <w:spacing w:after="0" w:line="240" w:lineRule="auto"/>
        <w:jc w:val="both"/>
        <w:rPr>
          <w:rFonts w:ascii="Arial" w:eastAsia="MS ??" w:hAnsi="Arial" w:cs="Arial"/>
          <w:bCs/>
        </w:rPr>
      </w:pPr>
    </w:p>
    <w:p w:rsidR="007F5B3B" w:rsidRDefault="007F5B3B" w:rsidP="00412EB4">
      <w:pPr>
        <w:spacing w:after="0" w:line="240" w:lineRule="auto"/>
        <w:jc w:val="both"/>
        <w:rPr>
          <w:rFonts w:ascii="Arial" w:eastAsia="MS ??" w:hAnsi="Arial" w:cs="Arial"/>
          <w:bCs/>
        </w:rPr>
      </w:pPr>
    </w:p>
    <w:p w:rsidR="007F5B3B" w:rsidRDefault="007F5B3B" w:rsidP="00412EB4">
      <w:pPr>
        <w:spacing w:after="0" w:line="240" w:lineRule="auto"/>
        <w:jc w:val="both"/>
        <w:rPr>
          <w:rFonts w:ascii="Arial" w:eastAsia="MS ??" w:hAnsi="Arial" w:cs="Arial"/>
          <w:bCs/>
        </w:rPr>
      </w:pPr>
    </w:p>
    <w:sectPr w:rsidR="007F5B3B" w:rsidSect="003428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06E" w:rsidRDefault="00AC406E" w:rsidP="007813D6">
      <w:pPr>
        <w:spacing w:after="0" w:line="240" w:lineRule="auto"/>
      </w:pPr>
      <w:r>
        <w:separator/>
      </w:r>
    </w:p>
  </w:endnote>
  <w:endnote w:type="continuationSeparator" w:id="0">
    <w:p w:rsidR="00AC406E" w:rsidRDefault="00AC406E" w:rsidP="0078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281539"/>
      <w:docPartObj>
        <w:docPartGallery w:val="Page Numbers (Bottom of Page)"/>
        <w:docPartUnique/>
      </w:docPartObj>
    </w:sdtPr>
    <w:sdtEndPr>
      <w:rPr>
        <w:rFonts w:ascii="Arial" w:hAnsi="Arial" w:cs="Arial"/>
        <w:noProof/>
      </w:rPr>
    </w:sdtEndPr>
    <w:sdtContent>
      <w:p w:rsidR="00FA4781" w:rsidRPr="00911D87" w:rsidRDefault="00FA4781">
        <w:pPr>
          <w:pStyle w:val="Footer"/>
          <w:jc w:val="center"/>
          <w:rPr>
            <w:rFonts w:ascii="Arial" w:hAnsi="Arial" w:cs="Arial"/>
          </w:rPr>
        </w:pPr>
        <w:r w:rsidRPr="00911D87">
          <w:rPr>
            <w:rFonts w:ascii="Arial" w:hAnsi="Arial" w:cs="Arial"/>
          </w:rPr>
          <w:fldChar w:fldCharType="begin"/>
        </w:r>
        <w:r w:rsidRPr="00911D87">
          <w:rPr>
            <w:rFonts w:ascii="Arial" w:hAnsi="Arial" w:cs="Arial"/>
          </w:rPr>
          <w:instrText xml:space="preserve"> PAGE   \* MERGEFORMAT </w:instrText>
        </w:r>
        <w:r w:rsidRPr="00911D87">
          <w:rPr>
            <w:rFonts w:ascii="Arial" w:hAnsi="Arial" w:cs="Arial"/>
          </w:rPr>
          <w:fldChar w:fldCharType="separate"/>
        </w:r>
        <w:r w:rsidR="00BD342A">
          <w:rPr>
            <w:rFonts w:ascii="Arial" w:hAnsi="Arial" w:cs="Arial"/>
            <w:noProof/>
          </w:rPr>
          <w:t>6</w:t>
        </w:r>
        <w:r w:rsidRPr="00911D87">
          <w:rPr>
            <w:rFonts w:ascii="Arial" w:hAnsi="Arial" w:cs="Arial"/>
            <w:noProof/>
          </w:rPr>
          <w:fldChar w:fldCharType="end"/>
        </w:r>
      </w:p>
    </w:sdtContent>
  </w:sdt>
  <w:p w:rsidR="00FA4781" w:rsidRDefault="00FA4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06E" w:rsidRDefault="00AC406E" w:rsidP="007813D6">
      <w:pPr>
        <w:spacing w:after="0" w:line="240" w:lineRule="auto"/>
      </w:pPr>
      <w:r>
        <w:separator/>
      </w:r>
    </w:p>
  </w:footnote>
  <w:footnote w:type="continuationSeparator" w:id="0">
    <w:p w:rsidR="00AC406E" w:rsidRDefault="00AC406E" w:rsidP="007813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5FD"/>
    <w:multiLevelType w:val="hybridMultilevel"/>
    <w:tmpl w:val="FF96DC9C"/>
    <w:lvl w:ilvl="0" w:tplc="0809000F">
      <w:start w:val="2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339A7"/>
    <w:multiLevelType w:val="hybridMultilevel"/>
    <w:tmpl w:val="12968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6E60A6"/>
    <w:multiLevelType w:val="hybridMultilevel"/>
    <w:tmpl w:val="37E6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61355"/>
    <w:multiLevelType w:val="hybridMultilevel"/>
    <w:tmpl w:val="A372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7A193E"/>
    <w:multiLevelType w:val="hybridMultilevel"/>
    <w:tmpl w:val="17FC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F71F8D"/>
    <w:multiLevelType w:val="hybridMultilevel"/>
    <w:tmpl w:val="1900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DD6F11"/>
    <w:multiLevelType w:val="hybridMultilevel"/>
    <w:tmpl w:val="40AA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B3538B"/>
    <w:multiLevelType w:val="hybridMultilevel"/>
    <w:tmpl w:val="46F0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426C48"/>
    <w:multiLevelType w:val="hybridMultilevel"/>
    <w:tmpl w:val="861A2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1E07E4"/>
    <w:multiLevelType w:val="hybridMultilevel"/>
    <w:tmpl w:val="B24486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28AB71D8"/>
    <w:multiLevelType w:val="hybridMultilevel"/>
    <w:tmpl w:val="5C746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9EF7260"/>
    <w:multiLevelType w:val="hybridMultilevel"/>
    <w:tmpl w:val="8A4E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5B20AD"/>
    <w:multiLevelType w:val="hybridMultilevel"/>
    <w:tmpl w:val="8FB82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5EC5F43"/>
    <w:multiLevelType w:val="hybridMultilevel"/>
    <w:tmpl w:val="A114F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9BF0464"/>
    <w:multiLevelType w:val="hybridMultilevel"/>
    <w:tmpl w:val="C3EC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5B0343"/>
    <w:multiLevelType w:val="hybridMultilevel"/>
    <w:tmpl w:val="C1D82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E16FC1"/>
    <w:multiLevelType w:val="hybridMultilevel"/>
    <w:tmpl w:val="14CE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4E4FC2"/>
    <w:multiLevelType w:val="hybridMultilevel"/>
    <w:tmpl w:val="26944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0524D12"/>
    <w:multiLevelType w:val="multilevel"/>
    <w:tmpl w:val="CBAE89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40F26B4"/>
    <w:multiLevelType w:val="hybridMultilevel"/>
    <w:tmpl w:val="12C8D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E3D3589"/>
    <w:multiLevelType w:val="hybridMultilevel"/>
    <w:tmpl w:val="ECBEDA0E"/>
    <w:lvl w:ilvl="0" w:tplc="0809000F">
      <w:start w:val="2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6A0F94"/>
    <w:multiLevelType w:val="hybridMultilevel"/>
    <w:tmpl w:val="2C68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D865F6"/>
    <w:multiLevelType w:val="hybridMultilevel"/>
    <w:tmpl w:val="359C0AA2"/>
    <w:lvl w:ilvl="0" w:tplc="647671B6">
      <w:start w:val="1"/>
      <w:numFmt w:val="decimal"/>
      <w:lvlText w:val="%1."/>
      <w:lvlJc w:val="left"/>
      <w:pPr>
        <w:ind w:left="720" w:hanging="360"/>
      </w:pPr>
      <w:rPr>
        <w:rFonts w:ascii="Arial" w:eastAsia="MS ??"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C91130"/>
    <w:multiLevelType w:val="hybridMultilevel"/>
    <w:tmpl w:val="106E8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3FA5269"/>
    <w:multiLevelType w:val="hybridMultilevel"/>
    <w:tmpl w:val="94528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AE5D0C"/>
    <w:multiLevelType w:val="multilevel"/>
    <w:tmpl w:val="D5E08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CE51219"/>
    <w:multiLevelType w:val="hybridMultilevel"/>
    <w:tmpl w:val="1B607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DC04AED"/>
    <w:multiLevelType w:val="hybridMultilevel"/>
    <w:tmpl w:val="6846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F24915"/>
    <w:multiLevelType w:val="hybridMultilevel"/>
    <w:tmpl w:val="3120FF16"/>
    <w:lvl w:ilvl="0" w:tplc="99280A26">
      <w:start w:val="2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081009"/>
    <w:multiLevelType w:val="hybridMultilevel"/>
    <w:tmpl w:val="CB448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D00BE2"/>
    <w:multiLevelType w:val="hybridMultilevel"/>
    <w:tmpl w:val="643CB766"/>
    <w:lvl w:ilvl="0" w:tplc="30129DA0">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C91F3B"/>
    <w:multiLevelType w:val="hybridMultilevel"/>
    <w:tmpl w:val="E550F05E"/>
    <w:lvl w:ilvl="0" w:tplc="0809000F">
      <w:start w:val="2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FA5502"/>
    <w:multiLevelType w:val="hybridMultilevel"/>
    <w:tmpl w:val="43103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B92083C"/>
    <w:multiLevelType w:val="hybridMultilevel"/>
    <w:tmpl w:val="4F4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6906DF"/>
    <w:multiLevelType w:val="hybridMultilevel"/>
    <w:tmpl w:val="A41684D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CD58B8"/>
    <w:multiLevelType w:val="hybridMultilevel"/>
    <w:tmpl w:val="31260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03F0126"/>
    <w:multiLevelType w:val="hybridMultilevel"/>
    <w:tmpl w:val="8F1EFB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8DA1305"/>
    <w:multiLevelType w:val="hybridMultilevel"/>
    <w:tmpl w:val="A4780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EC510B"/>
    <w:multiLevelType w:val="hybridMultilevel"/>
    <w:tmpl w:val="E926E7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E54A7C"/>
    <w:multiLevelType w:val="hybridMultilevel"/>
    <w:tmpl w:val="88E8C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C0760AF"/>
    <w:multiLevelType w:val="hybridMultilevel"/>
    <w:tmpl w:val="E83863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19"/>
  </w:num>
  <w:num w:numId="3">
    <w:abstractNumId w:val="32"/>
  </w:num>
  <w:num w:numId="4">
    <w:abstractNumId w:val="13"/>
  </w:num>
  <w:num w:numId="5">
    <w:abstractNumId w:val="27"/>
  </w:num>
  <w:num w:numId="6">
    <w:abstractNumId w:val="4"/>
  </w:num>
  <w:num w:numId="7">
    <w:abstractNumId w:val="17"/>
  </w:num>
  <w:num w:numId="8">
    <w:abstractNumId w:val="18"/>
  </w:num>
  <w:num w:numId="9">
    <w:abstractNumId w:val="38"/>
  </w:num>
  <w:num w:numId="10">
    <w:abstractNumId w:val="9"/>
  </w:num>
  <w:num w:numId="11">
    <w:abstractNumId w:val="15"/>
  </w:num>
  <w:num w:numId="12">
    <w:abstractNumId w:val="3"/>
  </w:num>
  <w:num w:numId="13">
    <w:abstractNumId w:val="26"/>
  </w:num>
  <w:num w:numId="14">
    <w:abstractNumId w:val="33"/>
  </w:num>
  <w:num w:numId="15">
    <w:abstractNumId w:val="9"/>
  </w:num>
  <w:num w:numId="16">
    <w:abstractNumId w:val="1"/>
  </w:num>
  <w:num w:numId="17">
    <w:abstractNumId w:val="40"/>
  </w:num>
  <w:num w:numId="18">
    <w:abstractNumId w:val="8"/>
  </w:num>
  <w:num w:numId="19">
    <w:abstractNumId w:val="23"/>
  </w:num>
  <w:num w:numId="20">
    <w:abstractNumId w:val="35"/>
  </w:num>
  <w:num w:numId="21">
    <w:abstractNumId w:val="12"/>
  </w:num>
  <w:num w:numId="22">
    <w:abstractNumId w:val="10"/>
  </w:num>
  <w:num w:numId="23">
    <w:abstractNumId w:val="9"/>
  </w:num>
  <w:num w:numId="24">
    <w:abstractNumId w:val="39"/>
  </w:num>
  <w:num w:numId="25">
    <w:abstractNumId w:val="36"/>
  </w:num>
  <w:num w:numId="26">
    <w:abstractNumId w:val="30"/>
  </w:num>
  <w:num w:numId="27">
    <w:abstractNumId w:val="28"/>
  </w:num>
  <w:num w:numId="28">
    <w:abstractNumId w:val="34"/>
  </w:num>
  <w:num w:numId="29">
    <w:abstractNumId w:val="37"/>
  </w:num>
  <w:num w:numId="30">
    <w:abstractNumId w:val="0"/>
  </w:num>
  <w:num w:numId="31">
    <w:abstractNumId w:val="20"/>
  </w:num>
  <w:num w:numId="32">
    <w:abstractNumId w:val="31"/>
  </w:num>
  <w:num w:numId="33">
    <w:abstractNumId w:val="11"/>
  </w:num>
  <w:num w:numId="34">
    <w:abstractNumId w:val="2"/>
  </w:num>
  <w:num w:numId="35">
    <w:abstractNumId w:val="22"/>
  </w:num>
  <w:num w:numId="36">
    <w:abstractNumId w:val="24"/>
  </w:num>
  <w:num w:numId="37">
    <w:abstractNumId w:val="6"/>
  </w:num>
  <w:num w:numId="38">
    <w:abstractNumId w:val="16"/>
  </w:num>
  <w:num w:numId="39">
    <w:abstractNumId w:val="5"/>
  </w:num>
  <w:num w:numId="40">
    <w:abstractNumId w:val="7"/>
  </w:num>
  <w:num w:numId="41">
    <w:abstractNumId w:val="21"/>
  </w:num>
  <w:num w:numId="42">
    <w:abstractNumId w:val="2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A8"/>
    <w:rsid w:val="00012755"/>
    <w:rsid w:val="00015800"/>
    <w:rsid w:val="00015ECC"/>
    <w:rsid w:val="00016B9A"/>
    <w:rsid w:val="00023DEE"/>
    <w:rsid w:val="00037D6B"/>
    <w:rsid w:val="00047A84"/>
    <w:rsid w:val="00064190"/>
    <w:rsid w:val="00065510"/>
    <w:rsid w:val="0006627F"/>
    <w:rsid w:val="00076BDD"/>
    <w:rsid w:val="000773B3"/>
    <w:rsid w:val="00077A6D"/>
    <w:rsid w:val="00087877"/>
    <w:rsid w:val="000A2442"/>
    <w:rsid w:val="000C07CF"/>
    <w:rsid w:val="000C5699"/>
    <w:rsid w:val="000C7284"/>
    <w:rsid w:val="000C7FD3"/>
    <w:rsid w:val="000D3373"/>
    <w:rsid w:val="000E66AC"/>
    <w:rsid w:val="000F35F7"/>
    <w:rsid w:val="000F61ED"/>
    <w:rsid w:val="00104F2E"/>
    <w:rsid w:val="00122C1B"/>
    <w:rsid w:val="00131754"/>
    <w:rsid w:val="00132BD8"/>
    <w:rsid w:val="0013355B"/>
    <w:rsid w:val="00136670"/>
    <w:rsid w:val="00136678"/>
    <w:rsid w:val="00136EF5"/>
    <w:rsid w:val="00143BCB"/>
    <w:rsid w:val="00143E9B"/>
    <w:rsid w:val="00144F99"/>
    <w:rsid w:val="00146244"/>
    <w:rsid w:val="00155665"/>
    <w:rsid w:val="00176119"/>
    <w:rsid w:val="00176D89"/>
    <w:rsid w:val="00192737"/>
    <w:rsid w:val="00195AAD"/>
    <w:rsid w:val="001B7433"/>
    <w:rsid w:val="001C2FF1"/>
    <w:rsid w:val="001C6904"/>
    <w:rsid w:val="001C6AC8"/>
    <w:rsid w:val="001E2195"/>
    <w:rsid w:val="001E5C20"/>
    <w:rsid w:val="001F627D"/>
    <w:rsid w:val="00200706"/>
    <w:rsid w:val="002255C0"/>
    <w:rsid w:val="0023399A"/>
    <w:rsid w:val="00235B01"/>
    <w:rsid w:val="00247448"/>
    <w:rsid w:val="00251DE5"/>
    <w:rsid w:val="002576AD"/>
    <w:rsid w:val="002820D6"/>
    <w:rsid w:val="00284F84"/>
    <w:rsid w:val="00291BCF"/>
    <w:rsid w:val="002936A8"/>
    <w:rsid w:val="002A07DB"/>
    <w:rsid w:val="002A156D"/>
    <w:rsid w:val="002A1A9C"/>
    <w:rsid w:val="002B6409"/>
    <w:rsid w:val="002B6720"/>
    <w:rsid w:val="002C27C1"/>
    <w:rsid w:val="002C33ED"/>
    <w:rsid w:val="002C4E11"/>
    <w:rsid w:val="002C5641"/>
    <w:rsid w:val="002C75E3"/>
    <w:rsid w:val="002D47C2"/>
    <w:rsid w:val="002D47D0"/>
    <w:rsid w:val="002D5255"/>
    <w:rsid w:val="002E012E"/>
    <w:rsid w:val="002E720E"/>
    <w:rsid w:val="002F24A8"/>
    <w:rsid w:val="002F5723"/>
    <w:rsid w:val="002F7317"/>
    <w:rsid w:val="00304099"/>
    <w:rsid w:val="0030614A"/>
    <w:rsid w:val="0031193A"/>
    <w:rsid w:val="00320B6E"/>
    <w:rsid w:val="00330EFA"/>
    <w:rsid w:val="00334CCE"/>
    <w:rsid w:val="0033671A"/>
    <w:rsid w:val="00342893"/>
    <w:rsid w:val="00355CF7"/>
    <w:rsid w:val="00360C18"/>
    <w:rsid w:val="0036355D"/>
    <w:rsid w:val="00363FC9"/>
    <w:rsid w:val="003673A2"/>
    <w:rsid w:val="00374922"/>
    <w:rsid w:val="00391F94"/>
    <w:rsid w:val="003A730F"/>
    <w:rsid w:val="003B68E4"/>
    <w:rsid w:val="003C1BFE"/>
    <w:rsid w:val="00412EB4"/>
    <w:rsid w:val="004208BD"/>
    <w:rsid w:val="004370E4"/>
    <w:rsid w:val="004409B8"/>
    <w:rsid w:val="00450E20"/>
    <w:rsid w:val="00451343"/>
    <w:rsid w:val="0045529E"/>
    <w:rsid w:val="00476534"/>
    <w:rsid w:val="00497BA1"/>
    <w:rsid w:val="004A4DE7"/>
    <w:rsid w:val="004A4FBC"/>
    <w:rsid w:val="004B4A7A"/>
    <w:rsid w:val="004F0863"/>
    <w:rsid w:val="004F7BC7"/>
    <w:rsid w:val="00510394"/>
    <w:rsid w:val="0053408C"/>
    <w:rsid w:val="00543F83"/>
    <w:rsid w:val="005570AA"/>
    <w:rsid w:val="0056516C"/>
    <w:rsid w:val="00574033"/>
    <w:rsid w:val="00577279"/>
    <w:rsid w:val="00583E33"/>
    <w:rsid w:val="00585E7C"/>
    <w:rsid w:val="00594B6F"/>
    <w:rsid w:val="00597D41"/>
    <w:rsid w:val="005B2299"/>
    <w:rsid w:val="005B4714"/>
    <w:rsid w:val="005C081C"/>
    <w:rsid w:val="005C3055"/>
    <w:rsid w:val="005C57DC"/>
    <w:rsid w:val="005D4DD9"/>
    <w:rsid w:val="005E02D3"/>
    <w:rsid w:val="005E20AA"/>
    <w:rsid w:val="005E506E"/>
    <w:rsid w:val="005F776D"/>
    <w:rsid w:val="00602E44"/>
    <w:rsid w:val="006174A8"/>
    <w:rsid w:val="006364DA"/>
    <w:rsid w:val="0064516B"/>
    <w:rsid w:val="00655518"/>
    <w:rsid w:val="00657B2B"/>
    <w:rsid w:val="00675E5C"/>
    <w:rsid w:val="00676C51"/>
    <w:rsid w:val="006832F2"/>
    <w:rsid w:val="006933ED"/>
    <w:rsid w:val="006A4E2C"/>
    <w:rsid w:val="006B3298"/>
    <w:rsid w:val="006C476C"/>
    <w:rsid w:val="006D1874"/>
    <w:rsid w:val="006E6665"/>
    <w:rsid w:val="006F343B"/>
    <w:rsid w:val="00716F53"/>
    <w:rsid w:val="0073562C"/>
    <w:rsid w:val="00742A37"/>
    <w:rsid w:val="0074628D"/>
    <w:rsid w:val="0076753A"/>
    <w:rsid w:val="0077354B"/>
    <w:rsid w:val="007813D6"/>
    <w:rsid w:val="00787832"/>
    <w:rsid w:val="007953B0"/>
    <w:rsid w:val="007A56C0"/>
    <w:rsid w:val="007D29E7"/>
    <w:rsid w:val="007E1AD6"/>
    <w:rsid w:val="007F5B3B"/>
    <w:rsid w:val="00803553"/>
    <w:rsid w:val="0081273B"/>
    <w:rsid w:val="00817060"/>
    <w:rsid w:val="008265E3"/>
    <w:rsid w:val="00826E2F"/>
    <w:rsid w:val="0083127C"/>
    <w:rsid w:val="00831B5B"/>
    <w:rsid w:val="008368F3"/>
    <w:rsid w:val="00847BFD"/>
    <w:rsid w:val="00862110"/>
    <w:rsid w:val="008638B5"/>
    <w:rsid w:val="00874B38"/>
    <w:rsid w:val="00881127"/>
    <w:rsid w:val="008935BD"/>
    <w:rsid w:val="00895399"/>
    <w:rsid w:val="008972D0"/>
    <w:rsid w:val="008A3694"/>
    <w:rsid w:val="008B739A"/>
    <w:rsid w:val="008C5918"/>
    <w:rsid w:val="008C77CF"/>
    <w:rsid w:val="008D16B6"/>
    <w:rsid w:val="008E1665"/>
    <w:rsid w:val="008E49E0"/>
    <w:rsid w:val="008F3A06"/>
    <w:rsid w:val="00911D87"/>
    <w:rsid w:val="009146B5"/>
    <w:rsid w:val="00930F99"/>
    <w:rsid w:val="00947400"/>
    <w:rsid w:val="009623EF"/>
    <w:rsid w:val="00970AFB"/>
    <w:rsid w:val="009719C8"/>
    <w:rsid w:val="0097578D"/>
    <w:rsid w:val="00981069"/>
    <w:rsid w:val="009A30E7"/>
    <w:rsid w:val="009C21FB"/>
    <w:rsid w:val="009E1CD9"/>
    <w:rsid w:val="00A03B84"/>
    <w:rsid w:val="00A05EED"/>
    <w:rsid w:val="00A066AB"/>
    <w:rsid w:val="00A072E0"/>
    <w:rsid w:val="00A30A5C"/>
    <w:rsid w:val="00A36019"/>
    <w:rsid w:val="00A36D20"/>
    <w:rsid w:val="00A7351C"/>
    <w:rsid w:val="00A80A6F"/>
    <w:rsid w:val="00A83B1B"/>
    <w:rsid w:val="00A84DA8"/>
    <w:rsid w:val="00A97E3E"/>
    <w:rsid w:val="00AA7E45"/>
    <w:rsid w:val="00AC248E"/>
    <w:rsid w:val="00AC406E"/>
    <w:rsid w:val="00AD6353"/>
    <w:rsid w:val="00AF34AE"/>
    <w:rsid w:val="00B04974"/>
    <w:rsid w:val="00B17D4A"/>
    <w:rsid w:val="00B34845"/>
    <w:rsid w:val="00B362B2"/>
    <w:rsid w:val="00B400DC"/>
    <w:rsid w:val="00B42F2D"/>
    <w:rsid w:val="00B46F35"/>
    <w:rsid w:val="00B470BA"/>
    <w:rsid w:val="00B512ED"/>
    <w:rsid w:val="00B5689A"/>
    <w:rsid w:val="00B72817"/>
    <w:rsid w:val="00B72A76"/>
    <w:rsid w:val="00B87B6A"/>
    <w:rsid w:val="00B933F9"/>
    <w:rsid w:val="00B95C6D"/>
    <w:rsid w:val="00BA04A8"/>
    <w:rsid w:val="00BA7CA3"/>
    <w:rsid w:val="00BA7FCD"/>
    <w:rsid w:val="00BB096E"/>
    <w:rsid w:val="00BD0448"/>
    <w:rsid w:val="00BD1589"/>
    <w:rsid w:val="00BD342A"/>
    <w:rsid w:val="00BD79E7"/>
    <w:rsid w:val="00BE2A2F"/>
    <w:rsid w:val="00BF5535"/>
    <w:rsid w:val="00C000E1"/>
    <w:rsid w:val="00C03E82"/>
    <w:rsid w:val="00C11207"/>
    <w:rsid w:val="00C35E52"/>
    <w:rsid w:val="00C376B1"/>
    <w:rsid w:val="00C50EE9"/>
    <w:rsid w:val="00C53E3F"/>
    <w:rsid w:val="00C60937"/>
    <w:rsid w:val="00C651B9"/>
    <w:rsid w:val="00C8647E"/>
    <w:rsid w:val="00C94BF7"/>
    <w:rsid w:val="00CA3761"/>
    <w:rsid w:val="00CB3A17"/>
    <w:rsid w:val="00CC0D98"/>
    <w:rsid w:val="00D05974"/>
    <w:rsid w:val="00D17166"/>
    <w:rsid w:val="00D17B04"/>
    <w:rsid w:val="00D21D67"/>
    <w:rsid w:val="00D339EF"/>
    <w:rsid w:val="00D77A13"/>
    <w:rsid w:val="00D935F2"/>
    <w:rsid w:val="00DA0945"/>
    <w:rsid w:val="00DA3E45"/>
    <w:rsid w:val="00DB14B1"/>
    <w:rsid w:val="00DB7B2C"/>
    <w:rsid w:val="00DC0FE2"/>
    <w:rsid w:val="00DC4CD9"/>
    <w:rsid w:val="00DD4BC4"/>
    <w:rsid w:val="00DD667B"/>
    <w:rsid w:val="00DD7F38"/>
    <w:rsid w:val="00DE2BC3"/>
    <w:rsid w:val="00E04FAF"/>
    <w:rsid w:val="00E05BF3"/>
    <w:rsid w:val="00E13DFC"/>
    <w:rsid w:val="00E22F31"/>
    <w:rsid w:val="00E31D88"/>
    <w:rsid w:val="00E40B2A"/>
    <w:rsid w:val="00E52FC6"/>
    <w:rsid w:val="00E625F5"/>
    <w:rsid w:val="00E6519B"/>
    <w:rsid w:val="00E83897"/>
    <w:rsid w:val="00E93F4F"/>
    <w:rsid w:val="00EB0F66"/>
    <w:rsid w:val="00EB6FA8"/>
    <w:rsid w:val="00EC67E5"/>
    <w:rsid w:val="00ED35BE"/>
    <w:rsid w:val="00ED52C0"/>
    <w:rsid w:val="00EE2676"/>
    <w:rsid w:val="00EF0E3E"/>
    <w:rsid w:val="00EF37A3"/>
    <w:rsid w:val="00EF514C"/>
    <w:rsid w:val="00EF5625"/>
    <w:rsid w:val="00F04FF0"/>
    <w:rsid w:val="00F05307"/>
    <w:rsid w:val="00F233B1"/>
    <w:rsid w:val="00F27B0E"/>
    <w:rsid w:val="00F3109E"/>
    <w:rsid w:val="00F41E29"/>
    <w:rsid w:val="00F439EA"/>
    <w:rsid w:val="00F47701"/>
    <w:rsid w:val="00F53B47"/>
    <w:rsid w:val="00F53C54"/>
    <w:rsid w:val="00F5509B"/>
    <w:rsid w:val="00F55361"/>
    <w:rsid w:val="00F71F6E"/>
    <w:rsid w:val="00FA3DC6"/>
    <w:rsid w:val="00FA4781"/>
    <w:rsid w:val="00FC1BB0"/>
    <w:rsid w:val="00FC3C20"/>
    <w:rsid w:val="00FC4A6C"/>
    <w:rsid w:val="00FD2A5A"/>
    <w:rsid w:val="00FD5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D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A8"/>
    <w:rPr>
      <w:rFonts w:ascii="Tahoma" w:hAnsi="Tahoma" w:cs="Tahoma"/>
      <w:sz w:val="16"/>
      <w:szCs w:val="16"/>
    </w:rPr>
  </w:style>
  <w:style w:type="paragraph" w:styleId="ListParagraph">
    <w:name w:val="List Paragraph"/>
    <w:basedOn w:val="Normal"/>
    <w:uiPriority w:val="34"/>
    <w:qFormat/>
    <w:rsid w:val="007A56C0"/>
    <w:pPr>
      <w:ind w:left="720"/>
      <w:contextualSpacing/>
    </w:pPr>
  </w:style>
  <w:style w:type="paragraph" w:styleId="EndnoteText">
    <w:name w:val="endnote text"/>
    <w:basedOn w:val="Normal"/>
    <w:link w:val="EndnoteTextChar"/>
    <w:semiHidden/>
    <w:rsid w:val="007813D6"/>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7813D6"/>
    <w:rPr>
      <w:rFonts w:ascii="Arial" w:eastAsia="Times New Roman" w:hAnsi="Arial" w:cs="Times New Roman"/>
      <w:sz w:val="20"/>
      <w:szCs w:val="20"/>
    </w:rPr>
  </w:style>
  <w:style w:type="character" w:styleId="EndnoteReference">
    <w:name w:val="endnote reference"/>
    <w:semiHidden/>
    <w:rsid w:val="007813D6"/>
    <w:rPr>
      <w:vertAlign w:val="superscript"/>
    </w:rPr>
  </w:style>
  <w:style w:type="character" w:styleId="Hyperlink">
    <w:name w:val="Hyperlink"/>
    <w:rsid w:val="007813D6"/>
    <w:rPr>
      <w:color w:val="0000FF"/>
      <w:u w:val="single"/>
    </w:rPr>
  </w:style>
  <w:style w:type="paragraph" w:styleId="NoSpacing">
    <w:name w:val="No Spacing"/>
    <w:uiPriority w:val="1"/>
    <w:qFormat/>
    <w:rsid w:val="002C4E11"/>
    <w:pPr>
      <w:spacing w:after="0" w:line="240" w:lineRule="auto"/>
    </w:pPr>
  </w:style>
  <w:style w:type="character" w:customStyle="1" w:styleId="Heading1Char">
    <w:name w:val="Heading 1 Char"/>
    <w:basedOn w:val="DefaultParagraphFont"/>
    <w:link w:val="Heading1"/>
    <w:uiPriority w:val="9"/>
    <w:rsid w:val="004A4DE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E6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1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D87"/>
  </w:style>
  <w:style w:type="paragraph" w:styleId="Footer">
    <w:name w:val="footer"/>
    <w:basedOn w:val="Normal"/>
    <w:link w:val="FooterChar"/>
    <w:uiPriority w:val="99"/>
    <w:unhideWhenUsed/>
    <w:rsid w:val="00911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D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A8"/>
    <w:rPr>
      <w:rFonts w:ascii="Tahoma" w:hAnsi="Tahoma" w:cs="Tahoma"/>
      <w:sz w:val="16"/>
      <w:szCs w:val="16"/>
    </w:rPr>
  </w:style>
  <w:style w:type="paragraph" w:styleId="ListParagraph">
    <w:name w:val="List Paragraph"/>
    <w:basedOn w:val="Normal"/>
    <w:uiPriority w:val="34"/>
    <w:qFormat/>
    <w:rsid w:val="007A56C0"/>
    <w:pPr>
      <w:ind w:left="720"/>
      <w:contextualSpacing/>
    </w:pPr>
  </w:style>
  <w:style w:type="paragraph" w:styleId="EndnoteText">
    <w:name w:val="endnote text"/>
    <w:basedOn w:val="Normal"/>
    <w:link w:val="EndnoteTextChar"/>
    <w:semiHidden/>
    <w:rsid w:val="007813D6"/>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7813D6"/>
    <w:rPr>
      <w:rFonts w:ascii="Arial" w:eastAsia="Times New Roman" w:hAnsi="Arial" w:cs="Times New Roman"/>
      <w:sz w:val="20"/>
      <w:szCs w:val="20"/>
    </w:rPr>
  </w:style>
  <w:style w:type="character" w:styleId="EndnoteReference">
    <w:name w:val="endnote reference"/>
    <w:semiHidden/>
    <w:rsid w:val="007813D6"/>
    <w:rPr>
      <w:vertAlign w:val="superscript"/>
    </w:rPr>
  </w:style>
  <w:style w:type="character" w:styleId="Hyperlink">
    <w:name w:val="Hyperlink"/>
    <w:rsid w:val="007813D6"/>
    <w:rPr>
      <w:color w:val="0000FF"/>
      <w:u w:val="single"/>
    </w:rPr>
  </w:style>
  <w:style w:type="paragraph" w:styleId="NoSpacing">
    <w:name w:val="No Spacing"/>
    <w:uiPriority w:val="1"/>
    <w:qFormat/>
    <w:rsid w:val="002C4E11"/>
    <w:pPr>
      <w:spacing w:after="0" w:line="240" w:lineRule="auto"/>
    </w:pPr>
  </w:style>
  <w:style w:type="character" w:customStyle="1" w:styleId="Heading1Char">
    <w:name w:val="Heading 1 Char"/>
    <w:basedOn w:val="DefaultParagraphFont"/>
    <w:link w:val="Heading1"/>
    <w:uiPriority w:val="9"/>
    <w:rsid w:val="004A4DE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E6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1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D87"/>
  </w:style>
  <w:style w:type="paragraph" w:styleId="Footer">
    <w:name w:val="footer"/>
    <w:basedOn w:val="Normal"/>
    <w:link w:val="FooterChar"/>
    <w:uiPriority w:val="99"/>
    <w:unhideWhenUsed/>
    <w:rsid w:val="00911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3051">
      <w:bodyDiv w:val="1"/>
      <w:marLeft w:val="0"/>
      <w:marRight w:val="0"/>
      <w:marTop w:val="0"/>
      <w:marBottom w:val="0"/>
      <w:divBdr>
        <w:top w:val="none" w:sz="0" w:space="0" w:color="auto"/>
        <w:left w:val="none" w:sz="0" w:space="0" w:color="auto"/>
        <w:bottom w:val="none" w:sz="0" w:space="0" w:color="auto"/>
        <w:right w:val="none" w:sz="0" w:space="0" w:color="auto"/>
      </w:divBdr>
    </w:div>
    <w:div w:id="426536908">
      <w:bodyDiv w:val="1"/>
      <w:marLeft w:val="0"/>
      <w:marRight w:val="0"/>
      <w:marTop w:val="0"/>
      <w:marBottom w:val="0"/>
      <w:divBdr>
        <w:top w:val="none" w:sz="0" w:space="0" w:color="auto"/>
        <w:left w:val="none" w:sz="0" w:space="0" w:color="auto"/>
        <w:bottom w:val="none" w:sz="0" w:space="0" w:color="auto"/>
        <w:right w:val="none" w:sz="0" w:space="0" w:color="auto"/>
      </w:divBdr>
    </w:div>
    <w:div w:id="555512812">
      <w:bodyDiv w:val="1"/>
      <w:marLeft w:val="0"/>
      <w:marRight w:val="0"/>
      <w:marTop w:val="0"/>
      <w:marBottom w:val="0"/>
      <w:divBdr>
        <w:top w:val="none" w:sz="0" w:space="0" w:color="auto"/>
        <w:left w:val="none" w:sz="0" w:space="0" w:color="auto"/>
        <w:bottom w:val="none" w:sz="0" w:space="0" w:color="auto"/>
        <w:right w:val="none" w:sz="0" w:space="0" w:color="auto"/>
      </w:divBdr>
    </w:div>
    <w:div w:id="572393790">
      <w:bodyDiv w:val="1"/>
      <w:marLeft w:val="0"/>
      <w:marRight w:val="0"/>
      <w:marTop w:val="0"/>
      <w:marBottom w:val="0"/>
      <w:divBdr>
        <w:top w:val="none" w:sz="0" w:space="0" w:color="auto"/>
        <w:left w:val="none" w:sz="0" w:space="0" w:color="auto"/>
        <w:bottom w:val="none" w:sz="0" w:space="0" w:color="auto"/>
        <w:right w:val="none" w:sz="0" w:space="0" w:color="auto"/>
      </w:divBdr>
    </w:div>
    <w:div w:id="1408069527">
      <w:bodyDiv w:val="1"/>
      <w:marLeft w:val="0"/>
      <w:marRight w:val="0"/>
      <w:marTop w:val="0"/>
      <w:marBottom w:val="0"/>
      <w:divBdr>
        <w:top w:val="none" w:sz="0" w:space="0" w:color="auto"/>
        <w:left w:val="none" w:sz="0" w:space="0" w:color="auto"/>
        <w:bottom w:val="none" w:sz="0" w:space="0" w:color="auto"/>
        <w:right w:val="none" w:sz="0" w:space="0" w:color="auto"/>
      </w:divBdr>
    </w:div>
    <w:div w:id="1683776367">
      <w:bodyDiv w:val="1"/>
      <w:marLeft w:val="0"/>
      <w:marRight w:val="0"/>
      <w:marTop w:val="0"/>
      <w:marBottom w:val="0"/>
      <w:divBdr>
        <w:top w:val="none" w:sz="0" w:space="0" w:color="auto"/>
        <w:left w:val="none" w:sz="0" w:space="0" w:color="auto"/>
        <w:bottom w:val="none" w:sz="0" w:space="0" w:color="auto"/>
        <w:right w:val="none" w:sz="0" w:space="0" w:color="auto"/>
      </w:divBdr>
    </w:div>
    <w:div w:id="1718318686">
      <w:bodyDiv w:val="1"/>
      <w:marLeft w:val="0"/>
      <w:marRight w:val="0"/>
      <w:marTop w:val="0"/>
      <w:marBottom w:val="0"/>
      <w:divBdr>
        <w:top w:val="none" w:sz="0" w:space="0" w:color="auto"/>
        <w:left w:val="none" w:sz="0" w:space="0" w:color="auto"/>
        <w:bottom w:val="none" w:sz="0" w:space="0" w:color="auto"/>
        <w:right w:val="none" w:sz="0" w:space="0" w:color="auto"/>
      </w:divBdr>
    </w:div>
    <w:div w:id="1797285559">
      <w:bodyDiv w:val="1"/>
      <w:marLeft w:val="0"/>
      <w:marRight w:val="0"/>
      <w:marTop w:val="0"/>
      <w:marBottom w:val="0"/>
      <w:divBdr>
        <w:top w:val="none" w:sz="0" w:space="0" w:color="auto"/>
        <w:left w:val="none" w:sz="0" w:space="0" w:color="auto"/>
        <w:bottom w:val="none" w:sz="0" w:space="0" w:color="auto"/>
        <w:right w:val="none" w:sz="0" w:space="0" w:color="auto"/>
      </w:divBdr>
    </w:div>
    <w:div w:id="1902014472">
      <w:bodyDiv w:val="1"/>
      <w:marLeft w:val="0"/>
      <w:marRight w:val="0"/>
      <w:marTop w:val="0"/>
      <w:marBottom w:val="0"/>
      <w:divBdr>
        <w:top w:val="none" w:sz="0" w:space="0" w:color="auto"/>
        <w:left w:val="none" w:sz="0" w:space="0" w:color="auto"/>
        <w:bottom w:val="none" w:sz="0" w:space="0" w:color="auto"/>
        <w:right w:val="none" w:sz="0" w:space="0" w:color="auto"/>
      </w:divBdr>
    </w:div>
    <w:div w:id="201197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stair.Fisher@stok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istair.Fisher@stok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stair.Fisher@stoke.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listair.Fisher@stoke.gov.u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81E78-0FD1-4889-9665-342AF3A1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 Services</dc:creator>
  <cp:lastModifiedBy>Admin</cp:lastModifiedBy>
  <cp:revision>2</cp:revision>
  <cp:lastPrinted>2017-01-06T11:21:00Z</cp:lastPrinted>
  <dcterms:created xsi:type="dcterms:W3CDTF">2017-02-23T10:37:00Z</dcterms:created>
  <dcterms:modified xsi:type="dcterms:W3CDTF">2017-02-23T10:37:00Z</dcterms:modified>
</cp:coreProperties>
</file>