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bookmarkStart w:id="0" w:name="_Hlk135305402"/>
      <w:bookmarkStart w:id="1" w:name="_Hlk148352980"/>
      <w:bookmarkEnd w:id="0"/>
      <w:bookmarkEnd w:id="1"/>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2DA333D3">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3D75FF6" w:rsidR="00CA4BA2" w:rsidRPr="00EA529F" w:rsidRDefault="00FD61F7">
            <w:pPr>
              <w:tabs>
                <w:tab w:val="left" w:pos="709"/>
              </w:tabs>
              <w:rPr>
                <w:rFonts w:ascii="Arial" w:hAnsi="Arial" w:cs="Arial"/>
                <w:iCs/>
                <w:sz w:val="18"/>
                <w:szCs w:val="18"/>
                <w:highlight w:val="yellow"/>
              </w:rPr>
            </w:pPr>
            <w:r w:rsidRPr="00037857">
              <w:rPr>
                <w:rFonts w:ascii="Arial" w:hAnsi="Arial" w:cs="Arial"/>
                <w:iCs/>
                <w:sz w:val="18"/>
                <w:szCs w:val="18"/>
                <w:highlight w:val="yellow"/>
              </w:rPr>
              <w:t>TBC</w:t>
            </w:r>
          </w:p>
        </w:tc>
      </w:tr>
      <w:tr w:rsidR="00CA4BA2" w:rsidRPr="00961A47" w14:paraId="360FADB6" w14:textId="77777777" w:rsidTr="2DA333D3">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58986232" w:rsidR="00CA4BA2" w:rsidRPr="00FD61F7" w:rsidRDefault="00FD61F7">
            <w:pPr>
              <w:tabs>
                <w:tab w:val="left" w:pos="709"/>
              </w:tabs>
              <w:rPr>
                <w:rFonts w:ascii="Arial" w:hAnsi="Arial" w:cs="Arial"/>
                <w:iCs/>
                <w:sz w:val="18"/>
                <w:szCs w:val="18"/>
              </w:rPr>
            </w:pPr>
            <w:r w:rsidRPr="00FD61F7">
              <w:rPr>
                <w:rFonts w:ascii="Arial" w:hAnsi="Arial" w:cs="Arial"/>
                <w:b/>
                <w:bCs/>
                <w:i/>
                <w:sz w:val="18"/>
                <w:szCs w:val="18"/>
              </w:rPr>
              <w:t>Cathy Fitzroy, Natural England as part of the Department</w:t>
            </w:r>
            <w:r w:rsidR="006C46CB" w:rsidRPr="00FD61F7">
              <w:rPr>
                <w:rFonts w:ascii="Arial" w:hAnsi="Arial" w:cs="Arial"/>
                <w:b/>
                <w:bCs/>
                <w:i/>
                <w:sz w:val="18"/>
                <w:szCs w:val="18"/>
              </w:rPr>
              <w:t xml:space="preserve"> for Environment, Food and Rural Affairs, acting as part of the Crown</w:t>
            </w:r>
          </w:p>
        </w:tc>
      </w:tr>
      <w:tr w:rsidR="00CA4BA2" w:rsidRPr="00961A47" w14:paraId="3C3EA26A" w14:textId="77777777" w:rsidTr="2DA333D3">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068B8E6" w:rsidR="00CA4BA2" w:rsidRPr="00B46D37" w:rsidRDefault="00FD61F7" w:rsidP="00FD61F7">
            <w:pPr>
              <w:tabs>
                <w:tab w:val="left" w:pos="709"/>
              </w:tabs>
              <w:rPr>
                <w:rFonts w:ascii="Arial" w:hAnsi="Arial" w:cs="Arial"/>
                <w:sz w:val="18"/>
                <w:szCs w:val="18"/>
                <w:highlight w:val="yellow"/>
              </w:rPr>
            </w:pPr>
            <w:r w:rsidRPr="00037857">
              <w:rPr>
                <w:rFonts w:ascii="Arial" w:hAnsi="Arial" w:cs="Arial"/>
                <w:i/>
                <w:sz w:val="18"/>
                <w:szCs w:val="18"/>
                <w:highlight w:val="yellow"/>
              </w:rPr>
              <w:t>TBC</w:t>
            </w:r>
            <w:r w:rsidR="00CA4BA2" w:rsidRPr="00037857">
              <w:rPr>
                <w:rFonts w:ascii="Arial" w:hAnsi="Arial" w:cs="Arial"/>
                <w:i/>
                <w:sz w:val="18"/>
                <w:szCs w:val="18"/>
                <w:highlight w:val="yellow"/>
              </w:rPr>
              <w:t xml:space="preserve"> Contractor’s name, registered address (if registered), and registration number (if registered)</w:t>
            </w:r>
            <w:r w:rsidR="0081639D" w:rsidRPr="00037857">
              <w:rPr>
                <w:rFonts w:ascii="Arial" w:hAnsi="Arial" w:cs="Arial"/>
                <w:i/>
                <w:sz w:val="18"/>
                <w:szCs w:val="18"/>
                <w:highlight w:val="yellow"/>
              </w:rPr>
              <w:t>,</w:t>
            </w:r>
          </w:p>
        </w:tc>
      </w:tr>
      <w:tr w:rsidR="007E7D58" w:rsidRPr="00961A47" w14:paraId="0A6E5285" w14:textId="77777777" w:rsidTr="2DA333D3">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7B271519" w:rsidR="007E7D58" w:rsidRPr="00FD61F7" w:rsidRDefault="00FD61F7" w:rsidP="007E7D58">
            <w:pPr>
              <w:tabs>
                <w:tab w:val="left" w:pos="709"/>
              </w:tabs>
              <w:rPr>
                <w:rFonts w:ascii="Arial" w:hAnsi="Arial" w:cs="Arial"/>
                <w:iCs/>
                <w:sz w:val="18"/>
                <w:szCs w:val="18"/>
              </w:rPr>
            </w:pPr>
            <w:r w:rsidRPr="00FD61F7">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2DA333D3">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2DA333D3">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020E813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FD61F7">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rsidTr="2DA333D3">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FD61F7" w:rsidRDefault="007E7D58" w:rsidP="007E7D58">
            <w:pPr>
              <w:tabs>
                <w:tab w:val="left" w:pos="709"/>
              </w:tabs>
              <w:rPr>
                <w:rFonts w:ascii="Arial" w:hAnsi="Arial" w:cs="Arial"/>
                <w:b/>
                <w:sz w:val="18"/>
                <w:szCs w:val="18"/>
              </w:rPr>
            </w:pPr>
            <w:r w:rsidRPr="00FD61F7">
              <w:rPr>
                <w:rFonts w:ascii="Arial" w:hAnsi="Arial" w:cs="Arial"/>
                <w:b/>
                <w:sz w:val="18"/>
                <w:szCs w:val="18"/>
              </w:rPr>
              <w:t>Goods</w:t>
            </w:r>
          </w:p>
        </w:tc>
        <w:tc>
          <w:tcPr>
            <w:tcW w:w="2817" w:type="pct"/>
            <w:shd w:val="clear" w:color="auto" w:fill="auto"/>
          </w:tcPr>
          <w:p w14:paraId="6A40B123" w14:textId="53094E96" w:rsidR="007E7D58" w:rsidRPr="000500E2" w:rsidRDefault="005B1BD6" w:rsidP="00FD61F7">
            <w:pPr>
              <w:pStyle w:val="pf0"/>
              <w:rPr>
                <w:rFonts w:ascii="Arial" w:hAnsi="Arial" w:cs="Arial"/>
                <w:sz w:val="20"/>
                <w:szCs w:val="20"/>
              </w:rPr>
            </w:pPr>
            <w:r w:rsidRPr="000500E2">
              <w:rPr>
                <w:rStyle w:val="cf21"/>
                <w:rFonts w:ascii="Arial" w:eastAsia="STZhongsong" w:hAnsi="Arial" w:cs="Arial"/>
                <w:shd w:val="clear" w:color="auto" w:fill="FFFFFF" w:themeFill="background1"/>
              </w:rPr>
              <w:t>None</w:t>
            </w:r>
            <w:r w:rsidRPr="000500E2">
              <w:rPr>
                <w:rStyle w:val="cf31"/>
                <w:rFonts w:ascii="Arial" w:eastAsia="STZhongsong" w:hAnsi="Arial" w:cs="Arial"/>
                <w:shd w:val="clear" w:color="auto" w:fill="FFFFFF" w:themeFill="background1"/>
              </w:rPr>
              <w:t>.</w:t>
            </w:r>
          </w:p>
        </w:tc>
      </w:tr>
      <w:tr w:rsidR="007E7D58" w:rsidRPr="00961A47" w14:paraId="682172EF" w14:textId="77777777" w:rsidTr="2DA333D3">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0500E2" w:rsidRDefault="007E7D58" w:rsidP="007E7D58">
            <w:pPr>
              <w:tabs>
                <w:tab w:val="left" w:pos="709"/>
              </w:tabs>
              <w:rPr>
                <w:rFonts w:ascii="Arial" w:hAnsi="Arial" w:cs="Arial"/>
                <w:b/>
                <w:sz w:val="18"/>
                <w:szCs w:val="18"/>
              </w:rPr>
            </w:pPr>
            <w:r w:rsidRPr="000500E2">
              <w:rPr>
                <w:rFonts w:ascii="Arial" w:hAnsi="Arial" w:cs="Arial"/>
                <w:b/>
                <w:sz w:val="18"/>
                <w:szCs w:val="18"/>
              </w:rPr>
              <w:t>Services</w:t>
            </w:r>
          </w:p>
        </w:tc>
        <w:tc>
          <w:tcPr>
            <w:tcW w:w="2817" w:type="pct"/>
            <w:shd w:val="clear" w:color="auto" w:fill="auto"/>
          </w:tcPr>
          <w:p w14:paraId="0C6EDC05" w14:textId="4E697BD9" w:rsidR="000500E2" w:rsidRPr="000500E2" w:rsidRDefault="000500E2" w:rsidP="007E7D58">
            <w:pPr>
              <w:tabs>
                <w:tab w:val="left" w:pos="709"/>
              </w:tabs>
              <w:rPr>
                <w:rFonts w:ascii="Arial" w:hAnsi="Arial" w:cs="Arial"/>
                <w:sz w:val="18"/>
                <w:szCs w:val="18"/>
              </w:rPr>
            </w:pPr>
            <w:bookmarkStart w:id="2" w:name="_DV_C144"/>
            <w:bookmarkStart w:id="3" w:name="_Ref377110627"/>
            <w:r w:rsidRPr="000500E2">
              <w:rPr>
                <w:rFonts w:ascii="Arial" w:hAnsi="Arial" w:cs="Arial"/>
                <w:sz w:val="18"/>
                <w:szCs w:val="18"/>
              </w:rPr>
              <w:t xml:space="preserve">Description: as set out in Appendix 2 – Specification/Description </w:t>
            </w:r>
          </w:p>
          <w:p w14:paraId="3FC10534" w14:textId="77777777" w:rsidR="000500E2" w:rsidRPr="000500E2" w:rsidRDefault="000500E2" w:rsidP="007E7D58">
            <w:pPr>
              <w:tabs>
                <w:tab w:val="left" w:pos="709"/>
              </w:tabs>
              <w:rPr>
                <w:rFonts w:ascii="Arial" w:hAnsi="Arial" w:cs="Arial"/>
                <w:sz w:val="18"/>
                <w:szCs w:val="18"/>
              </w:rPr>
            </w:pPr>
          </w:p>
          <w:p w14:paraId="3CB7F8A7" w14:textId="7AB4FD85" w:rsidR="007E7D58" w:rsidRPr="000500E2" w:rsidRDefault="007E7D58" w:rsidP="007E7D58">
            <w:pPr>
              <w:tabs>
                <w:tab w:val="left" w:pos="709"/>
              </w:tabs>
              <w:rPr>
                <w:rFonts w:ascii="Arial" w:hAnsi="Arial" w:cs="Arial"/>
                <w:sz w:val="18"/>
                <w:szCs w:val="18"/>
              </w:rPr>
            </w:pPr>
            <w:r w:rsidRPr="000500E2">
              <w:rPr>
                <w:rFonts w:ascii="Arial" w:hAnsi="Arial" w:cs="Arial"/>
                <w:sz w:val="18"/>
                <w:szCs w:val="18"/>
              </w:rPr>
              <w:t>To be performed at</w:t>
            </w:r>
            <w:r w:rsidR="00FD61F7" w:rsidRPr="000500E2">
              <w:rPr>
                <w:rFonts w:ascii="Arial" w:hAnsi="Arial" w:cs="Arial"/>
                <w:sz w:val="18"/>
                <w:szCs w:val="18"/>
              </w:rPr>
              <w:t>:</w:t>
            </w:r>
            <w:r w:rsidRPr="000500E2">
              <w:rPr>
                <w:rFonts w:ascii="Arial" w:hAnsi="Arial" w:cs="Arial"/>
                <w:sz w:val="18"/>
                <w:szCs w:val="18"/>
              </w:rPr>
              <w:t xml:space="preserve"> </w:t>
            </w:r>
            <w:r w:rsidR="00FD61F7" w:rsidRPr="000500E2">
              <w:rPr>
                <w:rFonts w:ascii="Arial" w:hAnsi="Arial" w:cs="Arial"/>
                <w:sz w:val="18"/>
                <w:szCs w:val="18"/>
              </w:rPr>
              <w:t xml:space="preserve">Virtual Meetings </w:t>
            </w:r>
            <w:r w:rsidR="000500E2" w:rsidRPr="000500E2">
              <w:rPr>
                <w:rFonts w:ascii="Arial" w:hAnsi="Arial" w:cs="Arial"/>
                <w:sz w:val="18"/>
                <w:szCs w:val="18"/>
              </w:rPr>
              <w:t xml:space="preserve">and/or the Customer’s premises and/or </w:t>
            </w:r>
            <w:r w:rsidRPr="000500E2">
              <w:rPr>
                <w:rFonts w:ascii="Arial" w:hAnsi="Arial" w:cs="Arial"/>
                <w:sz w:val="18"/>
                <w:szCs w:val="18"/>
              </w:rPr>
              <w:t>the Contractor’s premises and</w:t>
            </w:r>
            <w:r w:rsidR="000500E2" w:rsidRPr="000500E2">
              <w:rPr>
                <w:rFonts w:ascii="Arial" w:hAnsi="Arial" w:cs="Arial"/>
                <w:sz w:val="18"/>
                <w:szCs w:val="18"/>
              </w:rPr>
              <w:t>/or</w:t>
            </w:r>
            <w:r w:rsidRPr="000500E2">
              <w:rPr>
                <w:rFonts w:ascii="Arial" w:hAnsi="Arial" w:cs="Arial"/>
                <w:sz w:val="18"/>
                <w:szCs w:val="18"/>
              </w:rPr>
              <w:t xml:space="preserve"> third party’s premises</w:t>
            </w:r>
            <w:bookmarkEnd w:id="2"/>
            <w:bookmarkEnd w:id="3"/>
            <w:r w:rsidR="000500E2" w:rsidRPr="000500E2">
              <w:rPr>
                <w:rFonts w:ascii="Arial" w:hAnsi="Arial" w:cs="Arial"/>
                <w:sz w:val="18"/>
                <w:szCs w:val="18"/>
              </w:rPr>
              <w:t>. Addresses may vary.</w:t>
            </w:r>
          </w:p>
          <w:p w14:paraId="78CB0504" w14:textId="77777777" w:rsidR="007E7D58" w:rsidRPr="000500E2" w:rsidRDefault="007E7D58" w:rsidP="007E7D58">
            <w:pPr>
              <w:tabs>
                <w:tab w:val="left" w:pos="709"/>
              </w:tabs>
              <w:rPr>
                <w:rFonts w:ascii="Arial" w:hAnsi="Arial" w:cs="Arial"/>
                <w:sz w:val="18"/>
                <w:szCs w:val="18"/>
              </w:rPr>
            </w:pPr>
          </w:p>
          <w:p w14:paraId="1F8C6F4E" w14:textId="273C41EA" w:rsidR="007E7D58" w:rsidRPr="000500E2" w:rsidRDefault="007E7D58" w:rsidP="007E7D58">
            <w:pPr>
              <w:tabs>
                <w:tab w:val="left" w:pos="709"/>
              </w:tabs>
              <w:rPr>
                <w:rFonts w:ascii="Arial" w:hAnsi="Arial" w:cs="Arial"/>
                <w:sz w:val="18"/>
                <w:szCs w:val="18"/>
              </w:rPr>
            </w:pPr>
            <w:r w:rsidRPr="000500E2">
              <w:rPr>
                <w:rFonts w:ascii="Arial" w:hAnsi="Arial" w:cs="Arial"/>
                <w:sz w:val="18"/>
                <w:szCs w:val="18"/>
              </w:rPr>
              <w:t xml:space="preserve">Date(s) of Delivery: </w:t>
            </w:r>
            <w:r w:rsidR="000500E2" w:rsidRPr="000500E2">
              <w:rPr>
                <w:rFonts w:ascii="Arial" w:hAnsi="Arial" w:cs="Arial"/>
                <w:sz w:val="18"/>
                <w:szCs w:val="18"/>
              </w:rPr>
              <w:t>03/01/2024 – 31/03/2024</w:t>
            </w:r>
          </w:p>
          <w:p w14:paraId="6996B8C2" w14:textId="77777777" w:rsidR="007E7D58" w:rsidRPr="000500E2" w:rsidRDefault="007E7D58" w:rsidP="007E7D58">
            <w:pPr>
              <w:tabs>
                <w:tab w:val="left" w:pos="709"/>
              </w:tabs>
              <w:rPr>
                <w:rFonts w:ascii="Arial" w:hAnsi="Arial" w:cs="Arial"/>
                <w:sz w:val="18"/>
                <w:szCs w:val="18"/>
              </w:rPr>
            </w:pPr>
          </w:p>
          <w:p w14:paraId="2A786758" w14:textId="77777777" w:rsidR="007E7D58" w:rsidRPr="000500E2" w:rsidRDefault="007E7D58" w:rsidP="000500E2">
            <w:pPr>
              <w:tabs>
                <w:tab w:val="left" w:pos="709"/>
              </w:tabs>
              <w:rPr>
                <w:rFonts w:ascii="Arial" w:hAnsi="Arial" w:cs="Arial"/>
                <w:sz w:val="18"/>
                <w:szCs w:val="18"/>
              </w:rPr>
            </w:pPr>
          </w:p>
        </w:tc>
      </w:tr>
      <w:tr w:rsidR="007E7D58" w:rsidRPr="00961A47" w14:paraId="2A3F6693" w14:textId="77777777" w:rsidTr="2DA333D3">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0555AC5D" w:rsidR="003E0478" w:rsidRPr="000500E2" w:rsidRDefault="003E0478" w:rsidP="003E0478">
            <w:pPr>
              <w:tabs>
                <w:tab w:val="left" w:pos="709"/>
              </w:tabs>
              <w:rPr>
                <w:rFonts w:ascii="Arial" w:hAnsi="Arial" w:cs="Arial"/>
                <w:b/>
                <w:iCs/>
                <w:sz w:val="18"/>
                <w:szCs w:val="18"/>
                <w:highlight w:val="cyan"/>
              </w:rPr>
            </w:pPr>
          </w:p>
          <w:p w14:paraId="37E6BF23" w14:textId="50F58C4D" w:rsidR="007E7D58" w:rsidRPr="000500E2" w:rsidRDefault="000500E2" w:rsidP="007E7D58">
            <w:pPr>
              <w:spacing w:before="120" w:after="120"/>
              <w:ind w:right="936"/>
              <w:rPr>
                <w:rFonts w:ascii="Arial" w:eastAsia="Arial" w:hAnsi="Arial" w:cs="Arial"/>
                <w:iCs/>
                <w:sz w:val="18"/>
                <w:szCs w:val="18"/>
              </w:rPr>
            </w:pPr>
            <w:r w:rsidRPr="000500E2">
              <w:rPr>
                <w:rFonts w:ascii="Arial" w:eastAsia="Arial" w:hAnsi="Arial" w:cs="Arial"/>
                <w:iCs/>
                <w:sz w:val="18"/>
                <w:szCs w:val="18"/>
              </w:rPr>
              <w:t>3</w:t>
            </w:r>
            <w:r w:rsidRPr="000500E2">
              <w:rPr>
                <w:rFonts w:ascii="Arial" w:eastAsia="Arial" w:hAnsi="Arial" w:cs="Arial"/>
                <w:iCs/>
                <w:sz w:val="18"/>
                <w:szCs w:val="18"/>
                <w:vertAlign w:val="superscript"/>
              </w:rPr>
              <w:t>rd</w:t>
            </w:r>
            <w:r w:rsidRPr="000500E2">
              <w:rPr>
                <w:rFonts w:ascii="Arial" w:eastAsia="Arial" w:hAnsi="Arial" w:cs="Arial"/>
                <w:iCs/>
                <w:sz w:val="18"/>
                <w:szCs w:val="18"/>
              </w:rPr>
              <w:t xml:space="preserve"> January 2024</w:t>
            </w:r>
          </w:p>
        </w:tc>
      </w:tr>
      <w:tr w:rsidR="007E7D58" w:rsidRPr="00961A47" w14:paraId="71B2C04E" w14:textId="77777777" w:rsidTr="2DA333D3">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4DFFC6EE" w:rsidR="007E7D58" w:rsidRPr="000500E2" w:rsidRDefault="000500E2" w:rsidP="000500E2">
            <w:pPr>
              <w:spacing w:before="120" w:after="120"/>
              <w:ind w:right="936"/>
              <w:rPr>
                <w:rFonts w:ascii="Arial" w:hAnsi="Arial" w:cs="Arial"/>
                <w:iCs/>
                <w:sz w:val="18"/>
                <w:szCs w:val="18"/>
              </w:rPr>
            </w:pPr>
            <w:r w:rsidRPr="000500E2">
              <w:rPr>
                <w:rFonts w:ascii="Arial" w:hAnsi="Arial" w:cs="Arial"/>
                <w:iCs/>
                <w:sz w:val="18"/>
                <w:szCs w:val="18"/>
              </w:rPr>
              <w:t>3</w:t>
            </w:r>
            <w:r>
              <w:rPr>
                <w:rFonts w:ascii="Arial" w:hAnsi="Arial" w:cs="Arial"/>
                <w:iCs/>
                <w:sz w:val="18"/>
                <w:szCs w:val="18"/>
              </w:rPr>
              <w:t>1</w:t>
            </w:r>
            <w:r w:rsidRPr="000500E2">
              <w:rPr>
                <w:rFonts w:ascii="Arial" w:hAnsi="Arial" w:cs="Arial"/>
                <w:iCs/>
                <w:sz w:val="18"/>
                <w:szCs w:val="18"/>
                <w:vertAlign w:val="superscript"/>
              </w:rPr>
              <w:t>st</w:t>
            </w:r>
            <w:r>
              <w:rPr>
                <w:rFonts w:ascii="Arial" w:hAnsi="Arial" w:cs="Arial"/>
                <w:iCs/>
                <w:sz w:val="18"/>
                <w:szCs w:val="18"/>
              </w:rPr>
              <w:t xml:space="preserve"> March 2024</w:t>
            </w:r>
          </w:p>
        </w:tc>
      </w:tr>
      <w:tr w:rsidR="007E7D58" w:rsidRPr="00961A47" w14:paraId="6D89A4FD" w14:textId="77777777" w:rsidTr="2DA333D3">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070731FF" w14:textId="66C836D2" w:rsidR="00037857" w:rsidRPr="00037857" w:rsidRDefault="00037857" w:rsidP="007E7D58">
            <w:pPr>
              <w:pStyle w:val="Header"/>
              <w:tabs>
                <w:tab w:val="left" w:pos="709"/>
              </w:tabs>
              <w:ind w:right="3"/>
              <w:rPr>
                <w:rFonts w:ascii="Arial" w:hAnsi="Arial" w:cs="Arial"/>
                <w:sz w:val="18"/>
                <w:szCs w:val="18"/>
              </w:rPr>
            </w:pPr>
            <w:bookmarkStart w:id="7" w:name="_Ref377110658"/>
            <w:r w:rsidRPr="00037857">
              <w:rPr>
                <w:rFonts w:ascii="Arial" w:hAnsi="Arial" w:cs="Arial"/>
                <w:sz w:val="18"/>
                <w:szCs w:val="18"/>
                <w:highlight w:val="yellow"/>
              </w:rPr>
              <w:t>TBC</w:t>
            </w:r>
          </w:p>
          <w:p w14:paraId="6C94D6EC" w14:textId="77777777" w:rsidR="00037857" w:rsidRDefault="00037857" w:rsidP="007E7D58">
            <w:pPr>
              <w:pStyle w:val="Header"/>
              <w:tabs>
                <w:tab w:val="left" w:pos="709"/>
              </w:tabs>
              <w:ind w:right="3"/>
              <w:rPr>
                <w:rFonts w:ascii="Arial" w:hAnsi="Arial" w:cs="Arial"/>
                <w:sz w:val="18"/>
                <w:szCs w:val="18"/>
              </w:rPr>
            </w:pPr>
          </w:p>
          <w:p w14:paraId="1A7D4E04" w14:textId="3B60AE30" w:rsidR="007E7D58" w:rsidRPr="00B46D37" w:rsidRDefault="007E7D58" w:rsidP="007E7D58">
            <w:pPr>
              <w:pStyle w:val="Header"/>
              <w:tabs>
                <w:tab w:val="left" w:pos="709"/>
              </w:tabs>
              <w:ind w:right="3"/>
              <w:rPr>
                <w:rFonts w:ascii="Arial" w:hAnsi="Arial" w:cs="Arial"/>
                <w:sz w:val="18"/>
                <w:szCs w:val="18"/>
              </w:rPr>
            </w:pPr>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2DA333D3">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7CADAC24" w:rsidR="007E7D58" w:rsidRPr="000500E2" w:rsidRDefault="007E7D58" w:rsidP="007E7D58">
            <w:pPr>
              <w:pStyle w:val="Header"/>
              <w:tabs>
                <w:tab w:val="left" w:pos="709"/>
              </w:tabs>
              <w:rPr>
                <w:rFonts w:ascii="Arial" w:hAnsi="Arial" w:cs="Arial"/>
                <w:sz w:val="18"/>
                <w:szCs w:val="18"/>
              </w:rPr>
            </w:pPr>
            <w:bookmarkStart w:id="10" w:name="_DV_M104"/>
            <w:bookmarkStart w:id="11" w:name="_DV_M110"/>
            <w:bookmarkEnd w:id="10"/>
            <w:bookmarkEnd w:id="11"/>
            <w:r w:rsidRPr="000500E2">
              <w:rPr>
                <w:rFonts w:ascii="Arial" w:hAnsi="Arial" w:cs="Arial"/>
                <w:sz w:val="18"/>
                <w:szCs w:val="18"/>
              </w:rPr>
              <w:t>Payments will be made to</w:t>
            </w:r>
            <w:r w:rsidR="000500E2">
              <w:rPr>
                <w:rFonts w:ascii="Arial" w:hAnsi="Arial" w:cs="Arial"/>
                <w:sz w:val="18"/>
                <w:szCs w:val="18"/>
              </w:rPr>
              <w:t xml:space="preserve"> Natural England and can be made in two instalments with 100% to be invoiced upon agreement of the final deliverables. </w:t>
            </w:r>
          </w:p>
          <w:p w14:paraId="35E51F28" w14:textId="31E9238A" w:rsidR="007E7D58" w:rsidRPr="000500E2" w:rsidRDefault="007E7D58" w:rsidP="007E7D58">
            <w:pPr>
              <w:pStyle w:val="Header"/>
              <w:tabs>
                <w:tab w:val="left" w:pos="709"/>
              </w:tabs>
              <w:rPr>
                <w:rFonts w:ascii="Arial" w:hAnsi="Arial" w:cs="Arial"/>
                <w:sz w:val="18"/>
                <w:szCs w:val="18"/>
              </w:rPr>
            </w:pPr>
          </w:p>
          <w:p w14:paraId="58052F16" w14:textId="622C20ED" w:rsidR="007E7D58" w:rsidRPr="000500E2" w:rsidRDefault="000500E2" w:rsidP="007E7D58">
            <w:pPr>
              <w:pStyle w:val="Header"/>
              <w:tabs>
                <w:tab w:val="left" w:pos="709"/>
              </w:tabs>
              <w:rPr>
                <w:rFonts w:ascii="Arial" w:hAnsi="Arial" w:cs="Arial"/>
                <w:sz w:val="18"/>
                <w:szCs w:val="18"/>
              </w:rPr>
            </w:pPr>
            <w:r>
              <w:rPr>
                <w:rFonts w:ascii="Arial" w:hAnsi="Arial" w:cs="Arial"/>
                <w:sz w:val="18"/>
                <w:szCs w:val="18"/>
              </w:rPr>
              <w:t>P</w:t>
            </w:r>
            <w:r w:rsidR="00DE4F91" w:rsidRPr="000500E2">
              <w:rPr>
                <w:rFonts w:ascii="Arial" w:hAnsi="Arial" w:cs="Arial"/>
                <w:sz w:val="18"/>
                <w:szCs w:val="18"/>
              </w:rPr>
              <w:t>ayments will be made in pou</w:t>
            </w:r>
            <w:r>
              <w:rPr>
                <w:rFonts w:ascii="Arial" w:hAnsi="Arial" w:cs="Arial"/>
                <w:sz w:val="18"/>
                <w:szCs w:val="18"/>
              </w:rPr>
              <w:t>nds by</w:t>
            </w:r>
            <w:r w:rsidR="00DE4F91" w:rsidRPr="000500E2">
              <w:rPr>
                <w:rFonts w:ascii="Arial" w:hAnsi="Arial" w:cs="Arial"/>
                <w:sz w:val="18"/>
                <w:szCs w:val="18"/>
              </w:rPr>
              <w:t xml:space="preserve"> BACS transfer using the details provided by the supplier on submission of a compliant invoice</w:t>
            </w:r>
          </w:p>
          <w:p w14:paraId="5AEFA517" w14:textId="77777777" w:rsidR="007E7D58" w:rsidRPr="000500E2" w:rsidRDefault="007E7D58" w:rsidP="007E7D58">
            <w:pPr>
              <w:pStyle w:val="Header"/>
              <w:tabs>
                <w:tab w:val="left" w:pos="709"/>
              </w:tabs>
              <w:rPr>
                <w:rFonts w:ascii="Arial" w:hAnsi="Arial" w:cs="Arial"/>
                <w:sz w:val="18"/>
                <w:szCs w:val="18"/>
              </w:rPr>
            </w:pPr>
          </w:p>
        </w:tc>
      </w:tr>
      <w:tr w:rsidR="00DD176F" w:rsidRPr="00961A47" w14:paraId="62E0B503" w14:textId="77777777" w:rsidTr="2DA333D3">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327C6A5C" w:rsidR="009179C1" w:rsidRDefault="009179C1" w:rsidP="009179C1">
            <w:pPr>
              <w:pStyle w:val="Header"/>
              <w:tabs>
                <w:tab w:val="left" w:pos="709"/>
              </w:tabs>
              <w:rPr>
                <w:rFonts w:ascii="Arial" w:hAnsi="Arial" w:cs="Arial"/>
                <w:sz w:val="18"/>
                <w:szCs w:val="18"/>
              </w:rPr>
            </w:pPr>
            <w:r w:rsidRPr="000500E2">
              <w:rPr>
                <w:rFonts w:ascii="Arial" w:hAnsi="Arial" w:cs="Arial"/>
                <w:sz w:val="18"/>
                <w:szCs w:val="18"/>
              </w:rPr>
              <w:t>A sum equal to £5,000,000</w:t>
            </w:r>
            <w:r w:rsidR="000465D8" w:rsidRPr="000500E2">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2DA333D3">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41E9F037" w:rsidR="007E7D58" w:rsidRDefault="000500E2"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Cathy Fitzroy</w:t>
            </w:r>
          </w:p>
          <w:p w14:paraId="46B1469F" w14:textId="36EC4A21" w:rsidR="000500E2" w:rsidRPr="00B46D37" w:rsidRDefault="000500E2"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cathy.fitzroy@naturalengland.org.uk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58C8BF68" w14:textId="77777777" w:rsidR="007E7D58" w:rsidRDefault="007E7D58" w:rsidP="007E7D58">
            <w:pPr>
              <w:pStyle w:val="Header"/>
              <w:tabs>
                <w:tab w:val="left" w:pos="709"/>
              </w:tabs>
              <w:rPr>
                <w:rFonts w:ascii="Arial" w:hAnsi="Arial" w:cs="Arial"/>
                <w:sz w:val="18"/>
                <w:szCs w:val="18"/>
              </w:rPr>
            </w:pPr>
          </w:p>
          <w:p w14:paraId="5F4689F5" w14:textId="77777777" w:rsidR="000500E2" w:rsidRDefault="000500E2" w:rsidP="007E7D58">
            <w:pPr>
              <w:pStyle w:val="Header"/>
              <w:tabs>
                <w:tab w:val="left" w:pos="709"/>
              </w:tabs>
              <w:rPr>
                <w:rFonts w:ascii="Arial" w:hAnsi="Arial" w:cs="Arial"/>
                <w:sz w:val="18"/>
                <w:szCs w:val="18"/>
              </w:rPr>
            </w:pPr>
            <w:r>
              <w:rPr>
                <w:rFonts w:ascii="Arial" w:hAnsi="Arial" w:cs="Arial"/>
                <w:sz w:val="18"/>
                <w:szCs w:val="18"/>
              </w:rPr>
              <w:t xml:space="preserve">Jenny Hooper </w:t>
            </w:r>
          </w:p>
          <w:p w14:paraId="3E4CD59E" w14:textId="770BA50A" w:rsidR="000500E2" w:rsidRPr="00B46D37" w:rsidRDefault="000500E2" w:rsidP="007E7D58">
            <w:pPr>
              <w:pStyle w:val="Header"/>
              <w:tabs>
                <w:tab w:val="left" w:pos="709"/>
              </w:tabs>
              <w:rPr>
                <w:rFonts w:ascii="Arial" w:hAnsi="Arial" w:cs="Arial"/>
                <w:sz w:val="18"/>
                <w:szCs w:val="18"/>
              </w:rPr>
            </w:pPr>
            <w:r>
              <w:rPr>
                <w:rFonts w:ascii="Arial" w:hAnsi="Arial" w:cs="Arial"/>
                <w:sz w:val="18"/>
                <w:szCs w:val="18"/>
              </w:rPr>
              <w:t>jenny.hooper@naturalengland.org.uk</w:t>
            </w:r>
          </w:p>
        </w:tc>
      </w:tr>
      <w:tr w:rsidR="007E7D58" w:rsidRPr="00961A47" w14:paraId="26FB4D09" w14:textId="77777777" w:rsidTr="2DA333D3">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3DAE24E3" w14:textId="62E14DC7" w:rsidR="00037857" w:rsidRDefault="00037857" w:rsidP="007E7D58">
            <w:pPr>
              <w:pStyle w:val="BodyText3"/>
              <w:keepNext/>
              <w:tabs>
                <w:tab w:val="left" w:pos="709"/>
              </w:tabs>
              <w:spacing w:after="0" w:line="240" w:lineRule="auto"/>
              <w:rPr>
                <w:rFonts w:ascii="Arial" w:hAnsi="Arial" w:cs="Arial"/>
                <w:sz w:val="18"/>
                <w:szCs w:val="18"/>
              </w:rPr>
            </w:pPr>
            <w:r w:rsidRPr="00037857">
              <w:rPr>
                <w:rFonts w:ascii="Arial" w:hAnsi="Arial" w:cs="Arial"/>
                <w:sz w:val="18"/>
                <w:szCs w:val="18"/>
                <w:highlight w:val="yellow"/>
              </w:rPr>
              <w:t>TBC</w:t>
            </w:r>
          </w:p>
          <w:p w14:paraId="4B082482" w14:textId="77777777" w:rsidR="00037857" w:rsidRDefault="00037857" w:rsidP="007E7D58">
            <w:pPr>
              <w:pStyle w:val="BodyText3"/>
              <w:keepNext/>
              <w:tabs>
                <w:tab w:val="left" w:pos="709"/>
              </w:tabs>
              <w:spacing w:after="0" w:line="240" w:lineRule="auto"/>
              <w:rPr>
                <w:rFonts w:ascii="Arial" w:hAnsi="Arial" w:cs="Arial"/>
                <w:sz w:val="18"/>
                <w:szCs w:val="18"/>
              </w:rPr>
            </w:pPr>
          </w:p>
          <w:p w14:paraId="7D7BB136" w14:textId="2C0E5A62"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2DA333D3">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65329D54" w:rsidR="007E7D58" w:rsidRPr="006D3AB7" w:rsidRDefault="007E7D58" w:rsidP="2DA333D3">
            <w:pPr>
              <w:pStyle w:val="Header"/>
              <w:tabs>
                <w:tab w:val="left" w:pos="709"/>
              </w:tabs>
              <w:ind w:right="3"/>
              <w:rPr>
                <w:rFonts w:ascii="Arial" w:hAnsi="Arial" w:cs="Arial"/>
                <w:sz w:val="18"/>
                <w:szCs w:val="18"/>
              </w:rPr>
            </w:pPr>
            <w:r w:rsidRPr="2DA333D3">
              <w:rPr>
                <w:rFonts w:ascii="Arial" w:hAnsi="Arial" w:cs="Arial"/>
                <w:sz w:val="18"/>
                <w:szCs w:val="18"/>
              </w:rPr>
              <w:t xml:space="preserve">The Customer has chosen Option </w:t>
            </w:r>
            <w:r w:rsidRPr="2DA333D3">
              <w:rPr>
                <w:rFonts w:ascii="Arial" w:hAnsi="Arial" w:cs="Arial"/>
                <w:b/>
                <w:bCs/>
                <w:sz w:val="18"/>
                <w:szCs w:val="18"/>
              </w:rPr>
              <w:t>B</w:t>
            </w:r>
            <w:r w:rsidR="31EF1690" w:rsidRPr="2DA333D3">
              <w:rPr>
                <w:rFonts w:ascii="Arial" w:hAnsi="Arial" w:cs="Arial"/>
                <w:b/>
                <w:bCs/>
                <w:sz w:val="18"/>
                <w:szCs w:val="18"/>
              </w:rPr>
              <w:t xml:space="preserve"> </w:t>
            </w:r>
            <w:r w:rsidR="0062693F" w:rsidRPr="2DA333D3">
              <w:rPr>
                <w:rFonts w:ascii="Arial" w:hAnsi="Arial" w:cs="Arial"/>
                <w:b/>
                <w:bCs/>
                <w:sz w:val="18"/>
                <w:szCs w:val="18"/>
              </w:rPr>
              <w:t>(Default Option)</w:t>
            </w:r>
            <w:r w:rsidRPr="2DA333D3">
              <w:rPr>
                <w:rFonts w:ascii="Arial" w:hAnsi="Arial" w:cs="Arial"/>
                <w:sz w:val="18"/>
                <w:szCs w:val="18"/>
              </w:rPr>
              <w:t xml:space="preserve"> in respect of intellectual property rights provisions for the Agreement as set out in the terms and conditions.</w:t>
            </w:r>
          </w:p>
          <w:p w14:paraId="699605EB" w14:textId="2F0656D2" w:rsidR="007E7D58" w:rsidRPr="00B46D37" w:rsidRDefault="007E7D58" w:rsidP="2DA333D3">
            <w:pPr>
              <w:pStyle w:val="Header"/>
              <w:tabs>
                <w:tab w:val="left" w:pos="709"/>
              </w:tabs>
              <w:ind w:right="3"/>
              <w:rPr>
                <w:rFonts w:ascii="Arial" w:hAnsi="Arial" w:cs="Arial"/>
                <w:b/>
                <w:bCs/>
                <w:i/>
                <w:iCs/>
                <w:sz w:val="18"/>
                <w:szCs w:val="18"/>
                <w:highlight w:val="cyan"/>
              </w:rPr>
            </w:pPr>
          </w:p>
        </w:tc>
      </w:tr>
      <w:tr w:rsidR="007E7D58" w:rsidRPr="00961A47" w14:paraId="66EB0154" w14:textId="77777777" w:rsidTr="2DA333D3">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4AC4472A" w14:textId="08057EB7" w:rsidR="007E7D58" w:rsidRPr="00362ACA" w:rsidRDefault="007E7D58" w:rsidP="00362ACA">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 ever</w:t>
            </w:r>
            <w:r w:rsidR="00362ACA">
              <w:rPr>
                <w:rFonts w:ascii="Arial" w:eastAsia="Arial" w:hAnsi="Arial" w:cs="Arial"/>
                <w:color w:val="000000"/>
                <w:sz w:val="18"/>
                <w:szCs w:val="18"/>
              </w:rPr>
              <w:t xml:space="preserve">y two weeks via Teams call or email. </w:t>
            </w:r>
          </w:p>
        </w:tc>
      </w:tr>
      <w:tr w:rsidR="007E7D58" w:rsidRPr="00961A47" w14:paraId="0CA426CF" w14:textId="77777777" w:rsidTr="2DA333D3">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p w14:paraId="4B03549F" w14:textId="59D23160" w:rsidR="00037857" w:rsidRDefault="00037857"/>
          <w:p w14:paraId="6FBD20A4" w14:textId="3E1E50CB" w:rsidR="00037857" w:rsidRDefault="00037857" w:rsidP="00037857">
            <w:pPr>
              <w:jc w:val="right"/>
            </w:pPr>
            <w:r w:rsidRPr="00037857">
              <w:rPr>
                <w:highlight w:val="yellow"/>
              </w:rPr>
              <w:t>TBC</w:t>
            </w:r>
          </w:p>
          <w:tbl>
            <w:tblPr>
              <w:tblW w:w="0" w:type="auto"/>
              <w:tblLook w:val="04A0" w:firstRow="1" w:lastRow="0" w:firstColumn="1" w:lastColumn="0" w:noHBand="0" w:noVBand="1"/>
            </w:tblPr>
            <w:tblGrid>
              <w:gridCol w:w="5153"/>
              <w:gridCol w:w="1912"/>
            </w:tblGrid>
            <w:tr w:rsidR="007E7D58" w14:paraId="430CB4B5" w14:textId="77777777" w:rsidTr="00037857">
              <w:tc>
                <w:tcPr>
                  <w:tcW w:w="5153"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1912"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037857">
              <w:tc>
                <w:tcPr>
                  <w:tcW w:w="5153" w:type="dxa"/>
                </w:tcPr>
                <w:p w14:paraId="597D4E15" w14:textId="287DA39C" w:rsidR="007E7D58" w:rsidRPr="00CA4BA2" w:rsidRDefault="00362ACA" w:rsidP="007E7D58">
                  <w:pPr>
                    <w:pStyle w:val="Header"/>
                    <w:tabs>
                      <w:tab w:val="left" w:pos="709"/>
                    </w:tabs>
                    <w:ind w:right="3"/>
                    <w:rPr>
                      <w:rFonts w:ascii="Arial" w:hAnsi="Arial" w:cs="Arial"/>
                      <w:sz w:val="18"/>
                      <w:szCs w:val="18"/>
                    </w:rPr>
                  </w:pPr>
                  <w:r w:rsidRPr="00362ACA">
                    <w:rPr>
                      <w:rFonts w:ascii="Arial" w:hAnsi="Arial" w:cs="Arial"/>
                      <w:b/>
                      <w:iCs/>
                      <w:sz w:val="18"/>
                      <w:szCs w:val="18"/>
                    </w:rPr>
                    <w:t>Natural England,</w:t>
                  </w:r>
                  <w:r w:rsidR="007E7D58" w:rsidRPr="00CA4BA2">
                    <w:rPr>
                      <w:rFonts w:ascii="Arial" w:hAnsi="Arial" w:cs="Arial"/>
                      <w:b/>
                      <w:i/>
                      <w:sz w:val="18"/>
                      <w:szCs w:val="18"/>
                      <w:highlight w:val="yellow"/>
                    </w:rPr>
                    <w:br/>
                    <w:t>and address of Customer</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030372E5"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362ACA">
                    <w:rPr>
                      <w:rFonts w:ascii="Arial" w:hAnsi="Arial" w:cs="Arial"/>
                      <w:sz w:val="18"/>
                      <w:szCs w:val="18"/>
                    </w:rPr>
                    <w:t>: Cathy Fitzroy</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37A4D52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362ACA">
                    <w:rPr>
                      <w:rFonts w:ascii="Arial" w:hAnsi="Arial" w:cs="Arial"/>
                      <w:sz w:val="18"/>
                      <w:szCs w:val="18"/>
                    </w:rPr>
                    <w:t>cathy.fitzroy@naturalengland.org.uk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1912"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037857">
              <w:trPr>
                <w:gridAfter w:val="1"/>
                <w:wAfter w:w="1912" w:type="dxa"/>
              </w:trPr>
              <w:tc>
                <w:tcPr>
                  <w:tcW w:w="5153" w:type="dxa"/>
                </w:tcPr>
                <w:p w14:paraId="16DE294F" w14:textId="49921CF9"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2DA333D3">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056E5434"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2DA333D3">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5E2CD59B"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For the purposes of the Agreement: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2DA333D3">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lastRenderedPageBreak/>
              <w:t>Special Terms</w:t>
            </w:r>
            <w:bookmarkEnd w:id="15"/>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r>
              <w:rPr>
                <w:rFonts w:ascii="Arial" w:eastAsia="Arial" w:hAnsi="Arial" w:cs="Arial"/>
                <w:b/>
                <w:i/>
                <w:sz w:val="18"/>
                <w:szCs w:val="18"/>
                <w:highlight w:val="yellow"/>
              </w:rPr>
              <w:t>period</w:t>
            </w:r>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2DA333D3">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66084F7F" w:rsidR="007E7D58" w:rsidRPr="00060369" w:rsidRDefault="007E7D58" w:rsidP="2DA333D3">
            <w:pPr>
              <w:spacing w:before="120" w:after="120"/>
              <w:rPr>
                <w:rFonts w:ascii="Arial" w:eastAsia="Arial" w:hAnsi="Arial" w:cs="Arial"/>
                <w:sz w:val="18"/>
                <w:szCs w:val="18"/>
                <w:highlight w:val="cyan"/>
              </w:rPr>
            </w:pPr>
          </w:p>
        </w:tc>
      </w:tr>
      <w:tr w:rsidR="007E7D58" w:rsidRPr="00961A47" w14:paraId="5FF59053" w14:textId="77777777" w:rsidTr="2DA333D3">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695701FD" w:rsidR="007E7D58" w:rsidRPr="00280C77" w:rsidRDefault="007E7D58" w:rsidP="2DA333D3">
            <w:pPr>
              <w:spacing w:before="120" w:after="120"/>
              <w:rPr>
                <w:rFonts w:ascii="Arial" w:eastAsia="Arial" w:hAnsi="Arial" w:cs="Arial"/>
                <w:b/>
                <w:bCs/>
                <w:i/>
                <w:iCs/>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06B45425" w14:textId="77777777" w:rsidR="00362ACA" w:rsidRDefault="00362ACA" w:rsidP="00362ACA">
      <w:pPr>
        <w:pStyle w:val="paragraph"/>
        <w:spacing w:before="0" w:beforeAutospacing="0" w:after="0" w:afterAutospacing="0"/>
        <w:textAlignment w:val="baseline"/>
        <w:rPr>
          <w:rStyle w:val="normaltextrun"/>
          <w:rFonts w:ascii="Arial" w:hAnsi="Arial" w:cs="Arial"/>
          <w:b/>
          <w:bCs/>
          <w:sz w:val="26"/>
          <w:szCs w:val="26"/>
        </w:rPr>
      </w:pPr>
    </w:p>
    <w:p w14:paraId="37CC80F9" w14:textId="77777777" w:rsidR="00362ACA" w:rsidRDefault="00362ACA" w:rsidP="00362ACA">
      <w:pPr>
        <w:pStyle w:val="paragraph"/>
        <w:spacing w:before="0" w:beforeAutospacing="0" w:after="0" w:afterAutospacing="0"/>
        <w:textAlignment w:val="baseline"/>
        <w:rPr>
          <w:rStyle w:val="normaltextrun"/>
          <w:rFonts w:ascii="Arial" w:hAnsi="Arial" w:cs="Arial"/>
          <w:b/>
          <w:bCs/>
          <w:sz w:val="26"/>
          <w:szCs w:val="26"/>
        </w:rPr>
      </w:pPr>
      <w:r>
        <w:rPr>
          <w:rStyle w:val="normaltextrun"/>
          <w:rFonts w:ascii="Arial" w:hAnsi="Arial" w:cs="Arial"/>
          <w:b/>
          <w:bCs/>
          <w:sz w:val="26"/>
          <w:szCs w:val="26"/>
        </w:rPr>
        <w:t>Specification of Requirements </w:t>
      </w:r>
    </w:p>
    <w:p w14:paraId="3DC39606" w14:textId="4F0CC41E" w:rsidR="00362ACA" w:rsidRDefault="00362ACA" w:rsidP="00362ACA">
      <w:pPr>
        <w:pStyle w:val="paragraph"/>
        <w:spacing w:before="0" w:beforeAutospacing="0" w:after="0" w:afterAutospacing="0"/>
        <w:textAlignment w:val="baseline"/>
        <w:rPr>
          <w:rFonts w:ascii="Segoe UI" w:hAnsi="Segoe UI" w:cs="Segoe UI"/>
          <w:b/>
          <w:bCs/>
          <w:sz w:val="18"/>
          <w:szCs w:val="18"/>
        </w:rPr>
      </w:pPr>
      <w:r>
        <w:rPr>
          <w:rStyle w:val="eop"/>
          <w:rFonts w:ascii="Arial" w:eastAsiaTheme="minorEastAsia" w:hAnsi="Arial" w:cs="Arial"/>
          <w:b/>
          <w:bCs/>
          <w:sz w:val="26"/>
          <w:szCs w:val="26"/>
        </w:rPr>
        <w:t> </w:t>
      </w:r>
    </w:p>
    <w:p w14:paraId="135F3F4C" w14:textId="77777777" w:rsidR="00362ACA" w:rsidRDefault="00362ACA" w:rsidP="00362ACA">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6"/>
          <w:szCs w:val="26"/>
        </w:rPr>
        <w:t>Background to Natural England</w:t>
      </w:r>
      <w:r>
        <w:rPr>
          <w:rStyle w:val="eop"/>
          <w:rFonts w:ascii="Arial" w:eastAsiaTheme="minorEastAsia" w:hAnsi="Arial" w:cs="Arial"/>
          <w:b/>
          <w:bCs/>
          <w:sz w:val="26"/>
          <w:szCs w:val="26"/>
        </w:rPr>
        <w:t> </w:t>
      </w:r>
    </w:p>
    <w:p w14:paraId="480BF54A" w14:textId="77777777" w:rsidR="00362ACA" w:rsidRDefault="00362ACA" w:rsidP="00362AC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Natural England (NE) is the Government’s advisor on the natural environment. It provides practical advice, grounded in science, on how best to safeguard England’s natural wealth for the benefit of everyone. Natural England’s remit is to ensure sustainable stewardship of the land and sea so that people and nature can thrive. It is our responsibility to see that England’s rich natural environment can adapt and survive intact for future generations to enjoy.</w:t>
      </w:r>
      <w:r>
        <w:rPr>
          <w:rStyle w:val="eop"/>
          <w:rFonts w:ascii="Arial" w:eastAsiaTheme="minorEastAsia" w:hAnsi="Arial" w:cs="Arial"/>
        </w:rPr>
        <w:t> </w:t>
      </w:r>
    </w:p>
    <w:p w14:paraId="0DCDF7F2" w14:textId="3B7CB4A3" w:rsidR="00362ACA" w:rsidRDefault="00362ACA" w:rsidP="00362ACA">
      <w:pPr>
        <w:pStyle w:val="paragraph"/>
        <w:spacing w:before="0" w:beforeAutospacing="0" w:after="0" w:afterAutospacing="0"/>
        <w:textAlignment w:val="baseline"/>
        <w:rPr>
          <w:rStyle w:val="eop"/>
          <w:rFonts w:ascii="Arial" w:eastAsiaTheme="minorEastAsia" w:hAnsi="Arial" w:cs="Arial"/>
        </w:rPr>
      </w:pPr>
      <w:r>
        <w:rPr>
          <w:rStyle w:val="normaltextrun"/>
          <w:rFonts w:ascii="Arial" w:hAnsi="Arial" w:cs="Arial"/>
        </w:rPr>
        <w:t xml:space="preserve">Further information about the Authority can be found at: </w:t>
      </w:r>
      <w:hyperlink r:id="rId15" w:tgtFrame="_blank" w:history="1">
        <w:r>
          <w:rPr>
            <w:rStyle w:val="normaltextrun"/>
            <w:rFonts w:ascii="Arial" w:hAnsi="Arial" w:cs="Arial"/>
            <w:color w:val="1D70B8"/>
            <w:u w:val="single"/>
          </w:rPr>
          <w:t>Natural England</w:t>
        </w:r>
      </w:hyperlink>
      <w:r>
        <w:rPr>
          <w:rStyle w:val="normaltextrun"/>
          <w:rFonts w:ascii="Arial" w:hAnsi="Arial" w:cs="Arial"/>
        </w:rPr>
        <w:t>.</w:t>
      </w:r>
      <w:r>
        <w:rPr>
          <w:rStyle w:val="eop"/>
          <w:rFonts w:ascii="Arial" w:eastAsiaTheme="minorEastAsia" w:hAnsi="Arial" w:cs="Arial"/>
        </w:rPr>
        <w:t> </w:t>
      </w:r>
    </w:p>
    <w:p w14:paraId="3A2AA56F" w14:textId="77777777" w:rsidR="00362ACA" w:rsidRDefault="00362ACA" w:rsidP="00362ACA">
      <w:pPr>
        <w:pStyle w:val="paragraph"/>
        <w:spacing w:before="0" w:beforeAutospacing="0" w:after="0" w:afterAutospacing="0"/>
        <w:textAlignment w:val="baseline"/>
        <w:rPr>
          <w:rFonts w:ascii="Segoe UI" w:hAnsi="Segoe UI" w:cs="Segoe UI"/>
          <w:sz w:val="18"/>
          <w:szCs w:val="18"/>
        </w:rPr>
      </w:pPr>
    </w:p>
    <w:p w14:paraId="31ADAD25" w14:textId="77777777" w:rsidR="00362ACA" w:rsidRDefault="00362ACA" w:rsidP="00362ACA">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6"/>
          <w:szCs w:val="26"/>
        </w:rPr>
        <w:t>Background to District Level Licensing </w:t>
      </w:r>
      <w:r>
        <w:rPr>
          <w:rStyle w:val="eop"/>
          <w:rFonts w:ascii="Arial" w:eastAsiaTheme="minorEastAsia" w:hAnsi="Arial" w:cs="Arial"/>
          <w:b/>
          <w:bCs/>
          <w:sz w:val="26"/>
          <w:szCs w:val="26"/>
        </w:rPr>
        <w:t> </w:t>
      </w:r>
    </w:p>
    <w:p w14:paraId="6ED8410D" w14:textId="77777777" w:rsidR="00362ACA" w:rsidRDefault="00362ACA" w:rsidP="00362AC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District level licensing (DLL) for great crested newts (GCN) is a strategic approach to the licensing requirements associated with development where this protected species is present or may be present. The impact of development is considered at a landscape scale and, working through local habitat delivery partners, the creation or restoration of habitat is targeted to areas where the species will most benefit.  </w:t>
      </w:r>
      <w:r>
        <w:rPr>
          <w:rStyle w:val="eop"/>
          <w:rFonts w:ascii="Arial" w:eastAsiaTheme="minorEastAsia" w:hAnsi="Arial" w:cs="Arial"/>
        </w:rPr>
        <w:t> </w:t>
      </w:r>
    </w:p>
    <w:p w14:paraId="79447D0A" w14:textId="77777777" w:rsidR="00362ACA" w:rsidRDefault="00362ACA" w:rsidP="00362AC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District Level Licensing is provided by Natural England across 19 geographic areas. NatureSpace Partnership provide a scheme across 10 areas and three local authorities provide for their own authority area. </w:t>
      </w:r>
      <w:r>
        <w:rPr>
          <w:rStyle w:val="eop"/>
          <w:rFonts w:ascii="Arial" w:eastAsiaTheme="minorEastAsia" w:hAnsi="Arial" w:cs="Arial"/>
        </w:rPr>
        <w:t> </w:t>
      </w:r>
    </w:p>
    <w:p w14:paraId="537DE96F" w14:textId="1A482077" w:rsidR="00362ACA" w:rsidRDefault="00362ACA" w:rsidP="00362ACA">
      <w:pPr>
        <w:pStyle w:val="paragraph"/>
        <w:spacing w:before="0" w:beforeAutospacing="0" w:after="0" w:afterAutospacing="0"/>
        <w:textAlignment w:val="baseline"/>
        <w:rPr>
          <w:rStyle w:val="eop"/>
          <w:rFonts w:ascii="Arial" w:eastAsiaTheme="minorEastAsia" w:hAnsi="Arial" w:cs="Arial"/>
        </w:rPr>
      </w:pPr>
      <w:r>
        <w:rPr>
          <w:rStyle w:val="normaltextrun"/>
          <w:rFonts w:ascii="Arial" w:hAnsi="Arial" w:cs="Arial"/>
        </w:rPr>
        <w:t>Further information regarding District Level Licensing can be found in Annex 3 of the RFQ.</w:t>
      </w:r>
      <w:r>
        <w:rPr>
          <w:rStyle w:val="eop"/>
          <w:rFonts w:ascii="Arial" w:eastAsiaTheme="minorEastAsia" w:hAnsi="Arial" w:cs="Arial"/>
        </w:rPr>
        <w:t> </w:t>
      </w:r>
    </w:p>
    <w:p w14:paraId="186F2B12" w14:textId="77777777" w:rsidR="00362ACA" w:rsidRDefault="00362ACA" w:rsidP="00362ACA">
      <w:pPr>
        <w:pStyle w:val="paragraph"/>
        <w:spacing w:before="0" w:beforeAutospacing="0" w:after="0" w:afterAutospacing="0"/>
        <w:textAlignment w:val="baseline"/>
        <w:rPr>
          <w:rFonts w:ascii="Segoe UI" w:hAnsi="Segoe UI" w:cs="Segoe UI"/>
          <w:sz w:val="18"/>
          <w:szCs w:val="18"/>
        </w:rPr>
      </w:pPr>
    </w:p>
    <w:p w14:paraId="20712A75" w14:textId="77777777" w:rsidR="00362ACA" w:rsidRDefault="00362ACA" w:rsidP="00362ACA">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6"/>
          <w:szCs w:val="26"/>
        </w:rPr>
        <w:t>Specification of Requirements</w:t>
      </w:r>
      <w:r>
        <w:rPr>
          <w:rStyle w:val="eop"/>
          <w:rFonts w:ascii="Arial" w:eastAsiaTheme="minorEastAsia" w:hAnsi="Arial" w:cs="Arial"/>
          <w:b/>
          <w:bCs/>
          <w:sz w:val="26"/>
          <w:szCs w:val="26"/>
        </w:rPr>
        <w:t> </w:t>
      </w:r>
    </w:p>
    <w:p w14:paraId="307689E5" w14:textId="7E1F0A87" w:rsidR="00362ACA" w:rsidRDefault="00362ACA" w:rsidP="00362ACA">
      <w:pPr>
        <w:pStyle w:val="paragraph"/>
        <w:spacing w:before="0" w:beforeAutospacing="0" w:after="0" w:afterAutospacing="0"/>
        <w:textAlignment w:val="baseline"/>
        <w:rPr>
          <w:rStyle w:val="eop"/>
          <w:rFonts w:ascii="Arial" w:eastAsiaTheme="minorEastAsia" w:hAnsi="Arial" w:cs="Arial"/>
        </w:rPr>
      </w:pPr>
      <w:r>
        <w:rPr>
          <w:rStyle w:val="normaltextrun"/>
          <w:rFonts w:ascii="Arial" w:hAnsi="Arial" w:cs="Arial"/>
        </w:rPr>
        <w:t>In 2021 DLL conducted a ‘Theory of Change’ (ToC) which led to the development of key evaluation questions, indicators for monitoring, gaps in available data and provided a structure for data analysis and reporting. The combined outputs of the ToC led to the development of an Evaluation Framework. </w:t>
      </w:r>
      <w:r>
        <w:rPr>
          <w:rStyle w:val="eop"/>
          <w:rFonts w:ascii="Arial" w:eastAsiaTheme="minorEastAsia" w:hAnsi="Arial" w:cs="Arial"/>
        </w:rPr>
        <w:t> </w:t>
      </w:r>
    </w:p>
    <w:p w14:paraId="07E3EBA3" w14:textId="77777777" w:rsidR="00362ACA" w:rsidRDefault="00362ACA" w:rsidP="00362ACA">
      <w:pPr>
        <w:pStyle w:val="paragraph"/>
        <w:spacing w:before="0" w:beforeAutospacing="0" w:after="0" w:afterAutospacing="0"/>
        <w:textAlignment w:val="baseline"/>
        <w:rPr>
          <w:rFonts w:ascii="Segoe UI" w:hAnsi="Segoe UI" w:cs="Segoe UI"/>
          <w:sz w:val="18"/>
          <w:szCs w:val="18"/>
        </w:rPr>
      </w:pPr>
    </w:p>
    <w:p w14:paraId="4E94E34B" w14:textId="38E956A7" w:rsidR="00362ACA" w:rsidRDefault="00362ACA" w:rsidP="00362ACA">
      <w:pPr>
        <w:pStyle w:val="paragraph"/>
        <w:spacing w:before="0" w:beforeAutospacing="0" w:after="0" w:afterAutospacing="0"/>
        <w:textAlignment w:val="baseline"/>
        <w:rPr>
          <w:rStyle w:val="eop"/>
          <w:rFonts w:ascii="Arial" w:eastAsiaTheme="minorEastAsia" w:hAnsi="Arial" w:cs="Arial"/>
        </w:rPr>
      </w:pPr>
      <w:r>
        <w:rPr>
          <w:rStyle w:val="normaltextrun"/>
          <w:rFonts w:ascii="Arial" w:hAnsi="Arial" w:cs="Arial"/>
        </w:rPr>
        <w:t>In 2022 Natural England undertook an interim evaluation of DLL against three questions from the evaluation framework. It was not possible to address all evaluation questions at that time because of issues including:</w:t>
      </w:r>
      <w:r>
        <w:rPr>
          <w:rStyle w:val="eop"/>
          <w:rFonts w:ascii="Arial" w:eastAsiaTheme="minorEastAsia" w:hAnsi="Arial" w:cs="Arial"/>
        </w:rPr>
        <w:t> </w:t>
      </w:r>
    </w:p>
    <w:p w14:paraId="6AAE1F2E" w14:textId="77777777" w:rsidR="00362ACA" w:rsidRDefault="00362ACA" w:rsidP="00362ACA">
      <w:pPr>
        <w:pStyle w:val="paragraph"/>
        <w:spacing w:before="0" w:beforeAutospacing="0" w:after="0" w:afterAutospacing="0"/>
        <w:textAlignment w:val="baseline"/>
        <w:rPr>
          <w:rFonts w:ascii="Segoe UI" w:hAnsi="Segoe UI" w:cs="Segoe UI"/>
          <w:sz w:val="18"/>
          <w:szCs w:val="18"/>
        </w:rPr>
      </w:pPr>
    </w:p>
    <w:p w14:paraId="40E08A90" w14:textId="77777777" w:rsidR="00362ACA" w:rsidRDefault="00362ACA" w:rsidP="00362ACA">
      <w:pPr>
        <w:pStyle w:val="paragraph"/>
        <w:numPr>
          <w:ilvl w:val="1"/>
          <w:numId w:val="16"/>
        </w:numPr>
        <w:spacing w:before="0" w:beforeAutospacing="0" w:after="0" w:afterAutospacing="0"/>
        <w:textAlignment w:val="baseline"/>
        <w:rPr>
          <w:rFonts w:ascii="Arial" w:hAnsi="Arial" w:cs="Arial"/>
        </w:rPr>
      </w:pPr>
      <w:r>
        <w:rPr>
          <w:rStyle w:val="normaltextrun"/>
          <w:rFonts w:ascii="Arial" w:hAnsi="Arial" w:cs="Arial"/>
        </w:rPr>
        <w:t>Limited data availability in terms of frequency and relevance to ToC outcomes</w:t>
      </w:r>
      <w:r>
        <w:rPr>
          <w:rStyle w:val="eop"/>
          <w:rFonts w:ascii="Arial" w:eastAsiaTheme="minorEastAsia" w:hAnsi="Arial" w:cs="Arial"/>
        </w:rPr>
        <w:t> </w:t>
      </w:r>
    </w:p>
    <w:p w14:paraId="013099BF" w14:textId="77777777" w:rsidR="00362ACA" w:rsidRDefault="00362ACA" w:rsidP="00362ACA">
      <w:pPr>
        <w:pStyle w:val="paragraph"/>
        <w:numPr>
          <w:ilvl w:val="1"/>
          <w:numId w:val="16"/>
        </w:numPr>
        <w:spacing w:before="0" w:beforeAutospacing="0" w:after="0" w:afterAutospacing="0"/>
        <w:textAlignment w:val="baseline"/>
        <w:rPr>
          <w:rFonts w:ascii="Arial" w:hAnsi="Arial" w:cs="Arial"/>
        </w:rPr>
      </w:pPr>
      <w:r>
        <w:rPr>
          <w:rStyle w:val="normaltextrun"/>
          <w:rFonts w:ascii="Arial" w:hAnsi="Arial" w:cs="Arial"/>
        </w:rPr>
        <w:t>Staff Resource</w:t>
      </w:r>
      <w:r>
        <w:rPr>
          <w:rStyle w:val="eop"/>
          <w:rFonts w:ascii="Arial" w:eastAsiaTheme="minorEastAsia" w:hAnsi="Arial" w:cs="Arial"/>
        </w:rPr>
        <w:t> </w:t>
      </w:r>
    </w:p>
    <w:p w14:paraId="4086E949" w14:textId="67361080" w:rsidR="00362ACA" w:rsidRPr="00362ACA" w:rsidRDefault="00362ACA" w:rsidP="00362ACA">
      <w:pPr>
        <w:pStyle w:val="paragraph"/>
        <w:numPr>
          <w:ilvl w:val="1"/>
          <w:numId w:val="16"/>
        </w:numPr>
        <w:spacing w:before="0" w:beforeAutospacing="0" w:after="0" w:afterAutospacing="0"/>
        <w:textAlignment w:val="baseline"/>
        <w:rPr>
          <w:rStyle w:val="eop"/>
          <w:rFonts w:ascii="Arial" w:hAnsi="Arial" w:cs="Arial"/>
        </w:rPr>
      </w:pPr>
      <w:r>
        <w:rPr>
          <w:rStyle w:val="normaltextrun"/>
          <w:rFonts w:ascii="Arial" w:hAnsi="Arial" w:cs="Arial"/>
        </w:rPr>
        <w:t>Insufficient data to evaluate wider ecological benefits.</w:t>
      </w:r>
      <w:r>
        <w:rPr>
          <w:rStyle w:val="eop"/>
          <w:rFonts w:ascii="Arial" w:eastAsiaTheme="minorEastAsia" w:hAnsi="Arial" w:cs="Arial"/>
        </w:rPr>
        <w:t> </w:t>
      </w:r>
    </w:p>
    <w:p w14:paraId="2023E0F5" w14:textId="77777777" w:rsidR="00362ACA" w:rsidRDefault="00362ACA" w:rsidP="00362ACA">
      <w:pPr>
        <w:pStyle w:val="paragraph"/>
        <w:spacing w:before="0" w:beforeAutospacing="0" w:after="0" w:afterAutospacing="0"/>
        <w:ind w:left="1440"/>
        <w:textAlignment w:val="baseline"/>
        <w:rPr>
          <w:rFonts w:ascii="Arial" w:hAnsi="Arial" w:cs="Arial"/>
        </w:rPr>
      </w:pPr>
    </w:p>
    <w:p w14:paraId="12B07881" w14:textId="4DD372CD" w:rsidR="00362ACA" w:rsidRDefault="00362ACA" w:rsidP="00362ACA">
      <w:pPr>
        <w:pStyle w:val="paragraph"/>
        <w:spacing w:before="0" w:beforeAutospacing="0" w:after="0" w:afterAutospacing="0"/>
        <w:textAlignment w:val="baseline"/>
        <w:rPr>
          <w:rStyle w:val="eop"/>
          <w:rFonts w:ascii="Arial" w:eastAsiaTheme="minorEastAsia" w:hAnsi="Arial" w:cs="Arial"/>
        </w:rPr>
      </w:pPr>
      <w:r>
        <w:rPr>
          <w:rStyle w:val="normaltextrun"/>
          <w:rFonts w:ascii="Arial" w:hAnsi="Arial" w:cs="Arial"/>
        </w:rPr>
        <w:t>Throughout 2023 Natural England has been undertaking a review of its Evaluation Framework for DLL. The objectives of the review are to:</w:t>
      </w:r>
      <w:r>
        <w:rPr>
          <w:rStyle w:val="eop"/>
          <w:rFonts w:ascii="Arial" w:eastAsiaTheme="minorEastAsia" w:hAnsi="Arial" w:cs="Arial"/>
        </w:rPr>
        <w:t> </w:t>
      </w:r>
    </w:p>
    <w:p w14:paraId="43E81137" w14:textId="77777777" w:rsidR="00362ACA" w:rsidRDefault="00362ACA" w:rsidP="00362ACA">
      <w:pPr>
        <w:pStyle w:val="paragraph"/>
        <w:spacing w:before="0" w:beforeAutospacing="0" w:after="0" w:afterAutospacing="0"/>
        <w:textAlignment w:val="baseline"/>
        <w:rPr>
          <w:rFonts w:ascii="Segoe UI" w:hAnsi="Segoe UI" w:cs="Segoe UI"/>
          <w:sz w:val="18"/>
          <w:szCs w:val="18"/>
        </w:rPr>
      </w:pPr>
    </w:p>
    <w:p w14:paraId="170BA9C8" w14:textId="77777777" w:rsidR="00362ACA" w:rsidRDefault="00362ACA" w:rsidP="00362ACA">
      <w:pPr>
        <w:pStyle w:val="paragraph"/>
        <w:numPr>
          <w:ilvl w:val="1"/>
          <w:numId w:val="17"/>
        </w:numPr>
        <w:spacing w:before="0" w:beforeAutospacing="0" w:after="0" w:afterAutospacing="0"/>
        <w:textAlignment w:val="baseline"/>
        <w:rPr>
          <w:rFonts w:ascii="Arial" w:hAnsi="Arial" w:cs="Arial"/>
        </w:rPr>
      </w:pPr>
      <w:r>
        <w:rPr>
          <w:rStyle w:val="normaltextrun"/>
          <w:rFonts w:ascii="Arial" w:hAnsi="Arial" w:cs="Arial"/>
        </w:rPr>
        <w:t>Review and update, as needed, the Theory of Change</w:t>
      </w:r>
      <w:r>
        <w:rPr>
          <w:rStyle w:val="eop"/>
          <w:rFonts w:ascii="Arial" w:eastAsiaTheme="minorEastAsia" w:hAnsi="Arial" w:cs="Arial"/>
        </w:rPr>
        <w:t> </w:t>
      </w:r>
    </w:p>
    <w:p w14:paraId="357D2AFC" w14:textId="77777777" w:rsidR="00362ACA" w:rsidRDefault="00362ACA" w:rsidP="00362ACA">
      <w:pPr>
        <w:pStyle w:val="paragraph"/>
        <w:numPr>
          <w:ilvl w:val="1"/>
          <w:numId w:val="17"/>
        </w:numPr>
        <w:spacing w:before="0" w:beforeAutospacing="0" w:after="0" w:afterAutospacing="0"/>
        <w:textAlignment w:val="baseline"/>
        <w:rPr>
          <w:rFonts w:ascii="Arial" w:hAnsi="Arial" w:cs="Arial"/>
        </w:rPr>
      </w:pPr>
      <w:r>
        <w:rPr>
          <w:rStyle w:val="normaltextrun"/>
          <w:rFonts w:ascii="Arial" w:hAnsi="Arial" w:cs="Arial"/>
        </w:rPr>
        <w:t>Review and finalise the evaluation framework providing a consistent, focused, and transparent approach for annual and longer-term monitoring, reporting and evaluation. </w:t>
      </w:r>
      <w:r>
        <w:rPr>
          <w:rStyle w:val="eop"/>
          <w:rFonts w:ascii="Arial" w:eastAsiaTheme="minorEastAsia" w:hAnsi="Arial" w:cs="Arial"/>
        </w:rPr>
        <w:t> </w:t>
      </w:r>
    </w:p>
    <w:p w14:paraId="1DE6CA69" w14:textId="7083F864" w:rsidR="00362ACA" w:rsidRPr="00362ACA" w:rsidRDefault="00362ACA" w:rsidP="00362ACA">
      <w:pPr>
        <w:pStyle w:val="paragraph"/>
        <w:numPr>
          <w:ilvl w:val="1"/>
          <w:numId w:val="17"/>
        </w:numPr>
        <w:spacing w:before="0" w:beforeAutospacing="0" w:after="0" w:afterAutospacing="0"/>
        <w:textAlignment w:val="baseline"/>
        <w:rPr>
          <w:rStyle w:val="eop"/>
          <w:rFonts w:ascii="Arial" w:hAnsi="Arial" w:cs="Arial"/>
        </w:rPr>
      </w:pPr>
      <w:r>
        <w:rPr>
          <w:rStyle w:val="normaltextrun"/>
          <w:rFonts w:ascii="Arial" w:hAnsi="Arial" w:cs="Arial"/>
        </w:rPr>
        <w:t>Review the monitoring strategy ensuring alignment with the evaluation framework to facilitate its population. </w:t>
      </w:r>
      <w:r>
        <w:rPr>
          <w:rStyle w:val="eop"/>
          <w:rFonts w:ascii="Arial" w:eastAsiaTheme="minorEastAsia" w:hAnsi="Arial" w:cs="Arial"/>
        </w:rPr>
        <w:t> </w:t>
      </w:r>
    </w:p>
    <w:p w14:paraId="11DD05D9" w14:textId="77777777" w:rsidR="00362ACA" w:rsidRDefault="00362ACA" w:rsidP="00362ACA">
      <w:pPr>
        <w:pStyle w:val="paragraph"/>
        <w:spacing w:before="0" w:beforeAutospacing="0" w:after="0" w:afterAutospacing="0"/>
        <w:ind w:left="1080"/>
        <w:textAlignment w:val="baseline"/>
        <w:rPr>
          <w:rFonts w:ascii="Arial" w:hAnsi="Arial" w:cs="Arial"/>
        </w:rPr>
      </w:pPr>
    </w:p>
    <w:p w14:paraId="39EFCED9" w14:textId="34EF11BC" w:rsidR="00362ACA" w:rsidRDefault="00362ACA" w:rsidP="00362ACA">
      <w:pPr>
        <w:pStyle w:val="paragraph"/>
        <w:spacing w:before="0" w:beforeAutospacing="0" w:after="0" w:afterAutospacing="0"/>
        <w:textAlignment w:val="baseline"/>
        <w:rPr>
          <w:rStyle w:val="eop"/>
          <w:rFonts w:ascii="Arial" w:eastAsiaTheme="minorEastAsia" w:hAnsi="Arial" w:cs="Arial"/>
        </w:rPr>
      </w:pPr>
      <w:r>
        <w:rPr>
          <w:rStyle w:val="normaltextrun"/>
          <w:rFonts w:ascii="Arial" w:hAnsi="Arial" w:cs="Arial"/>
        </w:rPr>
        <w:t>The final stage of the review will be to:</w:t>
      </w:r>
      <w:r>
        <w:rPr>
          <w:rStyle w:val="eop"/>
          <w:rFonts w:ascii="Arial" w:eastAsiaTheme="minorEastAsia" w:hAnsi="Arial" w:cs="Arial"/>
        </w:rPr>
        <w:t> </w:t>
      </w:r>
    </w:p>
    <w:p w14:paraId="528833F6" w14:textId="77777777" w:rsidR="00362ACA" w:rsidRDefault="00362ACA" w:rsidP="00362ACA">
      <w:pPr>
        <w:pStyle w:val="paragraph"/>
        <w:spacing w:before="0" w:beforeAutospacing="0" w:after="0" w:afterAutospacing="0"/>
        <w:textAlignment w:val="baseline"/>
        <w:rPr>
          <w:rFonts w:ascii="Segoe UI" w:hAnsi="Segoe UI" w:cs="Segoe UI"/>
          <w:sz w:val="18"/>
          <w:szCs w:val="18"/>
        </w:rPr>
      </w:pPr>
    </w:p>
    <w:p w14:paraId="3FDF3738" w14:textId="77777777" w:rsidR="00362ACA" w:rsidRDefault="00362ACA" w:rsidP="00362ACA">
      <w:pPr>
        <w:pStyle w:val="paragraph"/>
        <w:numPr>
          <w:ilvl w:val="1"/>
          <w:numId w:val="18"/>
        </w:numPr>
        <w:spacing w:before="0" w:beforeAutospacing="0" w:after="0" w:afterAutospacing="0"/>
        <w:textAlignment w:val="baseline"/>
        <w:rPr>
          <w:rFonts w:ascii="Arial" w:hAnsi="Arial" w:cs="Arial"/>
        </w:rPr>
      </w:pPr>
      <w:r>
        <w:rPr>
          <w:rStyle w:val="normaltextrun"/>
          <w:rFonts w:ascii="Arial" w:hAnsi="Arial" w:cs="Arial"/>
        </w:rPr>
        <w:t>Produce procedure-level guidance to support consistent and robust implementation of the monitoring strategy and evaluation framework.</w:t>
      </w:r>
      <w:r>
        <w:rPr>
          <w:rStyle w:val="eop"/>
          <w:rFonts w:ascii="Arial" w:eastAsiaTheme="minorEastAsia" w:hAnsi="Arial" w:cs="Arial"/>
        </w:rPr>
        <w:t> </w:t>
      </w:r>
    </w:p>
    <w:p w14:paraId="351086E7" w14:textId="4A0CA848"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3A3D" w14:textId="77777777" w:rsidR="00F364D2" w:rsidRDefault="00F364D2" w:rsidP="006D4D44">
      <w:r>
        <w:separator/>
      </w:r>
    </w:p>
  </w:endnote>
  <w:endnote w:type="continuationSeparator" w:id="0">
    <w:p w14:paraId="67394EBB" w14:textId="77777777" w:rsidR="00F364D2" w:rsidRDefault="00F364D2" w:rsidP="006D4D44">
      <w:r>
        <w:continuationSeparator/>
      </w:r>
    </w:p>
  </w:endnote>
  <w:endnote w:type="continuationNotice" w:id="1">
    <w:p w14:paraId="1B82E720" w14:textId="77777777" w:rsidR="00F364D2" w:rsidRDefault="00F3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0578" w14:textId="77777777" w:rsidR="00F364D2" w:rsidRDefault="00F364D2" w:rsidP="006D4D44">
      <w:r>
        <w:separator/>
      </w:r>
    </w:p>
  </w:footnote>
  <w:footnote w:type="continuationSeparator" w:id="0">
    <w:p w14:paraId="06854ABD" w14:textId="77777777" w:rsidR="00F364D2" w:rsidRDefault="00F364D2" w:rsidP="006D4D44">
      <w:r>
        <w:continuationSeparator/>
      </w:r>
    </w:p>
  </w:footnote>
  <w:footnote w:type="continuationNotice" w:id="1">
    <w:p w14:paraId="4B2683E5" w14:textId="77777777" w:rsidR="00F364D2" w:rsidRDefault="00F364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5AD5F4E"/>
    <w:multiLevelType w:val="multilevel"/>
    <w:tmpl w:val="48D47F9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11A63AE2"/>
    <w:multiLevelType w:val="multilevel"/>
    <w:tmpl w:val="48D47F9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EA9012A"/>
    <w:multiLevelType w:val="multilevel"/>
    <w:tmpl w:val="887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2323E"/>
    <w:multiLevelType w:val="multilevel"/>
    <w:tmpl w:val="4FA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967BCC"/>
    <w:multiLevelType w:val="multilevel"/>
    <w:tmpl w:val="48D47F9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C2C29"/>
    <w:multiLevelType w:val="multilevel"/>
    <w:tmpl w:val="48D47F9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4"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2"/>
  </w:num>
  <w:num w:numId="2" w16cid:durableId="48959668">
    <w:abstractNumId w:val="7"/>
  </w:num>
  <w:num w:numId="3" w16cid:durableId="1865634184">
    <w:abstractNumId w:val="5"/>
  </w:num>
  <w:num w:numId="4" w16cid:durableId="1817600806">
    <w:abstractNumId w:val="9"/>
  </w:num>
  <w:num w:numId="5" w16cid:durableId="1411125109">
    <w:abstractNumId w:val="3"/>
  </w:num>
  <w:num w:numId="6" w16cid:durableId="1032612986">
    <w:abstractNumId w:val="14"/>
  </w:num>
  <w:num w:numId="7" w16cid:durableId="57559465">
    <w:abstractNumId w:val="16"/>
  </w:num>
  <w:num w:numId="8" w16cid:durableId="1106075539">
    <w:abstractNumId w:val="15"/>
  </w:num>
  <w:num w:numId="9" w16cid:durableId="385764938">
    <w:abstractNumId w:val="0"/>
  </w:num>
  <w:num w:numId="10" w16cid:durableId="1917786695">
    <w:abstractNumId w:val="17"/>
  </w:num>
  <w:num w:numId="11" w16cid:durableId="2083286213">
    <w:abstractNumId w:val="6"/>
  </w:num>
  <w:num w:numId="12" w16cid:durableId="241069624">
    <w:abstractNumId w:val="8"/>
  </w:num>
  <w:num w:numId="13" w16cid:durableId="98642746">
    <w:abstractNumId w:val="2"/>
  </w:num>
  <w:num w:numId="14" w16cid:durableId="2051565455">
    <w:abstractNumId w:val="4"/>
  </w:num>
  <w:num w:numId="15" w16cid:durableId="828058623">
    <w:abstractNumId w:val="10"/>
  </w:num>
  <w:num w:numId="16" w16cid:durableId="430704779">
    <w:abstractNumId w:val="13"/>
  </w:num>
  <w:num w:numId="17" w16cid:durableId="1747411650">
    <w:abstractNumId w:val="1"/>
  </w:num>
  <w:num w:numId="18" w16cid:durableId="1001350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37857"/>
    <w:rsid w:val="000465D8"/>
    <w:rsid w:val="000500E2"/>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2ACA"/>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364D2"/>
    <w:rsid w:val="00F41BF3"/>
    <w:rsid w:val="00F476E9"/>
    <w:rsid w:val="00F5113F"/>
    <w:rsid w:val="00F52B8D"/>
    <w:rsid w:val="00F55C82"/>
    <w:rsid w:val="00F60A5A"/>
    <w:rsid w:val="00F622CE"/>
    <w:rsid w:val="00F703C7"/>
    <w:rsid w:val="00F73689"/>
    <w:rsid w:val="00F76444"/>
    <w:rsid w:val="00F77094"/>
    <w:rsid w:val="00F81522"/>
    <w:rsid w:val="00F8541A"/>
    <w:rsid w:val="00FA2C69"/>
    <w:rsid w:val="00FA703D"/>
    <w:rsid w:val="00FD435B"/>
    <w:rsid w:val="00FD57F2"/>
    <w:rsid w:val="00FD61F7"/>
    <w:rsid w:val="00FD7AA5"/>
    <w:rsid w:val="00FF5115"/>
    <w:rsid w:val="13F7689A"/>
    <w:rsid w:val="2DA333D3"/>
    <w:rsid w:val="31EF1690"/>
    <w:rsid w:val="45CC5708"/>
    <w:rsid w:val="6063F7AE"/>
    <w:rsid w:val="6855E1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362AC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362ACA"/>
  </w:style>
  <w:style w:type="character" w:customStyle="1" w:styleId="eop">
    <w:name w:val="eop"/>
    <w:basedOn w:val="DefaultParagraphFont"/>
    <w:rsid w:val="0036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868063670">
      <w:bodyDiv w:val="1"/>
      <w:marLeft w:val="0"/>
      <w:marRight w:val="0"/>
      <w:marTop w:val="0"/>
      <w:marBottom w:val="0"/>
      <w:divBdr>
        <w:top w:val="none" w:sz="0" w:space="0" w:color="auto"/>
        <w:left w:val="none" w:sz="0" w:space="0" w:color="auto"/>
        <w:bottom w:val="none" w:sz="0" w:space="0" w:color="auto"/>
        <w:right w:val="none" w:sz="0" w:space="0" w:color="auto"/>
      </w:divBdr>
      <w:divsChild>
        <w:div w:id="2072462312">
          <w:marLeft w:val="0"/>
          <w:marRight w:val="0"/>
          <w:marTop w:val="0"/>
          <w:marBottom w:val="0"/>
          <w:divBdr>
            <w:top w:val="none" w:sz="0" w:space="0" w:color="auto"/>
            <w:left w:val="none" w:sz="0" w:space="0" w:color="auto"/>
            <w:bottom w:val="none" w:sz="0" w:space="0" w:color="auto"/>
            <w:right w:val="none" w:sz="0" w:space="0" w:color="auto"/>
          </w:divBdr>
        </w:div>
        <w:div w:id="1099523424">
          <w:marLeft w:val="0"/>
          <w:marRight w:val="0"/>
          <w:marTop w:val="0"/>
          <w:marBottom w:val="0"/>
          <w:divBdr>
            <w:top w:val="none" w:sz="0" w:space="0" w:color="auto"/>
            <w:left w:val="none" w:sz="0" w:space="0" w:color="auto"/>
            <w:bottom w:val="none" w:sz="0" w:space="0" w:color="auto"/>
            <w:right w:val="none" w:sz="0" w:space="0" w:color="auto"/>
          </w:divBdr>
        </w:div>
        <w:div w:id="86536980">
          <w:marLeft w:val="0"/>
          <w:marRight w:val="0"/>
          <w:marTop w:val="0"/>
          <w:marBottom w:val="0"/>
          <w:divBdr>
            <w:top w:val="none" w:sz="0" w:space="0" w:color="auto"/>
            <w:left w:val="none" w:sz="0" w:space="0" w:color="auto"/>
            <w:bottom w:val="none" w:sz="0" w:space="0" w:color="auto"/>
            <w:right w:val="none" w:sz="0" w:space="0" w:color="auto"/>
          </w:divBdr>
          <w:divsChild>
            <w:div w:id="1281915539">
              <w:marLeft w:val="0"/>
              <w:marRight w:val="0"/>
              <w:marTop w:val="0"/>
              <w:marBottom w:val="0"/>
              <w:divBdr>
                <w:top w:val="none" w:sz="0" w:space="0" w:color="auto"/>
                <w:left w:val="none" w:sz="0" w:space="0" w:color="auto"/>
                <w:bottom w:val="none" w:sz="0" w:space="0" w:color="auto"/>
                <w:right w:val="none" w:sz="0" w:space="0" w:color="auto"/>
              </w:divBdr>
            </w:div>
            <w:div w:id="2094157212">
              <w:marLeft w:val="0"/>
              <w:marRight w:val="0"/>
              <w:marTop w:val="0"/>
              <w:marBottom w:val="0"/>
              <w:divBdr>
                <w:top w:val="none" w:sz="0" w:space="0" w:color="auto"/>
                <w:left w:val="none" w:sz="0" w:space="0" w:color="auto"/>
                <w:bottom w:val="none" w:sz="0" w:space="0" w:color="auto"/>
                <w:right w:val="none" w:sz="0" w:space="0" w:color="auto"/>
              </w:divBdr>
            </w:div>
            <w:div w:id="1925721865">
              <w:marLeft w:val="0"/>
              <w:marRight w:val="0"/>
              <w:marTop w:val="0"/>
              <w:marBottom w:val="0"/>
              <w:divBdr>
                <w:top w:val="none" w:sz="0" w:space="0" w:color="auto"/>
                <w:left w:val="none" w:sz="0" w:space="0" w:color="auto"/>
                <w:bottom w:val="none" w:sz="0" w:space="0" w:color="auto"/>
                <w:right w:val="none" w:sz="0" w:space="0" w:color="auto"/>
              </w:divBdr>
            </w:div>
            <w:div w:id="2085715666">
              <w:marLeft w:val="0"/>
              <w:marRight w:val="0"/>
              <w:marTop w:val="0"/>
              <w:marBottom w:val="0"/>
              <w:divBdr>
                <w:top w:val="none" w:sz="0" w:space="0" w:color="auto"/>
                <w:left w:val="none" w:sz="0" w:space="0" w:color="auto"/>
                <w:bottom w:val="none" w:sz="0" w:space="0" w:color="auto"/>
                <w:right w:val="none" w:sz="0" w:space="0" w:color="auto"/>
              </w:divBdr>
            </w:div>
            <w:div w:id="1747649539">
              <w:marLeft w:val="0"/>
              <w:marRight w:val="0"/>
              <w:marTop w:val="0"/>
              <w:marBottom w:val="0"/>
              <w:divBdr>
                <w:top w:val="none" w:sz="0" w:space="0" w:color="auto"/>
                <w:left w:val="none" w:sz="0" w:space="0" w:color="auto"/>
                <w:bottom w:val="none" w:sz="0" w:space="0" w:color="auto"/>
                <w:right w:val="none" w:sz="0" w:space="0" w:color="auto"/>
              </w:divBdr>
            </w:div>
            <w:div w:id="1607493906">
              <w:marLeft w:val="0"/>
              <w:marRight w:val="0"/>
              <w:marTop w:val="0"/>
              <w:marBottom w:val="0"/>
              <w:divBdr>
                <w:top w:val="none" w:sz="0" w:space="0" w:color="auto"/>
                <w:left w:val="none" w:sz="0" w:space="0" w:color="auto"/>
                <w:bottom w:val="none" w:sz="0" w:space="0" w:color="auto"/>
                <w:right w:val="none" w:sz="0" w:space="0" w:color="auto"/>
              </w:divBdr>
            </w:div>
            <w:div w:id="1838419419">
              <w:marLeft w:val="0"/>
              <w:marRight w:val="0"/>
              <w:marTop w:val="0"/>
              <w:marBottom w:val="0"/>
              <w:divBdr>
                <w:top w:val="none" w:sz="0" w:space="0" w:color="auto"/>
                <w:left w:val="none" w:sz="0" w:space="0" w:color="auto"/>
                <w:bottom w:val="none" w:sz="0" w:space="0" w:color="auto"/>
                <w:right w:val="none" w:sz="0" w:space="0" w:color="auto"/>
              </w:divBdr>
            </w:div>
            <w:div w:id="282536429">
              <w:marLeft w:val="0"/>
              <w:marRight w:val="0"/>
              <w:marTop w:val="0"/>
              <w:marBottom w:val="0"/>
              <w:divBdr>
                <w:top w:val="none" w:sz="0" w:space="0" w:color="auto"/>
                <w:left w:val="none" w:sz="0" w:space="0" w:color="auto"/>
                <w:bottom w:val="none" w:sz="0" w:space="0" w:color="auto"/>
                <w:right w:val="none" w:sz="0" w:space="0" w:color="auto"/>
              </w:divBdr>
            </w:div>
            <w:div w:id="1847281222">
              <w:marLeft w:val="0"/>
              <w:marRight w:val="0"/>
              <w:marTop w:val="0"/>
              <w:marBottom w:val="0"/>
              <w:divBdr>
                <w:top w:val="none" w:sz="0" w:space="0" w:color="auto"/>
                <w:left w:val="none" w:sz="0" w:space="0" w:color="auto"/>
                <w:bottom w:val="none" w:sz="0" w:space="0" w:color="auto"/>
                <w:right w:val="none" w:sz="0" w:space="0" w:color="auto"/>
              </w:divBdr>
            </w:div>
            <w:div w:id="212547390">
              <w:marLeft w:val="0"/>
              <w:marRight w:val="0"/>
              <w:marTop w:val="0"/>
              <w:marBottom w:val="0"/>
              <w:divBdr>
                <w:top w:val="none" w:sz="0" w:space="0" w:color="auto"/>
                <w:left w:val="none" w:sz="0" w:space="0" w:color="auto"/>
                <w:bottom w:val="none" w:sz="0" w:space="0" w:color="auto"/>
                <w:right w:val="none" w:sz="0" w:space="0" w:color="auto"/>
              </w:divBdr>
            </w:div>
            <w:div w:id="1699816288">
              <w:marLeft w:val="0"/>
              <w:marRight w:val="0"/>
              <w:marTop w:val="0"/>
              <w:marBottom w:val="0"/>
              <w:divBdr>
                <w:top w:val="none" w:sz="0" w:space="0" w:color="auto"/>
                <w:left w:val="none" w:sz="0" w:space="0" w:color="auto"/>
                <w:bottom w:val="none" w:sz="0" w:space="0" w:color="auto"/>
                <w:right w:val="none" w:sz="0" w:space="0" w:color="auto"/>
              </w:divBdr>
            </w:div>
            <w:div w:id="1536116862">
              <w:marLeft w:val="0"/>
              <w:marRight w:val="0"/>
              <w:marTop w:val="0"/>
              <w:marBottom w:val="0"/>
              <w:divBdr>
                <w:top w:val="none" w:sz="0" w:space="0" w:color="auto"/>
                <w:left w:val="none" w:sz="0" w:space="0" w:color="auto"/>
                <w:bottom w:val="none" w:sz="0" w:space="0" w:color="auto"/>
                <w:right w:val="none" w:sz="0" w:space="0" w:color="auto"/>
              </w:divBdr>
            </w:div>
            <w:div w:id="461774828">
              <w:marLeft w:val="0"/>
              <w:marRight w:val="0"/>
              <w:marTop w:val="0"/>
              <w:marBottom w:val="0"/>
              <w:divBdr>
                <w:top w:val="none" w:sz="0" w:space="0" w:color="auto"/>
                <w:left w:val="none" w:sz="0" w:space="0" w:color="auto"/>
                <w:bottom w:val="none" w:sz="0" w:space="0" w:color="auto"/>
                <w:right w:val="none" w:sz="0" w:space="0" w:color="auto"/>
              </w:divBdr>
            </w:div>
            <w:div w:id="21358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natural-england"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 PreviousValue="false" LastSyncTimeStamp="2022-12-23T11:43:36.90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65adc058-51a4-455e-9045-f031554c680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2F1F47ECE3FA44EAB3E8166330021B7" ma:contentTypeVersion="13" ma:contentTypeDescription="Create a new document." ma:contentTypeScope="" ma:versionID="4aab47173b4d54a52499ab3c58e4adec">
  <xsd:schema xmlns:xsd="http://www.w3.org/2001/XMLSchema" xmlns:xs="http://www.w3.org/2001/XMLSchema" xmlns:p="http://schemas.microsoft.com/office/2006/metadata/properties" xmlns:ns2="65adc058-51a4-455e-9045-f031554c680f" xmlns:ns3="662745e8-e224-48e8-a2e3-254862b8c2f5" xmlns:ns4="c564a0ec-def4-4bb1-b68f-3b2dc6d7dbbb" targetNamespace="http://schemas.microsoft.com/office/2006/metadata/properties" ma:root="true" ma:fieldsID="ceb599ac04d5875197c8284943cfdd16" ns2:_="" ns3:_="" ns4:_="">
    <xsd:import namespace="65adc058-51a4-455e-9045-f031554c680f"/>
    <xsd:import namespace="662745e8-e224-48e8-a2e3-254862b8c2f5"/>
    <xsd:import namespace="c564a0ec-def4-4bb1-b68f-3b2dc6d7db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dc058-51a4-455e-9045-f031554c6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c0f4d-af11-4fc0-b66a-b99ff3c3af81}" ma:internalName="TaxCatchAll" ma:showField="CatchAllData" ma:web="c564a0ec-def4-4bb1-b68f-3b2dc6d7db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4a0ec-def4-4bb1-b68f-3b2dc6d7db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B4073-E64B-4074-876D-D5FCC3CEDC30}">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65adc058-51a4-455e-9045-f031554c680f"/>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8A3CBE52-7F90-4C47-9134-647D9A47F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dc058-51a4-455e-9045-f031554c680f"/>
    <ds:schemaRef ds:uri="662745e8-e224-48e8-a2e3-254862b8c2f5"/>
    <ds:schemaRef ds:uri="c564a0ec-def4-4bb1-b68f-3b2dc6d7d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1420</Words>
  <Characters>8095</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Hooper, Jennifer</cp:lastModifiedBy>
  <cp:revision>2</cp:revision>
  <dcterms:created xsi:type="dcterms:W3CDTF">2023-11-22T09:38:00Z</dcterms:created>
  <dcterms:modified xsi:type="dcterms:W3CDTF">2023-11-22T09:38:00Z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0x010100A2F1F47ECE3FA44EAB3E8166330021B7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