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2FEB1E86"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West Penwith Moors and Downs: Groundwater Quality Monitoring Strategy</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1B34D25B" w:rsidR="000014E4" w:rsidRPr="004A2400" w:rsidRDefault="00676B16" w:rsidP="000014E4">
      <w:pPr>
        <w:spacing w:after="240" w:line="259" w:lineRule="auto"/>
        <w:rPr>
          <w:rFonts w:ascii="Arial" w:hAnsi="Arial"/>
          <w:sz w:val="26"/>
          <w:szCs w:val="26"/>
        </w:rPr>
      </w:pPr>
      <w:r>
        <w:rPr>
          <w:rFonts w:ascii="Arial" w:hAnsi="Arial" w:cs="Arial"/>
          <w:b/>
          <w:sz w:val="26"/>
          <w:szCs w:val="26"/>
        </w:rPr>
        <w:t>5th</w:t>
      </w:r>
      <w:r w:rsidR="00025017" w:rsidRPr="004A2400">
        <w:rPr>
          <w:rFonts w:ascii="Arial" w:hAnsi="Arial" w:cs="Arial"/>
          <w:b/>
          <w:sz w:val="26"/>
          <w:szCs w:val="26"/>
        </w:rPr>
        <w:t xml:space="preserve"> </w:t>
      </w:r>
      <w:r w:rsidR="00212083">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85F500A" w:rsidR="000014E4" w:rsidRPr="000014E4" w:rsidRDefault="000014E4" w:rsidP="00025017">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77777777"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West Penwith Moors and Downs: Groundwater Quality Monitoring Strategy</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676B16"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66FC2DCD"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Date: </w:t>
      </w:r>
      <w:r w:rsidR="00953A34" w:rsidRPr="00676B16">
        <w:rPr>
          <w:rFonts w:ascii="Arial" w:hAnsi="Arial" w:cs="Arial"/>
          <w:b/>
          <w:sz w:val="24"/>
          <w:szCs w:val="24"/>
        </w:rPr>
        <w:t>1</w:t>
      </w:r>
      <w:r w:rsidR="00676B16" w:rsidRPr="00676B16">
        <w:rPr>
          <w:rFonts w:ascii="Arial" w:hAnsi="Arial" w:cs="Arial"/>
          <w:b/>
          <w:sz w:val="24"/>
          <w:szCs w:val="24"/>
        </w:rPr>
        <w:t>9</w:t>
      </w:r>
      <w:r w:rsidRPr="00676B16">
        <w:rPr>
          <w:rFonts w:ascii="Arial" w:hAnsi="Arial" w:cs="Arial"/>
          <w:b/>
          <w:sz w:val="24"/>
          <w:szCs w:val="24"/>
        </w:rPr>
        <w:t>/</w:t>
      </w:r>
      <w:r w:rsidR="00025017" w:rsidRPr="00676B16">
        <w:rPr>
          <w:rFonts w:ascii="Arial" w:hAnsi="Arial" w:cs="Arial"/>
          <w:b/>
          <w:sz w:val="24"/>
          <w:szCs w:val="24"/>
        </w:rPr>
        <w:t>10</w:t>
      </w:r>
      <w:r w:rsidRPr="00676B16">
        <w:rPr>
          <w:rFonts w:ascii="Arial" w:hAnsi="Arial" w:cs="Arial"/>
          <w:b/>
          <w:sz w:val="24"/>
          <w:szCs w:val="24"/>
        </w:rPr>
        <w:t>/</w:t>
      </w:r>
      <w:r w:rsidR="00025017" w:rsidRPr="00676B16">
        <w:rPr>
          <w:rFonts w:ascii="Arial" w:hAnsi="Arial" w:cs="Arial"/>
          <w:b/>
          <w:sz w:val="24"/>
          <w:szCs w:val="24"/>
        </w:rPr>
        <w:t>2023</w:t>
      </w:r>
    </w:p>
    <w:p w14:paraId="4A04E4EC" w14:textId="6FA59DCF"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Time: </w:t>
      </w:r>
      <w:r w:rsidR="00212083" w:rsidRPr="00676B16">
        <w:rPr>
          <w:rFonts w:ascii="Arial" w:hAnsi="Arial" w:cs="Arial"/>
          <w:b/>
          <w:sz w:val="24"/>
          <w:szCs w:val="24"/>
        </w:rPr>
        <w:t>12</w:t>
      </w:r>
      <w:r w:rsidR="00025017" w:rsidRPr="00676B16">
        <w:rPr>
          <w:rFonts w:ascii="Arial" w:hAnsi="Arial" w:cs="Arial"/>
          <w:b/>
          <w:sz w:val="24"/>
          <w:szCs w:val="24"/>
        </w:rPr>
        <w:t>:</w:t>
      </w:r>
      <w:r w:rsidR="00212083" w:rsidRPr="00676B16">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56186D13" w:rsidR="000014E4" w:rsidRPr="00750186" w:rsidRDefault="00025017" w:rsidP="000014E4">
      <w:pPr>
        <w:spacing w:after="240" w:line="259" w:lineRule="auto"/>
        <w:rPr>
          <w:rFonts w:ascii="Arial" w:hAnsi="Arial" w:cs="Arial"/>
          <w:b/>
          <w:sz w:val="24"/>
          <w:szCs w:val="24"/>
        </w:rPr>
      </w:pPr>
      <w:r w:rsidRPr="009E54A0">
        <w:rPr>
          <w:rFonts w:ascii="Arial" w:hAnsi="Arial" w:cs="Arial"/>
          <w:bCs/>
          <w:sz w:val="24"/>
          <w:szCs w:val="24"/>
        </w:rPr>
        <w:t>James Wilkinson</w:t>
      </w:r>
      <w:r w:rsidRPr="009E54A0">
        <w:rPr>
          <w:rFonts w:ascii="Arial" w:hAnsi="Arial" w:cs="Arial"/>
          <w:b/>
          <w:sz w:val="24"/>
          <w:szCs w:val="24"/>
        </w:rPr>
        <w:t xml:space="preserve"> </w:t>
      </w:r>
      <w:hyperlink r:id="rId14" w:history="1">
        <w:r w:rsidR="009E54A0" w:rsidRPr="00750186">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Pr="009E54A0">
        <w:rPr>
          <w:rFonts w:ascii="Arial" w:hAnsi="Arial" w:cs="Arial"/>
          <w:bCs/>
          <w:sz w:val="24"/>
          <w:szCs w:val="24"/>
        </w:rPr>
        <w:t>and</w:t>
      </w:r>
      <w:r>
        <w:rPr>
          <w:rFonts w:ascii="Arial" w:hAnsi="Arial" w:cs="Arial"/>
          <w:b/>
          <w:color w:val="D9262E"/>
          <w:sz w:val="24"/>
          <w:szCs w:val="24"/>
        </w:rPr>
        <w:t xml:space="preserve"> </w:t>
      </w:r>
      <w:r w:rsidRPr="009E54A0">
        <w:rPr>
          <w:rFonts w:ascii="Arial" w:hAnsi="Arial" w:cs="Arial"/>
          <w:bCs/>
          <w:sz w:val="24"/>
          <w:szCs w:val="24"/>
        </w:rPr>
        <w:t>Helen Wake</w:t>
      </w:r>
      <w:r w:rsidR="00750186">
        <w:rPr>
          <w:rFonts w:ascii="Arial" w:hAnsi="Arial" w:cs="Arial"/>
          <w:b/>
          <w:sz w:val="24"/>
          <w:szCs w:val="24"/>
        </w:rPr>
        <w:t xml:space="preserve"> </w:t>
      </w:r>
      <w:hyperlink r:id="rId15" w:history="1">
        <w:r w:rsidR="00750186" w:rsidRPr="00750186">
          <w:rPr>
            <w:rStyle w:val="Hyperlink"/>
            <w:rFonts w:ascii="Arial" w:hAnsi="Arial" w:cs="Arial"/>
            <w:bCs/>
            <w:sz w:val="24"/>
            <w:szCs w:val="24"/>
          </w:rPr>
          <w:t>helen.wake@naturalengland.org.uk</w:t>
        </w:r>
      </w:hyperlink>
      <w:r w:rsidR="009E54A0" w:rsidRPr="00750186">
        <w:rPr>
          <w:rFonts w:ascii="Arial" w:hAnsi="Arial" w:cs="Arial"/>
          <w:bCs/>
          <w:color w:val="1308F8"/>
          <w:sz w:val="24"/>
          <w:szCs w:val="24"/>
        </w:rPr>
        <w:t>,</w:t>
      </w:r>
      <w:r w:rsidR="000014E4" w:rsidRPr="000014E4">
        <w:rPr>
          <w:rFonts w:ascii="Arial" w:hAnsi="Arial"/>
          <w:color w:val="000000"/>
          <w:sz w:val="24"/>
          <w:szCs w:val="24"/>
        </w:rPr>
        <w:t xml:space="preserve"> will be your contact</w:t>
      </w:r>
      <w:r>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sidR="00180E62">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0FA89887" w:rsidR="000014E4" w:rsidRPr="00676B16" w:rsidRDefault="00025017" w:rsidP="000014E4">
            <w:pPr>
              <w:rPr>
                <w:color w:val="auto"/>
                <w:sz w:val="24"/>
                <w:szCs w:val="24"/>
              </w:rPr>
            </w:pPr>
            <w:r w:rsidRPr="00676B16">
              <w:rPr>
                <w:rFonts w:cs="Arial"/>
                <w:b/>
                <w:color w:val="auto"/>
                <w:sz w:val="24"/>
                <w:szCs w:val="24"/>
              </w:rPr>
              <w:t>0</w:t>
            </w:r>
            <w:r w:rsidR="00676B16" w:rsidRPr="00676B16">
              <w:rPr>
                <w:rFonts w:cs="Arial"/>
                <w:b/>
                <w:color w:val="auto"/>
                <w:sz w:val="24"/>
                <w:szCs w:val="24"/>
              </w:rPr>
              <w:t>5</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at </w:t>
            </w:r>
            <w:r w:rsidRPr="00676B16">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072A7529" w:rsidR="000014E4" w:rsidRPr="00676B16" w:rsidRDefault="00025017" w:rsidP="000014E4">
            <w:pPr>
              <w:rPr>
                <w:rFonts w:cs="Arial"/>
                <w:b/>
                <w:color w:val="auto"/>
                <w:sz w:val="24"/>
                <w:szCs w:val="24"/>
              </w:rPr>
            </w:pPr>
            <w:r w:rsidRPr="00676B16">
              <w:rPr>
                <w:rFonts w:cs="Arial"/>
                <w:b/>
                <w:color w:val="auto"/>
                <w:sz w:val="24"/>
                <w:szCs w:val="24"/>
              </w:rPr>
              <w:t>1</w:t>
            </w:r>
            <w:r w:rsidR="00676B16" w:rsidRPr="00676B16">
              <w:rPr>
                <w:rFonts w:cs="Arial"/>
                <w:b/>
                <w:color w:val="auto"/>
                <w:sz w:val="24"/>
                <w:szCs w:val="24"/>
              </w:rPr>
              <w:t>8</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r w:rsidR="000014E4" w:rsidRPr="00676B16">
              <w:rPr>
                <w:rFonts w:cs="Arial"/>
                <w:b/>
                <w:color w:val="auto"/>
                <w:sz w:val="24"/>
                <w:szCs w:val="24"/>
              </w:rPr>
              <w:t xml:space="preserve"> </w:t>
            </w:r>
            <w:r w:rsidR="000014E4" w:rsidRPr="00676B16">
              <w:rPr>
                <w:color w:val="auto"/>
                <w:sz w:val="24"/>
                <w:szCs w:val="24"/>
              </w:rPr>
              <w:t xml:space="preserve">at </w:t>
            </w:r>
            <w:r w:rsidRPr="00676B16">
              <w:rPr>
                <w:b/>
                <w:bCs/>
                <w:color w:val="auto"/>
                <w:sz w:val="24"/>
                <w:szCs w:val="24"/>
              </w:rPr>
              <w:t>17:00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02D10B22" w:rsidR="000014E4" w:rsidRPr="00676B16" w:rsidRDefault="00025017" w:rsidP="000014E4">
            <w:pPr>
              <w:rPr>
                <w:color w:val="auto"/>
                <w:sz w:val="24"/>
                <w:szCs w:val="24"/>
              </w:rPr>
            </w:pPr>
            <w:r w:rsidRPr="00676B16">
              <w:rPr>
                <w:rFonts w:cs="Arial"/>
                <w:b/>
                <w:color w:val="auto"/>
                <w:sz w:val="24"/>
                <w:szCs w:val="24"/>
              </w:rPr>
              <w:t>1</w:t>
            </w:r>
            <w:r w:rsidR="00676B16" w:rsidRPr="00676B16">
              <w:rPr>
                <w:rFonts w:cs="Arial"/>
                <w:b/>
                <w:color w:val="auto"/>
                <w:sz w:val="24"/>
                <w:szCs w:val="24"/>
              </w:rPr>
              <w:t>9</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at </w:t>
            </w:r>
            <w:r w:rsidR="00CF78D9" w:rsidRPr="00676B16">
              <w:rPr>
                <w:rFonts w:cs="Arial"/>
                <w:b/>
                <w:color w:val="auto"/>
                <w:sz w:val="24"/>
                <w:szCs w:val="24"/>
              </w:rPr>
              <w:t>12:00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266F8E81" w:rsidR="000014E4" w:rsidRPr="00676B16" w:rsidRDefault="0062645C" w:rsidP="000014E4">
            <w:pPr>
              <w:rPr>
                <w:rFonts w:cs="Arial"/>
                <w:b/>
                <w:color w:val="auto"/>
                <w:sz w:val="24"/>
                <w:szCs w:val="24"/>
              </w:rPr>
            </w:pPr>
            <w:r w:rsidRPr="00676B16">
              <w:rPr>
                <w:rFonts w:cs="Arial"/>
                <w:b/>
                <w:color w:val="auto"/>
                <w:sz w:val="24"/>
                <w:szCs w:val="24"/>
              </w:rPr>
              <w:t>2</w:t>
            </w:r>
            <w:r w:rsidR="00CF78D9" w:rsidRPr="00676B16">
              <w:rPr>
                <w:rFonts w:cs="Arial"/>
                <w:b/>
                <w:color w:val="auto"/>
                <w:sz w:val="24"/>
                <w:szCs w:val="24"/>
              </w:rPr>
              <w:t>3</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03CA47B1" w:rsidR="000014E4" w:rsidRPr="00676B16" w:rsidRDefault="0062645C" w:rsidP="000014E4">
            <w:pPr>
              <w:rPr>
                <w:rFonts w:cs="Arial"/>
                <w:b/>
                <w:color w:val="auto"/>
                <w:sz w:val="24"/>
                <w:szCs w:val="24"/>
              </w:rPr>
            </w:pPr>
            <w:r w:rsidRPr="00676B16">
              <w:rPr>
                <w:rFonts w:cs="Arial"/>
                <w:b/>
                <w:color w:val="auto"/>
                <w:sz w:val="24"/>
                <w:szCs w:val="24"/>
              </w:rPr>
              <w:t>01</w:t>
            </w:r>
            <w:r w:rsidR="000014E4" w:rsidRPr="00676B16">
              <w:rPr>
                <w:rFonts w:cs="Arial"/>
                <w:b/>
                <w:color w:val="auto"/>
                <w:sz w:val="24"/>
                <w:szCs w:val="24"/>
              </w:rPr>
              <w:t>-</w:t>
            </w:r>
            <w:r w:rsidRPr="00676B16">
              <w:rPr>
                <w:rFonts w:cs="Arial"/>
                <w:b/>
                <w:color w:val="auto"/>
                <w:sz w:val="24"/>
                <w:szCs w:val="24"/>
              </w:rPr>
              <w:t>11</w:t>
            </w:r>
            <w:r w:rsidR="000014E4" w:rsidRPr="00676B16">
              <w:rPr>
                <w:rFonts w:cs="Arial"/>
                <w:b/>
                <w:color w:val="auto"/>
                <w:sz w:val="24"/>
                <w:szCs w:val="24"/>
              </w:rPr>
              <w:t>-</w:t>
            </w:r>
            <w:r w:rsidRPr="00676B16">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3A64B603" w:rsidR="000014E4" w:rsidRPr="00676B16" w:rsidRDefault="0062645C" w:rsidP="000014E4">
            <w:pPr>
              <w:rPr>
                <w:color w:val="auto"/>
                <w:sz w:val="24"/>
                <w:szCs w:val="24"/>
              </w:rPr>
            </w:pPr>
            <w:r w:rsidRPr="00676B16">
              <w:rPr>
                <w:rFonts w:cs="Arial"/>
                <w:b/>
                <w:color w:val="auto"/>
                <w:sz w:val="24"/>
                <w:szCs w:val="24"/>
              </w:rPr>
              <w:t>15</w:t>
            </w:r>
            <w:r w:rsidR="000014E4" w:rsidRPr="00676B16">
              <w:rPr>
                <w:rFonts w:cs="Arial"/>
                <w:b/>
                <w:color w:val="auto"/>
                <w:sz w:val="24"/>
                <w:szCs w:val="24"/>
              </w:rPr>
              <w:t>-</w:t>
            </w:r>
            <w:r w:rsidRPr="00676B16">
              <w:rPr>
                <w:rFonts w:cs="Arial"/>
                <w:b/>
                <w:color w:val="auto"/>
                <w:sz w:val="24"/>
                <w:szCs w:val="24"/>
              </w:rPr>
              <w:t>11</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to </w:t>
            </w:r>
            <w:r w:rsidRPr="00676B16">
              <w:rPr>
                <w:rFonts w:cs="Arial"/>
                <w:b/>
                <w:color w:val="auto"/>
                <w:sz w:val="24"/>
                <w:szCs w:val="24"/>
              </w:rPr>
              <w:t>30-04-2023</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2F10D0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00180E62" w:rsidRPr="000014E4">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make any representation or warranty (express or implied) as to the accuracy, reasonableness or completeness of the </w:t>
      </w:r>
      <w:proofErr w:type="gramStart"/>
      <w:r w:rsidRPr="000518EE">
        <w:rPr>
          <w:rFonts w:ascii="Arial" w:hAnsi="Arial"/>
          <w:color w:val="000000"/>
          <w:sz w:val="24"/>
          <w:szCs w:val="24"/>
        </w:rPr>
        <w:t>RFQ;</w:t>
      </w:r>
      <w:proofErr w:type="gramEnd"/>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accept any liability for the information contained in the RFQ or for the fairness, </w:t>
      </w:r>
      <w:proofErr w:type="gramStart"/>
      <w:r w:rsidRPr="000518EE">
        <w:rPr>
          <w:rFonts w:ascii="Arial" w:hAnsi="Arial"/>
          <w:color w:val="000000"/>
          <w:sz w:val="24"/>
          <w:szCs w:val="24"/>
        </w:rPr>
        <w:t>accuracy</w:t>
      </w:r>
      <w:proofErr w:type="gramEnd"/>
      <w:r w:rsidRPr="000518EE">
        <w:rPr>
          <w:rFonts w:ascii="Arial" w:hAnsi="Arial"/>
          <w:color w:val="000000"/>
          <w:sz w:val="24"/>
          <w:szCs w:val="24"/>
        </w:rPr>
        <w:t xml:space="preserve"> or completeness of that information; or</w:t>
      </w:r>
    </w:p>
    <w:p w14:paraId="05C0BBBB"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09C95627"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ensure that all the personal data that we disclose to you</w:t>
      </w:r>
      <w:r w:rsidR="00180E62">
        <w:rPr>
          <w:rFonts w:ascii="Arial" w:hAnsi="Arial"/>
          <w:color w:val="000000"/>
          <w:sz w:val="24"/>
          <w:szCs w:val="24"/>
        </w:rPr>
        <w:t>,</w:t>
      </w:r>
      <w:r w:rsidR="000014E4" w:rsidRPr="0029497E">
        <w:rPr>
          <w:rFonts w:ascii="Arial" w:hAnsi="Arial"/>
          <w:color w:val="000000"/>
          <w:sz w:val="24"/>
          <w:szCs w:val="24"/>
        </w:rPr>
        <w:t xml:space="preserve">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w:t>
      </w:r>
      <w:r w:rsidRPr="000014E4">
        <w:rPr>
          <w:rFonts w:ascii="Arial" w:hAnsi="Arial"/>
          <w:color w:val="000000"/>
          <w:sz w:val="24"/>
          <w:szCs w:val="24"/>
        </w:rPr>
        <w:lastRenderedPageBreak/>
        <w:t xml:space="preserve">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66ED122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0319AB">
        <w:rPr>
          <w:rFonts w:ascii="Arial" w:hAnsi="Arial"/>
          <w:color w:val="000000"/>
          <w:sz w:val="24"/>
          <w:szCs w:val="24"/>
        </w:rPr>
        <w:t>:</w:t>
      </w:r>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4A2CF65D" w14:textId="77777777" w:rsidR="00674E0C" w:rsidRPr="002B3FE6" w:rsidRDefault="00674E0C" w:rsidP="00674E0C">
      <w:pPr>
        <w:pStyle w:val="Default"/>
        <w:rPr>
          <w:sz w:val="22"/>
          <w:szCs w:val="22"/>
        </w:rPr>
      </w:pPr>
      <w:r w:rsidRPr="002B3FE6">
        <w:rPr>
          <w:sz w:val="22"/>
          <w:szCs w:val="22"/>
        </w:rPr>
        <w:t xml:space="preserve">West Penwith Moors and Downs Site of Special Scientific Interest (SSSI), in the far west of Cornwall, was notified in 2022 and covers an extent of some 3,044 ha.  Within the SSSI are eleven valley </w:t>
      </w:r>
      <w:r>
        <w:rPr>
          <w:sz w:val="22"/>
          <w:szCs w:val="22"/>
        </w:rPr>
        <w:t>fen (mire)</w:t>
      </w:r>
      <w:r w:rsidRPr="002B3FE6">
        <w:rPr>
          <w:sz w:val="22"/>
          <w:szCs w:val="22"/>
        </w:rPr>
        <w:t xml:space="preserve"> features, fed largely but not exclusively by groundwater from the shallow granite aquifer. Natural England is seeking the development of a groundwater </w:t>
      </w:r>
      <w:r>
        <w:rPr>
          <w:sz w:val="22"/>
          <w:szCs w:val="22"/>
        </w:rPr>
        <w:t xml:space="preserve">quality </w:t>
      </w:r>
      <w:r w:rsidRPr="002B3FE6">
        <w:rPr>
          <w:sz w:val="22"/>
          <w:szCs w:val="22"/>
        </w:rPr>
        <w:t>monitoring strategy.</w:t>
      </w:r>
    </w:p>
    <w:p w14:paraId="39F41ABA" w14:textId="77777777" w:rsidR="00674E0C" w:rsidRDefault="00674E0C" w:rsidP="00674E0C">
      <w:pPr>
        <w:pStyle w:val="Default"/>
        <w:rPr>
          <w:sz w:val="22"/>
          <w:szCs w:val="22"/>
        </w:rPr>
      </w:pPr>
    </w:p>
    <w:p w14:paraId="230FC31E" w14:textId="77777777" w:rsidR="00674E0C" w:rsidRPr="00B1382E" w:rsidRDefault="00674E0C" w:rsidP="00674E0C">
      <w:pPr>
        <w:pStyle w:val="Default"/>
        <w:rPr>
          <w:b/>
          <w:bCs/>
          <w:sz w:val="26"/>
          <w:szCs w:val="26"/>
        </w:rPr>
      </w:pPr>
      <w:r w:rsidRPr="00B1382E">
        <w:rPr>
          <w:b/>
          <w:bCs/>
          <w:sz w:val="26"/>
          <w:szCs w:val="26"/>
        </w:rPr>
        <w:t>Background</w:t>
      </w:r>
    </w:p>
    <w:p w14:paraId="2EBD2D1E" w14:textId="77777777" w:rsidR="00674E0C" w:rsidRDefault="00674E0C" w:rsidP="00674E0C">
      <w:pPr>
        <w:pStyle w:val="Default"/>
        <w:rPr>
          <w:sz w:val="22"/>
          <w:szCs w:val="22"/>
        </w:rPr>
      </w:pPr>
    </w:p>
    <w:p w14:paraId="2A789BDC" w14:textId="77777777"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70001718" w14:textId="77777777" w:rsidR="00674E0C" w:rsidRPr="00B1382E" w:rsidRDefault="00674E0C" w:rsidP="00674E0C">
      <w:pPr>
        <w:pStyle w:val="paragraph"/>
        <w:spacing w:before="0" w:beforeAutospacing="0" w:after="0" w:afterAutospacing="0"/>
        <w:textAlignment w:val="baseline"/>
        <w:rPr>
          <w:rFonts w:ascii="Arial" w:hAnsi="Arial" w:cs="Arial"/>
        </w:rPr>
      </w:pPr>
      <w:r w:rsidRPr="00B1382E">
        <w:rPr>
          <w:rStyle w:val="eop"/>
          <w:rFonts w:cs="Arial"/>
        </w:rPr>
        <w:t> </w:t>
      </w:r>
    </w:p>
    <w:p w14:paraId="4E82DB32" w14:textId="77777777" w:rsidR="00674E0C" w:rsidRPr="00B1382E" w:rsidRDefault="00674E0C" w:rsidP="00674E0C">
      <w:pPr>
        <w:pStyle w:val="Default"/>
      </w:pPr>
      <w:r w:rsidRPr="00B1382E">
        <w:rPr>
          <w:rStyle w:val="normaltextrun"/>
        </w:rPr>
        <w:t xml:space="preserve">The valley fens are predominantly fed by acidic groundwater derived from the Land’s End granite pluton. The majority of the valley fens are considered to be in unfavourable condition due to a variety of pressures including nutrient enrichment from groundwater. Those that are assessed as currently </w:t>
      </w:r>
      <w:r w:rsidRPr="00B1382E">
        <w:t>favourable are considered to be ‘at risk’ from catchment-derived eutrophication and/or drainage, either internally or on adjacent land.  All eleven valley fens are considered to have potential for ecological enhancement through restoration of a more natural hydrology and water quality.</w:t>
      </w:r>
    </w:p>
    <w:p w14:paraId="0D1FE12A" w14:textId="77777777" w:rsidR="00674E0C" w:rsidRPr="00B1382E" w:rsidRDefault="00674E0C" w:rsidP="00674E0C">
      <w:pPr>
        <w:pStyle w:val="Default"/>
      </w:pPr>
    </w:p>
    <w:p w14:paraId="1B0DAD20" w14:textId="2DC99C7D"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 xml:space="preserve">It is Natural England’s aspiration to restore SSSI features including the valley fens to favourable condition. This will involve </w:t>
      </w:r>
      <w:r w:rsidRPr="00B1382E">
        <w:rPr>
          <w:rStyle w:val="normaltextrun"/>
          <w:rFonts w:ascii="Arial" w:hAnsi="Arial" w:cs="Arial"/>
          <w:color w:val="000000"/>
          <w:shd w:val="clear" w:color="auto" w:fill="FFFFFF"/>
        </w:rPr>
        <w:t>engaging with farmers to identify and control potentially damaging operations within the SSSI to prevent any further damage of the fens and restore near-natural hydrological and chemical conditions. Current agricultural practices include the application of farmyard manure, slurry, artificial fertilisers</w:t>
      </w:r>
      <w:r w:rsidR="00953A34">
        <w:rPr>
          <w:rStyle w:val="normaltextrun"/>
          <w:rFonts w:ascii="Arial" w:hAnsi="Arial" w:cs="Arial"/>
          <w:color w:val="000000"/>
          <w:shd w:val="clear" w:color="auto" w:fill="FFFFFF"/>
        </w:rPr>
        <w:t>,</w:t>
      </w:r>
      <w:r w:rsidRPr="00B1382E">
        <w:rPr>
          <w:rStyle w:val="normaltextrun"/>
          <w:rFonts w:ascii="Arial" w:hAnsi="Arial" w:cs="Arial"/>
          <w:color w:val="000000"/>
          <w:shd w:val="clear" w:color="auto" w:fill="FFFFFF"/>
        </w:rPr>
        <w:t xml:space="preserve"> and liming agents to the soil on land in the catchment of the valley fens.</w:t>
      </w:r>
    </w:p>
    <w:p w14:paraId="76B7662F" w14:textId="77777777" w:rsidR="00674E0C" w:rsidRPr="00B1382E" w:rsidRDefault="00674E0C" w:rsidP="00674E0C">
      <w:pPr>
        <w:pStyle w:val="paragraph"/>
        <w:spacing w:before="0" w:beforeAutospacing="0" w:after="0" w:afterAutospacing="0"/>
        <w:textAlignment w:val="baseline"/>
        <w:rPr>
          <w:rFonts w:ascii="Arial" w:hAnsi="Arial" w:cs="Arial"/>
        </w:rPr>
      </w:pPr>
    </w:p>
    <w:p w14:paraId="211097E1" w14:textId="4979647E" w:rsidR="00674E0C" w:rsidRDefault="00674E0C" w:rsidP="00674E0C">
      <w:pPr>
        <w:pStyle w:val="Default"/>
        <w:rPr>
          <w:sz w:val="22"/>
          <w:szCs w:val="22"/>
        </w:rPr>
      </w:pPr>
      <w:r w:rsidRPr="00B1382E">
        <w:t>Ecohydrological investigations and characterisations have been undertaken for the West Penwith Moors and Downs valley fens (see Information from Natural England section below for details and hyperlinks). These identify a number of springs/seepages rise around the periphery of the fens from the underlying granite aquifer</w:t>
      </w:r>
      <w:r w:rsidRPr="6DB4B9F9">
        <w:rPr>
          <w:sz w:val="22"/>
          <w:szCs w:val="22"/>
        </w:rPr>
        <w:t>.</w:t>
      </w:r>
    </w:p>
    <w:p w14:paraId="511124E4" w14:textId="19C126FB" w:rsidR="00180E62" w:rsidRDefault="00180E62" w:rsidP="00674E0C">
      <w:pPr>
        <w:pStyle w:val="Default"/>
        <w:rPr>
          <w:sz w:val="22"/>
          <w:szCs w:val="22"/>
        </w:rPr>
      </w:pPr>
    </w:p>
    <w:p w14:paraId="22013118" w14:textId="15B4576C" w:rsidR="00180E62" w:rsidRDefault="00180E62" w:rsidP="00674E0C">
      <w:pPr>
        <w:pStyle w:val="Default"/>
        <w:rPr>
          <w:sz w:val="22"/>
          <w:szCs w:val="22"/>
        </w:rPr>
      </w:pPr>
      <w:r w:rsidRPr="009C3056">
        <w:rPr>
          <w:b/>
          <w:bCs/>
          <w:sz w:val="22"/>
          <w:szCs w:val="22"/>
        </w:rPr>
        <w:t>List of valley fens within West Penwith Moors and Downs SSSI</w:t>
      </w:r>
    </w:p>
    <w:p w14:paraId="3F84FC6C" w14:textId="77777777" w:rsidR="00674E0C" w:rsidRPr="002B3FE6" w:rsidRDefault="00674E0C" w:rsidP="00674E0C">
      <w:pPr>
        <w:pStyle w:val="Default"/>
        <w:rPr>
          <w:sz w:val="22"/>
          <w:szCs w:val="22"/>
        </w:rPr>
      </w:pPr>
    </w:p>
    <w:tbl>
      <w:tblPr>
        <w:tblStyle w:val="TableGrid"/>
        <w:tblW w:w="0" w:type="auto"/>
        <w:tblLook w:val="04A0" w:firstRow="1" w:lastRow="0" w:firstColumn="1" w:lastColumn="0" w:noHBand="0" w:noVBand="1"/>
      </w:tblPr>
      <w:tblGrid>
        <w:gridCol w:w="2030"/>
        <w:gridCol w:w="1742"/>
        <w:gridCol w:w="1528"/>
      </w:tblGrid>
      <w:tr w:rsidR="00674E0C" w:rsidRPr="002B3FE6" w14:paraId="01F3D8C6" w14:textId="77777777" w:rsidTr="006C78CB">
        <w:tc>
          <w:tcPr>
            <w:tcW w:w="2030" w:type="dxa"/>
            <w:shd w:val="pct10" w:color="auto" w:fill="auto"/>
          </w:tcPr>
          <w:p w14:paraId="6BD48DA7" w14:textId="77777777" w:rsidR="00674E0C" w:rsidRPr="002B3FE6" w:rsidRDefault="00674E0C" w:rsidP="006C78CB">
            <w:pPr>
              <w:pStyle w:val="Default"/>
              <w:rPr>
                <w:sz w:val="22"/>
                <w:szCs w:val="22"/>
              </w:rPr>
            </w:pPr>
            <w:r w:rsidRPr="002B3FE6">
              <w:rPr>
                <w:sz w:val="22"/>
                <w:szCs w:val="22"/>
              </w:rPr>
              <w:t>Local name</w:t>
            </w:r>
          </w:p>
        </w:tc>
        <w:tc>
          <w:tcPr>
            <w:tcW w:w="1742" w:type="dxa"/>
            <w:shd w:val="pct10" w:color="auto" w:fill="auto"/>
          </w:tcPr>
          <w:p w14:paraId="544B3860" w14:textId="77777777" w:rsidR="00674E0C" w:rsidRPr="002B3FE6" w:rsidRDefault="00674E0C" w:rsidP="006C78CB">
            <w:pPr>
              <w:pStyle w:val="Default"/>
              <w:rPr>
                <w:sz w:val="22"/>
                <w:szCs w:val="22"/>
              </w:rPr>
            </w:pPr>
            <w:r w:rsidRPr="002B3FE6">
              <w:rPr>
                <w:sz w:val="22"/>
                <w:szCs w:val="22"/>
              </w:rPr>
              <w:t>Approx. O.S. grid. Ref.</w:t>
            </w:r>
          </w:p>
        </w:tc>
        <w:tc>
          <w:tcPr>
            <w:tcW w:w="1528" w:type="dxa"/>
            <w:shd w:val="pct10" w:color="auto" w:fill="auto"/>
          </w:tcPr>
          <w:p w14:paraId="64BEACB0" w14:textId="77777777" w:rsidR="00674E0C" w:rsidRPr="002B3FE6" w:rsidRDefault="00674E0C" w:rsidP="006C78CB">
            <w:pPr>
              <w:pStyle w:val="Default"/>
              <w:rPr>
                <w:sz w:val="22"/>
                <w:szCs w:val="22"/>
              </w:rPr>
            </w:pPr>
            <w:r w:rsidRPr="002B3FE6">
              <w:rPr>
                <w:sz w:val="22"/>
                <w:szCs w:val="22"/>
              </w:rPr>
              <w:t>Surface water catchment area (ha)</w:t>
            </w:r>
          </w:p>
        </w:tc>
      </w:tr>
      <w:tr w:rsidR="00674E0C" w:rsidRPr="002B3FE6" w14:paraId="25A9F2ED" w14:textId="77777777" w:rsidTr="006C78CB">
        <w:tc>
          <w:tcPr>
            <w:tcW w:w="2030" w:type="dxa"/>
          </w:tcPr>
          <w:p w14:paraId="02CFC893" w14:textId="77777777" w:rsidR="00674E0C" w:rsidRPr="002B3FE6" w:rsidRDefault="00674E0C" w:rsidP="006C78CB">
            <w:pPr>
              <w:pStyle w:val="Default"/>
              <w:rPr>
                <w:sz w:val="22"/>
                <w:szCs w:val="22"/>
              </w:rPr>
            </w:pPr>
            <w:proofErr w:type="spellStart"/>
            <w:r w:rsidRPr="002B3FE6">
              <w:rPr>
                <w:sz w:val="22"/>
                <w:szCs w:val="22"/>
              </w:rPr>
              <w:t>Bostraze</w:t>
            </w:r>
            <w:proofErr w:type="spellEnd"/>
            <w:r w:rsidRPr="002B3FE6">
              <w:rPr>
                <w:sz w:val="22"/>
                <w:szCs w:val="22"/>
              </w:rPr>
              <w:t xml:space="preserve"> </w:t>
            </w:r>
            <w:r>
              <w:rPr>
                <w:sz w:val="22"/>
                <w:szCs w:val="22"/>
              </w:rPr>
              <w:t xml:space="preserve">&amp; </w:t>
            </w:r>
            <w:proofErr w:type="spellStart"/>
            <w:r>
              <w:rPr>
                <w:sz w:val="22"/>
                <w:szCs w:val="22"/>
              </w:rPr>
              <w:t>Cryor</w:t>
            </w:r>
            <w:proofErr w:type="spellEnd"/>
            <w:r>
              <w:rPr>
                <w:sz w:val="22"/>
                <w:szCs w:val="22"/>
              </w:rPr>
              <w:t>*</w:t>
            </w:r>
          </w:p>
        </w:tc>
        <w:tc>
          <w:tcPr>
            <w:tcW w:w="1742" w:type="dxa"/>
          </w:tcPr>
          <w:p w14:paraId="784E5C0F" w14:textId="77777777" w:rsidR="00674E0C" w:rsidRPr="002B3FE6" w:rsidRDefault="00674E0C" w:rsidP="006C78CB">
            <w:pPr>
              <w:pStyle w:val="Default"/>
              <w:rPr>
                <w:sz w:val="22"/>
                <w:szCs w:val="22"/>
              </w:rPr>
            </w:pPr>
            <w:r w:rsidRPr="002B3FE6">
              <w:rPr>
                <w:sz w:val="22"/>
                <w:szCs w:val="22"/>
              </w:rPr>
              <w:t>SW 392 321</w:t>
            </w:r>
          </w:p>
        </w:tc>
        <w:tc>
          <w:tcPr>
            <w:tcW w:w="1528" w:type="dxa"/>
          </w:tcPr>
          <w:p w14:paraId="712EA62D" w14:textId="77777777" w:rsidR="00674E0C" w:rsidRPr="002B3FE6" w:rsidRDefault="00674E0C" w:rsidP="006C78CB">
            <w:pPr>
              <w:pStyle w:val="Default"/>
              <w:rPr>
                <w:sz w:val="22"/>
                <w:szCs w:val="22"/>
              </w:rPr>
            </w:pPr>
            <w:r w:rsidRPr="002B3FE6">
              <w:rPr>
                <w:rFonts w:eastAsia="Times New Roman"/>
                <w:sz w:val="22"/>
                <w:szCs w:val="22"/>
              </w:rPr>
              <w:t>300.19</w:t>
            </w:r>
          </w:p>
        </w:tc>
      </w:tr>
      <w:tr w:rsidR="00674E0C" w:rsidRPr="002B3FE6" w14:paraId="03C1E0D2" w14:textId="77777777" w:rsidTr="006C78CB">
        <w:tc>
          <w:tcPr>
            <w:tcW w:w="2030" w:type="dxa"/>
          </w:tcPr>
          <w:p w14:paraId="03D93B34" w14:textId="77777777" w:rsidR="00674E0C" w:rsidRPr="002B3FE6" w:rsidRDefault="00674E0C" w:rsidP="006C78CB">
            <w:pPr>
              <w:pStyle w:val="Default"/>
              <w:rPr>
                <w:sz w:val="22"/>
                <w:szCs w:val="22"/>
              </w:rPr>
            </w:pPr>
            <w:proofErr w:type="spellStart"/>
            <w:r w:rsidRPr="002B3FE6">
              <w:rPr>
                <w:sz w:val="22"/>
                <w:szCs w:val="22"/>
              </w:rPr>
              <w:t>Boswens</w:t>
            </w:r>
            <w:proofErr w:type="spellEnd"/>
            <w:r w:rsidRPr="002B3FE6">
              <w:rPr>
                <w:sz w:val="22"/>
                <w:szCs w:val="22"/>
              </w:rPr>
              <w:t xml:space="preserve"> </w:t>
            </w:r>
          </w:p>
        </w:tc>
        <w:tc>
          <w:tcPr>
            <w:tcW w:w="1742" w:type="dxa"/>
          </w:tcPr>
          <w:p w14:paraId="3FC0E9D8" w14:textId="77777777" w:rsidR="00674E0C" w:rsidRPr="002B3FE6" w:rsidRDefault="00674E0C" w:rsidP="006C78CB">
            <w:pPr>
              <w:pStyle w:val="Default"/>
              <w:rPr>
                <w:sz w:val="22"/>
                <w:szCs w:val="22"/>
              </w:rPr>
            </w:pPr>
            <w:r w:rsidRPr="002B3FE6">
              <w:rPr>
                <w:sz w:val="22"/>
                <w:szCs w:val="22"/>
              </w:rPr>
              <w:t>SW 407 320</w:t>
            </w:r>
          </w:p>
        </w:tc>
        <w:tc>
          <w:tcPr>
            <w:tcW w:w="1528" w:type="dxa"/>
          </w:tcPr>
          <w:p w14:paraId="66D7E6E6" w14:textId="77777777" w:rsidR="00674E0C" w:rsidRPr="002B3FE6" w:rsidRDefault="00674E0C" w:rsidP="006C78CB">
            <w:pPr>
              <w:pStyle w:val="Default"/>
              <w:rPr>
                <w:sz w:val="22"/>
                <w:szCs w:val="22"/>
              </w:rPr>
            </w:pPr>
            <w:r w:rsidRPr="002B3FE6">
              <w:rPr>
                <w:rFonts w:eastAsia="Times New Roman"/>
                <w:sz w:val="22"/>
                <w:szCs w:val="22"/>
              </w:rPr>
              <w:t>111.33</w:t>
            </w:r>
          </w:p>
        </w:tc>
      </w:tr>
      <w:tr w:rsidR="00674E0C" w:rsidRPr="002B3FE6" w14:paraId="478D4F2A" w14:textId="77777777" w:rsidTr="006C78CB">
        <w:tc>
          <w:tcPr>
            <w:tcW w:w="2030" w:type="dxa"/>
          </w:tcPr>
          <w:p w14:paraId="3FDA94E8" w14:textId="77777777" w:rsidR="00674E0C" w:rsidRPr="002B3FE6" w:rsidRDefault="00674E0C" w:rsidP="006C78CB">
            <w:pPr>
              <w:pStyle w:val="Default"/>
              <w:rPr>
                <w:sz w:val="22"/>
                <w:szCs w:val="22"/>
              </w:rPr>
            </w:pPr>
            <w:proofErr w:type="spellStart"/>
            <w:r w:rsidRPr="002B3FE6">
              <w:rPr>
                <w:sz w:val="22"/>
                <w:szCs w:val="22"/>
              </w:rPr>
              <w:t>Tregerest</w:t>
            </w:r>
            <w:proofErr w:type="spellEnd"/>
            <w:r w:rsidRPr="002B3FE6">
              <w:rPr>
                <w:sz w:val="22"/>
                <w:szCs w:val="22"/>
              </w:rPr>
              <w:t xml:space="preserve"> </w:t>
            </w:r>
          </w:p>
        </w:tc>
        <w:tc>
          <w:tcPr>
            <w:tcW w:w="1742" w:type="dxa"/>
          </w:tcPr>
          <w:p w14:paraId="3F8F6019" w14:textId="77777777" w:rsidR="00674E0C" w:rsidRPr="002B3FE6" w:rsidRDefault="00674E0C" w:rsidP="006C78CB">
            <w:pPr>
              <w:pStyle w:val="Default"/>
              <w:rPr>
                <w:sz w:val="22"/>
                <w:szCs w:val="22"/>
              </w:rPr>
            </w:pPr>
            <w:r w:rsidRPr="002B3FE6">
              <w:rPr>
                <w:sz w:val="22"/>
                <w:szCs w:val="22"/>
              </w:rPr>
              <w:t>SW 412 320</w:t>
            </w:r>
          </w:p>
        </w:tc>
        <w:tc>
          <w:tcPr>
            <w:tcW w:w="1528" w:type="dxa"/>
          </w:tcPr>
          <w:p w14:paraId="7A66746C" w14:textId="77777777" w:rsidR="00674E0C" w:rsidRPr="002B3FE6" w:rsidRDefault="00674E0C" w:rsidP="006C78CB">
            <w:pPr>
              <w:pStyle w:val="Default"/>
              <w:rPr>
                <w:sz w:val="22"/>
                <w:szCs w:val="22"/>
              </w:rPr>
            </w:pPr>
            <w:r w:rsidRPr="002B3FE6">
              <w:rPr>
                <w:rFonts w:eastAsia="Times New Roman"/>
                <w:sz w:val="22"/>
                <w:szCs w:val="22"/>
              </w:rPr>
              <w:t>97.03</w:t>
            </w:r>
          </w:p>
        </w:tc>
      </w:tr>
      <w:tr w:rsidR="00674E0C" w:rsidRPr="002B3FE6" w14:paraId="1A102983" w14:textId="77777777" w:rsidTr="006C78CB">
        <w:tc>
          <w:tcPr>
            <w:tcW w:w="2030" w:type="dxa"/>
          </w:tcPr>
          <w:p w14:paraId="1322E8E2" w14:textId="77777777" w:rsidR="00674E0C" w:rsidRPr="002B3FE6" w:rsidRDefault="00674E0C" w:rsidP="006C78CB">
            <w:pPr>
              <w:pStyle w:val="Default"/>
              <w:rPr>
                <w:sz w:val="22"/>
                <w:szCs w:val="22"/>
              </w:rPr>
            </w:pPr>
            <w:proofErr w:type="spellStart"/>
            <w:r w:rsidRPr="002B3FE6">
              <w:rPr>
                <w:sz w:val="22"/>
                <w:szCs w:val="22"/>
              </w:rPr>
              <w:t>Boswarva</w:t>
            </w:r>
            <w:proofErr w:type="spellEnd"/>
            <w:r w:rsidRPr="002B3FE6">
              <w:rPr>
                <w:sz w:val="22"/>
                <w:szCs w:val="22"/>
              </w:rPr>
              <w:t xml:space="preserve"> </w:t>
            </w:r>
          </w:p>
        </w:tc>
        <w:tc>
          <w:tcPr>
            <w:tcW w:w="1742" w:type="dxa"/>
          </w:tcPr>
          <w:p w14:paraId="3D4CEBC9" w14:textId="77777777" w:rsidR="00674E0C" w:rsidRPr="002B3FE6" w:rsidRDefault="00674E0C" w:rsidP="006C78CB">
            <w:pPr>
              <w:pStyle w:val="Default"/>
              <w:rPr>
                <w:sz w:val="22"/>
                <w:szCs w:val="22"/>
              </w:rPr>
            </w:pPr>
            <w:r w:rsidRPr="002B3FE6">
              <w:rPr>
                <w:sz w:val="22"/>
                <w:szCs w:val="22"/>
              </w:rPr>
              <w:t>SW 422 335</w:t>
            </w:r>
          </w:p>
        </w:tc>
        <w:tc>
          <w:tcPr>
            <w:tcW w:w="1528" w:type="dxa"/>
          </w:tcPr>
          <w:p w14:paraId="4AFE5503" w14:textId="77777777" w:rsidR="00674E0C" w:rsidRPr="002B3FE6" w:rsidRDefault="00674E0C" w:rsidP="006C78CB">
            <w:pPr>
              <w:pStyle w:val="Default"/>
              <w:rPr>
                <w:sz w:val="22"/>
                <w:szCs w:val="22"/>
              </w:rPr>
            </w:pPr>
            <w:r w:rsidRPr="002B3FE6">
              <w:rPr>
                <w:rFonts w:eastAsia="Times New Roman"/>
                <w:sz w:val="22"/>
                <w:szCs w:val="22"/>
              </w:rPr>
              <w:t>85.83</w:t>
            </w:r>
          </w:p>
        </w:tc>
      </w:tr>
      <w:tr w:rsidR="00674E0C" w:rsidRPr="002B3FE6" w14:paraId="67B8ACF9" w14:textId="77777777" w:rsidTr="006C78CB">
        <w:tc>
          <w:tcPr>
            <w:tcW w:w="2030" w:type="dxa"/>
          </w:tcPr>
          <w:p w14:paraId="79153CC3" w14:textId="77777777" w:rsidR="00674E0C" w:rsidRPr="002B3FE6" w:rsidRDefault="00674E0C" w:rsidP="006C78CB">
            <w:pPr>
              <w:pStyle w:val="Default"/>
              <w:rPr>
                <w:sz w:val="22"/>
                <w:szCs w:val="22"/>
              </w:rPr>
            </w:pPr>
            <w:r w:rsidRPr="002B3FE6">
              <w:rPr>
                <w:sz w:val="22"/>
                <w:szCs w:val="22"/>
              </w:rPr>
              <w:t xml:space="preserve">Lanyon (Lanyon to Men-an-Tol) </w:t>
            </w:r>
          </w:p>
        </w:tc>
        <w:tc>
          <w:tcPr>
            <w:tcW w:w="1742" w:type="dxa"/>
          </w:tcPr>
          <w:p w14:paraId="3EC8EB31" w14:textId="77777777" w:rsidR="00674E0C" w:rsidRPr="002B3FE6" w:rsidRDefault="00674E0C" w:rsidP="006C78CB">
            <w:pPr>
              <w:pStyle w:val="Default"/>
              <w:rPr>
                <w:sz w:val="22"/>
                <w:szCs w:val="22"/>
              </w:rPr>
            </w:pPr>
            <w:r w:rsidRPr="002B3FE6">
              <w:rPr>
                <w:sz w:val="22"/>
                <w:szCs w:val="22"/>
              </w:rPr>
              <w:t>SW 427 345</w:t>
            </w:r>
          </w:p>
        </w:tc>
        <w:tc>
          <w:tcPr>
            <w:tcW w:w="1528" w:type="dxa"/>
          </w:tcPr>
          <w:p w14:paraId="3CF39570" w14:textId="77777777" w:rsidR="00674E0C" w:rsidRPr="002B3FE6" w:rsidRDefault="00674E0C" w:rsidP="006C78CB">
            <w:pPr>
              <w:pStyle w:val="Default"/>
              <w:rPr>
                <w:sz w:val="22"/>
                <w:szCs w:val="22"/>
              </w:rPr>
            </w:pPr>
            <w:r w:rsidRPr="002B3FE6">
              <w:rPr>
                <w:rFonts w:eastAsia="Times New Roman"/>
                <w:sz w:val="22"/>
                <w:szCs w:val="22"/>
              </w:rPr>
              <w:t>180.32</w:t>
            </w:r>
          </w:p>
        </w:tc>
      </w:tr>
      <w:tr w:rsidR="00674E0C" w:rsidRPr="002B3FE6" w14:paraId="361A06D9" w14:textId="77777777" w:rsidTr="006C78CB">
        <w:tc>
          <w:tcPr>
            <w:tcW w:w="2030" w:type="dxa"/>
          </w:tcPr>
          <w:p w14:paraId="32D0AAA5" w14:textId="77777777" w:rsidR="00674E0C" w:rsidRPr="002B3FE6" w:rsidRDefault="00674E0C" w:rsidP="006C78CB">
            <w:pPr>
              <w:pStyle w:val="Default"/>
              <w:rPr>
                <w:sz w:val="22"/>
                <w:szCs w:val="22"/>
              </w:rPr>
            </w:pPr>
            <w:proofErr w:type="spellStart"/>
            <w:r w:rsidRPr="002B3FE6">
              <w:rPr>
                <w:sz w:val="22"/>
                <w:szCs w:val="22"/>
              </w:rPr>
              <w:t>Bosilliack</w:t>
            </w:r>
            <w:proofErr w:type="spellEnd"/>
            <w:r w:rsidRPr="002B3FE6">
              <w:rPr>
                <w:sz w:val="22"/>
                <w:szCs w:val="22"/>
              </w:rPr>
              <w:t xml:space="preserve"> </w:t>
            </w:r>
          </w:p>
        </w:tc>
        <w:tc>
          <w:tcPr>
            <w:tcW w:w="1742" w:type="dxa"/>
          </w:tcPr>
          <w:p w14:paraId="0A2F3BC9" w14:textId="77777777" w:rsidR="00674E0C" w:rsidRPr="002B3FE6" w:rsidRDefault="00674E0C" w:rsidP="006C78CB">
            <w:pPr>
              <w:pStyle w:val="Default"/>
              <w:rPr>
                <w:sz w:val="22"/>
                <w:szCs w:val="22"/>
              </w:rPr>
            </w:pPr>
            <w:r w:rsidRPr="002B3FE6">
              <w:rPr>
                <w:sz w:val="22"/>
                <w:szCs w:val="22"/>
              </w:rPr>
              <w:t>SW 433 336</w:t>
            </w:r>
          </w:p>
        </w:tc>
        <w:tc>
          <w:tcPr>
            <w:tcW w:w="1528" w:type="dxa"/>
          </w:tcPr>
          <w:p w14:paraId="51153834" w14:textId="77777777" w:rsidR="00674E0C" w:rsidRPr="002B3FE6" w:rsidRDefault="00674E0C" w:rsidP="006C78CB">
            <w:pPr>
              <w:pStyle w:val="Default"/>
              <w:rPr>
                <w:sz w:val="22"/>
                <w:szCs w:val="22"/>
              </w:rPr>
            </w:pPr>
            <w:r w:rsidRPr="002B3FE6">
              <w:rPr>
                <w:rFonts w:eastAsia="Times New Roman"/>
                <w:sz w:val="22"/>
                <w:szCs w:val="22"/>
              </w:rPr>
              <w:t>84.71</w:t>
            </w:r>
          </w:p>
        </w:tc>
      </w:tr>
      <w:tr w:rsidR="00674E0C" w:rsidRPr="002B3FE6" w14:paraId="3BEC732E" w14:textId="77777777" w:rsidTr="006C78CB">
        <w:tc>
          <w:tcPr>
            <w:tcW w:w="2030" w:type="dxa"/>
          </w:tcPr>
          <w:p w14:paraId="1F857226" w14:textId="77777777" w:rsidR="00674E0C" w:rsidRPr="002B3FE6" w:rsidRDefault="00674E0C" w:rsidP="006C78CB">
            <w:pPr>
              <w:pStyle w:val="Default"/>
              <w:rPr>
                <w:sz w:val="22"/>
                <w:szCs w:val="22"/>
              </w:rPr>
            </w:pPr>
            <w:proofErr w:type="spellStart"/>
            <w:r w:rsidRPr="002B3FE6">
              <w:rPr>
                <w:sz w:val="22"/>
                <w:szCs w:val="22"/>
              </w:rPr>
              <w:t>Bodrifty</w:t>
            </w:r>
            <w:proofErr w:type="spellEnd"/>
            <w:r w:rsidRPr="002B3FE6">
              <w:rPr>
                <w:sz w:val="22"/>
                <w:szCs w:val="22"/>
              </w:rPr>
              <w:t xml:space="preserve"> (</w:t>
            </w:r>
            <w:proofErr w:type="spellStart"/>
            <w:r w:rsidRPr="002B3FE6">
              <w:rPr>
                <w:sz w:val="22"/>
                <w:szCs w:val="22"/>
              </w:rPr>
              <w:t>Bodrifty</w:t>
            </w:r>
            <w:proofErr w:type="spellEnd"/>
            <w:r w:rsidRPr="002B3FE6">
              <w:rPr>
                <w:sz w:val="22"/>
                <w:szCs w:val="22"/>
              </w:rPr>
              <w:t xml:space="preserve"> to </w:t>
            </w:r>
            <w:proofErr w:type="spellStart"/>
            <w:r w:rsidRPr="002B3FE6">
              <w:rPr>
                <w:sz w:val="22"/>
                <w:szCs w:val="22"/>
              </w:rPr>
              <w:t>Bosporthennis</w:t>
            </w:r>
            <w:proofErr w:type="spellEnd"/>
            <w:r w:rsidRPr="002B3FE6">
              <w:rPr>
                <w:sz w:val="22"/>
                <w:szCs w:val="22"/>
              </w:rPr>
              <w:t xml:space="preserve">) </w:t>
            </w:r>
          </w:p>
        </w:tc>
        <w:tc>
          <w:tcPr>
            <w:tcW w:w="1742" w:type="dxa"/>
          </w:tcPr>
          <w:p w14:paraId="5D78E1F0" w14:textId="77777777" w:rsidR="00674E0C" w:rsidRPr="002B3FE6" w:rsidRDefault="00674E0C" w:rsidP="006C78CB">
            <w:pPr>
              <w:pStyle w:val="Default"/>
              <w:rPr>
                <w:sz w:val="22"/>
                <w:szCs w:val="22"/>
              </w:rPr>
            </w:pPr>
            <w:r w:rsidRPr="002B3FE6">
              <w:rPr>
                <w:sz w:val="22"/>
                <w:szCs w:val="22"/>
              </w:rPr>
              <w:t>SW 441 360</w:t>
            </w:r>
          </w:p>
        </w:tc>
        <w:tc>
          <w:tcPr>
            <w:tcW w:w="1528" w:type="dxa"/>
          </w:tcPr>
          <w:p w14:paraId="01808EA1" w14:textId="77777777" w:rsidR="00674E0C" w:rsidRPr="002B3FE6" w:rsidRDefault="00674E0C" w:rsidP="006C78CB">
            <w:pPr>
              <w:pStyle w:val="Default"/>
              <w:rPr>
                <w:sz w:val="22"/>
                <w:szCs w:val="22"/>
              </w:rPr>
            </w:pPr>
            <w:r w:rsidRPr="002B3FE6">
              <w:rPr>
                <w:rFonts w:eastAsia="Times New Roman"/>
                <w:sz w:val="22"/>
                <w:szCs w:val="22"/>
              </w:rPr>
              <w:t>115.23</w:t>
            </w:r>
          </w:p>
        </w:tc>
      </w:tr>
      <w:tr w:rsidR="00674E0C" w:rsidRPr="002B3FE6" w14:paraId="24B8D5E1" w14:textId="77777777" w:rsidTr="006C78CB">
        <w:tc>
          <w:tcPr>
            <w:tcW w:w="2030" w:type="dxa"/>
          </w:tcPr>
          <w:p w14:paraId="790B8A7E" w14:textId="77777777" w:rsidR="00674E0C" w:rsidRPr="002B3FE6" w:rsidRDefault="00674E0C" w:rsidP="006C78CB">
            <w:pPr>
              <w:pStyle w:val="Default"/>
              <w:rPr>
                <w:sz w:val="22"/>
                <w:szCs w:val="22"/>
              </w:rPr>
            </w:pPr>
            <w:proofErr w:type="spellStart"/>
            <w:r w:rsidRPr="002B3FE6">
              <w:rPr>
                <w:sz w:val="22"/>
                <w:szCs w:val="22"/>
              </w:rPr>
              <w:t>Tredinneck</w:t>
            </w:r>
            <w:proofErr w:type="spellEnd"/>
            <w:r w:rsidRPr="002B3FE6">
              <w:rPr>
                <w:sz w:val="22"/>
                <w:szCs w:val="22"/>
              </w:rPr>
              <w:t xml:space="preserve"> </w:t>
            </w:r>
          </w:p>
        </w:tc>
        <w:tc>
          <w:tcPr>
            <w:tcW w:w="1742" w:type="dxa"/>
          </w:tcPr>
          <w:p w14:paraId="4ACD06D3" w14:textId="77777777" w:rsidR="00674E0C" w:rsidRPr="002B3FE6" w:rsidRDefault="00674E0C" w:rsidP="006C78CB">
            <w:pPr>
              <w:pStyle w:val="Default"/>
              <w:rPr>
                <w:sz w:val="22"/>
                <w:szCs w:val="22"/>
              </w:rPr>
            </w:pPr>
            <w:r w:rsidRPr="002B3FE6">
              <w:rPr>
                <w:sz w:val="22"/>
                <w:szCs w:val="22"/>
              </w:rPr>
              <w:t>SW 447 347</w:t>
            </w:r>
          </w:p>
        </w:tc>
        <w:tc>
          <w:tcPr>
            <w:tcW w:w="1528" w:type="dxa"/>
          </w:tcPr>
          <w:p w14:paraId="368B9AA7" w14:textId="77777777" w:rsidR="00674E0C" w:rsidRPr="002B3FE6" w:rsidRDefault="00674E0C" w:rsidP="006C78CB">
            <w:pPr>
              <w:pStyle w:val="Default"/>
              <w:rPr>
                <w:sz w:val="22"/>
                <w:szCs w:val="22"/>
              </w:rPr>
            </w:pPr>
            <w:r w:rsidRPr="002B3FE6">
              <w:rPr>
                <w:rFonts w:eastAsia="Times New Roman"/>
                <w:sz w:val="22"/>
                <w:szCs w:val="22"/>
              </w:rPr>
              <w:t>60.33</w:t>
            </w:r>
          </w:p>
        </w:tc>
      </w:tr>
      <w:tr w:rsidR="00674E0C" w:rsidRPr="002B3FE6" w14:paraId="6370546F" w14:textId="77777777" w:rsidTr="006C78CB">
        <w:tc>
          <w:tcPr>
            <w:tcW w:w="2030" w:type="dxa"/>
          </w:tcPr>
          <w:p w14:paraId="61F1F114" w14:textId="77777777" w:rsidR="00674E0C" w:rsidRPr="002B3FE6" w:rsidRDefault="00674E0C" w:rsidP="006C78CB">
            <w:pPr>
              <w:pStyle w:val="Default"/>
              <w:rPr>
                <w:sz w:val="22"/>
                <w:szCs w:val="22"/>
              </w:rPr>
            </w:pPr>
            <w:r w:rsidRPr="002B3FE6">
              <w:rPr>
                <w:sz w:val="22"/>
                <w:szCs w:val="22"/>
              </w:rPr>
              <w:lastRenderedPageBreak/>
              <w:t xml:space="preserve">Gear and </w:t>
            </w:r>
            <w:proofErr w:type="spellStart"/>
            <w:r w:rsidRPr="002B3FE6">
              <w:rPr>
                <w:sz w:val="22"/>
                <w:szCs w:val="22"/>
              </w:rPr>
              <w:t>Chykembro</w:t>
            </w:r>
            <w:proofErr w:type="spellEnd"/>
            <w:r w:rsidRPr="002B3FE6">
              <w:rPr>
                <w:sz w:val="22"/>
                <w:szCs w:val="22"/>
              </w:rPr>
              <w:t xml:space="preserve"> Commons </w:t>
            </w:r>
          </w:p>
        </w:tc>
        <w:tc>
          <w:tcPr>
            <w:tcW w:w="1742" w:type="dxa"/>
          </w:tcPr>
          <w:p w14:paraId="19BA6C07" w14:textId="77777777" w:rsidR="00674E0C" w:rsidRPr="002B3FE6" w:rsidRDefault="00674E0C" w:rsidP="006C78CB">
            <w:pPr>
              <w:pStyle w:val="Default"/>
              <w:rPr>
                <w:sz w:val="22"/>
                <w:szCs w:val="22"/>
              </w:rPr>
            </w:pPr>
            <w:r w:rsidRPr="002B3FE6">
              <w:rPr>
                <w:sz w:val="22"/>
                <w:szCs w:val="22"/>
              </w:rPr>
              <w:t>SW 447 366</w:t>
            </w:r>
          </w:p>
        </w:tc>
        <w:tc>
          <w:tcPr>
            <w:tcW w:w="1528" w:type="dxa"/>
          </w:tcPr>
          <w:p w14:paraId="1FCF0144" w14:textId="77777777" w:rsidR="00674E0C" w:rsidRPr="002B3FE6" w:rsidRDefault="00674E0C" w:rsidP="006C78CB">
            <w:pPr>
              <w:pStyle w:val="Default"/>
              <w:rPr>
                <w:sz w:val="22"/>
                <w:szCs w:val="22"/>
              </w:rPr>
            </w:pPr>
            <w:r w:rsidRPr="002B3FE6">
              <w:rPr>
                <w:rFonts w:eastAsia="Times New Roman"/>
                <w:sz w:val="22"/>
                <w:szCs w:val="22"/>
              </w:rPr>
              <w:t>64.52</w:t>
            </w:r>
          </w:p>
        </w:tc>
      </w:tr>
      <w:tr w:rsidR="00674E0C" w:rsidRPr="002B3FE6" w14:paraId="06133F8D" w14:textId="77777777" w:rsidTr="006C78CB">
        <w:tc>
          <w:tcPr>
            <w:tcW w:w="2030" w:type="dxa"/>
          </w:tcPr>
          <w:p w14:paraId="67641225" w14:textId="77777777" w:rsidR="00674E0C" w:rsidRPr="002B3FE6" w:rsidRDefault="00674E0C" w:rsidP="006C78CB">
            <w:pPr>
              <w:pStyle w:val="Default"/>
              <w:rPr>
                <w:sz w:val="22"/>
                <w:szCs w:val="22"/>
              </w:rPr>
            </w:pPr>
            <w:r w:rsidRPr="002B3FE6">
              <w:rPr>
                <w:sz w:val="22"/>
                <w:szCs w:val="22"/>
              </w:rPr>
              <w:t>Embla</w:t>
            </w:r>
            <w:r>
              <w:rPr>
                <w:sz w:val="22"/>
                <w:szCs w:val="22"/>
              </w:rPr>
              <w:t>*</w:t>
            </w:r>
            <w:r w:rsidRPr="002B3FE6">
              <w:rPr>
                <w:sz w:val="22"/>
                <w:szCs w:val="22"/>
              </w:rPr>
              <w:t xml:space="preserve"> (Embla North and South) </w:t>
            </w:r>
          </w:p>
        </w:tc>
        <w:tc>
          <w:tcPr>
            <w:tcW w:w="1742" w:type="dxa"/>
          </w:tcPr>
          <w:p w14:paraId="0518FDE5" w14:textId="77777777" w:rsidR="00674E0C" w:rsidRPr="002B3FE6" w:rsidRDefault="00674E0C" w:rsidP="006C78CB">
            <w:pPr>
              <w:pStyle w:val="Default"/>
              <w:rPr>
                <w:sz w:val="22"/>
                <w:szCs w:val="22"/>
              </w:rPr>
            </w:pPr>
            <w:r w:rsidRPr="002B3FE6">
              <w:rPr>
                <w:sz w:val="22"/>
                <w:szCs w:val="22"/>
              </w:rPr>
              <w:t>SW 482 372</w:t>
            </w:r>
          </w:p>
          <w:p w14:paraId="2AD0F59C" w14:textId="77777777" w:rsidR="00674E0C" w:rsidRPr="002B3FE6" w:rsidRDefault="00674E0C" w:rsidP="006C78CB">
            <w:pPr>
              <w:pStyle w:val="Default"/>
              <w:rPr>
                <w:sz w:val="22"/>
                <w:szCs w:val="22"/>
              </w:rPr>
            </w:pPr>
            <w:r w:rsidRPr="002B3FE6">
              <w:rPr>
                <w:sz w:val="22"/>
                <w:szCs w:val="22"/>
              </w:rPr>
              <w:t>SW 485 368</w:t>
            </w:r>
          </w:p>
        </w:tc>
        <w:tc>
          <w:tcPr>
            <w:tcW w:w="1528" w:type="dxa"/>
          </w:tcPr>
          <w:p w14:paraId="2D6B3D16" w14:textId="77777777" w:rsidR="00674E0C" w:rsidRPr="002B3FE6" w:rsidRDefault="00674E0C" w:rsidP="006C78CB">
            <w:pPr>
              <w:pStyle w:val="Default"/>
              <w:rPr>
                <w:sz w:val="22"/>
                <w:szCs w:val="22"/>
              </w:rPr>
            </w:pPr>
            <w:r w:rsidRPr="002B3FE6">
              <w:rPr>
                <w:rFonts w:eastAsia="Times New Roman"/>
                <w:sz w:val="22"/>
                <w:szCs w:val="22"/>
              </w:rPr>
              <w:t>131.28</w:t>
            </w:r>
          </w:p>
        </w:tc>
      </w:tr>
      <w:tr w:rsidR="00674E0C" w:rsidRPr="002B3FE6" w14:paraId="4FC3BE51" w14:textId="77777777" w:rsidTr="006C78CB">
        <w:tc>
          <w:tcPr>
            <w:tcW w:w="2030" w:type="dxa"/>
          </w:tcPr>
          <w:p w14:paraId="2B79AD6F" w14:textId="77777777" w:rsidR="00674E0C" w:rsidRPr="002B3FE6" w:rsidRDefault="00674E0C" w:rsidP="006C78CB">
            <w:pPr>
              <w:pStyle w:val="Default"/>
              <w:rPr>
                <w:sz w:val="22"/>
                <w:szCs w:val="22"/>
              </w:rPr>
            </w:pPr>
            <w:r w:rsidRPr="002B3FE6">
              <w:rPr>
                <w:sz w:val="22"/>
                <w:szCs w:val="22"/>
              </w:rPr>
              <w:t>Bussow Moor</w:t>
            </w:r>
          </w:p>
        </w:tc>
        <w:tc>
          <w:tcPr>
            <w:tcW w:w="1742" w:type="dxa"/>
          </w:tcPr>
          <w:p w14:paraId="75FF516A" w14:textId="77777777" w:rsidR="00674E0C" w:rsidRPr="002B3FE6" w:rsidRDefault="00674E0C" w:rsidP="006C78CB">
            <w:pPr>
              <w:pStyle w:val="Default"/>
              <w:rPr>
                <w:sz w:val="22"/>
                <w:szCs w:val="22"/>
              </w:rPr>
            </w:pPr>
            <w:r w:rsidRPr="002B3FE6">
              <w:rPr>
                <w:sz w:val="22"/>
                <w:szCs w:val="22"/>
              </w:rPr>
              <w:t>SW 501 387</w:t>
            </w:r>
          </w:p>
        </w:tc>
        <w:tc>
          <w:tcPr>
            <w:tcW w:w="1528" w:type="dxa"/>
          </w:tcPr>
          <w:p w14:paraId="5EE34465" w14:textId="77777777" w:rsidR="00674E0C" w:rsidRPr="002B3FE6" w:rsidRDefault="00674E0C" w:rsidP="006C78CB">
            <w:pPr>
              <w:pStyle w:val="Default"/>
              <w:rPr>
                <w:sz w:val="22"/>
                <w:szCs w:val="22"/>
              </w:rPr>
            </w:pPr>
            <w:r w:rsidRPr="002B3FE6">
              <w:rPr>
                <w:rFonts w:eastAsia="Times New Roman"/>
                <w:sz w:val="22"/>
                <w:szCs w:val="22"/>
              </w:rPr>
              <w:t>160.29</w:t>
            </w:r>
          </w:p>
        </w:tc>
      </w:tr>
    </w:tbl>
    <w:p w14:paraId="40019EE0" w14:textId="1938BB0A" w:rsidR="00674E0C" w:rsidRDefault="00674E0C" w:rsidP="00674E0C">
      <w:pPr>
        <w:pStyle w:val="Default"/>
        <w:rPr>
          <w:sz w:val="22"/>
          <w:szCs w:val="22"/>
        </w:rPr>
      </w:pPr>
    </w:p>
    <w:p w14:paraId="6B89A253" w14:textId="0DEA41A9" w:rsidR="00674E0C" w:rsidRDefault="00674E0C" w:rsidP="00674E0C">
      <w:pPr>
        <w:pStyle w:val="Default"/>
        <w:sectPr w:rsidR="00674E0C" w:rsidSect="00B33F98">
          <w:footerReference w:type="default" r:id="rId18"/>
          <w:footerReference w:type="first" r:id="rId19"/>
          <w:pgSz w:w="11906" w:h="16838"/>
          <w:pgMar w:top="1276" w:right="707" w:bottom="993" w:left="1080" w:header="340" w:footer="170" w:gutter="0"/>
          <w:pgNumType w:start="1"/>
          <w:cols w:space="708"/>
          <w:titlePg/>
          <w:docGrid w:linePitch="360"/>
        </w:sectPr>
      </w:pPr>
      <w:r w:rsidRPr="00FB3158">
        <w:t>*</w:t>
      </w:r>
      <w:proofErr w:type="gramStart"/>
      <w:r w:rsidR="00180E62">
        <w:t>f</w:t>
      </w:r>
      <w:r w:rsidRPr="00FB3158">
        <w:t>en</w:t>
      </w:r>
      <w:proofErr w:type="gramEnd"/>
      <w:r w:rsidRPr="00FB3158">
        <w:t xml:space="preserve"> vegetation at </w:t>
      </w:r>
      <w:proofErr w:type="spellStart"/>
      <w:r w:rsidRPr="00FB3158">
        <w:t>Bostraze</w:t>
      </w:r>
      <w:proofErr w:type="spellEnd"/>
      <w:r w:rsidRPr="00FB3158">
        <w:t>/</w:t>
      </w:r>
      <w:proofErr w:type="spellStart"/>
      <w:r w:rsidRPr="00FB3158">
        <w:t>Cryor</w:t>
      </w:r>
      <w:proofErr w:type="spellEnd"/>
      <w:r w:rsidRPr="00FB3158">
        <w:t xml:space="preserve"> and at Embla are comprised of two separate areas in each case</w:t>
      </w:r>
      <w:r>
        <w:t xml:space="preserve"> but in close proximity so as to practically occupy combined/related catchments respectively</w:t>
      </w:r>
      <w:r w:rsidRPr="00FB3158">
        <w:t xml:space="preserve">.  In the case of </w:t>
      </w:r>
      <w:proofErr w:type="spellStart"/>
      <w:r w:rsidRPr="00FB3158">
        <w:t>Bostraze</w:t>
      </w:r>
      <w:proofErr w:type="spellEnd"/>
      <w:r w:rsidRPr="00FB3158">
        <w:t xml:space="preserve"> and </w:t>
      </w:r>
      <w:proofErr w:type="spellStart"/>
      <w:r w:rsidRPr="00FB3158">
        <w:t>Cryor</w:t>
      </w:r>
      <w:proofErr w:type="spellEnd"/>
      <w:r w:rsidRPr="00FB3158">
        <w:t xml:space="preserve"> it is apparent from the surrounding topography that they would once have formed part of a larger, continuous valley </w:t>
      </w:r>
      <w:r>
        <w:t>fen complex</w:t>
      </w:r>
      <w:r w:rsidRPr="00FB3158">
        <w:t xml:space="preserve"> within a single hydrological catchment</w:t>
      </w:r>
      <w:r>
        <w:t>.</w:t>
      </w:r>
    </w:p>
    <w:p w14:paraId="18D2D7FD" w14:textId="634BD514" w:rsidR="00674E0C" w:rsidRPr="000014E4" w:rsidRDefault="00674E0C" w:rsidP="00674E0C">
      <w:pPr>
        <w:pStyle w:val="Default"/>
        <w:rPr>
          <w:b/>
          <w:sz w:val="26"/>
          <w:szCs w:val="26"/>
        </w:rPr>
      </w:pPr>
      <w:r>
        <w:rPr>
          <w:b/>
          <w:sz w:val="26"/>
          <w:szCs w:val="26"/>
        </w:rPr>
        <w:lastRenderedPageBreak/>
        <w:t>Map of valley fens, their steepest slope zones and SSSI boundary</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264"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6C53B6CB" w14:textId="77777777" w:rsidR="00674E0C" w:rsidRDefault="00674E0C" w:rsidP="000014E4">
      <w:pPr>
        <w:spacing w:after="240" w:line="276" w:lineRule="auto"/>
        <w:rPr>
          <w:rFonts w:ascii="Arial" w:hAnsi="Arial"/>
          <w:b/>
          <w:color w:val="000000"/>
          <w:sz w:val="26"/>
          <w:szCs w:val="26"/>
        </w:rPr>
      </w:pPr>
    </w:p>
    <w:p w14:paraId="0F3374FF" w14:textId="77777777" w:rsidR="00674E0C" w:rsidRDefault="00674E0C" w:rsidP="000014E4">
      <w:pPr>
        <w:spacing w:after="240" w:line="276" w:lineRule="auto"/>
        <w:rPr>
          <w:rFonts w:ascii="Arial" w:hAnsi="Arial"/>
          <w:b/>
          <w:color w:val="000000"/>
          <w:sz w:val="26"/>
          <w:szCs w:val="26"/>
        </w:rPr>
      </w:pPr>
    </w:p>
    <w:p w14:paraId="6A264670" w14:textId="77777777" w:rsidR="00674E0C" w:rsidRDefault="00674E0C" w:rsidP="000014E4">
      <w:pPr>
        <w:spacing w:after="240" w:line="276" w:lineRule="auto"/>
        <w:rPr>
          <w:rFonts w:ascii="Arial" w:hAnsi="Arial"/>
          <w:b/>
          <w:color w:val="000000"/>
          <w:sz w:val="26"/>
          <w:szCs w:val="26"/>
        </w:rPr>
        <w:sectPr w:rsidR="00674E0C" w:rsidSect="00A43D32">
          <w:pgSz w:w="16838" w:h="11906" w:orient="landscape"/>
          <w:pgMar w:top="1080" w:right="1276" w:bottom="707" w:left="993" w:header="340" w:footer="170" w:gutter="0"/>
          <w:pgNumType w:start="11"/>
          <w:cols w:space="708"/>
          <w:titlePg/>
          <w:docGrid w:linePitch="360"/>
        </w:sectPr>
      </w:pP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3487F56F" w14:textId="77777777" w:rsidR="00674E0C" w:rsidRPr="00B1382E" w:rsidRDefault="00674E0C" w:rsidP="00674E0C">
      <w:pPr>
        <w:pStyle w:val="Default"/>
        <w:rPr>
          <w:color w:val="auto"/>
        </w:rPr>
      </w:pPr>
      <w:r w:rsidRPr="00B1382E">
        <w:rPr>
          <w:color w:val="auto"/>
        </w:rPr>
        <w:t xml:space="preserve">The purpose of this project is to develop a groundwater monitoring strategy for the eleven valley fens within West Penwith Moors and Downs SSSI. </w:t>
      </w:r>
    </w:p>
    <w:p w14:paraId="5EDF7EA9" w14:textId="77777777" w:rsidR="00674E0C" w:rsidRPr="00B1382E" w:rsidRDefault="00674E0C" w:rsidP="00674E0C">
      <w:pPr>
        <w:pStyle w:val="Default"/>
        <w:rPr>
          <w:color w:val="auto"/>
        </w:rPr>
      </w:pPr>
    </w:p>
    <w:p w14:paraId="3F0B0358" w14:textId="3272F4F5" w:rsidR="00674E0C" w:rsidRDefault="00674E0C" w:rsidP="00674E0C">
      <w:pPr>
        <w:pStyle w:val="Default"/>
        <w:rPr>
          <w:color w:val="auto"/>
        </w:rPr>
      </w:pPr>
      <w:r w:rsidRPr="00B1382E">
        <w:rPr>
          <w:color w:val="auto"/>
        </w:rPr>
        <w:t xml:space="preserve">The aims of the monitoring </w:t>
      </w:r>
      <w:r w:rsidR="00FC538C">
        <w:rPr>
          <w:color w:val="auto"/>
        </w:rPr>
        <w:t>are</w:t>
      </w:r>
      <w:r w:rsidRPr="00B1382E">
        <w:rPr>
          <w:color w:val="auto"/>
        </w:rPr>
        <w:t xml:space="preserve"> to:</w:t>
      </w:r>
    </w:p>
    <w:p w14:paraId="33435534" w14:textId="77777777" w:rsidR="00FC538C" w:rsidRPr="00B1382E" w:rsidRDefault="00FC538C" w:rsidP="00674E0C">
      <w:pPr>
        <w:pStyle w:val="Default"/>
        <w:rPr>
          <w:color w:val="auto"/>
        </w:rPr>
      </w:pPr>
    </w:p>
    <w:p w14:paraId="248C1AAA" w14:textId="23DBA248" w:rsidR="00674E0C" w:rsidRDefault="00674E0C" w:rsidP="00674E0C">
      <w:pPr>
        <w:pStyle w:val="Default"/>
        <w:numPr>
          <w:ilvl w:val="0"/>
          <w:numId w:val="8"/>
        </w:numPr>
        <w:rPr>
          <w:color w:val="auto"/>
        </w:rPr>
      </w:pPr>
      <w:r w:rsidRPr="00B1382E">
        <w:rPr>
          <w:color w:val="auto"/>
        </w:rPr>
        <w:t>Understand the spatial and temporal variability in groundwater quality feeding the valley fens.</w:t>
      </w:r>
    </w:p>
    <w:p w14:paraId="3BED76F4" w14:textId="77777777" w:rsidR="005D4EB4" w:rsidRPr="00B1382E" w:rsidRDefault="005D4EB4" w:rsidP="005D4EB4">
      <w:pPr>
        <w:pStyle w:val="Default"/>
        <w:ind w:left="1080"/>
        <w:rPr>
          <w:color w:val="auto"/>
        </w:rPr>
      </w:pPr>
    </w:p>
    <w:p w14:paraId="2DE7C17A" w14:textId="1FF93D78" w:rsidR="00674E0C" w:rsidRDefault="00674E0C" w:rsidP="00674E0C">
      <w:pPr>
        <w:pStyle w:val="Default"/>
        <w:numPr>
          <w:ilvl w:val="0"/>
          <w:numId w:val="8"/>
        </w:numPr>
        <w:rPr>
          <w:color w:val="auto"/>
        </w:rPr>
      </w:pPr>
      <w:r w:rsidRPr="00B1382E">
        <w:rPr>
          <w:color w:val="auto"/>
        </w:rPr>
        <w:t>Inform our understanding of the condition of the valley fens in relation to groundwater quality.</w:t>
      </w:r>
    </w:p>
    <w:p w14:paraId="37B7DB5E" w14:textId="77777777" w:rsidR="005D4EB4" w:rsidRPr="00B1382E" w:rsidRDefault="005D4EB4" w:rsidP="005D4EB4">
      <w:pPr>
        <w:pStyle w:val="Default"/>
        <w:rPr>
          <w:color w:val="auto"/>
        </w:rPr>
      </w:pPr>
    </w:p>
    <w:p w14:paraId="2EF6375E" w14:textId="2A59B939" w:rsidR="00674E0C" w:rsidRDefault="00674E0C" w:rsidP="00674E0C">
      <w:pPr>
        <w:pStyle w:val="Default"/>
        <w:numPr>
          <w:ilvl w:val="0"/>
          <w:numId w:val="8"/>
        </w:numPr>
        <w:rPr>
          <w:color w:val="auto"/>
        </w:rPr>
      </w:pPr>
      <w:r w:rsidRPr="00B1382E">
        <w:rPr>
          <w:color w:val="auto"/>
        </w:rPr>
        <w:t>Understand whether any thresholds (</w:t>
      </w:r>
      <w:r w:rsidR="000319AB" w:rsidRPr="00B1382E">
        <w:rPr>
          <w:color w:val="auto"/>
        </w:rPr>
        <w:t>e.g.,</w:t>
      </w:r>
      <w:r w:rsidRPr="00B1382E">
        <w:rPr>
          <w:color w:val="auto"/>
        </w:rPr>
        <w:t xml:space="preserve"> 2mg/l </w:t>
      </w:r>
      <w:proofErr w:type="gramStart"/>
      <w:r w:rsidRPr="00B1382E">
        <w:rPr>
          <w:color w:val="auto"/>
        </w:rPr>
        <w:t>nitrate-N</w:t>
      </w:r>
      <w:proofErr w:type="gramEnd"/>
      <w:r w:rsidRPr="00B1382E">
        <w:rPr>
          <w:color w:val="auto"/>
        </w:rPr>
        <w:t>) are exceeded.</w:t>
      </w:r>
    </w:p>
    <w:p w14:paraId="550BB58D" w14:textId="77777777" w:rsidR="005D4EB4" w:rsidRPr="00B1382E" w:rsidRDefault="005D4EB4" w:rsidP="005D4EB4">
      <w:pPr>
        <w:pStyle w:val="Default"/>
        <w:rPr>
          <w:color w:val="auto"/>
        </w:rPr>
      </w:pPr>
    </w:p>
    <w:p w14:paraId="36B6E704" w14:textId="13D34ADE" w:rsidR="00674E0C" w:rsidRDefault="00674E0C" w:rsidP="00674E0C">
      <w:pPr>
        <w:pStyle w:val="Default"/>
        <w:numPr>
          <w:ilvl w:val="0"/>
          <w:numId w:val="8"/>
        </w:numPr>
        <w:rPr>
          <w:color w:val="auto"/>
        </w:rPr>
      </w:pPr>
      <w:r w:rsidRPr="00B1382E">
        <w:rPr>
          <w:color w:val="auto"/>
        </w:rPr>
        <w:t>Inform our understanding of the potential sources of any elevated levels.</w:t>
      </w:r>
    </w:p>
    <w:p w14:paraId="2BEBDB2D" w14:textId="77777777" w:rsidR="005D4EB4" w:rsidRPr="00B1382E" w:rsidRDefault="005D4EB4" w:rsidP="005D4EB4">
      <w:pPr>
        <w:pStyle w:val="Default"/>
        <w:rPr>
          <w:color w:val="auto"/>
        </w:rPr>
      </w:pPr>
    </w:p>
    <w:p w14:paraId="21C96470" w14:textId="117009FE" w:rsidR="00674E0C" w:rsidRDefault="00674E0C" w:rsidP="00674E0C">
      <w:pPr>
        <w:pStyle w:val="Default"/>
        <w:numPr>
          <w:ilvl w:val="0"/>
          <w:numId w:val="8"/>
        </w:numPr>
        <w:rPr>
          <w:color w:val="auto"/>
        </w:rPr>
      </w:pPr>
      <w:r w:rsidRPr="00B1382E">
        <w:rPr>
          <w:color w:val="auto"/>
        </w:rPr>
        <w:t>Provide a baseline to understand the effect of any future changes to land use or other activities within the catchment.</w:t>
      </w:r>
    </w:p>
    <w:p w14:paraId="123C0D53" w14:textId="77777777" w:rsidR="005D4EB4" w:rsidRPr="00B1382E" w:rsidRDefault="005D4EB4" w:rsidP="005D4EB4">
      <w:pPr>
        <w:pStyle w:val="Default"/>
        <w:rPr>
          <w:color w:val="auto"/>
        </w:rPr>
      </w:pPr>
    </w:p>
    <w:p w14:paraId="461EEA50" w14:textId="77777777" w:rsidR="00674E0C" w:rsidRPr="00B1382E" w:rsidRDefault="00674E0C" w:rsidP="00674E0C">
      <w:pPr>
        <w:pStyle w:val="Default"/>
        <w:numPr>
          <w:ilvl w:val="0"/>
          <w:numId w:val="8"/>
        </w:numPr>
        <w:rPr>
          <w:color w:val="auto"/>
        </w:rPr>
      </w:pPr>
      <w:r w:rsidRPr="00B1382E">
        <w:rPr>
          <w:color w:val="auto"/>
        </w:rPr>
        <w:t>Provide additional water quality data to inform modelling approaches to water quality.</w:t>
      </w:r>
    </w:p>
    <w:p w14:paraId="2B0FDFCC" w14:textId="77777777" w:rsidR="00674E0C" w:rsidRPr="00B1382E" w:rsidRDefault="00674E0C" w:rsidP="00674E0C">
      <w:pPr>
        <w:pStyle w:val="Default"/>
        <w:rPr>
          <w:color w:val="auto"/>
        </w:rPr>
      </w:pPr>
      <w:r w:rsidRPr="00B1382E">
        <w:rPr>
          <w:color w:val="auto"/>
        </w:rPr>
        <w:t xml:space="preserve"> </w:t>
      </w:r>
    </w:p>
    <w:p w14:paraId="1B095BB2" w14:textId="6145A4ED" w:rsidR="00674E0C" w:rsidRPr="00B1382E" w:rsidRDefault="00674E0C" w:rsidP="00953A34">
      <w:pPr>
        <w:pStyle w:val="Default"/>
        <w:jc w:val="both"/>
        <w:rPr>
          <w:color w:val="auto"/>
        </w:rPr>
      </w:pPr>
      <w:r w:rsidRPr="00B1382E">
        <w:rPr>
          <w:color w:val="auto"/>
        </w:rPr>
        <w:t xml:space="preserve">Note </w:t>
      </w:r>
      <w:r w:rsidR="00180E62">
        <w:rPr>
          <w:color w:val="auto"/>
        </w:rPr>
        <w:t xml:space="preserve">- </w:t>
      </w:r>
      <w:r w:rsidRPr="00B1382E">
        <w:rPr>
          <w:color w:val="auto"/>
        </w:rPr>
        <w:t>installation of any infrastructure and undertaking the monitoring will be subject to a separate contract(s).</w:t>
      </w:r>
    </w:p>
    <w:p w14:paraId="3FE15043" w14:textId="77777777" w:rsidR="00674E0C" w:rsidRDefault="00674E0C" w:rsidP="00674E0C">
      <w:pPr>
        <w:pStyle w:val="Default"/>
        <w:rPr>
          <w:color w:val="auto"/>
          <w:sz w:val="22"/>
          <w:szCs w:val="22"/>
        </w:rPr>
      </w:pPr>
    </w:p>
    <w:p w14:paraId="36B1AFB1" w14:textId="77777777" w:rsidR="00674E0C" w:rsidRPr="00B1382E" w:rsidRDefault="00674E0C" w:rsidP="00674E0C">
      <w:pPr>
        <w:pStyle w:val="Default"/>
        <w:rPr>
          <w:color w:val="auto"/>
          <w:sz w:val="26"/>
          <w:szCs w:val="26"/>
        </w:rPr>
      </w:pPr>
      <w:r w:rsidRPr="00B1382E">
        <w:rPr>
          <w:b/>
          <w:bCs/>
          <w:color w:val="auto"/>
          <w:sz w:val="26"/>
          <w:szCs w:val="26"/>
        </w:rPr>
        <w:t>Work requirements</w:t>
      </w:r>
    </w:p>
    <w:p w14:paraId="59ADF829" w14:textId="77777777" w:rsidR="00674E0C" w:rsidRDefault="00674E0C" w:rsidP="00674E0C">
      <w:pPr>
        <w:pStyle w:val="Default"/>
        <w:rPr>
          <w:b/>
          <w:bCs/>
          <w:color w:val="auto"/>
          <w:sz w:val="22"/>
          <w:szCs w:val="22"/>
        </w:rPr>
      </w:pPr>
    </w:p>
    <w:p w14:paraId="02161517" w14:textId="4112A2AB" w:rsidR="00674E0C" w:rsidRPr="00B1382E" w:rsidRDefault="00674E0C" w:rsidP="00674E0C">
      <w:pPr>
        <w:pStyle w:val="Default"/>
        <w:rPr>
          <w:color w:val="auto"/>
        </w:rPr>
      </w:pPr>
      <w:r w:rsidRPr="00B1382E">
        <w:rPr>
          <w:color w:val="auto"/>
        </w:rPr>
        <w:t>A key part of developing the monitoring strategy will be identifying suitable groundwater monitoring locations, which should be influenced by project objectives/aims (above) but also the practicalities of where it is possible to monitor. As there are groundwater springs feeding the valley fens, monitoring of the groundwater should focus on maximising the use of these where there is sufficient flow to enable adequate sample collection which will be representative of groundwater and minimise the need to install groundwater boreholes into the granite. The final strategy should look to include a maximum of around 33 sampling locations across the 11 valley fens, with up to four groundwater boreholes total being installed. If additional monitoring or boreholes are considered to be necessary in order to achieve the objectives/aims of the monitoring, then this should be flagged at an options workshop. Groundwater emergence points to the valley fens should be the focus, however the benefits of monitoring of the surface water features (</w:t>
      </w:r>
      <w:r w:rsidR="00180E62" w:rsidRPr="00B1382E">
        <w:rPr>
          <w:color w:val="auto"/>
        </w:rPr>
        <w:t>e.g.,</w:t>
      </w:r>
      <w:r w:rsidRPr="00B1382E">
        <w:rPr>
          <w:color w:val="auto"/>
        </w:rPr>
        <w:t xml:space="preserve"> streams, ditches, pipes etc) and groundwater within the valley fens themselves (using </w:t>
      </w:r>
      <w:proofErr w:type="spellStart"/>
      <w:r w:rsidRPr="00B1382E">
        <w:rPr>
          <w:color w:val="auto"/>
        </w:rPr>
        <w:t>dipwells</w:t>
      </w:r>
      <w:proofErr w:type="spellEnd"/>
      <w:r w:rsidRPr="00B1382E">
        <w:rPr>
          <w:color w:val="auto"/>
        </w:rPr>
        <w:t>), should be considered.</w:t>
      </w:r>
    </w:p>
    <w:p w14:paraId="2433BED1" w14:textId="77777777" w:rsidR="00674E0C" w:rsidRPr="00B1382E" w:rsidRDefault="00674E0C" w:rsidP="00674E0C">
      <w:pPr>
        <w:pStyle w:val="Default"/>
        <w:rPr>
          <w:color w:val="auto"/>
        </w:rPr>
      </w:pPr>
    </w:p>
    <w:p w14:paraId="702C18E3" w14:textId="77777777" w:rsidR="00674E0C" w:rsidRPr="00B1382E" w:rsidRDefault="00674E0C" w:rsidP="00674E0C">
      <w:pPr>
        <w:pStyle w:val="Default"/>
        <w:rPr>
          <w:color w:val="auto"/>
        </w:rPr>
      </w:pPr>
      <w:r w:rsidRPr="00B1382E">
        <w:rPr>
          <w:color w:val="auto"/>
        </w:rPr>
        <w:t xml:space="preserve">The monitoring locations should be informed through review of existing information, reports and maps on the hydrogeology and land use to identify potentially good locations and followed up with targeted site visits to verify the suitability and practicalities of those provisional monitoring locations and/or identify alternative monitoring locations within/around each valley fen. In addition to primary preferred locations for monitoring, ‘back up’ location options should also be identified if it turns out not to be possible to monitor the preferred locations at the monitoring stage. The final decision on the locations should be informed by a discussion on potential options at an options workshop with Natural England. </w:t>
      </w:r>
    </w:p>
    <w:p w14:paraId="66C3BFD0" w14:textId="77777777" w:rsidR="00674E0C" w:rsidRPr="00B1382E" w:rsidRDefault="00674E0C" w:rsidP="00674E0C">
      <w:pPr>
        <w:pStyle w:val="Default"/>
        <w:rPr>
          <w:color w:val="auto"/>
        </w:rPr>
      </w:pPr>
    </w:p>
    <w:p w14:paraId="7EA2786F" w14:textId="0A9A9812" w:rsidR="00674E0C" w:rsidRDefault="00674E0C" w:rsidP="00674E0C">
      <w:pPr>
        <w:pStyle w:val="Default"/>
        <w:rPr>
          <w:color w:val="auto"/>
        </w:rPr>
      </w:pPr>
      <w:r w:rsidRPr="00B1382E">
        <w:rPr>
          <w:color w:val="auto"/>
        </w:rPr>
        <w:t>Suggested list of parameters to monitor and frequency include:</w:t>
      </w:r>
    </w:p>
    <w:p w14:paraId="67C8A415" w14:textId="77777777" w:rsidR="00953A34" w:rsidRPr="00B1382E" w:rsidRDefault="00953A34" w:rsidP="00674E0C">
      <w:pPr>
        <w:pStyle w:val="Default"/>
        <w:rPr>
          <w:color w:val="auto"/>
        </w:rPr>
      </w:pPr>
    </w:p>
    <w:p w14:paraId="39F32D6A" w14:textId="77777777" w:rsidR="00674E0C" w:rsidRPr="00B1382E" w:rsidRDefault="00674E0C" w:rsidP="00674E0C">
      <w:pPr>
        <w:pStyle w:val="Default"/>
        <w:numPr>
          <w:ilvl w:val="0"/>
          <w:numId w:val="9"/>
        </w:numPr>
        <w:rPr>
          <w:color w:val="auto"/>
        </w:rPr>
      </w:pPr>
      <w:r w:rsidRPr="00B1382E">
        <w:rPr>
          <w:color w:val="auto"/>
        </w:rPr>
        <w:lastRenderedPageBreak/>
        <w:t>Nitrate (monthly)</w:t>
      </w:r>
    </w:p>
    <w:p w14:paraId="41221559" w14:textId="77777777" w:rsidR="00674E0C" w:rsidRPr="00B1382E" w:rsidRDefault="00674E0C" w:rsidP="00674E0C">
      <w:pPr>
        <w:pStyle w:val="Default"/>
        <w:numPr>
          <w:ilvl w:val="0"/>
          <w:numId w:val="9"/>
        </w:numPr>
        <w:rPr>
          <w:color w:val="auto"/>
        </w:rPr>
      </w:pPr>
      <w:r w:rsidRPr="00B1382E">
        <w:rPr>
          <w:color w:val="auto"/>
        </w:rPr>
        <w:t>Total Nitrogen (monthly)</w:t>
      </w:r>
    </w:p>
    <w:p w14:paraId="5399C901" w14:textId="77777777" w:rsidR="00674E0C" w:rsidRPr="00B1382E" w:rsidRDefault="00674E0C" w:rsidP="00674E0C">
      <w:pPr>
        <w:pStyle w:val="Default"/>
        <w:numPr>
          <w:ilvl w:val="0"/>
          <w:numId w:val="9"/>
        </w:numPr>
        <w:rPr>
          <w:color w:val="auto"/>
        </w:rPr>
      </w:pPr>
      <w:r w:rsidRPr="00B1382E">
        <w:rPr>
          <w:color w:val="auto"/>
        </w:rPr>
        <w:t>pH (monthly)</w:t>
      </w:r>
    </w:p>
    <w:p w14:paraId="4DC104C1" w14:textId="77777777" w:rsidR="00674E0C" w:rsidRPr="00B1382E" w:rsidRDefault="00674E0C" w:rsidP="00674E0C">
      <w:pPr>
        <w:pStyle w:val="Default"/>
        <w:numPr>
          <w:ilvl w:val="0"/>
          <w:numId w:val="9"/>
        </w:numPr>
        <w:rPr>
          <w:color w:val="auto"/>
        </w:rPr>
      </w:pPr>
      <w:r w:rsidRPr="00B1382E">
        <w:rPr>
          <w:color w:val="auto"/>
        </w:rPr>
        <w:t>Total Phosphorus (monthly)</w:t>
      </w:r>
    </w:p>
    <w:p w14:paraId="00E02E58" w14:textId="77777777" w:rsidR="00674E0C" w:rsidRPr="00B1382E" w:rsidRDefault="00674E0C" w:rsidP="00674E0C">
      <w:pPr>
        <w:pStyle w:val="Default"/>
        <w:numPr>
          <w:ilvl w:val="0"/>
          <w:numId w:val="9"/>
        </w:numPr>
        <w:rPr>
          <w:color w:val="auto"/>
        </w:rPr>
      </w:pPr>
      <w:r w:rsidRPr="00B1382E">
        <w:rPr>
          <w:color w:val="auto"/>
        </w:rPr>
        <w:t>Orthophosphate/Soluble reactive phosphorus (monthly)</w:t>
      </w:r>
    </w:p>
    <w:p w14:paraId="335E8B5C" w14:textId="77777777" w:rsidR="00674E0C" w:rsidRPr="00B1382E" w:rsidRDefault="00674E0C" w:rsidP="00674E0C">
      <w:pPr>
        <w:pStyle w:val="Default"/>
        <w:numPr>
          <w:ilvl w:val="0"/>
          <w:numId w:val="9"/>
        </w:numPr>
        <w:rPr>
          <w:color w:val="auto"/>
        </w:rPr>
      </w:pPr>
      <w:r w:rsidRPr="00B1382E">
        <w:rPr>
          <w:color w:val="auto"/>
        </w:rPr>
        <w:t>Electrical conductivity (monthly)</w:t>
      </w:r>
    </w:p>
    <w:p w14:paraId="4D151466" w14:textId="77777777" w:rsidR="00674E0C" w:rsidRPr="00B1382E" w:rsidRDefault="00674E0C" w:rsidP="00674E0C">
      <w:pPr>
        <w:pStyle w:val="Default"/>
        <w:numPr>
          <w:ilvl w:val="0"/>
          <w:numId w:val="9"/>
        </w:numPr>
        <w:rPr>
          <w:color w:val="auto"/>
        </w:rPr>
      </w:pPr>
      <w:r w:rsidRPr="00B1382E">
        <w:rPr>
          <w:color w:val="auto"/>
        </w:rPr>
        <w:t>Total Dissolved Solids (monthly)</w:t>
      </w:r>
    </w:p>
    <w:p w14:paraId="3CBC7970" w14:textId="77777777" w:rsidR="00674E0C" w:rsidRPr="00B1382E" w:rsidRDefault="00674E0C" w:rsidP="00674E0C">
      <w:pPr>
        <w:pStyle w:val="Default"/>
        <w:numPr>
          <w:ilvl w:val="0"/>
          <w:numId w:val="9"/>
        </w:numPr>
        <w:rPr>
          <w:color w:val="auto"/>
        </w:rPr>
      </w:pPr>
      <w:r w:rsidRPr="00B1382E">
        <w:rPr>
          <w:color w:val="auto"/>
        </w:rPr>
        <w:t>Suite of major anions/cations (monthly)</w:t>
      </w:r>
    </w:p>
    <w:p w14:paraId="258BA0E5" w14:textId="77777777" w:rsidR="00674E0C" w:rsidRPr="00B1382E" w:rsidRDefault="00674E0C" w:rsidP="00674E0C">
      <w:pPr>
        <w:pStyle w:val="Default"/>
        <w:numPr>
          <w:ilvl w:val="0"/>
          <w:numId w:val="9"/>
        </w:numPr>
        <w:rPr>
          <w:color w:val="auto"/>
        </w:rPr>
      </w:pPr>
      <w:r w:rsidRPr="00B1382E">
        <w:rPr>
          <w:color w:val="auto"/>
        </w:rPr>
        <w:t>Water levels (where feasible) (monthly)</w:t>
      </w:r>
    </w:p>
    <w:p w14:paraId="78A8378C" w14:textId="77777777" w:rsidR="00674E0C" w:rsidRPr="00B1382E" w:rsidRDefault="00674E0C" w:rsidP="00674E0C">
      <w:pPr>
        <w:pStyle w:val="Default"/>
        <w:rPr>
          <w:color w:val="auto"/>
        </w:rPr>
      </w:pPr>
    </w:p>
    <w:p w14:paraId="74D0D2BB" w14:textId="77777777" w:rsidR="00674E0C" w:rsidRPr="00B1382E" w:rsidRDefault="00674E0C" w:rsidP="00674E0C">
      <w:pPr>
        <w:pStyle w:val="Default"/>
        <w:rPr>
          <w:color w:val="auto"/>
        </w:rPr>
      </w:pPr>
      <w:r w:rsidRPr="00B1382E">
        <w:rPr>
          <w:color w:val="auto"/>
        </w:rPr>
        <w:t>Initial baseline monitoring we would suggest takes place for three years, with the view to then undertake periodic future monitoring to pick up any changes.</w:t>
      </w:r>
    </w:p>
    <w:p w14:paraId="0A313DC8" w14:textId="77777777" w:rsidR="00674E0C" w:rsidRPr="00B1382E" w:rsidRDefault="00674E0C" w:rsidP="00674E0C">
      <w:pPr>
        <w:pStyle w:val="Default"/>
        <w:rPr>
          <w:color w:val="auto"/>
        </w:rPr>
      </w:pPr>
    </w:p>
    <w:p w14:paraId="1E1BE039" w14:textId="6BB1DC0E" w:rsidR="00674E0C" w:rsidRPr="00B1382E" w:rsidRDefault="00674E0C" w:rsidP="00674E0C">
      <w:pPr>
        <w:pStyle w:val="Default"/>
        <w:rPr>
          <w:color w:val="auto"/>
        </w:rPr>
      </w:pPr>
      <w:r w:rsidRPr="00B1382E">
        <w:rPr>
          <w:color w:val="auto"/>
        </w:rPr>
        <w:t>The addition or removal of parameters plus the frequency and duration of the sampling should be further considered as to what is needed to ensure we achieve the objectives/aims of the monitoring. If changes are considered to be beneficial to achieving those objectives/</w:t>
      </w:r>
      <w:proofErr w:type="gramStart"/>
      <w:r w:rsidRPr="00B1382E">
        <w:rPr>
          <w:color w:val="auto"/>
        </w:rPr>
        <w:t>aims</w:t>
      </w:r>
      <w:proofErr w:type="gramEnd"/>
      <w:r w:rsidRPr="00B1382E">
        <w:rPr>
          <w:color w:val="auto"/>
        </w:rPr>
        <w:t xml:space="preserve"> then these should be suggested and discussed and agreed with Natural England at an options workshop.</w:t>
      </w:r>
    </w:p>
    <w:p w14:paraId="2154084A" w14:textId="77777777" w:rsidR="00674E0C" w:rsidRDefault="00674E0C" w:rsidP="00674E0C">
      <w:pPr>
        <w:pStyle w:val="Default"/>
        <w:rPr>
          <w:color w:val="auto"/>
          <w:sz w:val="22"/>
          <w:szCs w:val="22"/>
        </w:rPr>
      </w:pPr>
    </w:p>
    <w:p w14:paraId="0AE1A4FF" w14:textId="77777777" w:rsidR="00674E0C" w:rsidRPr="00B1382E" w:rsidRDefault="00674E0C" w:rsidP="00674E0C">
      <w:pPr>
        <w:pStyle w:val="Default"/>
        <w:rPr>
          <w:b/>
          <w:bCs/>
          <w:color w:val="auto"/>
        </w:rPr>
      </w:pPr>
      <w:r w:rsidRPr="00B1382E">
        <w:rPr>
          <w:b/>
          <w:bCs/>
          <w:color w:val="auto"/>
        </w:rPr>
        <w:t>Outputs</w:t>
      </w:r>
    </w:p>
    <w:p w14:paraId="0D837B58" w14:textId="77777777" w:rsidR="00674E0C" w:rsidRDefault="00674E0C" w:rsidP="00674E0C">
      <w:pPr>
        <w:pStyle w:val="Default"/>
        <w:rPr>
          <w:b/>
          <w:bCs/>
          <w:color w:val="auto"/>
          <w:sz w:val="22"/>
          <w:szCs w:val="22"/>
        </w:rPr>
      </w:pPr>
    </w:p>
    <w:p w14:paraId="081F94FF" w14:textId="63B6490C" w:rsidR="00674E0C" w:rsidRPr="00B1382E" w:rsidRDefault="00674E0C" w:rsidP="00674E0C">
      <w:pPr>
        <w:pStyle w:val="Default"/>
        <w:numPr>
          <w:ilvl w:val="0"/>
          <w:numId w:val="12"/>
        </w:numPr>
        <w:ind w:left="426"/>
        <w:rPr>
          <w:color w:val="auto"/>
        </w:rPr>
      </w:pPr>
      <w:r w:rsidRPr="00B1382E">
        <w:rPr>
          <w:color w:val="auto"/>
        </w:rPr>
        <w:t xml:space="preserve">An options workshop with NE to discuss the potential options and agree the final monitoring strategy. </w:t>
      </w:r>
      <w:r w:rsidR="00180E62" w:rsidRPr="00B1382E">
        <w:rPr>
          <w:color w:val="auto"/>
        </w:rPr>
        <w:t>PowerPoint</w:t>
      </w:r>
      <w:r w:rsidRPr="00B1382E">
        <w:rPr>
          <w:color w:val="auto"/>
        </w:rPr>
        <w:t xml:space="preserve"> slides should be produced prior to the meeting and shared with NE which cover:</w:t>
      </w:r>
    </w:p>
    <w:p w14:paraId="27EDC179" w14:textId="77777777" w:rsidR="00674E0C" w:rsidRPr="00B1382E" w:rsidRDefault="00674E0C" w:rsidP="00674E0C">
      <w:pPr>
        <w:pStyle w:val="Default"/>
        <w:ind w:left="426"/>
        <w:rPr>
          <w:color w:val="auto"/>
        </w:rPr>
      </w:pPr>
    </w:p>
    <w:p w14:paraId="1FB0750C" w14:textId="77777777" w:rsidR="00B1382E" w:rsidRDefault="00674E0C" w:rsidP="00674E0C">
      <w:pPr>
        <w:pStyle w:val="Default"/>
        <w:numPr>
          <w:ilvl w:val="0"/>
          <w:numId w:val="11"/>
        </w:numPr>
        <w:rPr>
          <w:color w:val="auto"/>
        </w:rPr>
      </w:pPr>
      <w:r w:rsidRPr="00B1382E">
        <w:rPr>
          <w:color w:val="auto"/>
        </w:rPr>
        <w:t>The potential location options for the baseline monitoring, including the pros and cons for each location including whether any infrastructure would need to be installed.</w:t>
      </w:r>
    </w:p>
    <w:p w14:paraId="3EA3ACB0" w14:textId="3B35F2CD" w:rsidR="00674E0C" w:rsidRPr="00B1382E" w:rsidRDefault="00674E0C" w:rsidP="00B1382E">
      <w:pPr>
        <w:pStyle w:val="Default"/>
        <w:ind w:left="780"/>
        <w:rPr>
          <w:color w:val="auto"/>
        </w:rPr>
      </w:pPr>
      <w:r w:rsidRPr="00B1382E">
        <w:rPr>
          <w:color w:val="auto"/>
        </w:rPr>
        <w:t xml:space="preserve"> </w:t>
      </w:r>
    </w:p>
    <w:p w14:paraId="2824C2AA" w14:textId="0A2F184C" w:rsidR="00674E0C" w:rsidRDefault="00674E0C" w:rsidP="00674E0C">
      <w:pPr>
        <w:pStyle w:val="Default"/>
        <w:numPr>
          <w:ilvl w:val="0"/>
          <w:numId w:val="11"/>
        </w:numPr>
        <w:rPr>
          <w:color w:val="auto"/>
        </w:rPr>
      </w:pPr>
      <w:r w:rsidRPr="00B1382E">
        <w:rPr>
          <w:color w:val="auto"/>
        </w:rPr>
        <w:t>A recommendation for the locations, parameters, sampling frequency/duration and field/lab methods which should be used in the final monitoring strategy.</w:t>
      </w:r>
    </w:p>
    <w:p w14:paraId="4BC3C57E" w14:textId="77777777" w:rsidR="00B1382E" w:rsidRPr="00B1382E" w:rsidRDefault="00B1382E" w:rsidP="00B1382E">
      <w:pPr>
        <w:pStyle w:val="Default"/>
        <w:rPr>
          <w:color w:val="auto"/>
        </w:rPr>
      </w:pPr>
    </w:p>
    <w:p w14:paraId="254CCEB9" w14:textId="77777777" w:rsidR="00674E0C" w:rsidRPr="00B1382E" w:rsidRDefault="00674E0C" w:rsidP="00674E0C">
      <w:pPr>
        <w:pStyle w:val="Default"/>
        <w:numPr>
          <w:ilvl w:val="0"/>
          <w:numId w:val="11"/>
        </w:numPr>
        <w:rPr>
          <w:color w:val="auto"/>
        </w:rPr>
      </w:pPr>
      <w:r w:rsidRPr="00B1382E">
        <w:rPr>
          <w:color w:val="auto"/>
        </w:rPr>
        <w:t xml:space="preserve">An explanation of the reasoning and rationale for the recommendations. </w:t>
      </w:r>
    </w:p>
    <w:p w14:paraId="0EA35651" w14:textId="77777777" w:rsidR="00674E0C" w:rsidRPr="00B1382E" w:rsidRDefault="00674E0C" w:rsidP="00674E0C">
      <w:pPr>
        <w:pStyle w:val="Default"/>
        <w:rPr>
          <w:b/>
          <w:bCs/>
          <w:color w:val="auto"/>
        </w:rPr>
      </w:pPr>
    </w:p>
    <w:p w14:paraId="2B33235D" w14:textId="758A1899" w:rsidR="00674E0C" w:rsidRPr="00B1382E" w:rsidRDefault="00674E0C" w:rsidP="00674E0C">
      <w:pPr>
        <w:pStyle w:val="Default"/>
        <w:numPr>
          <w:ilvl w:val="0"/>
          <w:numId w:val="12"/>
        </w:numPr>
        <w:ind w:left="426"/>
        <w:rPr>
          <w:color w:val="auto"/>
        </w:rPr>
      </w:pPr>
      <w:r w:rsidRPr="00B1382E">
        <w:rPr>
          <w:color w:val="auto"/>
        </w:rPr>
        <w:t xml:space="preserve">Subsequent to the options workshop, a report (draft version followed by final) setting out the agreed baseline monitoring strategy for the eleven valley fens. The strategy should clearly describe what, </w:t>
      </w:r>
      <w:r w:rsidR="00180E62" w:rsidRPr="00B1382E">
        <w:rPr>
          <w:color w:val="auto"/>
        </w:rPr>
        <w:t>where</w:t>
      </w:r>
      <w:r w:rsidR="00953A34">
        <w:rPr>
          <w:color w:val="auto"/>
        </w:rPr>
        <w:t xml:space="preserve"> </w:t>
      </w:r>
      <w:r w:rsidRPr="00B1382E">
        <w:rPr>
          <w:color w:val="auto"/>
        </w:rPr>
        <w:t>when and how the monitoring should be undertaken. The strategy will be used as the specification to procure the monitoring; therefore, it should include all the information needed for a contractor to understand exactly what is required, which should include but not necessarily limited to:</w:t>
      </w:r>
    </w:p>
    <w:p w14:paraId="6EBB5D12" w14:textId="77777777" w:rsidR="00674E0C" w:rsidRPr="00B1382E" w:rsidRDefault="00674E0C" w:rsidP="00674E0C">
      <w:pPr>
        <w:pStyle w:val="Default"/>
        <w:ind w:left="426"/>
        <w:rPr>
          <w:color w:val="auto"/>
        </w:rPr>
      </w:pPr>
    </w:p>
    <w:p w14:paraId="71896058" w14:textId="77777777" w:rsidR="00B1382E" w:rsidRDefault="00674E0C" w:rsidP="00674E0C">
      <w:pPr>
        <w:pStyle w:val="Default"/>
        <w:numPr>
          <w:ilvl w:val="0"/>
          <w:numId w:val="10"/>
        </w:numPr>
        <w:rPr>
          <w:color w:val="auto"/>
        </w:rPr>
      </w:pPr>
      <w:r w:rsidRPr="00B1382E">
        <w:rPr>
          <w:color w:val="auto"/>
        </w:rPr>
        <w:t>Identification on a map and description with photograph(s) and grid refs of the sampling locations plus back up location options if it turns out not to be possible to monitor the preferred locations.</w:t>
      </w:r>
    </w:p>
    <w:p w14:paraId="63E07AA1" w14:textId="70D68A6D" w:rsidR="00674E0C" w:rsidRPr="00B1382E" w:rsidRDefault="00674E0C" w:rsidP="00B1382E">
      <w:pPr>
        <w:pStyle w:val="Default"/>
        <w:ind w:left="720"/>
        <w:rPr>
          <w:color w:val="auto"/>
        </w:rPr>
      </w:pPr>
      <w:r w:rsidRPr="00B1382E">
        <w:rPr>
          <w:color w:val="auto"/>
        </w:rPr>
        <w:t xml:space="preserve"> </w:t>
      </w:r>
    </w:p>
    <w:p w14:paraId="07173DE0" w14:textId="2C1E1682" w:rsidR="00B1382E" w:rsidRDefault="00674E0C" w:rsidP="00674E0C">
      <w:pPr>
        <w:pStyle w:val="Default"/>
        <w:numPr>
          <w:ilvl w:val="0"/>
          <w:numId w:val="10"/>
        </w:numPr>
        <w:rPr>
          <w:color w:val="auto"/>
        </w:rPr>
      </w:pPr>
      <w:r w:rsidRPr="00B1382E">
        <w:rPr>
          <w:color w:val="auto"/>
        </w:rPr>
        <w:t>Details of any monitoring infrastructure that needs to be installed (</w:t>
      </w:r>
      <w:proofErr w:type="gramStart"/>
      <w:r w:rsidRPr="00B1382E">
        <w:rPr>
          <w:color w:val="auto"/>
        </w:rPr>
        <w:t>e.g.</w:t>
      </w:r>
      <w:proofErr w:type="gramEnd"/>
      <w:r w:rsidRPr="00B1382E">
        <w:rPr>
          <w:color w:val="auto"/>
        </w:rPr>
        <w:t xml:space="preserve"> boreholes, dip</w:t>
      </w:r>
      <w:r w:rsidR="00953A34">
        <w:rPr>
          <w:color w:val="auto"/>
        </w:rPr>
        <w:t>-</w:t>
      </w:r>
      <w:r w:rsidRPr="00B1382E">
        <w:rPr>
          <w:color w:val="auto"/>
        </w:rPr>
        <w:t>wells etc) including target depths, installation details and proposed drilling methods.</w:t>
      </w:r>
    </w:p>
    <w:p w14:paraId="35CD5625" w14:textId="3E420DC6" w:rsidR="00674E0C" w:rsidRPr="00B1382E" w:rsidRDefault="00674E0C" w:rsidP="00B1382E">
      <w:pPr>
        <w:pStyle w:val="Default"/>
        <w:rPr>
          <w:color w:val="auto"/>
        </w:rPr>
      </w:pPr>
      <w:r w:rsidRPr="00B1382E">
        <w:rPr>
          <w:color w:val="auto"/>
        </w:rPr>
        <w:t xml:space="preserve"> </w:t>
      </w:r>
    </w:p>
    <w:p w14:paraId="216E933F" w14:textId="2825B81B" w:rsidR="00674E0C" w:rsidRDefault="00674E0C" w:rsidP="00674E0C">
      <w:pPr>
        <w:pStyle w:val="Default"/>
        <w:numPr>
          <w:ilvl w:val="0"/>
          <w:numId w:val="10"/>
        </w:numPr>
        <w:rPr>
          <w:color w:val="auto"/>
        </w:rPr>
      </w:pPr>
      <w:r w:rsidRPr="00B1382E">
        <w:rPr>
          <w:color w:val="auto"/>
        </w:rPr>
        <w:t>The parameters to be sampled and the location/timing/frequency/duration of the sampling for each parameter and field vs lab analysis.</w:t>
      </w:r>
    </w:p>
    <w:p w14:paraId="4A149A95" w14:textId="77777777" w:rsidR="00B1382E" w:rsidRPr="00B1382E" w:rsidRDefault="00B1382E" w:rsidP="00B1382E">
      <w:pPr>
        <w:pStyle w:val="Default"/>
        <w:rPr>
          <w:color w:val="auto"/>
        </w:rPr>
      </w:pPr>
    </w:p>
    <w:p w14:paraId="2A13AE81" w14:textId="5FB71F78" w:rsidR="00674E0C" w:rsidRDefault="00674E0C" w:rsidP="00674E0C">
      <w:pPr>
        <w:pStyle w:val="Default"/>
        <w:numPr>
          <w:ilvl w:val="0"/>
          <w:numId w:val="10"/>
        </w:numPr>
        <w:rPr>
          <w:color w:val="auto"/>
        </w:rPr>
      </w:pPr>
      <w:r w:rsidRPr="00B1382E">
        <w:rPr>
          <w:color w:val="auto"/>
        </w:rPr>
        <w:t>Description of the in-field sample collection methodologies that should be used including any equipment that should be used.</w:t>
      </w:r>
    </w:p>
    <w:p w14:paraId="0F3F2553" w14:textId="77777777" w:rsidR="00B1382E" w:rsidRPr="00B1382E" w:rsidRDefault="00B1382E" w:rsidP="00B1382E">
      <w:pPr>
        <w:pStyle w:val="Default"/>
        <w:rPr>
          <w:color w:val="auto"/>
        </w:rPr>
      </w:pPr>
    </w:p>
    <w:p w14:paraId="501A63CD" w14:textId="77777777" w:rsidR="00674E0C" w:rsidRPr="00B1382E" w:rsidRDefault="00674E0C" w:rsidP="00674E0C">
      <w:pPr>
        <w:pStyle w:val="Default"/>
        <w:numPr>
          <w:ilvl w:val="0"/>
          <w:numId w:val="10"/>
        </w:numPr>
        <w:rPr>
          <w:color w:val="auto"/>
        </w:rPr>
      </w:pPr>
      <w:r w:rsidRPr="00B1382E">
        <w:rPr>
          <w:color w:val="auto"/>
        </w:rPr>
        <w:t>Description of the parameter lab or field analysis methodologies that should be used, whether it needs to be undertaken using an accredited method, or undertaken at an accredited lab, and any level of detection that should be employed or any specific equipment/specification/accuracy that should be used.</w:t>
      </w:r>
    </w:p>
    <w:p w14:paraId="1F73A09E" w14:textId="77777777" w:rsidR="00674E0C" w:rsidRPr="00B1382E" w:rsidRDefault="00674E0C" w:rsidP="00674E0C">
      <w:pPr>
        <w:pStyle w:val="Default"/>
        <w:ind w:left="360"/>
        <w:rPr>
          <w:color w:val="auto"/>
        </w:rPr>
      </w:pPr>
    </w:p>
    <w:p w14:paraId="31E58B84" w14:textId="77777777" w:rsidR="00674E0C" w:rsidRDefault="00674E0C" w:rsidP="00674E0C">
      <w:pPr>
        <w:pStyle w:val="Default"/>
        <w:ind w:left="360"/>
        <w:rPr>
          <w:color w:val="auto"/>
          <w:sz w:val="22"/>
          <w:szCs w:val="22"/>
        </w:rPr>
      </w:pPr>
      <w:r w:rsidRPr="00B1382E">
        <w:rPr>
          <w:color w:val="auto"/>
        </w:rPr>
        <w:t>The report should also provide options for a future monitoring strategy to understand the effect of any future changes to land use, land management or other activities within the catchment including the timing and frequency of sampling that should be undertaken. It should include an explanation of the reasoning and rationale and pros and cons for the options</w:t>
      </w:r>
      <w:r>
        <w:rPr>
          <w:color w:val="auto"/>
          <w:sz w:val="22"/>
          <w:szCs w:val="22"/>
        </w:rPr>
        <w:t xml:space="preserve">. </w:t>
      </w:r>
    </w:p>
    <w:p w14:paraId="4E2610AF" w14:textId="77777777" w:rsidR="00674E0C" w:rsidRDefault="00674E0C" w:rsidP="00674E0C">
      <w:pPr>
        <w:pStyle w:val="Default"/>
        <w:rPr>
          <w:color w:val="auto"/>
          <w:sz w:val="22"/>
          <w:szCs w:val="22"/>
        </w:rPr>
      </w:pPr>
    </w:p>
    <w:p w14:paraId="5C8D3553" w14:textId="12F459A3" w:rsidR="00674E0C" w:rsidRPr="00B1382E" w:rsidRDefault="00674E0C" w:rsidP="00674E0C">
      <w:pPr>
        <w:pStyle w:val="Default"/>
        <w:ind w:left="426" w:hanging="426"/>
        <w:rPr>
          <w:rStyle w:val="normaltextrun"/>
          <w:color w:val="2381FF" w:themeColor="text2" w:themeTint="99"/>
          <w:shd w:val="clear" w:color="auto" w:fill="FFFFFF"/>
          <w:lang w:val="en-US"/>
        </w:rPr>
      </w:pPr>
      <w:r w:rsidRPr="00B1382E">
        <w:rPr>
          <w:color w:val="auto"/>
        </w:rPr>
        <w:t>3.</w:t>
      </w:r>
      <w:r w:rsidRPr="00B1382E">
        <w:rPr>
          <w:color w:val="auto"/>
        </w:rPr>
        <w:tab/>
        <w:t>A GI shapefile compatible with ArcM</w:t>
      </w:r>
      <w:r w:rsidR="00953A34">
        <w:rPr>
          <w:color w:val="auto"/>
        </w:rPr>
        <w:t>ap</w:t>
      </w:r>
      <w:r w:rsidRPr="00B1382E">
        <w:rPr>
          <w:color w:val="auto"/>
        </w:rPr>
        <w:t xml:space="preserve"> software of the final agreed monitoring locations, including ‘back up’ locations and metadata (NE template can be provided) to be provided. </w:t>
      </w:r>
      <w:r w:rsidRPr="00B1382E">
        <w:rPr>
          <w:rStyle w:val="normaltextrun"/>
          <w:shd w:val="clear" w:color="auto" w:fill="FFFFFF"/>
        </w:rPr>
        <w:t xml:space="preserve">This GIS shapefile and any underlying data must meet any data licencing requirements so that is shareable and suitable for future external open-access use. </w:t>
      </w:r>
      <w:r w:rsidRPr="00B1382E">
        <w:rPr>
          <w:rStyle w:val="normaltextrun"/>
          <w:shd w:val="clear" w:color="auto" w:fill="FFFFFF"/>
          <w:lang w:val="en-US"/>
        </w:rPr>
        <w:t xml:space="preserve">Please use the following template: </w:t>
      </w:r>
      <w:hyperlink r:id="rId21" w:tgtFrame="_blank" w:history="1">
        <w:r w:rsidRPr="00B1382E">
          <w:rPr>
            <w:rStyle w:val="normaltextrun"/>
            <w:color w:val="2381FF" w:themeColor="text2" w:themeTint="99"/>
            <w:shd w:val="clear" w:color="auto" w:fill="FFFFFF"/>
            <w:lang w:val="en-US"/>
          </w:rPr>
          <w:t>Basic Metadata Template NE</w:t>
        </w:r>
      </w:hyperlink>
      <w:r w:rsidRPr="00B1382E">
        <w:rPr>
          <w:rStyle w:val="normaltextrun"/>
          <w:color w:val="2381FF" w:themeColor="text2" w:themeTint="99"/>
          <w:shd w:val="clear" w:color="auto" w:fill="FFFFFF"/>
          <w:lang w:val="en-US"/>
        </w:rPr>
        <w:t>  </w:t>
      </w:r>
    </w:p>
    <w:p w14:paraId="7BC82855" w14:textId="085C6B4E" w:rsidR="00674E0C" w:rsidRPr="00674E0C" w:rsidRDefault="00674E0C" w:rsidP="00674E0C">
      <w:pPr>
        <w:pStyle w:val="Default"/>
        <w:ind w:left="426" w:hanging="426"/>
        <w:rPr>
          <w:b/>
          <w:color w:val="2381FF" w:themeColor="text2" w:themeTint="99"/>
          <w:sz w:val="26"/>
          <w:szCs w:val="26"/>
        </w:rPr>
      </w:pPr>
      <w:r w:rsidRPr="00674E0C">
        <w:rPr>
          <w:rStyle w:val="eop"/>
          <w:color w:val="2381FF" w:themeColor="text2" w:themeTint="99"/>
          <w:sz w:val="22"/>
          <w:szCs w:val="22"/>
          <w:shd w:val="clear" w:color="auto" w:fill="FFFFFF"/>
        </w:rPr>
        <w:t> </w:t>
      </w: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77777777" w:rsidR="00B1382E" w:rsidRPr="00B1382E" w:rsidRDefault="00B1382E" w:rsidP="00B1382E">
      <w:pPr>
        <w:pStyle w:val="Default"/>
        <w:rPr>
          <w:color w:val="auto"/>
        </w:rPr>
      </w:pPr>
      <w:r w:rsidRPr="00B1382E">
        <w:rPr>
          <w:color w:val="auto"/>
        </w:rPr>
        <w:t xml:space="preserve">Maps, plans, illustrations, matrixes and photographs must be full colour where </w:t>
      </w:r>
      <w:proofErr w:type="gramStart"/>
      <w:r w:rsidRPr="00B1382E">
        <w:rPr>
          <w:color w:val="auto"/>
        </w:rPr>
        <w:t>original</w:t>
      </w:r>
      <w:proofErr w:type="gramEnd"/>
      <w:r w:rsidRPr="00B1382E">
        <w:rPr>
          <w:color w:val="auto"/>
        </w:rPr>
        <w:t xml:space="preserve"> </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77777777" w:rsidR="00B1382E" w:rsidRPr="00B1382E" w:rsidRDefault="00B1382E" w:rsidP="00B1382E">
      <w:pPr>
        <w:pStyle w:val="Default"/>
        <w:rPr>
          <w:color w:val="auto"/>
        </w:rPr>
      </w:pPr>
      <w:r w:rsidRPr="00B1382E">
        <w:rPr>
          <w:color w:val="auto"/>
        </w:rPr>
        <w:t>Copies of each stage of the Monitoring Strategy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676B16"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r w:rsidRPr="00B1382E">
        <w:rPr>
          <w:rStyle w:val="eop"/>
          <w:rFonts w:ascii="Arial" w:hAnsi="Arial" w:cs="Arial"/>
        </w:rPr>
        <w:t> </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ESRI Shapefile or Geodatabase (v10.2.2 with a .</w:t>
      </w:r>
      <w:proofErr w:type="spellStart"/>
      <w:r w:rsidRPr="00B1382E">
        <w:rPr>
          <w:rStyle w:val="normaltextrun"/>
          <w:shd w:val="clear" w:color="auto" w:fill="FFFFFF"/>
          <w:lang w:val="en-US"/>
        </w:rPr>
        <w:t>lyr</w:t>
      </w:r>
      <w:proofErr w:type="spellEnd"/>
      <w:r w:rsidRPr="00B1382E">
        <w:rPr>
          <w:rStyle w:val="normaltextrun"/>
          <w:shd w:val="clear" w:color="auto" w:fill="FFFFFF"/>
          <w:lang w:val="en-US"/>
        </w:rPr>
        <w:t xml:space="preserve">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7616EEB4"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0319AB"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lastRenderedPageBreak/>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77777777" w:rsidR="00B1382E" w:rsidRPr="00B1382E" w:rsidRDefault="00B1382E" w:rsidP="00B1382E">
      <w:pPr>
        <w:pStyle w:val="Default"/>
        <w:rPr>
          <w:color w:val="auto"/>
          <w:sz w:val="26"/>
          <w:szCs w:val="26"/>
        </w:rPr>
      </w:pPr>
      <w:r w:rsidRPr="00B1382E">
        <w:rPr>
          <w:b/>
          <w:bCs/>
          <w:color w:val="auto"/>
          <w:sz w:val="26"/>
          <w:szCs w:val="26"/>
        </w:rPr>
        <w:t>Contract Management</w:t>
      </w:r>
      <w:r w:rsidRPr="00B1382E">
        <w:rPr>
          <w:color w:val="auto"/>
          <w:sz w:val="26"/>
          <w:szCs w:val="26"/>
        </w:rPr>
        <w:t xml:space="preserve"> </w:t>
      </w:r>
      <w:r w:rsidRPr="00B1382E">
        <w:rPr>
          <w:b/>
          <w:bCs/>
          <w:color w:val="auto"/>
          <w:sz w:val="26"/>
          <w:szCs w:val="26"/>
        </w:rPr>
        <w:t>and timescales</w:t>
      </w:r>
    </w:p>
    <w:p w14:paraId="0767D09A" w14:textId="77777777" w:rsidR="00B1382E" w:rsidRDefault="00B1382E" w:rsidP="00B1382E">
      <w:pPr>
        <w:pStyle w:val="Default"/>
        <w:rPr>
          <w:color w:val="auto"/>
          <w:sz w:val="22"/>
          <w:szCs w:val="22"/>
        </w:rPr>
      </w:pPr>
    </w:p>
    <w:p w14:paraId="34BA56AC" w14:textId="7640536C" w:rsidR="00B1382E" w:rsidRPr="005D4EB4"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 xml:space="preserve">Tenders should be received by the date specified in the Invitation </w:t>
      </w:r>
      <w:r w:rsidR="005D4EB4">
        <w:rPr>
          <w:rFonts w:ascii="Arial" w:hAnsi="Arial" w:cs="Arial"/>
          <w:sz w:val="24"/>
          <w:szCs w:val="24"/>
        </w:rPr>
        <w:t>t</w:t>
      </w:r>
      <w:r w:rsidRPr="00B1382E">
        <w:rPr>
          <w:rFonts w:ascii="Arial" w:hAnsi="Arial" w:cs="Arial"/>
          <w:sz w:val="24"/>
          <w:szCs w:val="24"/>
        </w:rPr>
        <w:t>o Tender document.</w:t>
      </w:r>
    </w:p>
    <w:p w14:paraId="483B000C" w14:textId="77777777" w:rsidR="005D4EB4" w:rsidRPr="00B1382E" w:rsidRDefault="005D4EB4" w:rsidP="005D4EB4">
      <w:pPr>
        <w:pStyle w:val="BodyText"/>
        <w:widowControl w:val="0"/>
        <w:spacing w:after="0"/>
        <w:ind w:left="840" w:right="115"/>
        <w:jc w:val="both"/>
        <w:rPr>
          <w:rFonts w:ascii="Arial" w:eastAsia="Times New Roman" w:hAnsi="Arial" w:cs="Arial"/>
          <w:sz w:val="24"/>
          <w:szCs w:val="24"/>
          <w:lang w:eastAsia="en-GB"/>
        </w:rPr>
      </w:pPr>
    </w:p>
    <w:p w14:paraId="2DC115E2" w14:textId="134B5F37"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A p</w:t>
      </w:r>
      <w:r w:rsidRPr="00B1382E">
        <w:rPr>
          <w:rFonts w:ascii="Arial" w:eastAsia="Times New Roman" w:hAnsi="Arial" w:cs="Arial"/>
          <w:bCs/>
          <w:sz w:val="24"/>
          <w:szCs w:val="24"/>
          <w:lang w:eastAsia="en-GB"/>
        </w:rPr>
        <w:t>roject inception meeting by video call (</w:t>
      </w:r>
      <w:r w:rsidR="00180E62" w:rsidRPr="00B1382E">
        <w:rPr>
          <w:rFonts w:ascii="Arial" w:eastAsia="Times New Roman" w:hAnsi="Arial" w:cs="Arial"/>
          <w:bCs/>
          <w:sz w:val="24"/>
          <w:szCs w:val="24"/>
          <w:lang w:eastAsia="en-GB"/>
        </w:rPr>
        <w:t>e.g</w:t>
      </w:r>
      <w:r w:rsidR="00180E62">
        <w:rPr>
          <w:rFonts w:ascii="Arial" w:eastAsia="Times New Roman" w:hAnsi="Arial" w:cs="Arial"/>
          <w:bCs/>
          <w:sz w:val="24"/>
          <w:szCs w:val="24"/>
          <w:lang w:eastAsia="en-GB"/>
        </w:rPr>
        <w:t>.,</w:t>
      </w:r>
      <w:r w:rsidRPr="00B1382E">
        <w:rPr>
          <w:rFonts w:ascii="Arial" w:eastAsia="Times New Roman" w:hAnsi="Arial" w:cs="Arial"/>
          <w:bCs/>
          <w:sz w:val="24"/>
          <w:szCs w:val="24"/>
          <w:lang w:eastAsia="en-GB"/>
        </w:rPr>
        <w:t xml:space="preserve"> MS Teams) within the first two weeks of the project start. </w:t>
      </w:r>
      <w:r w:rsidRPr="00B1382E">
        <w:rPr>
          <w:rFonts w:ascii="Arial" w:eastAsia="Times New Roman" w:hAnsi="Arial" w:cs="Arial"/>
          <w:sz w:val="24"/>
          <w:szCs w:val="24"/>
          <w:lang w:eastAsia="en-GB"/>
        </w:rPr>
        <w:t>All costs associated with attending the inception meeting must be incorporated into the fixed price.</w:t>
      </w:r>
    </w:p>
    <w:p w14:paraId="6B9BDD32" w14:textId="18CA8E48" w:rsidR="00B1382E" w:rsidRPr="00B1382E" w:rsidRDefault="00B1382E" w:rsidP="00B1382E">
      <w:pPr>
        <w:pStyle w:val="BodyText"/>
        <w:widowControl w:val="0"/>
        <w:spacing w:after="0"/>
        <w:ind w:left="840"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 xml:space="preserve"> </w:t>
      </w:r>
    </w:p>
    <w:p w14:paraId="5581C9C3" w14:textId="63713BA4"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The successful Tenderer must identify individuals who will manage the project and nominate a representative for day-to-day contact with Natural England’s project officer.</w:t>
      </w:r>
    </w:p>
    <w:p w14:paraId="0A09F9CB"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6F262EC1" w14:textId="3B3A17B3"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Contact by MS Teams or email with project officer every two weeks providing updates on progress and any issues.</w:t>
      </w:r>
    </w:p>
    <w:p w14:paraId="3EAC0B77"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26DC980D" w14:textId="678E58BC"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Options workshop with NE project manager and steering group (to include relevant specialists, area team and any other relevant stakeholders that NE considers appropriate (</w:t>
      </w:r>
      <w:r w:rsidR="00180E62" w:rsidRPr="00B1382E">
        <w:rPr>
          <w:rFonts w:ascii="Arial" w:hAnsi="Arial" w:cs="Arial"/>
          <w:sz w:val="24"/>
          <w:szCs w:val="24"/>
        </w:rPr>
        <w:t>e.g.,</w:t>
      </w:r>
      <w:r w:rsidRPr="00B1382E">
        <w:rPr>
          <w:rFonts w:ascii="Arial" w:hAnsi="Arial" w:cs="Arial"/>
          <w:sz w:val="24"/>
          <w:szCs w:val="24"/>
        </w:rPr>
        <w:t xml:space="preserve"> EA)) by video call (</w:t>
      </w:r>
      <w:r w:rsidR="000319AB" w:rsidRPr="00B1382E">
        <w:rPr>
          <w:rFonts w:ascii="Arial" w:hAnsi="Arial" w:cs="Arial"/>
          <w:sz w:val="24"/>
          <w:szCs w:val="24"/>
        </w:rPr>
        <w:t>e.g.,</w:t>
      </w:r>
      <w:r w:rsidRPr="00B1382E">
        <w:rPr>
          <w:rFonts w:ascii="Arial" w:hAnsi="Arial" w:cs="Arial"/>
          <w:sz w:val="24"/>
          <w:szCs w:val="24"/>
        </w:rPr>
        <w:t xml:space="preserve"> MS Teams) to discuss and agree the options and what should be included the final monitoring strategy.</w:t>
      </w:r>
    </w:p>
    <w:p w14:paraId="77C200F6" w14:textId="77777777" w:rsidR="00B1382E" w:rsidRPr="003A4515" w:rsidRDefault="00B1382E" w:rsidP="00B1382E">
      <w:pPr>
        <w:pStyle w:val="BodyText"/>
        <w:ind w:right="115"/>
        <w:jc w:val="both"/>
        <w:rPr>
          <w:rFonts w:cs="Arial"/>
        </w:rPr>
      </w:pPr>
    </w:p>
    <w:p w14:paraId="68ABE031" w14:textId="77777777" w:rsidR="00B1382E" w:rsidRPr="00B1382E" w:rsidRDefault="00B1382E" w:rsidP="00B1382E">
      <w:pPr>
        <w:jc w:val="both"/>
        <w:rPr>
          <w:rFonts w:ascii="Arial" w:hAnsi="Arial" w:cs="Arial"/>
          <w:sz w:val="24"/>
          <w:szCs w:val="24"/>
        </w:rPr>
      </w:pPr>
      <w:r w:rsidRPr="00B1382E">
        <w:rPr>
          <w:rFonts w:ascii="Arial" w:hAnsi="Arial" w:cs="Arial"/>
          <w:sz w:val="24"/>
          <w:szCs w:val="24"/>
        </w:rPr>
        <w:t>Natural England must be alerted in a timely manner should any unforeseen cost or delays be predicted.</w:t>
      </w:r>
    </w:p>
    <w:p w14:paraId="24C49756" w14:textId="77777777" w:rsidR="00B1382E" w:rsidRPr="00B1382E" w:rsidRDefault="00B1382E" w:rsidP="00B1382E">
      <w:pPr>
        <w:pStyle w:val="BodyText"/>
        <w:spacing w:before="7"/>
        <w:ind w:right="115"/>
        <w:jc w:val="both"/>
        <w:rPr>
          <w:rFonts w:ascii="Arial" w:hAnsi="Arial" w:cs="Arial"/>
          <w:sz w:val="24"/>
          <w:szCs w:val="24"/>
        </w:rPr>
      </w:pPr>
      <w:r w:rsidRPr="00B1382E">
        <w:rPr>
          <w:rFonts w:ascii="Arial" w:hAnsi="Arial" w:cs="Arial"/>
          <w:sz w:val="24"/>
          <w:szCs w:val="24"/>
        </w:rPr>
        <w:t>Key timescales:</w:t>
      </w:r>
    </w:p>
    <w:p w14:paraId="24EE886C" w14:textId="54194B4E" w:rsidR="00B1382E" w:rsidRDefault="00B1382E" w:rsidP="00B1382E">
      <w:pPr>
        <w:pStyle w:val="BodyText"/>
        <w:widowControl w:val="0"/>
        <w:numPr>
          <w:ilvl w:val="1"/>
          <w:numId w:val="13"/>
        </w:numPr>
        <w:tabs>
          <w:tab w:val="left" w:pos="841"/>
        </w:tabs>
        <w:spacing w:after="0"/>
        <w:ind w:right="123"/>
        <w:rPr>
          <w:rFonts w:ascii="Arial" w:hAnsi="Arial" w:cs="Arial"/>
          <w:sz w:val="24"/>
          <w:szCs w:val="24"/>
        </w:rPr>
      </w:pPr>
      <w:r w:rsidRPr="00B1382E">
        <w:rPr>
          <w:rFonts w:ascii="Arial" w:hAnsi="Arial" w:cs="Arial"/>
          <w:spacing w:val="1"/>
          <w:sz w:val="24"/>
          <w:szCs w:val="24"/>
        </w:rPr>
        <w:t>Within 2 week of start</w:t>
      </w:r>
      <w:r w:rsidRPr="00B1382E">
        <w:rPr>
          <w:rFonts w:ascii="Arial" w:hAnsi="Arial" w:cs="Arial"/>
          <w:spacing w:val="18"/>
          <w:sz w:val="24"/>
          <w:szCs w:val="24"/>
        </w:rPr>
        <w:t xml:space="preserve"> </w:t>
      </w:r>
      <w:r w:rsidRPr="00B1382E">
        <w:rPr>
          <w:rFonts w:ascii="Arial" w:hAnsi="Arial" w:cs="Arial"/>
          <w:sz w:val="24"/>
          <w:szCs w:val="24"/>
        </w:rPr>
        <w:t>–</w:t>
      </w:r>
      <w:r w:rsidRPr="00B1382E">
        <w:rPr>
          <w:rFonts w:ascii="Arial" w:hAnsi="Arial" w:cs="Arial"/>
          <w:spacing w:val="18"/>
          <w:sz w:val="24"/>
          <w:szCs w:val="24"/>
        </w:rPr>
        <w:t xml:space="preserve"> </w:t>
      </w:r>
      <w:r>
        <w:rPr>
          <w:rFonts w:ascii="Arial" w:hAnsi="Arial" w:cs="Arial"/>
          <w:spacing w:val="18"/>
          <w:sz w:val="24"/>
          <w:szCs w:val="24"/>
        </w:rPr>
        <w:t>T</w:t>
      </w:r>
      <w:r w:rsidRPr="00B1382E">
        <w:rPr>
          <w:rFonts w:ascii="Arial" w:hAnsi="Arial" w:cs="Arial"/>
          <w:spacing w:val="18"/>
          <w:sz w:val="24"/>
          <w:szCs w:val="24"/>
        </w:rPr>
        <w:t>wo-hour i</w:t>
      </w:r>
      <w:r w:rsidRPr="00B1382E">
        <w:rPr>
          <w:rFonts w:ascii="Arial" w:hAnsi="Arial" w:cs="Arial"/>
          <w:spacing w:val="-1"/>
          <w:sz w:val="24"/>
          <w:szCs w:val="24"/>
        </w:rPr>
        <w:t>nception</w:t>
      </w:r>
      <w:r w:rsidRPr="00B1382E">
        <w:rPr>
          <w:rFonts w:ascii="Arial" w:hAnsi="Arial" w:cs="Arial"/>
          <w:spacing w:val="15"/>
          <w:sz w:val="24"/>
          <w:szCs w:val="24"/>
        </w:rPr>
        <w:t xml:space="preserve"> </w:t>
      </w:r>
      <w:r w:rsidRPr="00B1382E">
        <w:rPr>
          <w:rFonts w:ascii="Arial" w:hAnsi="Arial" w:cs="Arial"/>
          <w:spacing w:val="-1"/>
          <w:sz w:val="24"/>
          <w:szCs w:val="24"/>
        </w:rPr>
        <w:t>meeting</w:t>
      </w:r>
      <w:r w:rsidRPr="00B1382E">
        <w:rPr>
          <w:rFonts w:ascii="Arial" w:hAnsi="Arial" w:cs="Arial"/>
          <w:spacing w:val="18"/>
          <w:sz w:val="24"/>
          <w:szCs w:val="24"/>
        </w:rPr>
        <w:t xml:space="preserve"> </w:t>
      </w:r>
      <w:r w:rsidRPr="00B1382E">
        <w:rPr>
          <w:rFonts w:ascii="Arial" w:hAnsi="Arial" w:cs="Arial"/>
          <w:spacing w:val="-1"/>
          <w:sz w:val="24"/>
          <w:szCs w:val="24"/>
        </w:rPr>
        <w:t>between</w:t>
      </w:r>
      <w:r w:rsidRPr="00B1382E">
        <w:rPr>
          <w:rFonts w:ascii="Arial" w:hAnsi="Arial" w:cs="Arial"/>
          <w:spacing w:val="17"/>
          <w:sz w:val="24"/>
          <w:szCs w:val="24"/>
        </w:rPr>
        <w:t xml:space="preserve"> </w:t>
      </w:r>
      <w:r w:rsidRPr="00B1382E">
        <w:rPr>
          <w:rFonts w:ascii="Arial" w:hAnsi="Arial" w:cs="Arial"/>
          <w:sz w:val="24"/>
          <w:szCs w:val="24"/>
        </w:rPr>
        <w:t>project</w:t>
      </w:r>
      <w:r w:rsidRPr="00B1382E">
        <w:rPr>
          <w:rFonts w:ascii="Arial" w:hAnsi="Arial" w:cs="Arial"/>
          <w:spacing w:val="17"/>
          <w:sz w:val="24"/>
          <w:szCs w:val="24"/>
        </w:rPr>
        <w:t xml:space="preserve"> </w:t>
      </w:r>
      <w:r w:rsidRPr="00B1382E">
        <w:rPr>
          <w:rFonts w:ascii="Arial" w:hAnsi="Arial" w:cs="Arial"/>
          <w:spacing w:val="-1"/>
          <w:sz w:val="24"/>
          <w:szCs w:val="24"/>
        </w:rPr>
        <w:t xml:space="preserve">officer, steering </w:t>
      </w:r>
      <w:proofErr w:type="gramStart"/>
      <w:r w:rsidRPr="00B1382E">
        <w:rPr>
          <w:rFonts w:ascii="Arial" w:hAnsi="Arial" w:cs="Arial"/>
          <w:spacing w:val="-1"/>
          <w:sz w:val="24"/>
          <w:szCs w:val="24"/>
        </w:rPr>
        <w:t>group</w:t>
      </w:r>
      <w:proofErr w:type="gramEnd"/>
      <w:r w:rsidRPr="00B1382E">
        <w:rPr>
          <w:rFonts w:ascii="Arial" w:hAnsi="Arial" w:cs="Arial"/>
          <w:spacing w:val="-1"/>
          <w:sz w:val="24"/>
          <w:szCs w:val="24"/>
        </w:rPr>
        <w:t xml:space="preserve"> </w:t>
      </w:r>
      <w:r w:rsidRPr="00B1382E">
        <w:rPr>
          <w:rFonts w:ascii="Arial" w:hAnsi="Arial" w:cs="Arial"/>
          <w:sz w:val="24"/>
          <w:szCs w:val="24"/>
        </w:rPr>
        <w:t xml:space="preserve">and </w:t>
      </w:r>
      <w:r w:rsidRPr="00B1382E">
        <w:rPr>
          <w:rFonts w:ascii="Arial" w:hAnsi="Arial" w:cs="Arial"/>
          <w:spacing w:val="-1"/>
          <w:sz w:val="24"/>
          <w:szCs w:val="24"/>
        </w:rPr>
        <w:t xml:space="preserve">supplier </w:t>
      </w:r>
      <w:r w:rsidRPr="00B1382E">
        <w:rPr>
          <w:rFonts w:ascii="Arial" w:hAnsi="Arial" w:cs="Arial"/>
          <w:sz w:val="24"/>
          <w:szCs w:val="24"/>
        </w:rPr>
        <w:t>by video call (</w:t>
      </w:r>
      <w:r w:rsidR="00180E62" w:rsidRPr="00B1382E">
        <w:rPr>
          <w:rFonts w:ascii="Arial" w:hAnsi="Arial" w:cs="Arial"/>
          <w:sz w:val="24"/>
          <w:szCs w:val="24"/>
        </w:rPr>
        <w:t>e.g.,</w:t>
      </w:r>
      <w:r w:rsidRPr="00B1382E">
        <w:rPr>
          <w:rFonts w:ascii="Arial" w:hAnsi="Arial" w:cs="Arial"/>
          <w:sz w:val="24"/>
          <w:szCs w:val="24"/>
        </w:rPr>
        <w:t xml:space="preserve"> MS Teams)</w:t>
      </w:r>
      <w:r>
        <w:rPr>
          <w:rFonts w:ascii="Arial" w:hAnsi="Arial" w:cs="Arial"/>
          <w:sz w:val="24"/>
          <w:szCs w:val="24"/>
        </w:rPr>
        <w:t>.</w:t>
      </w:r>
    </w:p>
    <w:p w14:paraId="2274D512" w14:textId="77777777" w:rsidR="00B1382E" w:rsidRPr="00B1382E" w:rsidRDefault="00B1382E" w:rsidP="00B1382E">
      <w:pPr>
        <w:pStyle w:val="BodyText"/>
        <w:widowControl w:val="0"/>
        <w:tabs>
          <w:tab w:val="left" w:pos="841"/>
        </w:tabs>
        <w:spacing w:after="0"/>
        <w:ind w:left="840" w:right="123"/>
        <w:rPr>
          <w:rFonts w:ascii="Arial" w:hAnsi="Arial" w:cs="Arial"/>
          <w:sz w:val="24"/>
          <w:szCs w:val="24"/>
        </w:rPr>
      </w:pPr>
    </w:p>
    <w:p w14:paraId="6DF46A54" w14:textId="3FD17F3D"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 xml:space="preserve">By end January 2024 – Options workshop with Natural England – with </w:t>
      </w:r>
      <w:r w:rsidR="00180E62" w:rsidRPr="00B1382E">
        <w:rPr>
          <w:rFonts w:ascii="Arial" w:hAnsi="Arial" w:cs="Arial"/>
          <w:spacing w:val="-1"/>
          <w:sz w:val="24"/>
          <w:szCs w:val="24"/>
        </w:rPr>
        <w:t>PowerPoint</w:t>
      </w:r>
      <w:r w:rsidRPr="00B1382E">
        <w:rPr>
          <w:rFonts w:ascii="Arial" w:hAnsi="Arial" w:cs="Arial"/>
          <w:spacing w:val="-1"/>
          <w:sz w:val="24"/>
          <w:szCs w:val="24"/>
        </w:rPr>
        <w:t xml:space="preserve"> slides shared at least one week before</w:t>
      </w:r>
      <w:r>
        <w:rPr>
          <w:rFonts w:ascii="Arial" w:hAnsi="Arial" w:cs="Arial"/>
          <w:spacing w:val="-1"/>
          <w:sz w:val="24"/>
          <w:szCs w:val="24"/>
        </w:rPr>
        <w:t>.</w:t>
      </w:r>
    </w:p>
    <w:p w14:paraId="7297B831"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54A00336" w14:textId="30DF3997"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By 15</w:t>
      </w:r>
      <w:r w:rsidRPr="00B1382E">
        <w:rPr>
          <w:rFonts w:ascii="Arial" w:hAnsi="Arial" w:cs="Arial"/>
          <w:spacing w:val="-1"/>
          <w:sz w:val="24"/>
          <w:szCs w:val="24"/>
          <w:vertAlign w:val="superscript"/>
        </w:rPr>
        <w:t>th</w:t>
      </w:r>
      <w:r w:rsidRPr="00B1382E">
        <w:rPr>
          <w:rFonts w:ascii="Arial" w:hAnsi="Arial" w:cs="Arial"/>
          <w:spacing w:val="-1"/>
          <w:sz w:val="24"/>
          <w:szCs w:val="24"/>
        </w:rPr>
        <w:t xml:space="preserve"> February 2024 - </w:t>
      </w:r>
      <w:r>
        <w:rPr>
          <w:rFonts w:ascii="Arial" w:hAnsi="Arial" w:cs="Arial"/>
          <w:spacing w:val="-1"/>
          <w:sz w:val="24"/>
          <w:szCs w:val="24"/>
        </w:rPr>
        <w:t>F</w:t>
      </w:r>
      <w:r w:rsidRPr="00B1382E">
        <w:rPr>
          <w:rFonts w:ascii="Arial" w:hAnsi="Arial" w:cs="Arial"/>
          <w:spacing w:val="-1"/>
          <w:sz w:val="24"/>
          <w:szCs w:val="24"/>
        </w:rPr>
        <w:t>ull draft of final monitoring strategy report – at least two weeks for NE to comment</w:t>
      </w:r>
      <w:r>
        <w:rPr>
          <w:rFonts w:ascii="Arial" w:hAnsi="Arial" w:cs="Arial"/>
          <w:spacing w:val="-1"/>
          <w:sz w:val="24"/>
          <w:szCs w:val="24"/>
        </w:rPr>
        <w:t>.</w:t>
      </w:r>
    </w:p>
    <w:p w14:paraId="2B562B18"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19A821A3" w14:textId="6BD0903E" w:rsidR="00B1382E" w:rsidRPr="00B1382E" w:rsidRDefault="00B1382E" w:rsidP="00B1382E">
      <w:pPr>
        <w:pStyle w:val="BodyText"/>
        <w:widowControl w:val="0"/>
        <w:numPr>
          <w:ilvl w:val="1"/>
          <w:numId w:val="13"/>
        </w:numPr>
        <w:tabs>
          <w:tab w:val="left" w:pos="841"/>
        </w:tabs>
        <w:spacing w:before="17" w:after="0" w:line="280" w:lineRule="exact"/>
        <w:ind w:right="123"/>
        <w:rPr>
          <w:rFonts w:ascii="Arial" w:hAnsi="Arial" w:cs="Arial"/>
          <w:sz w:val="24"/>
          <w:szCs w:val="24"/>
        </w:rPr>
      </w:pPr>
      <w:r w:rsidRPr="00B1382E">
        <w:rPr>
          <w:rFonts w:ascii="Arial" w:hAnsi="Arial" w:cs="Arial"/>
          <w:spacing w:val="1"/>
          <w:sz w:val="24"/>
          <w:szCs w:val="24"/>
        </w:rPr>
        <w:t xml:space="preserve">By 30th April 2024 – </w:t>
      </w:r>
      <w:r>
        <w:rPr>
          <w:rFonts w:ascii="Arial" w:hAnsi="Arial" w:cs="Arial"/>
          <w:spacing w:val="1"/>
          <w:sz w:val="24"/>
          <w:szCs w:val="24"/>
        </w:rPr>
        <w:t>F</w:t>
      </w:r>
      <w:r w:rsidRPr="00B1382E">
        <w:rPr>
          <w:rFonts w:ascii="Arial" w:hAnsi="Arial" w:cs="Arial"/>
          <w:spacing w:val="1"/>
          <w:sz w:val="24"/>
          <w:szCs w:val="24"/>
        </w:rPr>
        <w:t xml:space="preserve">inal monitoring strategy report </w:t>
      </w:r>
    </w:p>
    <w:p w14:paraId="621F16B8" w14:textId="77777777" w:rsidR="00B1382E" w:rsidRPr="00B1382E" w:rsidRDefault="00B1382E" w:rsidP="00B1382E">
      <w:pPr>
        <w:jc w:val="both"/>
        <w:rPr>
          <w:rFonts w:ascii="Arial" w:hAnsi="Arial" w:cs="Arial"/>
          <w:sz w:val="24"/>
          <w:szCs w:val="24"/>
        </w:rPr>
      </w:pPr>
    </w:p>
    <w:p w14:paraId="5DB78D00"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 </w:t>
      </w:r>
    </w:p>
    <w:p w14:paraId="65A91203" w14:textId="77777777" w:rsidR="00B1382E" w:rsidRPr="00B1382E" w:rsidRDefault="00B1382E" w:rsidP="00B1382E">
      <w:pPr>
        <w:pStyle w:val="NoSpacing"/>
        <w:rPr>
          <w:rFonts w:ascii="Arial" w:hAnsi="Arial" w:cs="Arial"/>
          <w:sz w:val="24"/>
          <w:szCs w:val="24"/>
        </w:rPr>
      </w:pPr>
    </w:p>
    <w:p w14:paraId="2224F534"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8D320F4" w14:textId="77777777" w:rsidR="00B1382E" w:rsidRDefault="00B1382E" w:rsidP="00B1382E">
      <w:pPr>
        <w:pStyle w:val="paragraph"/>
        <w:spacing w:before="0" w:beforeAutospacing="0" w:after="0" w:afterAutospacing="0"/>
        <w:textAlignment w:val="baseline"/>
        <w:rPr>
          <w:rFonts w:ascii="Arial" w:hAnsi="Arial" w:cs="Arial"/>
          <w:sz w:val="22"/>
          <w:szCs w:val="22"/>
        </w:rPr>
      </w:pPr>
    </w:p>
    <w:p w14:paraId="6CC79FC2" w14:textId="48C039F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9027ED7"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lastRenderedPageBreak/>
        <w:t xml:space="preserve">The Authority’s preference is for all invoices to be sent electronically, quoting a valid Purchase Order number.  </w:t>
      </w:r>
      <w:r w:rsidR="00FC538C">
        <w:rPr>
          <w:rFonts w:ascii="Arial" w:hAnsi="Arial"/>
          <w:color w:val="000000"/>
          <w:sz w:val="24"/>
          <w:szCs w:val="24"/>
        </w:rPr>
        <w:t>Invoices can be submitted after each key project milestone has been</w:t>
      </w:r>
      <w:r w:rsidR="000E32C0">
        <w:rPr>
          <w:rFonts w:ascii="Arial" w:hAnsi="Arial"/>
          <w:color w:val="000000"/>
          <w:sz w:val="24"/>
          <w:szCs w:val="24"/>
        </w:rPr>
        <w:t xml:space="preserve"> </w:t>
      </w:r>
      <w:r w:rsidR="00FC538C">
        <w:rPr>
          <w:rFonts w:ascii="Arial" w:hAnsi="Arial"/>
          <w:color w:val="000000"/>
          <w:sz w:val="24"/>
          <w:szCs w:val="24"/>
        </w:rPr>
        <w:t>satisfactorily</w:t>
      </w:r>
      <w:r w:rsidR="000E32C0" w:rsidRPr="000E32C0">
        <w:rPr>
          <w:rFonts w:ascii="Arial" w:hAnsi="Arial"/>
          <w:color w:val="000000"/>
          <w:sz w:val="24"/>
          <w:szCs w:val="24"/>
        </w:rPr>
        <w:t xml:space="preserve"> </w:t>
      </w:r>
      <w:r w:rsidR="000E32C0">
        <w:rPr>
          <w:rFonts w:ascii="Arial" w:hAnsi="Arial"/>
          <w:color w:val="000000"/>
          <w:sz w:val="24"/>
          <w:szCs w:val="24"/>
        </w:rPr>
        <w:t>completed</w:t>
      </w:r>
      <w:r w:rsidR="00FC538C">
        <w:rPr>
          <w:rFonts w:ascii="Arial" w:hAnsi="Arial"/>
          <w:color w:val="000000"/>
          <w:sz w:val="24"/>
          <w:szCs w:val="24"/>
        </w:rPr>
        <w:t>.  Key project milestones will be agreed at the initial project inception meeting.</w:t>
      </w:r>
      <w:r w:rsidRPr="000014E4">
        <w:rPr>
          <w:rFonts w:ascii="Arial" w:hAnsi="Arial" w:cs="Arial"/>
          <w:b/>
          <w:color w:val="D9262E"/>
          <w:sz w:val="24"/>
          <w:szCs w:val="24"/>
        </w:rPr>
        <w:t xml:space="preserve">  </w:t>
      </w:r>
    </w:p>
    <w:p w14:paraId="11EE2D21" w14:textId="35F791D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FC538C" w:rsidRPr="00FC538C">
        <w:rPr>
          <w:rFonts w:ascii="Arial" w:hAnsi="Arial" w:cs="Arial"/>
          <w:bCs/>
          <w:sz w:val="24"/>
          <w:szCs w:val="24"/>
        </w:rPr>
        <w:t>6 months</w:t>
      </w:r>
      <w:r w:rsidR="00FC538C" w:rsidRPr="00FC538C">
        <w:rPr>
          <w:rFonts w:ascii="Arial" w:hAnsi="Arial" w:cs="Arial"/>
          <w:b/>
          <w:sz w:val="24"/>
          <w:szCs w:val="24"/>
        </w:rPr>
        <w:t xml:space="preserve"> </w:t>
      </w:r>
      <w:r w:rsidRPr="000014E4">
        <w:rPr>
          <w:rFonts w:ascii="Arial" w:hAnsi="Arial"/>
          <w:color w:val="000000"/>
          <w:sz w:val="24"/>
          <w:szCs w:val="24"/>
        </w:rPr>
        <w:t xml:space="preserve">to end no later than </w:t>
      </w:r>
      <w:r w:rsidR="00FC538C" w:rsidRPr="00FC538C">
        <w:rPr>
          <w:rFonts w:ascii="Arial" w:hAnsi="Arial" w:cs="Arial"/>
          <w:bCs/>
          <w:sz w:val="24"/>
          <w:szCs w:val="24"/>
        </w:rPr>
        <w:t>31</w:t>
      </w:r>
      <w:r w:rsidR="00FC538C" w:rsidRPr="00FC538C">
        <w:rPr>
          <w:rFonts w:ascii="Arial" w:hAnsi="Arial" w:cs="Arial"/>
          <w:bCs/>
          <w:sz w:val="24"/>
          <w:szCs w:val="24"/>
          <w:vertAlign w:val="superscript"/>
        </w:rPr>
        <w:t>st</w:t>
      </w:r>
      <w:r w:rsidR="00FC538C" w:rsidRPr="00FC538C">
        <w:rPr>
          <w:rFonts w:ascii="Arial" w:hAnsi="Arial" w:cs="Arial"/>
          <w:bCs/>
          <w:sz w:val="24"/>
          <w:szCs w:val="24"/>
        </w:rPr>
        <w:t xml:space="preserve"> April 2024.</w:t>
      </w:r>
      <w:r w:rsidR="00FC538C" w:rsidRPr="00FC538C">
        <w:rPr>
          <w:rFonts w:ascii="Arial" w:hAnsi="Arial" w:cs="Arial"/>
          <w:b/>
          <w:sz w:val="24"/>
          <w:szCs w:val="24"/>
        </w:rPr>
        <w:t xml:space="preserve"> </w:t>
      </w:r>
      <w:r w:rsidRPr="00FC538C">
        <w:rPr>
          <w:rFonts w:ascii="Arial" w:hAnsi="Arial"/>
          <w:sz w:val="24"/>
          <w:szCs w:val="24"/>
        </w:rPr>
        <w:t xml:space="preserve">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5A602BF1"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ommercial</w:t>
      </w:r>
      <w:r w:rsidR="00FC538C" w:rsidRPr="00FC538C">
        <w:rPr>
          <w:rFonts w:ascii="Arial" w:hAnsi="Arial"/>
          <w:sz w:val="24"/>
          <w:szCs w:val="24"/>
        </w:rPr>
        <w:t>)</w:t>
      </w:r>
      <w:r w:rsidR="000014E4" w:rsidRPr="00FC538C">
        <w:rPr>
          <w:rFonts w:ascii="Arial" w:hAnsi="Arial"/>
          <w:sz w:val="24"/>
          <w:szCs w:val="24"/>
        </w:rPr>
        <w:t xml:space="preserve">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1C01A949"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1E625A" w:rsidRPr="001E625A">
              <w:rPr>
                <w:rFonts w:cs="Arial"/>
                <w:bCs/>
                <w:color w:val="auto"/>
                <w:sz w:val="24"/>
                <w:szCs w:val="24"/>
              </w:rPr>
              <w:t>Provide details of the methodology and approaches proposed to deliver the requirements of this project</w:t>
            </w:r>
            <w:r w:rsidR="003872A1">
              <w:rPr>
                <w:rFonts w:cs="Arial"/>
                <w:bCs/>
                <w:color w:val="auto"/>
                <w:sz w:val="24"/>
                <w:szCs w:val="24"/>
              </w:rPr>
              <w:t xml:space="preserve"> </w:t>
            </w:r>
            <w:r w:rsidRPr="00A74636">
              <w:rPr>
                <w:rFonts w:cs="Arial"/>
                <w:b/>
                <w:color w:val="auto"/>
                <w:sz w:val="24"/>
                <w:szCs w:val="24"/>
              </w:rPr>
              <w:t>(</w:t>
            </w:r>
            <w:r w:rsidR="00016A67" w:rsidRPr="00A74636">
              <w:rPr>
                <w:rFonts w:cs="Arial"/>
                <w:b/>
                <w:color w:val="auto"/>
                <w:sz w:val="24"/>
                <w:szCs w:val="24"/>
              </w:rPr>
              <w:t>25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0014E4"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44F5C372" w:rsidR="000014E4" w:rsidRPr="00016A67" w:rsidRDefault="000014E4" w:rsidP="000014E4">
            <w:pPr>
              <w:rPr>
                <w:rFonts w:cs="Arial"/>
                <w:b/>
                <w:color w:val="D9262E"/>
                <w:sz w:val="24"/>
                <w:szCs w:val="24"/>
              </w:rPr>
            </w:pPr>
            <w:r w:rsidRPr="00016A67">
              <w:rPr>
                <w:rFonts w:cs="Arial"/>
                <w:b/>
                <w:color w:val="auto"/>
                <w:sz w:val="24"/>
                <w:szCs w:val="24"/>
              </w:rPr>
              <w:t>Key personnel</w:t>
            </w:r>
            <w:r w:rsidR="00016A67">
              <w:rPr>
                <w:rFonts w:cs="Arial"/>
                <w:b/>
                <w:color w:val="auto"/>
                <w:sz w:val="24"/>
                <w:szCs w:val="24"/>
              </w:rPr>
              <w:t xml:space="preserve"> / expertise</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4F840E70" w14:textId="77777777" w:rsidR="00A74636" w:rsidRDefault="000014E4" w:rsidP="00FA32AC">
            <w:pPr>
              <w:spacing w:before="60" w:after="60"/>
              <w:outlineLvl w:val="0"/>
              <w:rPr>
                <w:rFonts w:cs="Arial"/>
                <w:b/>
                <w:color w:val="auto"/>
                <w:sz w:val="24"/>
                <w:szCs w:val="24"/>
              </w:rPr>
            </w:pPr>
            <w:r w:rsidRPr="003872A1">
              <w:rPr>
                <w:rFonts w:cs="Arial"/>
                <w:b/>
                <w:color w:val="auto"/>
                <w:sz w:val="24"/>
                <w:szCs w:val="24"/>
              </w:rPr>
              <w:t xml:space="preserve">Q2 </w:t>
            </w:r>
            <w:r w:rsidR="00A74636" w:rsidRPr="003872A1">
              <w:rPr>
                <w:rFonts w:cs="Arial"/>
                <w:bCs/>
                <w:color w:val="auto"/>
                <w:sz w:val="24"/>
                <w:szCs w:val="24"/>
              </w:rPr>
              <w:t>Provide a</w:t>
            </w:r>
            <w:r w:rsidR="00A74636" w:rsidRPr="003872A1">
              <w:rPr>
                <w:rFonts w:cs="Arial"/>
                <w:b/>
                <w:color w:val="auto"/>
                <w:sz w:val="24"/>
                <w:szCs w:val="24"/>
              </w:rPr>
              <w:t xml:space="preserve"> </w:t>
            </w:r>
            <w:r w:rsidR="00A74636" w:rsidRPr="003872A1">
              <w:rPr>
                <w:rFonts w:cs="Arial"/>
                <w:bCs/>
                <w:color w:val="auto"/>
                <w:sz w:val="24"/>
                <w:szCs w:val="24"/>
              </w:rPr>
              <w:t>summary of relevant</w:t>
            </w:r>
            <w:r w:rsidR="00A74636" w:rsidRPr="003872A1">
              <w:rPr>
                <w:rFonts w:cs="Arial"/>
                <w:color w:val="auto"/>
                <w:sz w:val="24"/>
                <w:szCs w:val="24"/>
              </w:rPr>
              <w:t xml:space="preserve"> expertise and experience of key personnel and any work on similar projects and CVs </w:t>
            </w:r>
            <w:r w:rsidRPr="003872A1">
              <w:rPr>
                <w:rFonts w:cs="Arial"/>
                <w:b/>
                <w:color w:val="auto"/>
                <w:sz w:val="24"/>
                <w:szCs w:val="24"/>
              </w:rPr>
              <w:t>(</w:t>
            </w:r>
            <w:r w:rsidR="00FA32AC" w:rsidRPr="003872A1">
              <w:rPr>
                <w:rFonts w:cs="Arial"/>
                <w:b/>
                <w:color w:val="auto"/>
                <w:sz w:val="24"/>
                <w:szCs w:val="24"/>
              </w:rPr>
              <w:t>4</w:t>
            </w:r>
            <w:r w:rsidR="00A74636" w:rsidRPr="003872A1">
              <w:rPr>
                <w:rFonts w:cs="Arial"/>
                <w:b/>
                <w:color w:val="auto"/>
                <w:sz w:val="24"/>
                <w:szCs w:val="24"/>
              </w:rPr>
              <w:t>5</w:t>
            </w:r>
            <w:r w:rsidRPr="003872A1">
              <w:rPr>
                <w:rFonts w:cs="Arial"/>
                <w:b/>
                <w:color w:val="auto"/>
                <w:sz w:val="24"/>
                <w:szCs w:val="24"/>
              </w:rPr>
              <w:t>% of technical score available)</w:t>
            </w:r>
          </w:p>
          <w:p w14:paraId="25C1BAF6" w14:textId="330E87FF" w:rsidR="00AA0875" w:rsidRPr="00A74636" w:rsidRDefault="00AA0875" w:rsidP="00FA32AC">
            <w:pPr>
              <w:spacing w:before="60" w:after="60"/>
              <w:outlineLvl w:val="0"/>
              <w:rPr>
                <w:rFonts w:cs="Arial"/>
                <w:bCs/>
                <w:color w:val="D9262E"/>
                <w:sz w:val="24"/>
                <w:szCs w:val="24"/>
              </w:rPr>
            </w:pPr>
          </w:p>
        </w:tc>
      </w:tr>
      <w:tr w:rsidR="000014E4"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00D0F026" w:rsidR="000014E4" w:rsidRPr="000014E4" w:rsidRDefault="00116D77" w:rsidP="000014E4">
            <w:pPr>
              <w:rPr>
                <w:rFonts w:cs="Arial"/>
                <w:b/>
                <w:color w:val="D9262E"/>
                <w:sz w:val="24"/>
                <w:szCs w:val="24"/>
              </w:rPr>
            </w:pPr>
            <w:r w:rsidRPr="000A6515">
              <w:rPr>
                <w:rFonts w:cs="Arial"/>
                <w:b/>
                <w:color w:val="auto"/>
                <w:sz w:val="24"/>
                <w:szCs w:val="24"/>
              </w:rPr>
              <w:t xml:space="preserve">Project management and </w:t>
            </w:r>
            <w:r w:rsidR="000014E4" w:rsidRPr="000A6515">
              <w:rPr>
                <w:rFonts w:cs="Arial"/>
                <w:b/>
                <w:color w:val="auto"/>
                <w:sz w:val="24"/>
                <w:szCs w:val="24"/>
              </w:rPr>
              <w:t>Quality Assurance measures</w:t>
            </w:r>
          </w:p>
        </w:tc>
        <w:tc>
          <w:tcPr>
            <w:tcW w:w="2816" w:type="dxa"/>
          </w:tcPr>
          <w:p w14:paraId="0E515350" w14:textId="77777777" w:rsidR="000014E4" w:rsidRPr="003872A1" w:rsidRDefault="000014E4" w:rsidP="000014E4">
            <w:pPr>
              <w:rPr>
                <w:rFonts w:cs="Arial"/>
                <w:b/>
                <w:color w:val="auto"/>
                <w:sz w:val="24"/>
                <w:szCs w:val="24"/>
              </w:rPr>
            </w:pPr>
            <w:r w:rsidRPr="003872A1">
              <w:rPr>
                <w:rFonts w:cs="Arial"/>
                <w:b/>
                <w:color w:val="auto"/>
                <w:sz w:val="24"/>
                <w:szCs w:val="24"/>
              </w:rPr>
              <w:t>2 Questions</w:t>
            </w:r>
          </w:p>
          <w:p w14:paraId="60F5DB5C" w14:textId="182ABF7F" w:rsidR="000014E4" w:rsidRDefault="000014E4" w:rsidP="000014E4">
            <w:pPr>
              <w:rPr>
                <w:rFonts w:cs="Arial"/>
                <w:b/>
                <w:color w:val="auto"/>
                <w:sz w:val="24"/>
                <w:szCs w:val="24"/>
              </w:rPr>
            </w:pPr>
            <w:r w:rsidRPr="003872A1">
              <w:rPr>
                <w:rFonts w:cs="Arial"/>
                <w:b/>
                <w:color w:val="auto"/>
                <w:sz w:val="24"/>
                <w:szCs w:val="24"/>
              </w:rPr>
              <w:t>Q3.1</w:t>
            </w:r>
            <w:r w:rsidRPr="003872A1">
              <w:rPr>
                <w:rFonts w:cs="Arial"/>
                <w:bCs/>
                <w:color w:val="auto"/>
                <w:sz w:val="24"/>
                <w:szCs w:val="24"/>
              </w:rPr>
              <w:t xml:space="preserve"> </w:t>
            </w:r>
            <w:r w:rsidR="000A6515" w:rsidRPr="003872A1">
              <w:rPr>
                <w:rFonts w:cs="Arial"/>
                <w:sz w:val="24"/>
                <w:szCs w:val="24"/>
              </w:rPr>
              <w:t xml:space="preserve">Please submit </w:t>
            </w:r>
            <w:r w:rsidR="003872A1" w:rsidRPr="003872A1">
              <w:rPr>
                <w:rFonts w:cs="Arial"/>
                <w:sz w:val="24"/>
                <w:szCs w:val="24"/>
              </w:rPr>
              <w:t xml:space="preserve">an </w:t>
            </w:r>
            <w:r w:rsidR="000A6515" w:rsidRPr="003872A1">
              <w:rPr>
                <w:rFonts w:cs="Arial"/>
                <w:sz w:val="24"/>
                <w:szCs w:val="24"/>
              </w:rPr>
              <w:t xml:space="preserve">outline proposal </w:t>
            </w:r>
            <w:r w:rsidR="003872A1" w:rsidRPr="003872A1">
              <w:rPr>
                <w:rFonts w:cs="Arial"/>
                <w:sz w:val="24"/>
                <w:szCs w:val="24"/>
              </w:rPr>
              <w:t>for</w:t>
            </w:r>
            <w:r w:rsidR="000A6515" w:rsidRPr="003872A1">
              <w:rPr>
                <w:rFonts w:cs="Arial"/>
                <w:sz w:val="24"/>
                <w:szCs w:val="24"/>
              </w:rPr>
              <w:t xml:space="preserve"> how the project will be managed</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15</w:t>
            </w:r>
            <w:r w:rsidRPr="003872A1">
              <w:rPr>
                <w:rFonts w:cs="Arial"/>
                <w:b/>
                <w:color w:val="auto"/>
                <w:sz w:val="24"/>
                <w:szCs w:val="24"/>
              </w:rPr>
              <w:t>% of technical score available</w:t>
            </w:r>
            <w:r w:rsidRPr="000A6515">
              <w:rPr>
                <w:rFonts w:cs="Arial"/>
                <w:b/>
                <w:color w:val="auto"/>
                <w:sz w:val="24"/>
                <w:szCs w:val="24"/>
              </w:rPr>
              <w:t>)</w:t>
            </w:r>
          </w:p>
          <w:p w14:paraId="3B0138B0" w14:textId="77777777" w:rsidR="00AA0875" w:rsidRPr="000A6515" w:rsidRDefault="00AA0875" w:rsidP="000014E4">
            <w:pPr>
              <w:rPr>
                <w:rFonts w:cs="Arial"/>
                <w:b/>
                <w:color w:val="auto"/>
                <w:sz w:val="24"/>
                <w:szCs w:val="24"/>
              </w:rPr>
            </w:pPr>
          </w:p>
          <w:p w14:paraId="4D2A7118" w14:textId="77777777" w:rsidR="000014E4" w:rsidRDefault="000014E4" w:rsidP="000014E4">
            <w:pPr>
              <w:rPr>
                <w:rFonts w:cs="Arial"/>
                <w:b/>
                <w:color w:val="auto"/>
                <w:sz w:val="24"/>
                <w:szCs w:val="24"/>
              </w:rPr>
            </w:pPr>
            <w:r w:rsidRPr="003872A1">
              <w:rPr>
                <w:rFonts w:cs="Arial"/>
                <w:b/>
                <w:color w:val="auto"/>
                <w:sz w:val="24"/>
                <w:szCs w:val="24"/>
              </w:rPr>
              <w:t>Q3.2</w:t>
            </w:r>
            <w:r w:rsidRPr="003872A1">
              <w:rPr>
                <w:rFonts w:cs="Arial"/>
                <w:bCs/>
                <w:color w:val="auto"/>
                <w:sz w:val="24"/>
                <w:szCs w:val="24"/>
              </w:rPr>
              <w:t xml:space="preserve"> </w:t>
            </w:r>
            <w:r w:rsidR="000A6515" w:rsidRPr="003872A1">
              <w:rPr>
                <w:rFonts w:cs="Arial"/>
                <w:sz w:val="24"/>
                <w:szCs w:val="24"/>
              </w:rPr>
              <w:t>Please provide details of the QA procedures that will be deployed</w:t>
            </w:r>
            <w:r w:rsidR="003872A1">
              <w:rPr>
                <w:rFonts w:cs="Arial"/>
                <w:sz w:val="24"/>
                <w:szCs w:val="24"/>
              </w:rPr>
              <w:t xml:space="preserve"> for this work</w:t>
            </w:r>
            <w:r w:rsidR="000A6515" w:rsidRPr="003872A1">
              <w:rPr>
                <w:rFonts w:cs="Arial"/>
                <w:bCs/>
                <w:color w:val="auto"/>
                <w:sz w:val="24"/>
                <w:szCs w:val="24"/>
              </w:rPr>
              <w:t xml:space="preserve"> </w:t>
            </w:r>
            <w:r w:rsidRPr="003872A1">
              <w:rPr>
                <w:rFonts w:cs="Arial"/>
                <w:b/>
                <w:color w:val="auto"/>
                <w:sz w:val="24"/>
                <w:szCs w:val="24"/>
              </w:rPr>
              <w:t>(</w:t>
            </w:r>
            <w:r w:rsidR="000A6515" w:rsidRPr="003872A1">
              <w:rPr>
                <w:rFonts w:cs="Arial"/>
                <w:b/>
                <w:color w:val="auto"/>
                <w:sz w:val="24"/>
                <w:szCs w:val="24"/>
              </w:rPr>
              <w:t>10</w:t>
            </w:r>
            <w:r w:rsidRPr="003872A1">
              <w:rPr>
                <w:rFonts w:cs="Arial"/>
                <w:b/>
                <w:color w:val="auto"/>
                <w:sz w:val="24"/>
                <w:szCs w:val="24"/>
              </w:rPr>
              <w:t>% of technical score available)</w:t>
            </w:r>
          </w:p>
          <w:p w14:paraId="52ED3435" w14:textId="38E891B4" w:rsidR="00AA0875" w:rsidRPr="003872A1" w:rsidRDefault="00AA0875" w:rsidP="000014E4">
            <w:pPr>
              <w:rPr>
                <w:rFonts w:cs="Arial"/>
                <w:b/>
                <w:color w:val="D9262E"/>
                <w:sz w:val="24"/>
                <w:szCs w:val="24"/>
              </w:rPr>
            </w:pPr>
          </w:p>
        </w:tc>
      </w:tr>
      <w:tr w:rsidR="000014E4" w:rsidRPr="000014E4" w14:paraId="0FC08237" w14:textId="77777777" w:rsidTr="003A71EA">
        <w:trPr>
          <w:trHeight w:val="1396"/>
        </w:trPr>
        <w:tc>
          <w:tcPr>
            <w:tcW w:w="1838" w:type="dxa"/>
            <w:vMerge/>
          </w:tcPr>
          <w:p w14:paraId="12503BA4" w14:textId="77777777" w:rsidR="000014E4" w:rsidRPr="000014E4" w:rsidRDefault="000014E4" w:rsidP="000014E4">
            <w:pPr>
              <w:rPr>
                <w:rFonts w:cs="Arial"/>
                <w:b/>
                <w:color w:val="D9262E"/>
                <w:sz w:val="24"/>
                <w:szCs w:val="24"/>
              </w:rPr>
            </w:pPr>
          </w:p>
        </w:tc>
        <w:tc>
          <w:tcPr>
            <w:tcW w:w="1701" w:type="dxa"/>
            <w:vMerge/>
          </w:tcPr>
          <w:p w14:paraId="2B0CB442" w14:textId="77777777" w:rsidR="000014E4" w:rsidRPr="000014E4" w:rsidRDefault="000014E4" w:rsidP="000014E4">
            <w:pPr>
              <w:rPr>
                <w:rFonts w:cs="Arial"/>
                <w:b/>
                <w:color w:val="D9262E"/>
                <w:sz w:val="24"/>
                <w:szCs w:val="24"/>
              </w:rPr>
            </w:pPr>
          </w:p>
        </w:tc>
        <w:tc>
          <w:tcPr>
            <w:tcW w:w="2126" w:type="dxa"/>
            <w:vMerge/>
          </w:tcPr>
          <w:p w14:paraId="216C0BDD" w14:textId="77777777" w:rsidR="000014E4" w:rsidRPr="000014E4" w:rsidRDefault="000014E4" w:rsidP="000014E4">
            <w:pPr>
              <w:rPr>
                <w:rFonts w:cs="Arial"/>
                <w:b/>
                <w:color w:val="D9262E"/>
                <w:sz w:val="24"/>
                <w:szCs w:val="24"/>
              </w:rPr>
            </w:pPr>
          </w:p>
        </w:tc>
        <w:tc>
          <w:tcPr>
            <w:tcW w:w="1843" w:type="dxa"/>
          </w:tcPr>
          <w:p w14:paraId="490FE67D" w14:textId="796AD968"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0A6515" w:rsidRPr="000A6515">
              <w:rPr>
                <w:rFonts w:cs="Arial"/>
                <w:b/>
                <w:color w:val="auto"/>
                <w:sz w:val="24"/>
                <w:szCs w:val="24"/>
              </w:rPr>
              <w:t>Health &amp; Safety</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1C543C49"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0A6515" w:rsidRPr="003872A1">
              <w:rPr>
                <w:rFonts w:cs="Arial"/>
                <w:sz w:val="24"/>
                <w:szCs w:val="24"/>
              </w:rPr>
              <w:t>Please briefly detail how you will manage any H&amp;S risks and management of sustainable impacts</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7041833A" w:rsidR="00AA0875" w:rsidRPr="000014E4" w:rsidRDefault="00AA0875" w:rsidP="000014E4">
            <w:pPr>
              <w:rPr>
                <w:rFonts w:cs="Arial"/>
                <w:b/>
                <w:color w:val="D9262E"/>
                <w:sz w:val="24"/>
                <w:szCs w:val="24"/>
              </w:rPr>
            </w:pPr>
          </w:p>
        </w:tc>
      </w:tr>
      <w:tr w:rsidR="000014E4"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2B97AB33" w14:textId="77777777" w:rsidR="000014E4" w:rsidRDefault="000014E4" w:rsidP="000014E4">
            <w:pPr>
              <w:rPr>
                <w:rFonts w:cs="Arial"/>
                <w:b/>
                <w:color w:val="auto"/>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p w14:paraId="66ED1D0C" w14:textId="66998BDE" w:rsidR="00AA0875" w:rsidRPr="000014E4" w:rsidRDefault="00AA0875" w:rsidP="000014E4">
            <w:pPr>
              <w:rPr>
                <w:rFonts w:cs="Arial"/>
                <w:b/>
                <w:color w:val="D9262E"/>
                <w:sz w:val="24"/>
                <w:szCs w:val="24"/>
              </w:rPr>
            </w:pP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 response contains minor </w:t>
            </w:r>
            <w:r w:rsidRPr="000014E4">
              <w:rPr>
                <w:sz w:val="24"/>
                <w:szCs w:val="24"/>
              </w:rPr>
              <w:lastRenderedPageBreak/>
              <w:t>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32FC9A0F" w14:textId="77777777" w:rsidR="00180E62" w:rsidRDefault="00180E62" w:rsidP="000014E4">
      <w:pPr>
        <w:spacing w:after="240" w:line="259" w:lineRule="auto"/>
        <w:rPr>
          <w:rFonts w:ascii="Arial" w:hAnsi="Arial"/>
          <w:color w:val="000000"/>
          <w:sz w:val="24"/>
          <w:szCs w:val="24"/>
        </w:rPr>
      </w:pPr>
    </w:p>
    <w:p w14:paraId="6326F2CF" w14:textId="0FF131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8845C50" w14:textId="23D6A94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212083">
        <w:trPr>
          <w:cnfStyle w:val="100000000000" w:firstRow="1" w:lastRow="0" w:firstColumn="0" w:lastColumn="0" w:oddVBand="0" w:evenVBand="0" w:oddHBand="0" w:evenHBand="0" w:firstRowFirstColumn="0" w:firstRowLastColumn="0" w:lastRowFirstColumn="0" w:lastRowLastColumn="0"/>
          <w:cantSplit/>
          <w:tblHeader w:val="0"/>
        </w:trPr>
        <w:tc>
          <w:tcPr>
            <w:tcW w:w="4318" w:type="dxa"/>
          </w:tcPr>
          <w:p w14:paraId="4BDF00B8" w14:textId="1D13F688" w:rsidR="000014E4" w:rsidRPr="000014E4" w:rsidRDefault="001E625A" w:rsidP="000014E4">
            <w:pPr>
              <w:rPr>
                <w:rFonts w:cs="Arial"/>
                <w:b/>
                <w:color w:val="D9262E"/>
                <w:sz w:val="24"/>
                <w:szCs w:val="24"/>
              </w:rPr>
            </w:pPr>
            <w:r>
              <w:rPr>
                <w:rFonts w:cs="Arial"/>
                <w:b/>
                <w:color w:val="D9262E"/>
                <w:sz w:val="24"/>
                <w:szCs w:val="24"/>
              </w:rPr>
              <w:t>Meth</w:t>
            </w:r>
            <w:r w:rsidR="00212083">
              <w:rPr>
                <w:rFonts w:cs="Arial"/>
                <w:b/>
                <w:color w:val="D9262E"/>
                <w:sz w:val="24"/>
                <w:szCs w:val="24"/>
              </w:rPr>
              <w:t>odology</w:t>
            </w:r>
          </w:p>
        </w:tc>
        <w:tc>
          <w:tcPr>
            <w:tcW w:w="4319" w:type="dxa"/>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212083">
        <w:tc>
          <w:tcPr>
            <w:tcW w:w="4318" w:type="dxa"/>
            <w:tcBorders>
              <w:bottom w:val="single" w:sz="4" w:space="0" w:color="auto"/>
            </w:tcBorders>
          </w:tcPr>
          <w:p w14:paraId="75DEC48A" w14:textId="77777777" w:rsidR="001E625A" w:rsidRPr="001E625A" w:rsidRDefault="000014E4" w:rsidP="001E625A">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Provide details of the methodology and approaches proposed to deliver the requirements of this project.</w:t>
            </w:r>
          </w:p>
          <w:p w14:paraId="2E1F8506" w14:textId="0B0D3042" w:rsidR="000014E4" w:rsidRPr="001E625A" w:rsidRDefault="000014E4" w:rsidP="001E625A">
            <w:pPr>
              <w:rPr>
                <w:rFonts w:cs="Arial"/>
                <w:bCs/>
                <w:color w:val="auto"/>
                <w:sz w:val="24"/>
                <w:szCs w:val="24"/>
              </w:rPr>
            </w:pPr>
          </w:p>
        </w:tc>
        <w:tc>
          <w:tcPr>
            <w:tcW w:w="4319" w:type="dxa"/>
            <w:tcBorders>
              <w:bottom w:val="single" w:sz="4" w:space="0" w:color="auto"/>
            </w:tcBorders>
          </w:tcPr>
          <w:p w14:paraId="2A260B9F" w14:textId="77777777" w:rsidR="001E625A" w:rsidRPr="001E625A" w:rsidRDefault="001E625A" w:rsidP="001E625A">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1E625A">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1E625A">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1E625A">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1E625A">
            <w:pPr>
              <w:rPr>
                <w:rFonts w:cs="Arial"/>
                <w:bCs/>
                <w:color w:val="auto"/>
                <w:sz w:val="24"/>
                <w:szCs w:val="24"/>
              </w:rPr>
            </w:pPr>
          </w:p>
          <w:p w14:paraId="17C4A63F" w14:textId="1FAEF171" w:rsidR="00BF6258" w:rsidRPr="00BF6258" w:rsidRDefault="00BF6258" w:rsidP="001E625A">
            <w:pPr>
              <w:rPr>
                <w:rFonts w:cs="Arial"/>
                <w:bCs/>
                <w:color w:val="auto"/>
                <w:sz w:val="24"/>
                <w:szCs w:val="24"/>
              </w:rPr>
            </w:pPr>
            <w:r>
              <w:rPr>
                <w:rFonts w:cs="Arial"/>
                <w:sz w:val="24"/>
                <w:szCs w:val="24"/>
              </w:rPr>
              <w:t xml:space="preserve">Your response </w:t>
            </w:r>
            <w:r w:rsidRPr="00BF6258">
              <w:rPr>
                <w:rFonts w:cs="Arial"/>
                <w:sz w:val="24"/>
                <w:szCs w:val="24"/>
              </w:rPr>
              <w:t>should include identification of risks to achieving the 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1E625A">
            <w:pPr>
              <w:rPr>
                <w:rFonts w:cs="Arial"/>
                <w:bCs/>
                <w:color w:val="auto"/>
                <w:sz w:val="24"/>
                <w:szCs w:val="24"/>
              </w:rPr>
            </w:pPr>
          </w:p>
          <w:p w14:paraId="44BD2F02" w14:textId="3AC40373" w:rsidR="000014E4" w:rsidRDefault="00E704E1" w:rsidP="001E625A">
            <w:pPr>
              <w:rPr>
                <w:rFonts w:cs="Arial"/>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p w14:paraId="0A3EF5D3" w14:textId="748F9E6A" w:rsidR="00AA0875" w:rsidRPr="001E625A" w:rsidRDefault="00AA0875" w:rsidP="001E625A">
            <w:pPr>
              <w:rPr>
                <w:bCs/>
                <w:color w:val="auto"/>
                <w:sz w:val="24"/>
                <w:szCs w:val="24"/>
              </w:rPr>
            </w:pPr>
          </w:p>
        </w:tc>
      </w:tr>
      <w:tr w:rsidR="000014E4" w:rsidRPr="000014E4" w14:paraId="1013D7F6" w14:textId="77777777" w:rsidTr="00212083">
        <w:trPr>
          <w:cantSplit/>
        </w:trPr>
        <w:tc>
          <w:tcPr>
            <w:tcW w:w="4318" w:type="dxa"/>
            <w:shd w:val="clear" w:color="auto" w:fill="000000" w:themeFill="text1"/>
          </w:tcPr>
          <w:p w14:paraId="36FC49AB" w14:textId="757D1704" w:rsidR="000014E4" w:rsidRPr="000014E4" w:rsidRDefault="001E625A" w:rsidP="000014E4">
            <w:pPr>
              <w:rPr>
                <w:rFonts w:cs="Arial"/>
                <w:b/>
                <w:color w:val="D9262E"/>
                <w:sz w:val="24"/>
                <w:szCs w:val="24"/>
              </w:rPr>
            </w:pPr>
            <w:r w:rsidRPr="001E625A">
              <w:rPr>
                <w:rFonts w:cs="Arial"/>
                <w:b/>
                <w:color w:val="FF0000"/>
                <w:sz w:val="24"/>
                <w:szCs w:val="24"/>
              </w:rPr>
              <w:lastRenderedPageBreak/>
              <w:t>Key personnel / expertise</w:t>
            </w:r>
          </w:p>
        </w:tc>
        <w:tc>
          <w:tcPr>
            <w:tcW w:w="4319" w:type="dxa"/>
            <w:shd w:val="clear" w:color="auto" w:fill="000000" w:themeFill="text1"/>
          </w:tcPr>
          <w:p w14:paraId="07A2EABC" w14:textId="77777777" w:rsidR="000014E4" w:rsidRPr="000014E4" w:rsidRDefault="000014E4" w:rsidP="000014E4">
            <w:pPr>
              <w:rPr>
                <w:sz w:val="24"/>
                <w:szCs w:val="24"/>
              </w:rPr>
            </w:pPr>
            <w:r w:rsidRPr="00212083">
              <w:rPr>
                <w:color w:val="FFFFFF" w:themeColor="background1"/>
                <w:sz w:val="24"/>
                <w:szCs w:val="24"/>
              </w:rPr>
              <w:t>Detailed Evaluation Criteria</w:t>
            </w:r>
          </w:p>
        </w:tc>
      </w:tr>
      <w:tr w:rsidR="000014E4" w:rsidRPr="000014E4" w14:paraId="5D1849E7" w14:textId="77777777" w:rsidTr="003A71EA">
        <w:tc>
          <w:tcPr>
            <w:tcW w:w="4318" w:type="dxa"/>
          </w:tcPr>
          <w:p w14:paraId="6450AB8B" w14:textId="359036D0"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1E625A" w:rsidRPr="001E625A">
              <w:rPr>
                <w:rFonts w:cs="Arial"/>
                <w:bCs/>
                <w:color w:val="auto"/>
                <w:sz w:val="24"/>
                <w:szCs w:val="24"/>
              </w:rPr>
              <w:t>Provide a</w:t>
            </w:r>
            <w:r w:rsidR="001E625A" w:rsidRPr="001E625A">
              <w:rPr>
                <w:rFonts w:cs="Arial"/>
                <w:b/>
                <w:color w:val="auto"/>
                <w:sz w:val="24"/>
                <w:szCs w:val="24"/>
              </w:rPr>
              <w:t xml:space="preserve"> </w:t>
            </w:r>
            <w:r w:rsidR="001E625A" w:rsidRPr="001E625A">
              <w:rPr>
                <w:rFonts w:cs="Arial"/>
                <w:bCs/>
                <w:color w:val="auto"/>
                <w:sz w:val="24"/>
                <w:szCs w:val="24"/>
              </w:rPr>
              <w:t>summary of relevant</w:t>
            </w:r>
            <w:r w:rsidR="001E625A" w:rsidRPr="001E625A">
              <w:rPr>
                <w:rFonts w:cs="Arial"/>
                <w:color w:val="auto"/>
                <w:sz w:val="24"/>
                <w:szCs w:val="24"/>
              </w:rPr>
              <w:t xml:space="preserve"> expertise and experience of key personnel and any work on similar projects and CVs.</w:t>
            </w:r>
          </w:p>
        </w:tc>
        <w:tc>
          <w:tcPr>
            <w:tcW w:w="4319" w:type="dxa"/>
          </w:tcPr>
          <w:p w14:paraId="03A8F300" w14:textId="54D0B22F"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 including:</w:t>
            </w:r>
          </w:p>
          <w:p w14:paraId="753B268D" w14:textId="4FE4667A"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and experience of developing monitoring strategies and undertaking groundwater and water quality monitoring for the purposes of assessing impact on wetland habitats, and particularly groundwater fed wetland habitats.</w:t>
            </w:r>
          </w:p>
          <w:p w14:paraId="757EEE61" w14:textId="77777777"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of groundwater and water quality monitoring techniques and methodologies including any installation requirements.</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32EB57B3" w14:textId="77777777" w:rsidR="00180E62"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prepare the plan and details of any sub-contractors to be used (if applicable).</w:t>
            </w:r>
          </w:p>
          <w:p w14:paraId="20EEF08C" w14:textId="1571342D" w:rsidR="00FA32AC" w:rsidRPr="003953F9" w:rsidRDefault="00FA32AC" w:rsidP="00180E62">
            <w:pPr>
              <w:pStyle w:val="ListParagraph"/>
              <w:rPr>
                <w:rFonts w:cs="Arial"/>
                <w:sz w:val="24"/>
                <w:szCs w:val="24"/>
              </w:rPr>
            </w:pPr>
            <w:r w:rsidRPr="003953F9">
              <w:rPr>
                <w:rFonts w:cs="Arial"/>
                <w:sz w:val="24"/>
                <w:szCs w:val="24"/>
              </w:rPr>
              <w:t xml:space="preserve"> </w:t>
            </w:r>
          </w:p>
          <w:p w14:paraId="22AE4897" w14:textId="77777777" w:rsidR="000014E4" w:rsidRDefault="00130E34" w:rsidP="00130E34">
            <w:pPr>
              <w:rPr>
                <w:rFonts w:eastAsia="Arial" w:cs="Arial"/>
                <w:color w:val="auto"/>
                <w:sz w:val="24"/>
                <w:szCs w:val="24"/>
              </w:rPr>
            </w:pPr>
            <w:r w:rsidRPr="003953F9">
              <w:rPr>
                <w:rFonts w:cs="Arial"/>
                <w:sz w:val="24"/>
                <w:szCs w:val="24"/>
              </w:rPr>
              <w:t>Your response should also include a table outlining the time allocation for each individual for the different elements of the project.</w:t>
            </w:r>
            <w:r w:rsidR="00E704E1" w:rsidRPr="003953F9">
              <w:rPr>
                <w:rFonts w:cs="Arial"/>
                <w:sz w:val="24"/>
                <w:szCs w:val="24"/>
              </w:rPr>
              <w:t xml:space="preserve">  </w:t>
            </w:r>
            <w:r w:rsidR="00E704E1" w:rsidRPr="003953F9">
              <w:rPr>
                <w:rFonts w:eastAsia="Arial" w:cs="Arial"/>
                <w:color w:val="auto"/>
                <w:sz w:val="24"/>
                <w:szCs w:val="24"/>
              </w:rPr>
              <w:t xml:space="preserve">CVs should be 1 page of A4 in 12pt Arial Font, and detail how the experience of the named person is relevant to the tasks outlined in the specification. </w:t>
            </w:r>
          </w:p>
          <w:p w14:paraId="05D1CFA9" w14:textId="075D55B9" w:rsidR="00AA0875" w:rsidRPr="003953F9" w:rsidRDefault="00AA0875" w:rsidP="00130E34">
            <w:pPr>
              <w:rPr>
                <w:sz w:val="24"/>
                <w:szCs w:val="24"/>
              </w:rPr>
            </w:pPr>
          </w:p>
        </w:tc>
      </w:tr>
    </w:tbl>
    <w:p w14:paraId="169EFE0A" w14:textId="1AE94F05" w:rsidR="00212083" w:rsidRDefault="00212083" w:rsidP="000014E4">
      <w:pPr>
        <w:spacing w:after="240" w:line="259" w:lineRule="auto"/>
        <w:rPr>
          <w:rFonts w:ascii="Arial" w:hAnsi="Arial"/>
          <w:color w:val="000000"/>
          <w:sz w:val="24"/>
          <w:szCs w:val="24"/>
        </w:rPr>
      </w:pPr>
    </w:p>
    <w:p w14:paraId="03894551" w14:textId="4434E761" w:rsidR="00212083" w:rsidRDefault="00212083" w:rsidP="000014E4">
      <w:pPr>
        <w:spacing w:after="240" w:line="259" w:lineRule="auto"/>
        <w:rPr>
          <w:rFonts w:ascii="Arial" w:hAnsi="Arial"/>
          <w:color w:val="000000"/>
          <w:sz w:val="24"/>
          <w:szCs w:val="24"/>
        </w:rPr>
      </w:pPr>
    </w:p>
    <w:p w14:paraId="3C9D3B7F" w14:textId="77004702" w:rsidR="00212083" w:rsidRDefault="00212083" w:rsidP="000014E4">
      <w:pPr>
        <w:spacing w:after="240" w:line="259" w:lineRule="auto"/>
        <w:rPr>
          <w:rFonts w:ascii="Arial" w:hAnsi="Arial"/>
          <w:color w:val="000000"/>
          <w:sz w:val="24"/>
          <w:szCs w:val="24"/>
        </w:rPr>
      </w:pPr>
    </w:p>
    <w:p w14:paraId="60B109B1" w14:textId="02CDAFC9" w:rsidR="00212083" w:rsidRDefault="00212083" w:rsidP="000014E4">
      <w:pPr>
        <w:spacing w:after="240" w:line="259" w:lineRule="auto"/>
        <w:rPr>
          <w:rFonts w:ascii="Arial" w:hAnsi="Arial"/>
          <w:color w:val="000000"/>
          <w:sz w:val="24"/>
          <w:szCs w:val="24"/>
        </w:rPr>
      </w:pPr>
    </w:p>
    <w:p w14:paraId="27DD5563" w14:textId="77777777" w:rsidR="00212083" w:rsidRPr="000014E4" w:rsidRDefault="00212083"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153681AB" w:rsidR="000014E4" w:rsidRPr="000014E4" w:rsidRDefault="00130E34" w:rsidP="000014E4">
            <w:pPr>
              <w:rPr>
                <w:rFonts w:cs="Arial"/>
                <w:b/>
                <w:color w:val="D9262E"/>
                <w:sz w:val="24"/>
                <w:szCs w:val="24"/>
              </w:rPr>
            </w:pPr>
            <w:r w:rsidRPr="00130E34">
              <w:rPr>
                <w:rFonts w:cs="Arial"/>
                <w:b/>
                <w:color w:val="FF0000"/>
                <w:sz w:val="24"/>
                <w:szCs w:val="24"/>
              </w:rPr>
              <w:lastRenderedPageBreak/>
              <w:t>Project management and Quality Assurance measures</w:t>
            </w:r>
          </w:p>
        </w:tc>
        <w:tc>
          <w:tcPr>
            <w:tcW w:w="4319" w:type="dxa"/>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3A71EA">
        <w:tc>
          <w:tcPr>
            <w:tcW w:w="4318" w:type="dxa"/>
          </w:tcPr>
          <w:p w14:paraId="59DD247F" w14:textId="43C68F75" w:rsidR="000014E4" w:rsidRPr="000014E4" w:rsidRDefault="000014E4" w:rsidP="000014E4">
            <w:pPr>
              <w:rPr>
                <w:rFonts w:cs="Arial"/>
                <w:b/>
                <w:color w:val="D9262E"/>
                <w:sz w:val="24"/>
                <w:szCs w:val="24"/>
              </w:rPr>
            </w:pPr>
            <w:r w:rsidRPr="000E32C0">
              <w:rPr>
                <w:rFonts w:cs="Arial"/>
                <w:b/>
                <w:color w:val="auto"/>
                <w:sz w:val="24"/>
                <w:szCs w:val="24"/>
              </w:rPr>
              <w:t>Q3.1</w:t>
            </w:r>
            <w:r w:rsidR="00130E34" w:rsidRPr="000E32C0">
              <w:rPr>
                <w:rFonts w:cs="Arial"/>
                <w:b/>
                <w:color w:val="auto"/>
                <w:sz w:val="24"/>
                <w:szCs w:val="24"/>
              </w:rPr>
              <w:t xml:space="preserve"> </w:t>
            </w:r>
            <w:r w:rsidR="00130E34" w:rsidRPr="00130E34">
              <w:rPr>
                <w:rFonts w:cs="Arial"/>
                <w:sz w:val="24"/>
                <w:szCs w:val="24"/>
              </w:rPr>
              <w:t xml:space="preserve">Please submit </w:t>
            </w:r>
            <w:r w:rsidR="00953A34">
              <w:rPr>
                <w:rFonts w:cs="Arial"/>
                <w:sz w:val="24"/>
                <w:szCs w:val="24"/>
              </w:rPr>
              <w:t xml:space="preserve">an </w:t>
            </w:r>
            <w:r w:rsidR="00130E34" w:rsidRPr="00130E34">
              <w:rPr>
                <w:rFonts w:cs="Arial"/>
                <w:sz w:val="24"/>
                <w:szCs w:val="24"/>
              </w:rPr>
              <w:t xml:space="preserve">outline proposal </w:t>
            </w:r>
            <w:r w:rsidR="00953A34">
              <w:rPr>
                <w:rFonts w:cs="Arial"/>
                <w:sz w:val="24"/>
                <w:szCs w:val="24"/>
              </w:rPr>
              <w:t>for</w:t>
            </w:r>
            <w:r w:rsidR="00130E34" w:rsidRPr="00130E34">
              <w:rPr>
                <w:rFonts w:cs="Arial"/>
                <w:sz w:val="24"/>
                <w:szCs w:val="24"/>
              </w:rPr>
              <w:t xml:space="preserve"> how the project will be managed</w:t>
            </w:r>
            <w:r w:rsidR="00D46AF8">
              <w:rPr>
                <w:rFonts w:cs="Arial"/>
                <w:sz w:val="24"/>
                <w:szCs w:val="24"/>
              </w:rPr>
              <w:t>.</w:t>
            </w:r>
          </w:p>
        </w:tc>
        <w:tc>
          <w:tcPr>
            <w:tcW w:w="4319" w:type="dxa"/>
          </w:tcPr>
          <w:p w14:paraId="55E69DB6" w14:textId="77777777" w:rsidR="000014E4" w:rsidRDefault="00D46AF8" w:rsidP="000014E4">
            <w:pPr>
              <w:rPr>
                <w:rFonts w:cs="Arial"/>
                <w:bCs/>
                <w:color w:val="auto"/>
                <w:sz w:val="24"/>
                <w:szCs w:val="24"/>
              </w:rPr>
            </w:pPr>
            <w:r w:rsidRPr="003953F9">
              <w:rPr>
                <w:rFonts w:cs="Arial"/>
                <w:sz w:val="24"/>
                <w:szCs w:val="24"/>
              </w:rPr>
              <w:t>Your response should provide information on your proposed project management methodology</w:t>
            </w:r>
            <w:r w:rsidR="000E32C0">
              <w:rPr>
                <w:rFonts w:cs="Arial"/>
                <w:sz w:val="24"/>
                <w:szCs w:val="24"/>
              </w:rPr>
              <w:t>,</w:t>
            </w:r>
            <w:r w:rsidRPr="003953F9">
              <w:rPr>
                <w:rFonts w:cs="Arial"/>
                <w:sz w:val="24"/>
                <w:szCs w:val="24"/>
              </w:rPr>
              <w:t xml:space="preserve"> including a timeline, project schedule and risk management strategy.</w:t>
            </w:r>
            <w:r w:rsidR="00B36848" w:rsidRPr="003953F9">
              <w:rPr>
                <w:rFonts w:cs="Arial"/>
                <w:sz w:val="24"/>
                <w:szCs w:val="24"/>
              </w:rPr>
              <w:t xml:space="preserve"> </w:t>
            </w:r>
            <w:r w:rsidR="00B36848" w:rsidRPr="003953F9">
              <w:rPr>
                <w:rFonts w:cs="Arial"/>
                <w:bCs/>
                <w:color w:val="auto"/>
                <w:sz w:val="24"/>
                <w:szCs w:val="24"/>
              </w:rPr>
              <w:t>Responses should not exceed four sides of A4, in 12pt Arial font.</w:t>
            </w:r>
          </w:p>
          <w:p w14:paraId="13CE13E0" w14:textId="13238D0B" w:rsidR="00AA0875" w:rsidRPr="003953F9" w:rsidRDefault="00AA0875" w:rsidP="000014E4">
            <w:pPr>
              <w:rPr>
                <w:sz w:val="24"/>
                <w:szCs w:val="24"/>
              </w:rPr>
            </w:pPr>
          </w:p>
        </w:tc>
      </w:tr>
      <w:tr w:rsidR="000014E4" w:rsidRPr="000014E4" w14:paraId="2A616208" w14:textId="77777777" w:rsidTr="003A71EA">
        <w:tc>
          <w:tcPr>
            <w:tcW w:w="4318" w:type="dxa"/>
          </w:tcPr>
          <w:p w14:paraId="38694A8A" w14:textId="1AC95F4B" w:rsidR="000014E4" w:rsidRPr="000014E4" w:rsidRDefault="000014E4" w:rsidP="000014E4">
            <w:pPr>
              <w:rPr>
                <w:rFonts w:cs="Arial"/>
                <w:b/>
                <w:color w:val="D9262E"/>
                <w:sz w:val="24"/>
                <w:szCs w:val="24"/>
              </w:rPr>
            </w:pPr>
            <w:r w:rsidRPr="000E32C0">
              <w:rPr>
                <w:rFonts w:cs="Arial"/>
                <w:b/>
                <w:color w:val="auto"/>
                <w:sz w:val="24"/>
                <w:szCs w:val="24"/>
              </w:rPr>
              <w:t>Q3.2</w:t>
            </w:r>
            <w:r w:rsidR="00130E34" w:rsidRPr="000E32C0">
              <w:rPr>
                <w:rFonts w:cs="Arial"/>
                <w:b/>
                <w:color w:val="auto"/>
                <w:sz w:val="24"/>
                <w:szCs w:val="24"/>
              </w:rPr>
              <w:t xml:space="preserve"> </w:t>
            </w:r>
            <w:r w:rsidR="003872A1" w:rsidRPr="003872A1">
              <w:rPr>
                <w:rFonts w:cs="Arial"/>
                <w:sz w:val="24"/>
                <w:szCs w:val="24"/>
              </w:rPr>
              <w:t>Please provide details of the QA procedures that will be deployed</w:t>
            </w:r>
            <w:r w:rsidR="003872A1">
              <w:rPr>
                <w:rFonts w:cs="Arial"/>
                <w:sz w:val="24"/>
                <w:szCs w:val="24"/>
              </w:rPr>
              <w:t xml:space="preserve"> for this work.</w:t>
            </w:r>
          </w:p>
        </w:tc>
        <w:tc>
          <w:tcPr>
            <w:tcW w:w="4319" w:type="dxa"/>
          </w:tcPr>
          <w:p w14:paraId="4489EE7A" w14:textId="77777777" w:rsidR="000014E4" w:rsidRDefault="00E704E1" w:rsidP="000014E4">
            <w:pPr>
              <w:rPr>
                <w:rFonts w:cs="Arial"/>
                <w:bCs/>
                <w:color w:val="auto"/>
                <w:sz w:val="24"/>
                <w:szCs w:val="24"/>
              </w:rPr>
            </w:pPr>
            <w:r>
              <w:rPr>
                <w:sz w:val="24"/>
                <w:szCs w:val="24"/>
              </w:rPr>
              <w:t xml:space="preserve">Your response should outline your Quality Assurance </w:t>
            </w:r>
            <w:r w:rsidR="00BF6258">
              <w:rPr>
                <w:sz w:val="24"/>
                <w:szCs w:val="24"/>
              </w:rPr>
              <w:t>procedures</w:t>
            </w:r>
            <w:r>
              <w:rPr>
                <w:sz w:val="24"/>
                <w:szCs w:val="24"/>
              </w:rPr>
              <w:t xml:space="preserve"> and quality evaluation process</w:t>
            </w:r>
            <w:r w:rsidR="00B36848">
              <w:rPr>
                <w:sz w:val="24"/>
                <w:szCs w:val="24"/>
              </w:rPr>
              <w:t xml:space="preserve">. </w:t>
            </w:r>
            <w:r w:rsidR="00B36848" w:rsidRPr="001E625A">
              <w:rPr>
                <w:rFonts w:cs="Arial"/>
                <w:bCs/>
                <w:color w:val="auto"/>
                <w:sz w:val="24"/>
                <w:szCs w:val="24"/>
              </w:rPr>
              <w:t xml:space="preserve">Responses should not exceed four sides of A4, </w:t>
            </w:r>
            <w:r w:rsidR="00B36848">
              <w:rPr>
                <w:rFonts w:cs="Arial"/>
                <w:bCs/>
                <w:color w:val="auto"/>
                <w:sz w:val="24"/>
                <w:szCs w:val="24"/>
              </w:rPr>
              <w:t>in 12pt</w:t>
            </w:r>
            <w:r w:rsidR="00B36848" w:rsidRPr="001E625A">
              <w:rPr>
                <w:rFonts w:cs="Arial"/>
                <w:bCs/>
                <w:color w:val="auto"/>
                <w:sz w:val="24"/>
                <w:szCs w:val="24"/>
              </w:rPr>
              <w:t xml:space="preserve"> Arial font</w:t>
            </w:r>
            <w:r w:rsidR="00B36848">
              <w:rPr>
                <w:rFonts w:cs="Arial"/>
                <w:bCs/>
                <w:color w:val="auto"/>
                <w:sz w:val="24"/>
                <w:szCs w:val="24"/>
              </w:rPr>
              <w:t>.</w:t>
            </w:r>
          </w:p>
          <w:p w14:paraId="3A5D5A63" w14:textId="0B3D2A3C" w:rsidR="00AA0875" w:rsidRPr="000014E4" w:rsidRDefault="00AA0875" w:rsidP="000014E4">
            <w:pPr>
              <w:rPr>
                <w:sz w:val="24"/>
                <w:szCs w:val="24"/>
              </w:rPr>
            </w:pP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30DB3A9B" w:rsidR="000014E4" w:rsidRPr="000014E4" w:rsidRDefault="005C6641" w:rsidP="000014E4">
            <w:pPr>
              <w:rPr>
                <w:rFonts w:cs="Arial"/>
                <w:b/>
                <w:color w:val="D9262E"/>
                <w:sz w:val="24"/>
                <w:szCs w:val="24"/>
              </w:rPr>
            </w:pPr>
            <w:r w:rsidRPr="000319AB">
              <w:rPr>
                <w:rFonts w:cs="Arial"/>
                <w:b/>
                <w:color w:val="FF0000"/>
                <w:sz w:val="24"/>
                <w:szCs w:val="24"/>
              </w:rPr>
              <w:t>Management of sustainability and 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1322BDED" w:rsidR="000014E4" w:rsidRPr="000014E4" w:rsidRDefault="000014E4" w:rsidP="000014E4">
            <w:pPr>
              <w:rPr>
                <w:rFonts w:cs="Arial"/>
                <w:b/>
                <w:color w:val="D9262E"/>
                <w:sz w:val="24"/>
                <w:szCs w:val="24"/>
              </w:rPr>
            </w:pPr>
            <w:r w:rsidRPr="000E32C0">
              <w:rPr>
                <w:rFonts w:cs="Arial"/>
                <w:b/>
                <w:color w:val="auto"/>
                <w:sz w:val="24"/>
                <w:szCs w:val="24"/>
              </w:rPr>
              <w:t>Q4</w:t>
            </w:r>
            <w:r w:rsidR="005C6641" w:rsidRPr="000E32C0">
              <w:rPr>
                <w:rFonts w:cs="Arial"/>
                <w:b/>
                <w:color w:val="auto"/>
                <w:sz w:val="24"/>
                <w:szCs w:val="24"/>
              </w:rPr>
              <w:t xml:space="preserve"> </w:t>
            </w:r>
            <w:r w:rsidR="005C6641" w:rsidRPr="003872A1">
              <w:rPr>
                <w:rFonts w:cs="Arial"/>
                <w:sz w:val="24"/>
                <w:szCs w:val="24"/>
              </w:rPr>
              <w:t>Please briefly detail how you will manage any H&amp;S risks and management of sustainable impacts.</w:t>
            </w:r>
          </w:p>
        </w:tc>
        <w:tc>
          <w:tcPr>
            <w:tcW w:w="4319" w:type="dxa"/>
          </w:tcPr>
          <w:p w14:paraId="53F848C3" w14:textId="272B9B34"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p>
          <w:p w14:paraId="4C5EC3D5" w14:textId="77777777" w:rsidR="000014E4" w:rsidRDefault="00953A34" w:rsidP="000014E4">
            <w:pPr>
              <w:rPr>
                <w:rFonts w:cs="Arial"/>
                <w:sz w:val="24"/>
                <w:szCs w:val="24"/>
              </w:rPr>
            </w:pPr>
            <w:r>
              <w:rPr>
                <w:rFonts w:cs="Arial"/>
                <w:sz w:val="24"/>
                <w:szCs w:val="24"/>
              </w:rPr>
              <w:t>Your response</w:t>
            </w:r>
            <w:r w:rsidR="00D46AF8" w:rsidRPr="003872A1">
              <w:rPr>
                <w:rFonts w:cs="Arial"/>
                <w:sz w:val="24"/>
                <w:szCs w:val="24"/>
              </w:rPr>
              <w:t xml:space="preserve"> should </w:t>
            </w:r>
            <w:r w:rsidR="00E704E1" w:rsidRPr="003872A1">
              <w:rPr>
                <w:rFonts w:cs="Arial"/>
                <w:sz w:val="24"/>
                <w:szCs w:val="24"/>
              </w:rPr>
              <w:t xml:space="preserve">also </w:t>
            </w:r>
            <w:r w:rsidR="00D46AF8" w:rsidRPr="003872A1">
              <w:rPr>
                <w:rFonts w:cs="Arial"/>
                <w:sz w:val="24"/>
                <w:szCs w:val="24"/>
              </w:rPr>
              <w:t xml:space="preserve">provide a copy of </w:t>
            </w:r>
            <w:r>
              <w:rPr>
                <w:rFonts w:cs="Arial"/>
                <w:sz w:val="24"/>
                <w:szCs w:val="24"/>
              </w:rPr>
              <w:t>your employer’s</w:t>
            </w:r>
            <w:r w:rsidR="00D46AF8" w:rsidRPr="003872A1">
              <w:rPr>
                <w:rFonts w:cs="Arial"/>
                <w:sz w:val="24"/>
                <w:szCs w:val="24"/>
              </w:rPr>
              <w:t xml:space="preserve"> environmental policy and any environmental accreditation schemes such as ISO 14001 or EMAS which they have been awarded or are working towards.</w:t>
            </w:r>
          </w:p>
          <w:p w14:paraId="581135E6" w14:textId="7A8E9E60" w:rsidR="00AA0875" w:rsidRPr="000014E4" w:rsidRDefault="00AA0875" w:rsidP="000014E4">
            <w:pPr>
              <w:rPr>
                <w:sz w:val="24"/>
                <w:szCs w:val="24"/>
              </w:rPr>
            </w:pPr>
          </w:p>
        </w:tc>
      </w:tr>
    </w:tbl>
    <w:p w14:paraId="5354FEE1" w14:textId="77777777" w:rsidR="00B36848" w:rsidRDefault="00B36848" w:rsidP="000014E4">
      <w:pPr>
        <w:spacing w:after="240" w:line="276" w:lineRule="auto"/>
        <w:rPr>
          <w:rFonts w:ascii="Arial" w:hAnsi="Arial"/>
          <w:b/>
          <w:sz w:val="26"/>
          <w:szCs w:val="26"/>
        </w:rPr>
      </w:pPr>
    </w:p>
    <w:p w14:paraId="4D8BC79B" w14:textId="722A142D"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t>Commercial (</w:t>
      </w:r>
      <w:r w:rsidR="00A74636" w:rsidRPr="00A74636">
        <w:rPr>
          <w:rFonts w:ascii="Arial" w:hAnsi="Arial" w:cs="Arial"/>
          <w:b/>
          <w:sz w:val="24"/>
          <w:szCs w:val="26"/>
        </w:rPr>
        <w:t>40</w:t>
      </w:r>
      <w:r w:rsidRPr="00A74636">
        <w:rPr>
          <w:rFonts w:ascii="Arial" w:hAnsi="Arial"/>
          <w:b/>
          <w:sz w:val="26"/>
          <w:szCs w:val="26"/>
        </w:rPr>
        <w:t>%)</w:t>
      </w:r>
    </w:p>
    <w:p w14:paraId="1E1138FF" w14:textId="77777777"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r w:rsidR="003953F9" w:rsidRPr="003953F9">
        <w:rPr>
          <w:rFonts w:ascii="Arial" w:hAnsi="Arial" w:cs="Arial"/>
          <w:spacing w:val="-1"/>
          <w:sz w:val="24"/>
          <w:szCs w:val="24"/>
        </w:rPr>
        <w:t>The fixed price should include all costs including staff time, hourly rates for meetings, field work, report preparation, producing GI outputs, etc., or equipment if needed, and any expenses.  T</w:t>
      </w:r>
      <w:r w:rsidR="003953F9" w:rsidRPr="003953F9">
        <w:rPr>
          <w:rFonts w:ascii="Arial" w:hAnsi="Arial" w:cs="Arial"/>
          <w:sz w:val="24"/>
          <w:szCs w:val="24"/>
        </w:rPr>
        <w:t>here will be no allowance for adding in these costs later.</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060AA957" w:rsidR="00130E34" w:rsidRDefault="007017A3" w:rsidP="003953F9">
      <w:pPr>
        <w:pStyle w:val="NoSpacing"/>
        <w:rPr>
          <w:rFonts w:ascii="Arial" w:hAnsi="Arial" w:cs="Arial"/>
          <w:sz w:val="24"/>
          <w:szCs w:val="24"/>
        </w:rPr>
      </w:pPr>
      <w:bookmarkStart w:id="2" w:name="_Hlk144818442"/>
      <w:r w:rsidRPr="007017A3">
        <w:rPr>
          <w:rFonts w:ascii="Arial" w:hAnsi="Arial" w:cs="Arial"/>
          <w:sz w:val="24"/>
          <w:szCs w:val="24"/>
        </w:rPr>
        <w:lastRenderedPageBreak/>
        <w:t xml:space="preserve">Please complete Table 1, below, to show a breakdown of your cost </w:t>
      </w:r>
      <w:bookmarkEnd w:id="2"/>
      <w:r w:rsidRPr="007017A3">
        <w:rPr>
          <w:rFonts w:ascii="Arial" w:hAnsi="Arial" w:cs="Arial"/>
          <w:sz w:val="24"/>
          <w:szCs w:val="24"/>
        </w:rPr>
        <w:t>per task or unit of time (</w:t>
      </w:r>
      <w:r w:rsidR="000319AB" w:rsidRPr="007017A3">
        <w:rPr>
          <w:rFonts w:ascii="Arial" w:hAnsi="Arial" w:cs="Arial"/>
          <w:sz w:val="24"/>
          <w:szCs w:val="24"/>
        </w:rPr>
        <w:t>i.e.,</w:t>
      </w:r>
      <w:r w:rsidRPr="007017A3">
        <w:rPr>
          <w:rFonts w:ascii="Arial" w:hAnsi="Arial" w:cs="Arial"/>
          <w:sz w:val="24"/>
          <w:szCs w:val="24"/>
        </w:rPr>
        <w:t xml:space="preserve"> ‘rates’) and the number of tasks or days / hours for each task, and total cost for each task required to deliver the outputs. You may insert additional task lines if required.</w:t>
      </w: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proofErr w:type="gramStart"/>
            <w:r>
              <w:rPr>
                <w:rFonts w:ascii="Arial" w:hAnsi="Arial" w:cs="Arial"/>
                <w:b/>
              </w:rPr>
              <w:t>task</w:t>
            </w:r>
            <w:r w:rsidRPr="00FB3158">
              <w:rPr>
                <w:rFonts w:ascii="Arial" w:hAnsi="Arial" w:cs="Arial"/>
                <w:b/>
              </w:rPr>
              <w:t>  /</w:t>
            </w:r>
            <w:proofErr w:type="gramEnd"/>
            <w:r w:rsidRPr="00FB3158">
              <w:rPr>
                <w:rFonts w:ascii="Arial" w:hAnsi="Arial" w:cs="Arial"/>
                <w:b/>
              </w:rPr>
              <w:t xml:space="preserve">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25A84A97" w:rsidR="002206DE" w:rsidRPr="00FB3158" w:rsidRDefault="002206DE" w:rsidP="006C78CB">
            <w:pPr>
              <w:rPr>
                <w:rFonts w:ascii="Arial" w:hAnsi="Arial" w:cs="Arial"/>
                <w:bCs/>
                <w:color w:val="000000"/>
              </w:rPr>
            </w:pPr>
            <w:r w:rsidRPr="00FB3158">
              <w:rPr>
                <w:rFonts w:ascii="Arial" w:hAnsi="Arial" w:cs="Arial"/>
                <w:bCs/>
                <w:color w:val="000000"/>
              </w:rPr>
              <w:t xml:space="preserve">Expenses or other costs (please detail type, </w:t>
            </w:r>
            <w:r w:rsidR="000319AB" w:rsidRPr="00FB3158">
              <w:rPr>
                <w:rFonts w:ascii="Arial" w:hAnsi="Arial" w:cs="Arial"/>
                <w:bCs/>
                <w:color w:val="000000"/>
              </w:rPr>
              <w:t>e.g.,</w:t>
            </w:r>
            <w:r w:rsidRPr="00FB3158">
              <w:rPr>
                <w:rFonts w:ascii="Arial" w:hAnsi="Arial" w:cs="Arial"/>
                <w:bCs/>
                <w:color w:val="000000"/>
              </w:rPr>
              <w:t xml:space="preserve">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3561DC0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r w:rsidR="005A0C69">
        <w:rPr>
          <w:rFonts w:ascii="Arial" w:hAnsi="Arial"/>
          <w:color w:val="000000"/>
          <w:sz w:val="24"/>
          <w:szCs w:val="24"/>
        </w:rPr>
        <w:t>The contract will be offered to the tenderer/supplier scoring the highest TWS.</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 xml:space="preserve">completed Commercial Response </w:t>
      </w:r>
      <w:proofErr w:type="gramStart"/>
      <w:r w:rsidRPr="00BF68F5">
        <w:rPr>
          <w:rFonts w:ascii="Arial" w:hAnsi="Arial"/>
          <w:color w:val="000000"/>
          <w:sz w:val="24"/>
          <w:szCs w:val="24"/>
        </w:rPr>
        <w:t>template</w:t>
      </w:r>
      <w:proofErr w:type="gramEnd"/>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7D76DB40" w:rsidR="00BF68F5" w:rsidRP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4442588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quotation to this RFQ I declare that to the best of my knowledge the answers submitted</w:t>
      </w:r>
      <w:r w:rsidR="000319AB">
        <w:rPr>
          <w:rFonts w:ascii="Arial" w:hAnsi="Arial"/>
          <w:color w:val="000000"/>
          <w:sz w:val="24"/>
          <w:szCs w:val="24"/>
        </w:rPr>
        <w:t>,</w:t>
      </w:r>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lastRenderedPageBreak/>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62BC78B1" w:rsidR="000014E4" w:rsidRPr="000014E4" w:rsidRDefault="000014E4" w:rsidP="000014E4">
            <w:pPr>
              <w:rPr>
                <w:sz w:val="24"/>
                <w:szCs w:val="24"/>
              </w:rPr>
            </w:pPr>
            <w:r w:rsidRPr="000014E4">
              <w:rPr>
                <w:sz w:val="24"/>
                <w:szCs w:val="24"/>
              </w:rPr>
              <w:t>Identity of who has been convicted</w:t>
            </w:r>
            <w:r w:rsidR="0011559B">
              <w:rPr>
                <w:sz w:val="24"/>
                <w:szCs w:val="24"/>
              </w:rPr>
              <w:t>.</w:t>
            </w:r>
          </w:p>
          <w:p w14:paraId="236B1F83" w14:textId="736EFE0E" w:rsidR="000014E4" w:rsidRPr="000014E4" w:rsidRDefault="000014E4" w:rsidP="000014E4">
            <w:pPr>
              <w:rPr>
                <w:sz w:val="24"/>
                <w:szCs w:val="24"/>
              </w:rPr>
            </w:pPr>
            <w:r w:rsidRPr="000014E4">
              <w:rPr>
                <w:sz w:val="24"/>
                <w:szCs w:val="24"/>
              </w:rPr>
              <w:t>If the relevant documentation is available electronically</w:t>
            </w:r>
            <w:r w:rsidR="0011559B">
              <w:rPr>
                <w:sz w:val="24"/>
                <w:szCs w:val="24"/>
              </w:rPr>
              <w:t>,</w:t>
            </w:r>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been taken to demonstrate the reliability of the organisation despite </w:t>
            </w:r>
            <w:r w:rsidRPr="000014E4">
              <w:rPr>
                <w:sz w:val="24"/>
                <w:szCs w:val="24"/>
              </w:rPr>
              <w:lastRenderedPageBreak/>
              <w:t>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64ECF113"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w:t>
            </w:r>
            <w:r w:rsidRPr="000014E4">
              <w:rPr>
                <w:sz w:val="24"/>
                <w:szCs w:val="24"/>
              </w:rPr>
              <w:lastRenderedPageBreak/>
              <w:t xml:space="preserve">contract, </w:t>
            </w:r>
            <w:r w:rsidR="00AA0875" w:rsidRPr="000014E4">
              <w:rPr>
                <w:sz w:val="24"/>
                <w:szCs w:val="24"/>
              </w:rPr>
              <w:t>damages,</w:t>
            </w:r>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5C6EF066"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r w:rsidR="00AA0875" w:rsidRPr="000014E4">
              <w:rPr>
                <w:sz w:val="24"/>
                <w:szCs w:val="24"/>
              </w:rPr>
              <w:t>Self-Cleaning</w:t>
            </w:r>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631D3BE3" w14:textId="60E03AAA" w:rsidR="004B7073" w:rsidRDefault="004B7073" w:rsidP="000014E4">
      <w:pPr>
        <w:keepNext/>
        <w:spacing w:after="240" w:line="276" w:lineRule="auto"/>
        <w:outlineLvl w:val="0"/>
        <w:rPr>
          <w:rFonts w:ascii="Arial" w:hAnsi="Arial"/>
          <w:b/>
          <w:color w:val="000000"/>
          <w:sz w:val="36"/>
          <w:szCs w:val="32"/>
          <w:lang w:eastAsia="en-GB"/>
        </w:rPr>
      </w:pPr>
    </w:p>
    <w:p w14:paraId="15376B12" w14:textId="0A1346D1" w:rsidR="004B7073" w:rsidRDefault="004B7073" w:rsidP="000014E4">
      <w:pPr>
        <w:keepNext/>
        <w:spacing w:after="240" w:line="276" w:lineRule="auto"/>
        <w:outlineLvl w:val="0"/>
        <w:rPr>
          <w:rFonts w:ascii="Arial" w:hAnsi="Arial"/>
          <w:b/>
          <w:color w:val="000000"/>
          <w:sz w:val="36"/>
          <w:szCs w:val="32"/>
          <w:lang w:eastAsia="en-GB"/>
        </w:rPr>
      </w:pPr>
    </w:p>
    <w:p w14:paraId="20907906" w14:textId="617F9E63" w:rsidR="004B7073" w:rsidRDefault="004B7073" w:rsidP="000014E4">
      <w:pPr>
        <w:keepNext/>
        <w:spacing w:after="240" w:line="276" w:lineRule="auto"/>
        <w:outlineLvl w:val="0"/>
        <w:rPr>
          <w:rFonts w:ascii="Arial" w:hAnsi="Arial"/>
          <w:b/>
          <w:color w:val="000000"/>
          <w:sz w:val="36"/>
          <w:szCs w:val="32"/>
          <w:lang w:eastAsia="en-GB"/>
        </w:rPr>
      </w:pPr>
    </w:p>
    <w:p w14:paraId="3D8FB2C8" w14:textId="77777777" w:rsidR="004B7073" w:rsidRDefault="004B7073" w:rsidP="000014E4">
      <w:pPr>
        <w:keepNext/>
        <w:spacing w:after="240" w:line="276" w:lineRule="auto"/>
        <w:outlineLvl w:val="0"/>
        <w:rPr>
          <w:rFonts w:ascii="Arial" w:hAnsi="Arial"/>
          <w:b/>
          <w:color w:val="000000"/>
          <w:sz w:val="36"/>
          <w:szCs w:val="32"/>
          <w:lang w:eastAsia="en-GB"/>
        </w:rPr>
      </w:pPr>
    </w:p>
    <w:p w14:paraId="608C01D8" w14:textId="77777777" w:rsidR="004B7073" w:rsidRDefault="004B7073" w:rsidP="000014E4">
      <w:pPr>
        <w:keepNext/>
        <w:spacing w:after="240" w:line="276" w:lineRule="auto"/>
        <w:outlineLvl w:val="0"/>
        <w:rPr>
          <w:rFonts w:ascii="Arial" w:hAnsi="Arial"/>
          <w:b/>
          <w:color w:val="000000"/>
          <w:sz w:val="36"/>
          <w:szCs w:val="32"/>
          <w:lang w:eastAsia="en-GB"/>
        </w:rPr>
      </w:pPr>
    </w:p>
    <w:p w14:paraId="1D6B27C0" w14:textId="77777777" w:rsidR="004B7073" w:rsidRDefault="004B7073" w:rsidP="000014E4">
      <w:pPr>
        <w:keepNext/>
        <w:spacing w:after="240" w:line="276" w:lineRule="auto"/>
        <w:outlineLvl w:val="0"/>
        <w:rPr>
          <w:rFonts w:ascii="Arial" w:hAnsi="Arial"/>
          <w:b/>
          <w:color w:val="000000"/>
          <w:sz w:val="36"/>
          <w:szCs w:val="32"/>
          <w:lang w:eastAsia="en-GB"/>
        </w:rPr>
      </w:pPr>
    </w:p>
    <w:p w14:paraId="6F65129A" w14:textId="77777777" w:rsidR="004B7073" w:rsidRDefault="004B7073" w:rsidP="000014E4">
      <w:pPr>
        <w:keepNext/>
        <w:spacing w:after="240" w:line="276" w:lineRule="auto"/>
        <w:outlineLvl w:val="0"/>
        <w:rPr>
          <w:rFonts w:ascii="Arial" w:hAnsi="Arial"/>
          <w:b/>
          <w:color w:val="000000"/>
          <w:sz w:val="36"/>
          <w:szCs w:val="32"/>
          <w:lang w:eastAsia="en-GB"/>
        </w:rPr>
      </w:pPr>
    </w:p>
    <w:p w14:paraId="5235C74C" w14:textId="77777777" w:rsidR="004B7073" w:rsidRDefault="004B7073" w:rsidP="000014E4">
      <w:pPr>
        <w:keepNext/>
        <w:spacing w:after="240" w:line="276" w:lineRule="auto"/>
        <w:outlineLvl w:val="0"/>
        <w:rPr>
          <w:rFonts w:ascii="Arial" w:hAnsi="Arial"/>
          <w:b/>
          <w:color w:val="000000"/>
          <w:sz w:val="36"/>
          <w:szCs w:val="32"/>
          <w:lang w:eastAsia="en-GB"/>
        </w:rPr>
      </w:pPr>
    </w:p>
    <w:p w14:paraId="44695D99" w14:textId="77777777" w:rsidR="004B7073" w:rsidRDefault="004B7073" w:rsidP="000014E4">
      <w:pPr>
        <w:keepNext/>
        <w:spacing w:after="240" w:line="276" w:lineRule="auto"/>
        <w:outlineLvl w:val="0"/>
        <w:rPr>
          <w:rFonts w:ascii="Arial" w:hAnsi="Arial"/>
          <w:b/>
          <w:color w:val="000000"/>
          <w:sz w:val="36"/>
          <w:szCs w:val="32"/>
          <w:lang w:eastAsia="en-GB"/>
        </w:rPr>
      </w:pPr>
    </w:p>
    <w:p w14:paraId="28A4E0F2" w14:textId="77777777" w:rsidR="004B7073" w:rsidRDefault="004B7073" w:rsidP="000014E4">
      <w:pPr>
        <w:keepNext/>
        <w:spacing w:after="240" w:line="276" w:lineRule="auto"/>
        <w:outlineLvl w:val="0"/>
        <w:rPr>
          <w:rFonts w:ascii="Arial" w:hAnsi="Arial"/>
          <w:b/>
          <w:color w:val="000000"/>
          <w:sz w:val="36"/>
          <w:szCs w:val="32"/>
          <w:lang w:eastAsia="en-GB"/>
        </w:rPr>
      </w:pPr>
    </w:p>
    <w:p w14:paraId="05299492" w14:textId="77777777" w:rsidR="004B7073" w:rsidRDefault="004B7073" w:rsidP="000014E4">
      <w:pPr>
        <w:keepNext/>
        <w:spacing w:after="240" w:line="276" w:lineRule="auto"/>
        <w:outlineLvl w:val="0"/>
        <w:rPr>
          <w:rFonts w:ascii="Arial" w:hAnsi="Arial"/>
          <w:b/>
          <w:color w:val="000000"/>
          <w:sz w:val="36"/>
          <w:szCs w:val="32"/>
          <w:lang w:eastAsia="en-GB"/>
        </w:rPr>
      </w:pPr>
    </w:p>
    <w:p w14:paraId="44A89097" w14:textId="77777777" w:rsidR="004B7073" w:rsidRDefault="004B7073" w:rsidP="000014E4">
      <w:pPr>
        <w:keepNext/>
        <w:spacing w:after="240" w:line="276" w:lineRule="auto"/>
        <w:outlineLvl w:val="0"/>
        <w:rPr>
          <w:rFonts w:ascii="Arial" w:hAnsi="Arial"/>
          <w:b/>
          <w:color w:val="000000"/>
          <w:sz w:val="36"/>
          <w:szCs w:val="32"/>
          <w:lang w:eastAsia="en-GB"/>
        </w:rPr>
      </w:pPr>
    </w:p>
    <w:p w14:paraId="068D97CE" w14:textId="77777777" w:rsidR="004B7073" w:rsidRDefault="004B7073" w:rsidP="000014E4">
      <w:pPr>
        <w:keepNext/>
        <w:spacing w:after="240" w:line="276" w:lineRule="auto"/>
        <w:outlineLvl w:val="0"/>
        <w:rPr>
          <w:rFonts w:ascii="Arial" w:hAnsi="Arial"/>
          <w:b/>
          <w:color w:val="000000"/>
          <w:sz w:val="36"/>
          <w:szCs w:val="32"/>
          <w:lang w:eastAsia="en-GB"/>
        </w:rPr>
      </w:pPr>
    </w:p>
    <w:p w14:paraId="2311FBF2" w14:textId="7C84840E" w:rsidR="004B7073" w:rsidRDefault="004B7073" w:rsidP="000014E4">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br w:type="page"/>
      </w:r>
    </w:p>
    <w:p w14:paraId="6955F7D1" w14:textId="0EC47D92"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2B1BA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13686"/>
      <w:docPartObj>
        <w:docPartGallery w:val="Page Numbers (Bottom of Page)"/>
        <w:docPartUnique/>
      </w:docPartObj>
    </w:sdtPr>
    <w:sdtEndPr>
      <w:rPr>
        <w:noProof/>
      </w:rPr>
    </w:sdtEndPr>
    <w:sdtContent>
      <w:p w14:paraId="55425A90" w14:textId="4382DFAA" w:rsidR="00A43D32" w:rsidRDefault="00A43D32">
        <w:pPr>
          <w:pStyle w:val="Footer"/>
        </w:pPr>
        <w:r>
          <w:t xml:space="preserve">Page </w:t>
        </w:r>
        <w:r w:rsidRPr="00A43D32">
          <w:rPr>
            <w:b/>
            <w:bCs/>
          </w:rPr>
          <w:fldChar w:fldCharType="begin"/>
        </w:r>
        <w:r w:rsidRPr="00A43D32">
          <w:rPr>
            <w:b/>
            <w:bCs/>
          </w:rPr>
          <w:instrText xml:space="preserve"> PAGE   \* MERGEFORMAT </w:instrText>
        </w:r>
        <w:r w:rsidRPr="00A43D32">
          <w:rPr>
            <w:b/>
            <w:bCs/>
          </w:rPr>
          <w:fldChar w:fldCharType="separate"/>
        </w:r>
        <w:r w:rsidRPr="00A43D32">
          <w:rPr>
            <w:b/>
            <w:bCs/>
            <w:noProof/>
          </w:rPr>
          <w:t>2</w:t>
        </w:r>
        <w:r w:rsidRPr="00A43D32">
          <w:rPr>
            <w:b/>
            <w:bCs/>
            <w:noProof/>
          </w:rPr>
          <w:fldChar w:fldCharType="end"/>
        </w:r>
        <w:r>
          <w:rPr>
            <w:noProof/>
          </w:rPr>
          <w:t xml:space="preserve"> of</w:t>
        </w:r>
        <w:r w:rsidRPr="00A43D32">
          <w:rPr>
            <w:b/>
            <w:bCs/>
            <w:noProof/>
          </w:rPr>
          <w:t xml:space="preserve"> 27</w:t>
        </w:r>
      </w:p>
    </w:sdtContent>
  </w:sdt>
  <w:p w14:paraId="1EF26CBD" w14:textId="77777777" w:rsidR="00A43D32" w:rsidRDefault="00A43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6"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19"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5"/>
  </w:num>
  <w:num w:numId="3" w16cid:durableId="1716193358">
    <w:abstractNumId w:val="3"/>
  </w:num>
  <w:num w:numId="4" w16cid:durableId="2042897295">
    <w:abstractNumId w:val="10"/>
  </w:num>
  <w:num w:numId="5" w16cid:durableId="1982539129">
    <w:abstractNumId w:val="8"/>
  </w:num>
  <w:num w:numId="6" w16cid:durableId="1543521664">
    <w:abstractNumId w:val="2"/>
  </w:num>
  <w:num w:numId="7" w16cid:durableId="1427383979">
    <w:abstractNumId w:val="6"/>
  </w:num>
  <w:num w:numId="8" w16cid:durableId="558441808">
    <w:abstractNumId w:val="14"/>
  </w:num>
  <w:num w:numId="9" w16cid:durableId="1550340147">
    <w:abstractNumId w:val="7"/>
  </w:num>
  <w:num w:numId="10" w16cid:durableId="1822502814">
    <w:abstractNumId w:val="12"/>
  </w:num>
  <w:num w:numId="11" w16cid:durableId="1947469287">
    <w:abstractNumId w:val="13"/>
  </w:num>
  <w:num w:numId="12" w16cid:durableId="322779301">
    <w:abstractNumId w:val="19"/>
  </w:num>
  <w:num w:numId="13" w16cid:durableId="1161430026">
    <w:abstractNumId w:val="18"/>
  </w:num>
  <w:num w:numId="14" w16cid:durableId="550074876">
    <w:abstractNumId w:val="17"/>
  </w:num>
  <w:num w:numId="15" w16cid:durableId="2006977102">
    <w:abstractNumId w:val="0"/>
  </w:num>
  <w:num w:numId="16" w16cid:durableId="1482042566">
    <w:abstractNumId w:val="9"/>
  </w:num>
  <w:num w:numId="17" w16cid:durableId="946735354">
    <w:abstractNumId w:val="4"/>
  </w:num>
  <w:num w:numId="18" w16cid:durableId="300235405">
    <w:abstractNumId w:val="16"/>
  </w:num>
  <w:num w:numId="19" w16cid:durableId="1987512398">
    <w:abstractNumId w:val="5"/>
  </w:num>
  <w:num w:numId="20" w16cid:durableId="154424485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19AB"/>
    <w:rsid w:val="00035C24"/>
    <w:rsid w:val="00036992"/>
    <w:rsid w:val="000400FC"/>
    <w:rsid w:val="000406AA"/>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559B"/>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0E62"/>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083"/>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2EFD"/>
    <w:rsid w:val="00674E0C"/>
    <w:rsid w:val="0067555E"/>
    <w:rsid w:val="00676AD9"/>
    <w:rsid w:val="00676B16"/>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0875"/>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3F98"/>
    <w:rsid w:val="00B34887"/>
    <w:rsid w:val="00B34BBB"/>
    <w:rsid w:val="00B35365"/>
    <w:rsid w:val="00B36848"/>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CF78D9"/>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defra-my.sharepoint.com/:x:/g/personal/jessica_richardson_naturalengland_org_uk/EdHj8VbTsdZAtmScmIcyjkABJ3wlvbbweerrcmxLC4Hz5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5" Type="http://schemas.openxmlformats.org/officeDocument/2006/relationships/customXml" Target="../customXml/item5.xml"/><Relationship Id="rId15" Type="http://schemas.openxmlformats.org/officeDocument/2006/relationships/hyperlink" Target="mailto:helen.wake@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wilkinson@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6843</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45763</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2023-09-29T11:05:00Z</dcterms:created>
  <dcterms:modified xsi:type="dcterms:W3CDTF">2023-10-05T13:09:00Z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