
<file path=[Content_Types].xml><?xml version="1.0" encoding="utf-8"?>
<Types xmlns="http://schemas.openxmlformats.org/package/2006/content-types">
  <Default ContentType="image/jpeg" Extension="jpg"/>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876300" cy="723900"/>
            <wp:effectExtent b="0" l="0" r="0" t="0"/>
            <wp:wrapSquare wrapText="bothSides" distB="0" distT="0" distL="114300" distR="114300"/>
            <wp:docPr descr="CCS_2935_SML_AW" id="9" name="image3.png"/>
            <a:graphic>
              <a:graphicData uri="http://schemas.openxmlformats.org/drawingml/2006/picture">
                <pic:pic>
                  <pic:nvPicPr>
                    <pic:cNvPr descr="CCS_2935_SML_AW" id="0" name="image3.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5, sub-Lot </w:t>
      </w:r>
      <w:r w:rsidDel="00000000" w:rsidR="00000000" w:rsidRPr="00000000">
        <w:rPr>
          <w:rFonts w:ascii="Arial" w:cs="Arial" w:eastAsia="Arial" w:hAnsi="Arial"/>
          <w:b w:val="1"/>
          <w:sz w:val="28"/>
          <w:szCs w:val="28"/>
          <w:highlight w:val="white"/>
          <w:rtl w:val="0"/>
        </w:rPr>
        <w:t xml:space="preserve">5.2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Defence - 2D Turnkey Solutions</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5, sub-Lot </w:t>
      </w:r>
      <w:r w:rsidDel="00000000" w:rsidR="00000000" w:rsidRPr="00000000">
        <w:rPr>
          <w:rFonts w:ascii="Arial" w:cs="Arial" w:eastAsia="Arial" w:hAnsi="Arial"/>
          <w:highlight w:val="white"/>
          <w:rtl w:val="0"/>
        </w:rPr>
        <w:t xml:space="preserve">5.2</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5, sub-Lot </w:t>
      </w:r>
      <w:r w:rsidDel="00000000" w:rsidR="00000000" w:rsidRPr="00000000">
        <w:rPr>
          <w:rFonts w:ascii="Arial" w:cs="Arial" w:eastAsia="Arial" w:hAnsi="Arial"/>
          <w:highlight w:val="white"/>
          <w:rtl w:val="0"/>
        </w:rPr>
        <w:t xml:space="preserve">5.2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5.2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9">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A">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D">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55% PMV</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5">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6">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7">
      <w:pPr>
        <w:spacing w:after="120" w:lineRule="auto"/>
        <w:ind w:right="-62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8">
      <w:pPr>
        <w:spacing w:after="120" w:lineRule="auto"/>
        <w:ind w:right="-6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5, sub-Lot 5.2</w:t>
      </w:r>
    </w:p>
    <w:p w:rsidR="00000000" w:rsidDel="00000000" w:rsidP="00000000" w:rsidRDefault="00000000" w:rsidRPr="00000000" w14:paraId="00000029">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defence project, or a design and construction project of comparable complexity, utilising MMC Category 2. Comparable complexity is defined by way of a project that meets all the following criteria: </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C">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55%</w:t>
      </w:r>
    </w:p>
    <w:p w:rsidR="00000000" w:rsidDel="00000000" w:rsidP="00000000" w:rsidRDefault="00000000" w:rsidRPr="00000000" w14:paraId="0000002D">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Security clearances and handling of sensitive information</w:t>
      </w:r>
    </w:p>
    <w:p w:rsidR="00000000" w:rsidDel="00000000" w:rsidP="00000000" w:rsidRDefault="00000000" w:rsidRPr="00000000" w14:paraId="0000002E">
      <w:pPr>
        <w:spacing w:after="120" w:lineRule="auto"/>
        <w:ind w:right="-62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F">
      <w:pPr>
        <w:spacing w:after="120" w:lineRule="auto"/>
        <w:ind w:right="-6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0">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1">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2">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55% PMV qualifying criteria</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6">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8">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9">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5, sub-Lot </w:t>
      </w:r>
      <w:r w:rsidDel="00000000" w:rsidR="00000000" w:rsidRPr="00000000">
        <w:rPr>
          <w:rFonts w:ascii="Arial" w:cs="Arial" w:eastAsia="Arial" w:hAnsi="Arial"/>
          <w:b w:val="1"/>
          <w:sz w:val="24"/>
          <w:szCs w:val="24"/>
          <w:highlight w:val="white"/>
          <w:rtl w:val="0"/>
        </w:rPr>
        <w:t xml:space="preserve">5.2</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C">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5, sub-Lot </w:t>
            </w:r>
            <w:r w:rsidDel="00000000" w:rsidR="00000000" w:rsidRPr="00000000">
              <w:rPr>
                <w:rFonts w:ascii="Arial" w:cs="Arial" w:eastAsia="Arial" w:hAnsi="Arial"/>
                <w:b w:val="1"/>
                <w:highlight w:val="white"/>
                <w:rtl w:val="0"/>
              </w:rPr>
              <w:t xml:space="preserve">5.2 Defence - 2D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0">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2">
            <w:pPr>
              <w:widowControl w:val="0"/>
              <w:rPr>
                <w:rFonts w:ascii="Arial" w:cs="Arial" w:eastAsia="Arial" w:hAnsi="Arial"/>
              </w:rPr>
            </w:pPr>
            <w:bookmarkStart w:colFirst="0" w:colLast="0" w:name="_heading=h.gjdgxs" w:id="0"/>
            <w:bookmarkEnd w:id="0"/>
            <w:r w:rsidDel="00000000" w:rsidR="00000000" w:rsidRPr="00000000">
              <w:rPr>
                <w:rFonts w:ascii="Arial" w:cs="Arial" w:eastAsia="Arial" w:hAnsi="Arial"/>
              </w:rPr>
              <w:drawing>
                <wp:inline distB="0" distT="0" distL="0" distR="0">
                  <wp:extent cx="5762625" cy="6343650"/>
                  <wp:effectExtent b="0" l="0" r="0" t="0"/>
                  <wp:docPr id="1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62625" cy="6343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7">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8">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9">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7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7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7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7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7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7B">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7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4.4pt;height:93.6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7E">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F">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8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8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8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85">
      <w:pPr>
        <w:rPr>
          <w:rFonts w:ascii="Arial" w:cs="Arial" w:eastAsia="Arial" w:hAnsi="Arial"/>
        </w:rPr>
      </w:pPr>
      <w:r w:rsidDel="00000000" w:rsidR="00000000" w:rsidRPr="00000000">
        <w:rPr>
          <w:rtl w:val="0"/>
        </w:rPr>
      </w:r>
    </w:p>
    <w:sectPr>
      <w:footerReference r:id="rId10"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sub-Lot </w:t>
    </w:r>
    <w:r w:rsidDel="00000000" w:rsidR="00000000" w:rsidRPr="00000000">
      <w:rPr>
        <w:rFonts w:ascii="Arial" w:cs="Arial" w:eastAsia="Arial" w:hAnsi="Arial"/>
        <w:sz w:val="16"/>
        <w:szCs w:val="16"/>
        <w:highlight w:val="white"/>
        <w:rtl w:val="0"/>
      </w:rPr>
      <w:t xml:space="preserve">5.2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8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pxMN7RRwwL6ifRYgbd6aRDFFTw==">AMUW2mWgnbcj6Kv6OeFKm7RAvFmAr4MlBeEHLdoNJseWhMiJTo1P8aJHOgCv5jhtVRLXu35fN67zs1vc0BPkSIleEthph8TNV6jLgzZQMMn0EsTeA2wtb5ZoRcaAmpIvXusKGhZFJuv5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