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641" w:rsidRDefault="00495641">
      <w:pPr>
        <w:rPr>
          <w:b/>
        </w:rPr>
      </w:pPr>
      <w:r>
        <w:rPr>
          <w:b/>
        </w:rPr>
        <w:tab/>
      </w:r>
      <w:r>
        <w:rPr>
          <w:b/>
        </w:rPr>
        <w:tab/>
      </w:r>
      <w:r>
        <w:rPr>
          <w:b/>
        </w:rPr>
        <w:tab/>
      </w:r>
      <w:r>
        <w:rPr>
          <w:b/>
        </w:rPr>
        <w:tab/>
      </w:r>
      <w:r>
        <w:rPr>
          <w:b/>
        </w:rPr>
        <w:tab/>
      </w:r>
      <w:r>
        <w:rPr>
          <w:noProof/>
          <w:lang w:eastAsia="en-GB"/>
        </w:rPr>
        <w:drawing>
          <wp:inline distT="0" distB="0" distL="0" distR="0" wp14:anchorId="1826AE71" wp14:editId="1EFEEDE2">
            <wp:extent cx="1147730" cy="6743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8567" cy="674888"/>
                    </a:xfrm>
                    <a:prstGeom prst="rect">
                      <a:avLst/>
                    </a:prstGeom>
                    <a:noFill/>
                    <a:ln>
                      <a:noFill/>
                    </a:ln>
                  </pic:spPr>
                </pic:pic>
              </a:graphicData>
            </a:graphic>
          </wp:inline>
        </w:drawing>
      </w:r>
    </w:p>
    <w:p w:rsidR="00495641" w:rsidRPr="00366685" w:rsidRDefault="00E84390">
      <w:pPr>
        <w:rPr>
          <w:rFonts w:cs="Arial"/>
          <w:b/>
          <w:u w:val="single"/>
        </w:rPr>
      </w:pPr>
      <w:r>
        <w:rPr>
          <w:b/>
        </w:rPr>
        <w:tab/>
      </w:r>
      <w:r>
        <w:rPr>
          <w:b/>
        </w:rPr>
        <w:tab/>
      </w:r>
      <w:r w:rsidR="005F3ECA">
        <w:rPr>
          <w:b/>
        </w:rPr>
        <w:tab/>
      </w:r>
      <w:r w:rsidR="00495641" w:rsidRPr="00366685">
        <w:rPr>
          <w:rFonts w:cs="Arial"/>
          <w:b/>
          <w:u w:val="single"/>
        </w:rPr>
        <w:t xml:space="preserve">Tender for </w:t>
      </w:r>
      <w:r w:rsidR="0004557C">
        <w:rPr>
          <w:rFonts w:cs="Arial"/>
          <w:b/>
          <w:u w:val="single"/>
        </w:rPr>
        <w:t xml:space="preserve">Social Housing </w:t>
      </w:r>
      <w:r w:rsidR="005F3ECA">
        <w:rPr>
          <w:rFonts w:cs="Arial"/>
          <w:b/>
          <w:u w:val="single"/>
        </w:rPr>
        <w:t xml:space="preserve">Routine Legal Services </w:t>
      </w:r>
      <w:bookmarkStart w:id="0" w:name="_GoBack"/>
      <w:bookmarkEnd w:id="0"/>
    </w:p>
    <w:p w:rsidR="00366685" w:rsidRPr="00366685" w:rsidRDefault="00495641" w:rsidP="00366685">
      <w:pPr>
        <w:spacing w:after="0"/>
        <w:rPr>
          <w:rFonts w:cs="Arial"/>
          <w:b/>
          <w:u w:val="single"/>
        </w:rPr>
      </w:pPr>
      <w:r w:rsidRPr="00366685">
        <w:rPr>
          <w:rFonts w:cs="Arial"/>
          <w:b/>
          <w:u w:val="single"/>
        </w:rPr>
        <w:t>Corp</w:t>
      </w:r>
      <w:r w:rsidR="00366685" w:rsidRPr="00366685">
        <w:rPr>
          <w:rFonts w:cs="Arial"/>
          <w:b/>
          <w:u w:val="single"/>
        </w:rPr>
        <w:t>o</w:t>
      </w:r>
      <w:r w:rsidRPr="00366685">
        <w:rPr>
          <w:rFonts w:cs="Arial"/>
          <w:b/>
          <w:u w:val="single"/>
        </w:rPr>
        <w:t>rate Information</w:t>
      </w:r>
    </w:p>
    <w:p w:rsidR="00495641" w:rsidRPr="00366685" w:rsidRDefault="00495641" w:rsidP="00366685">
      <w:pPr>
        <w:spacing w:after="0"/>
        <w:rPr>
          <w:rFonts w:eastAsia="Times New Roman" w:cs="Arial"/>
          <w:b/>
          <w:bCs/>
          <w:i/>
          <w:lang w:eastAsia="en-GB"/>
        </w:rPr>
      </w:pPr>
      <w:r w:rsidRPr="00366685">
        <w:rPr>
          <w:rFonts w:eastAsia="Times New Roman" w:cs="Arial"/>
          <w:iCs/>
          <w:lang w:eastAsia="en-GB"/>
        </w:rPr>
        <w:t>East Midlands Housing Group (t/as emh group) is one of the largest providers of affordable homes and related services in the East Midlands, and has an excellent reputation for working with partners and stakeholders to meet the housing needs of the diverse communities it serves. Its head office is in Coalville, Leicestershire</w:t>
      </w:r>
      <w:r w:rsidRPr="00366685">
        <w:rPr>
          <w:rFonts w:eastAsia="Times New Roman" w:cs="Arial"/>
          <w:iCs/>
          <w:color w:val="1F497D"/>
          <w:lang w:eastAsia="en-GB"/>
        </w:rPr>
        <w:t>.</w:t>
      </w:r>
    </w:p>
    <w:p w:rsidR="00495641" w:rsidRPr="00366685" w:rsidRDefault="00495641" w:rsidP="00A33A10">
      <w:pPr>
        <w:spacing w:before="100" w:beforeAutospacing="1"/>
        <w:rPr>
          <w:rFonts w:cs="Arial"/>
          <w:lang w:eastAsia="en-GB"/>
        </w:rPr>
      </w:pPr>
      <w:r w:rsidRPr="00366685">
        <w:rPr>
          <w:rFonts w:cs="Arial"/>
          <w:lang w:eastAsia="en-GB"/>
        </w:rPr>
        <w:t>The group comprises</w:t>
      </w:r>
      <w:r w:rsidRPr="00366685">
        <w:rPr>
          <w:rFonts w:cs="Arial"/>
          <w:color w:val="1F497D"/>
          <w:lang w:eastAsia="en-GB"/>
        </w:rPr>
        <w:t>:</w:t>
      </w:r>
    </w:p>
    <w:p w:rsidR="005D059E" w:rsidRDefault="005D059E" w:rsidP="005D059E">
      <w:pPr>
        <w:spacing w:after="0"/>
        <w:rPr>
          <w:rFonts w:cs="Arial"/>
          <w:lang w:eastAsia="en-GB"/>
        </w:rPr>
      </w:pPr>
      <w:r>
        <w:rPr>
          <w:rFonts w:cs="Arial"/>
          <w:b/>
          <w:bCs/>
          <w:u w:val="single"/>
          <w:lang w:eastAsia="en-GB"/>
        </w:rPr>
        <w:t>emh homes</w:t>
      </w:r>
      <w:r w:rsidRPr="00366685">
        <w:rPr>
          <w:rFonts w:cs="Arial"/>
          <w:lang w:eastAsia="en-GB"/>
        </w:rPr>
        <w:t xml:space="preserve"> </w:t>
      </w:r>
    </w:p>
    <w:p w:rsidR="005D059E" w:rsidRDefault="005D059E" w:rsidP="005D059E">
      <w:pPr>
        <w:spacing w:after="0"/>
        <w:rPr>
          <w:rFonts w:cs="Arial"/>
          <w:lang w:eastAsia="en-GB"/>
        </w:rPr>
      </w:pPr>
      <w:r>
        <w:rPr>
          <w:rFonts w:cs="Arial"/>
          <w:lang w:eastAsia="en-GB"/>
        </w:rPr>
        <w:t xml:space="preserve">The Housing and Regeneration arm, managing circa 16500 properties throughout the East Midlands </w:t>
      </w:r>
      <w:r w:rsidRPr="00366685">
        <w:rPr>
          <w:rFonts w:cs="Arial"/>
          <w:lang w:eastAsia="en-GB"/>
        </w:rPr>
        <w:t>.</w:t>
      </w:r>
    </w:p>
    <w:p w:rsidR="005D059E" w:rsidRDefault="000E6100" w:rsidP="005D059E">
      <w:pPr>
        <w:spacing w:after="0"/>
        <w:rPr>
          <w:rFonts w:cs="Arial"/>
          <w:lang w:eastAsia="en-GB"/>
        </w:rPr>
      </w:pPr>
      <w:r>
        <w:rPr>
          <w:rFonts w:cs="Arial"/>
          <w:lang w:eastAsia="en-GB"/>
        </w:rPr>
        <w:t>e</w:t>
      </w:r>
      <w:r w:rsidR="005D059E">
        <w:rPr>
          <w:rFonts w:cs="Arial"/>
          <w:lang w:eastAsia="en-GB"/>
        </w:rPr>
        <w:t>mh homes was formed in September 2013 from the amalgamation of the four operating businesses within the group: East Midlands Housing Association, Three Valleys Housing, Three Oaks Homes</w:t>
      </w:r>
      <w:r w:rsidR="0023759B">
        <w:rPr>
          <w:rFonts w:cs="Arial"/>
          <w:lang w:eastAsia="en-GB"/>
        </w:rPr>
        <w:t xml:space="preserve"> </w:t>
      </w:r>
      <w:r w:rsidR="00152CA6">
        <w:rPr>
          <w:rFonts w:cs="Arial"/>
          <w:lang w:eastAsia="en-GB"/>
        </w:rPr>
        <w:t>and</w:t>
      </w:r>
      <w:r w:rsidR="005D059E">
        <w:rPr>
          <w:rFonts w:cs="Arial"/>
          <w:lang w:eastAsia="en-GB"/>
        </w:rPr>
        <w:t xml:space="preserve"> Foundation Housing Association.</w:t>
      </w:r>
    </w:p>
    <w:p w:rsidR="00AD4AB3" w:rsidRDefault="00AD4AB3" w:rsidP="005D059E">
      <w:pPr>
        <w:spacing w:after="0"/>
        <w:rPr>
          <w:rFonts w:cs="Arial"/>
          <w:b/>
          <w:bCs/>
          <w:u w:val="single"/>
          <w:lang w:eastAsia="en-GB"/>
        </w:rPr>
      </w:pPr>
    </w:p>
    <w:p w:rsidR="005D059E" w:rsidRDefault="008A193D" w:rsidP="005D059E">
      <w:pPr>
        <w:spacing w:after="0"/>
        <w:rPr>
          <w:rFonts w:cs="Arial"/>
          <w:lang w:eastAsia="en-GB"/>
        </w:rPr>
      </w:pPr>
      <w:proofErr w:type="spellStart"/>
      <w:r>
        <w:rPr>
          <w:rFonts w:cs="Arial"/>
          <w:b/>
          <w:bCs/>
          <w:u w:val="single"/>
          <w:lang w:eastAsia="en-GB"/>
        </w:rPr>
        <w:t>emh</w:t>
      </w:r>
      <w:proofErr w:type="spellEnd"/>
      <w:r>
        <w:rPr>
          <w:rFonts w:cs="Arial"/>
          <w:b/>
          <w:bCs/>
          <w:u w:val="single"/>
          <w:lang w:eastAsia="en-GB"/>
        </w:rPr>
        <w:t xml:space="preserve"> Care &amp; Support</w:t>
      </w:r>
      <w:r w:rsidR="005D059E" w:rsidRPr="00366685">
        <w:rPr>
          <w:rFonts w:cs="Arial"/>
          <w:lang w:eastAsia="en-GB"/>
        </w:rPr>
        <w:t xml:space="preserve"> </w:t>
      </w:r>
    </w:p>
    <w:p w:rsidR="005D059E" w:rsidRDefault="008A193D" w:rsidP="00921107">
      <w:pPr>
        <w:spacing w:after="100" w:afterAutospacing="1"/>
        <w:rPr>
          <w:rFonts w:cs="Arial"/>
          <w:b/>
          <w:u w:val="single"/>
          <w:lang w:eastAsia="en-GB"/>
        </w:rPr>
      </w:pPr>
      <w:r>
        <w:rPr>
          <w:rFonts w:cs="Arial"/>
          <w:lang w:eastAsia="en-GB"/>
        </w:rPr>
        <w:t>P</w:t>
      </w:r>
      <w:r w:rsidR="005D059E">
        <w:rPr>
          <w:rFonts w:cs="Arial"/>
          <w:lang w:eastAsia="en-GB"/>
        </w:rPr>
        <w:t>rimarily formed from Enable Housing Association</w:t>
      </w:r>
      <w:r w:rsidR="000E6100">
        <w:rPr>
          <w:rFonts w:cs="Arial"/>
          <w:lang w:eastAsia="en-GB"/>
        </w:rPr>
        <w:t xml:space="preserve"> and Enable Care and Home Support, who joined the group in April 2013.</w:t>
      </w:r>
      <w:r w:rsidR="005D059E" w:rsidRPr="005D059E">
        <w:rPr>
          <w:rFonts w:cs="Arial"/>
          <w:b/>
          <w:u w:val="single"/>
          <w:lang w:eastAsia="en-GB"/>
        </w:rPr>
        <w:t xml:space="preserve"> </w:t>
      </w:r>
      <w:r w:rsidRPr="008A193D">
        <w:rPr>
          <w:rFonts w:cs="Arial"/>
          <w:lang w:eastAsia="en-GB"/>
        </w:rPr>
        <w:t xml:space="preserve">Provides support for Learning Difficulties, </w:t>
      </w:r>
      <w:proofErr w:type="spellStart"/>
      <w:r w:rsidRPr="008A193D">
        <w:rPr>
          <w:rFonts w:cs="Arial"/>
          <w:lang w:eastAsia="en-GB"/>
        </w:rPr>
        <w:t>Extracare</w:t>
      </w:r>
      <w:proofErr w:type="spellEnd"/>
      <w:r w:rsidRPr="008A193D">
        <w:rPr>
          <w:rFonts w:cs="Arial"/>
          <w:lang w:eastAsia="en-GB"/>
        </w:rPr>
        <w:t xml:space="preserve"> Units and general supported housing</w:t>
      </w:r>
      <w:r w:rsidR="005F3ECA">
        <w:rPr>
          <w:rFonts w:cs="Arial"/>
          <w:lang w:eastAsia="en-GB"/>
        </w:rPr>
        <w:t>.</w:t>
      </w:r>
    </w:p>
    <w:p w:rsidR="00495641" w:rsidRPr="00366685" w:rsidRDefault="00495641" w:rsidP="00495641">
      <w:pPr>
        <w:rPr>
          <w:rFonts w:cs="Arial"/>
        </w:rPr>
      </w:pPr>
      <w:r w:rsidRPr="00366685">
        <w:rPr>
          <w:rFonts w:cs="Arial"/>
        </w:rPr>
        <w:t xml:space="preserve">Further information about </w:t>
      </w:r>
      <w:proofErr w:type="spellStart"/>
      <w:r w:rsidRPr="00366685">
        <w:rPr>
          <w:rFonts w:cs="Arial"/>
        </w:rPr>
        <w:t>emh</w:t>
      </w:r>
      <w:proofErr w:type="spellEnd"/>
      <w:r w:rsidRPr="00366685">
        <w:rPr>
          <w:rFonts w:cs="Arial"/>
        </w:rPr>
        <w:t xml:space="preserve"> group can be found at </w:t>
      </w:r>
      <w:hyperlink w:history="1">
        <w:r w:rsidRPr="00366685">
          <w:rPr>
            <w:rStyle w:val="Hyperlink"/>
            <w:rFonts w:cs="Arial"/>
          </w:rPr>
          <w:t>www.emh group.co.uk</w:t>
        </w:r>
      </w:hyperlink>
    </w:p>
    <w:p w:rsidR="00495641" w:rsidRDefault="00285977" w:rsidP="000E6100">
      <w:pPr>
        <w:spacing w:after="0"/>
        <w:rPr>
          <w:b/>
          <w:u w:val="single"/>
        </w:rPr>
      </w:pPr>
      <w:r>
        <w:rPr>
          <w:b/>
          <w:u w:val="single"/>
        </w:rPr>
        <w:t>Service</w:t>
      </w:r>
      <w:r w:rsidR="00495641">
        <w:rPr>
          <w:b/>
          <w:u w:val="single"/>
        </w:rPr>
        <w:t xml:space="preserve"> </w:t>
      </w:r>
      <w:r w:rsidR="00426862">
        <w:rPr>
          <w:b/>
          <w:u w:val="single"/>
        </w:rPr>
        <w:t>Requirements</w:t>
      </w:r>
    </w:p>
    <w:p w:rsidR="008A193D" w:rsidRDefault="003B1204" w:rsidP="008A193D">
      <w:pPr>
        <w:spacing w:after="0"/>
      </w:pPr>
      <w:proofErr w:type="spellStart"/>
      <w:r>
        <w:t>e</w:t>
      </w:r>
      <w:r w:rsidR="002D62DD">
        <w:t>mh</w:t>
      </w:r>
      <w:proofErr w:type="spellEnd"/>
      <w:r>
        <w:t xml:space="preserve"> </w:t>
      </w:r>
      <w:r w:rsidR="00872757" w:rsidRPr="00002FC3">
        <w:t>group</w:t>
      </w:r>
      <w:r w:rsidR="006814C6">
        <w:t xml:space="preserve"> </w:t>
      </w:r>
      <w:r>
        <w:t>s</w:t>
      </w:r>
      <w:r w:rsidR="00323154" w:rsidRPr="00002FC3">
        <w:t>eek</w:t>
      </w:r>
      <w:r w:rsidR="00872757" w:rsidRPr="00002FC3">
        <w:t xml:space="preserve"> to engag</w:t>
      </w:r>
      <w:r w:rsidR="00F04988" w:rsidRPr="00002FC3">
        <w:t xml:space="preserve">e with </w:t>
      </w:r>
      <w:r w:rsidR="008A193D">
        <w:t xml:space="preserve">one provider for legal services in relation to social housing provision and support.  </w:t>
      </w:r>
    </w:p>
    <w:p w:rsidR="008A193D" w:rsidRDefault="008A193D" w:rsidP="008A193D">
      <w:pPr>
        <w:spacing w:after="0"/>
      </w:pPr>
      <w:r>
        <w:t>To include – but not limited to:</w:t>
      </w:r>
    </w:p>
    <w:p w:rsidR="008A193D" w:rsidRDefault="008A193D" w:rsidP="008A193D">
      <w:pPr>
        <w:pStyle w:val="ListParagraph"/>
        <w:numPr>
          <w:ilvl w:val="0"/>
          <w:numId w:val="11"/>
        </w:numPr>
        <w:spacing w:after="0"/>
      </w:pPr>
      <w:r>
        <w:t>Tenancy related – ASB,</w:t>
      </w:r>
      <w:r w:rsidR="0073775E">
        <w:t xml:space="preserve"> Tenancy Agreements, Complaints, Rent &amp; Service Charges, Access Issues, Arrears, Leaseholders</w:t>
      </w:r>
    </w:p>
    <w:p w:rsidR="0073775E" w:rsidRDefault="0073775E" w:rsidP="008A193D">
      <w:pPr>
        <w:pStyle w:val="ListParagraph"/>
        <w:numPr>
          <w:ilvl w:val="0"/>
          <w:numId w:val="11"/>
        </w:numPr>
        <w:spacing w:after="0"/>
      </w:pPr>
      <w:r>
        <w:t>Property related -  Right to Buy, Environmental, Disposals, Improvements, Disrepair</w:t>
      </w:r>
    </w:p>
    <w:p w:rsidR="0073775E" w:rsidRDefault="0073775E" w:rsidP="008A193D">
      <w:pPr>
        <w:pStyle w:val="ListParagraph"/>
        <w:numPr>
          <w:ilvl w:val="0"/>
          <w:numId w:val="11"/>
        </w:numPr>
        <w:spacing w:after="0"/>
      </w:pPr>
      <w:r>
        <w:t>Health &amp; Safety – Employees, Contractors</w:t>
      </w:r>
    </w:p>
    <w:p w:rsidR="0073775E" w:rsidRDefault="0073775E" w:rsidP="008A193D">
      <w:pPr>
        <w:pStyle w:val="ListParagraph"/>
        <w:numPr>
          <w:ilvl w:val="0"/>
          <w:numId w:val="11"/>
        </w:numPr>
        <w:spacing w:after="0"/>
      </w:pPr>
      <w:r>
        <w:t xml:space="preserve">Care &amp; Support – Agency Agreements, </w:t>
      </w:r>
      <w:r w:rsidR="004B2F17">
        <w:t xml:space="preserve">Licences, </w:t>
      </w:r>
      <w:r>
        <w:t xml:space="preserve">Support Agreements, Power of Attorney, </w:t>
      </w:r>
    </w:p>
    <w:p w:rsidR="0073775E" w:rsidRDefault="0073775E" w:rsidP="008A193D">
      <w:pPr>
        <w:pStyle w:val="ListParagraph"/>
        <w:numPr>
          <w:ilvl w:val="0"/>
          <w:numId w:val="11"/>
        </w:numPr>
        <w:spacing w:after="0"/>
      </w:pPr>
      <w:r>
        <w:t xml:space="preserve">Procurement -  PCR, Contracts  </w:t>
      </w:r>
    </w:p>
    <w:p w:rsidR="004B2F17" w:rsidRDefault="004B2F17" w:rsidP="008A193D">
      <w:pPr>
        <w:spacing w:after="0"/>
        <w:rPr>
          <w:rFonts w:eastAsia="Times New Roman" w:cs="Arial"/>
        </w:rPr>
      </w:pPr>
    </w:p>
    <w:p w:rsidR="00CF3B3C" w:rsidRDefault="004B2F17" w:rsidP="008A193D">
      <w:pPr>
        <w:spacing w:after="0"/>
      </w:pPr>
      <w:r>
        <w:rPr>
          <w:rFonts w:eastAsia="Times New Roman" w:cs="Arial"/>
        </w:rPr>
        <w:t>Excluded from our requirements (due to other arrangements) are legal services for New Build Development</w:t>
      </w:r>
      <w:r w:rsidR="00B60819">
        <w:rPr>
          <w:rFonts w:eastAsia="Times New Roman" w:cs="Arial"/>
        </w:rPr>
        <w:t>,</w:t>
      </w:r>
      <w:r>
        <w:rPr>
          <w:rFonts w:eastAsia="Times New Roman" w:cs="Arial"/>
        </w:rPr>
        <w:t xml:space="preserve"> </w:t>
      </w:r>
      <w:r w:rsidR="008A193D" w:rsidRPr="00002FC3">
        <w:rPr>
          <w:rFonts w:eastAsia="Times New Roman" w:cs="Arial"/>
        </w:rPr>
        <w:t xml:space="preserve"> </w:t>
      </w:r>
    </w:p>
    <w:p w:rsidR="002115DB" w:rsidRDefault="004B2F17" w:rsidP="00285977">
      <w:pPr>
        <w:spacing w:after="0"/>
      </w:pPr>
      <w:r>
        <w:t>Corporate and Funding (Bond) services</w:t>
      </w:r>
      <w:r w:rsidR="00B60819">
        <w:t xml:space="preserve"> and specialist Rural Housing services</w:t>
      </w:r>
      <w:r>
        <w:t xml:space="preserve">. </w:t>
      </w:r>
    </w:p>
    <w:p w:rsidR="004B2F17" w:rsidRDefault="004B2F17" w:rsidP="00921107">
      <w:pPr>
        <w:spacing w:after="0"/>
        <w:rPr>
          <w:b/>
          <w:u w:val="single"/>
        </w:rPr>
      </w:pPr>
    </w:p>
    <w:p w:rsidR="004B2F17" w:rsidRPr="004B2F17" w:rsidRDefault="004B2F17" w:rsidP="00921107">
      <w:pPr>
        <w:spacing w:after="0"/>
      </w:pPr>
      <w:r w:rsidRPr="004B2F17">
        <w:t>This requirement was previously tendered in 2011 and awarded to</w:t>
      </w:r>
      <w:r w:rsidR="001D024E">
        <w:t xml:space="preserve"> two </w:t>
      </w:r>
      <w:r w:rsidRPr="004B2F17">
        <w:t>providers – contracts have now expired</w:t>
      </w:r>
    </w:p>
    <w:p w:rsidR="004B2F17" w:rsidRDefault="004B2F17" w:rsidP="00921107">
      <w:pPr>
        <w:spacing w:after="0"/>
        <w:rPr>
          <w:b/>
          <w:u w:val="single"/>
        </w:rPr>
      </w:pPr>
    </w:p>
    <w:p w:rsidR="004B2F17" w:rsidRPr="004B2F17" w:rsidRDefault="004B2F17" w:rsidP="00921107">
      <w:pPr>
        <w:spacing w:after="0"/>
      </w:pPr>
      <w:r w:rsidRPr="004B2F17">
        <w:t>Estimated  spend over the p</w:t>
      </w:r>
      <w:r>
        <w:t>revious contracts has been £75k</w:t>
      </w:r>
      <w:r w:rsidR="0066284A">
        <w:t xml:space="preserve"> per annum</w:t>
      </w:r>
      <w:r>
        <w:t>.</w:t>
      </w:r>
    </w:p>
    <w:p w:rsidR="004B2F17" w:rsidRPr="004B2F17" w:rsidRDefault="004B2F17" w:rsidP="00921107">
      <w:pPr>
        <w:spacing w:after="0"/>
      </w:pPr>
    </w:p>
    <w:p w:rsidR="004B2F17" w:rsidRPr="004B2F17" w:rsidRDefault="004B2F17" w:rsidP="00921107">
      <w:pPr>
        <w:spacing w:after="0"/>
      </w:pPr>
      <w:r w:rsidRPr="004B2F17">
        <w:t xml:space="preserve">It is proposed to award a contract </w:t>
      </w:r>
      <w:r w:rsidR="001C2CCA">
        <w:t>commencing 1</w:t>
      </w:r>
      <w:r w:rsidR="001C2CCA" w:rsidRPr="001C2CCA">
        <w:rPr>
          <w:vertAlign w:val="superscript"/>
        </w:rPr>
        <w:t>st</w:t>
      </w:r>
      <w:r w:rsidR="001C2CCA">
        <w:t xml:space="preserve"> April 2017 </w:t>
      </w:r>
      <w:r w:rsidRPr="004B2F17">
        <w:t>for 4 years</w:t>
      </w:r>
      <w:r w:rsidR="001C2CCA">
        <w:t xml:space="preserve"> </w:t>
      </w:r>
      <w:r w:rsidRPr="004B2F17">
        <w:t xml:space="preserve"> with option for up to a further 2 years</w:t>
      </w:r>
    </w:p>
    <w:p w:rsidR="004B2F17" w:rsidRDefault="004B2F17" w:rsidP="00921107">
      <w:pPr>
        <w:spacing w:after="0"/>
        <w:rPr>
          <w:b/>
          <w:u w:val="single"/>
        </w:rPr>
      </w:pPr>
    </w:p>
    <w:p w:rsidR="00C57EEA" w:rsidRDefault="00C57EEA" w:rsidP="00FD3C8F">
      <w:pPr>
        <w:spacing w:after="0"/>
        <w:rPr>
          <w:b/>
          <w:u w:val="single"/>
        </w:rPr>
      </w:pPr>
    </w:p>
    <w:p w:rsidR="001652F0" w:rsidRDefault="001652F0" w:rsidP="00FD3C8F">
      <w:pPr>
        <w:spacing w:after="0"/>
        <w:rPr>
          <w:b/>
          <w:u w:val="single"/>
        </w:rPr>
      </w:pPr>
    </w:p>
    <w:p w:rsidR="001652F0" w:rsidRDefault="001652F0" w:rsidP="00FD3C8F">
      <w:pPr>
        <w:spacing w:after="0"/>
        <w:rPr>
          <w:b/>
          <w:u w:val="single"/>
        </w:rPr>
      </w:pPr>
    </w:p>
    <w:p w:rsidR="001652F0" w:rsidRDefault="001652F0" w:rsidP="00FD3C8F">
      <w:pPr>
        <w:spacing w:after="0"/>
        <w:rPr>
          <w:b/>
          <w:u w:val="single"/>
        </w:rPr>
      </w:pPr>
    </w:p>
    <w:p w:rsidR="001652F0" w:rsidRDefault="001652F0" w:rsidP="00FD3C8F">
      <w:pPr>
        <w:spacing w:after="0"/>
        <w:rPr>
          <w:b/>
          <w:u w:val="single"/>
        </w:rPr>
      </w:pPr>
    </w:p>
    <w:p w:rsidR="001652F0" w:rsidRDefault="001652F0" w:rsidP="00FD3C8F">
      <w:pPr>
        <w:spacing w:after="0"/>
        <w:rPr>
          <w:b/>
          <w:u w:val="single"/>
        </w:rPr>
      </w:pPr>
    </w:p>
    <w:p w:rsidR="001652F0" w:rsidRDefault="001652F0" w:rsidP="00FD3C8F">
      <w:pPr>
        <w:spacing w:after="0"/>
        <w:rPr>
          <w:b/>
          <w:u w:val="single"/>
        </w:rPr>
      </w:pPr>
    </w:p>
    <w:p w:rsidR="00426862" w:rsidRPr="00285977" w:rsidRDefault="00426862" w:rsidP="000E6100">
      <w:pPr>
        <w:spacing w:after="0"/>
        <w:rPr>
          <w:b/>
          <w:u w:val="single"/>
        </w:rPr>
      </w:pPr>
      <w:r w:rsidRPr="00285977">
        <w:rPr>
          <w:b/>
          <w:u w:val="single"/>
        </w:rPr>
        <w:lastRenderedPageBreak/>
        <w:t>Tender Process</w:t>
      </w:r>
    </w:p>
    <w:p w:rsidR="00FC5EB1" w:rsidRDefault="00E91A6A" w:rsidP="000E6100">
      <w:pPr>
        <w:spacing w:after="0"/>
      </w:pPr>
      <w:r>
        <w:t xml:space="preserve">The required service is classified as Light Touch Regime under PCR 2015 – the estimated </w:t>
      </w:r>
      <w:r w:rsidR="0066284A">
        <w:t xml:space="preserve">value </w:t>
      </w:r>
      <w:r>
        <w:t>is below the threshold</w:t>
      </w:r>
      <w:r w:rsidR="00C074D2">
        <w:t xml:space="preserve"> requiring OJEU advertisement.</w:t>
      </w:r>
      <w:r>
        <w:t xml:space="preserve">  </w:t>
      </w:r>
    </w:p>
    <w:p w:rsidR="00E91A6A" w:rsidRDefault="00C074D2" w:rsidP="000E6100">
      <w:pPr>
        <w:spacing w:after="0"/>
      </w:pPr>
      <w:r>
        <w:t>An advertisement is placed on Govt</w:t>
      </w:r>
      <w:r w:rsidR="0066284A">
        <w:t>.</w:t>
      </w:r>
      <w:r>
        <w:t xml:space="preserve"> Contracts Finder website; those who have previously expressed an interest </w:t>
      </w:r>
    </w:p>
    <w:p w:rsidR="00E91A6A" w:rsidRDefault="00C074D2" w:rsidP="000E6100">
      <w:pPr>
        <w:spacing w:after="0"/>
      </w:pPr>
      <w:r>
        <w:t>have been made aware.</w:t>
      </w:r>
    </w:p>
    <w:p w:rsidR="00E91A6A" w:rsidRDefault="00C074D2" w:rsidP="000E6100">
      <w:pPr>
        <w:spacing w:after="0"/>
      </w:pPr>
      <w:r>
        <w:t xml:space="preserve">There will be a simple PQQ to determine experience of requirements prior to the tender stage; based on evaluation score, it is possible that all submissions will not be invited to the tender stage. </w:t>
      </w:r>
    </w:p>
    <w:p w:rsidR="00C074D2" w:rsidRDefault="00C074D2" w:rsidP="00426862">
      <w:pPr>
        <w:spacing w:after="0"/>
      </w:pPr>
    </w:p>
    <w:p w:rsidR="00495641" w:rsidRPr="00DA12AE" w:rsidRDefault="000E6100" w:rsidP="00426862">
      <w:pPr>
        <w:spacing w:after="0"/>
      </w:pPr>
      <w:r w:rsidRPr="00DA12AE">
        <w:t xml:space="preserve">The tender evaluation will be made on a </w:t>
      </w:r>
      <w:r w:rsidR="008831A6">
        <w:t>40</w:t>
      </w:r>
      <w:r w:rsidRPr="00DA12AE">
        <w:t>/</w:t>
      </w:r>
      <w:r w:rsidR="008831A6">
        <w:t>6</w:t>
      </w:r>
      <w:r w:rsidRPr="00DA12AE">
        <w:t>0 price</w:t>
      </w:r>
      <w:r w:rsidR="00921107">
        <w:t xml:space="preserve">/quality </w:t>
      </w:r>
      <w:r w:rsidRPr="00DA12AE">
        <w:t>basis.</w:t>
      </w:r>
    </w:p>
    <w:p w:rsidR="00DA12AE" w:rsidRPr="00DA12AE" w:rsidRDefault="00DA12AE" w:rsidP="00DA12AE">
      <w:pPr>
        <w:spacing w:after="0"/>
      </w:pPr>
      <w:r w:rsidRPr="00DA12AE">
        <w:t>The whole process will be managed through a web based portal.</w:t>
      </w:r>
    </w:p>
    <w:p w:rsidR="00DA12AE" w:rsidRDefault="00DA12AE" w:rsidP="00DA12AE">
      <w:pPr>
        <w:spacing w:after="0"/>
      </w:pPr>
      <w:r w:rsidRPr="00DA12AE">
        <w:t xml:space="preserve">You will need to register and access the appropriate public </w:t>
      </w:r>
      <w:r w:rsidR="0066284A">
        <w:t>project</w:t>
      </w:r>
      <w:r w:rsidRPr="00DA12AE">
        <w:t xml:space="preserve">. </w:t>
      </w:r>
    </w:p>
    <w:p w:rsidR="00DA12AE" w:rsidRDefault="00DA12AE" w:rsidP="00DA12AE">
      <w:pPr>
        <w:spacing w:after="0"/>
      </w:pPr>
      <w:r>
        <w:t>You can then access the PQQ documents – you will be required to accept the invitation prior to submission.</w:t>
      </w:r>
    </w:p>
    <w:p w:rsidR="0066284A" w:rsidRDefault="0066284A" w:rsidP="00C067E6">
      <w:pPr>
        <w:spacing w:after="0"/>
        <w:rPr>
          <w:b/>
          <w:u w:val="single"/>
        </w:rPr>
      </w:pPr>
    </w:p>
    <w:p w:rsidR="00EB14E7" w:rsidRPr="002B6134" w:rsidRDefault="00285977" w:rsidP="00C067E6">
      <w:pPr>
        <w:spacing w:after="0"/>
        <w:rPr>
          <w:b/>
          <w:u w:val="single"/>
        </w:rPr>
      </w:pPr>
      <w:r w:rsidRPr="002B6134">
        <w:rPr>
          <w:b/>
          <w:u w:val="single"/>
        </w:rPr>
        <w:t>Provider</w:t>
      </w:r>
      <w:r w:rsidR="005050C9" w:rsidRPr="002B6134">
        <w:rPr>
          <w:b/>
          <w:u w:val="single"/>
        </w:rPr>
        <w:t xml:space="preserve"> Specification</w:t>
      </w:r>
      <w:r w:rsidR="002B6134" w:rsidRPr="002B6134">
        <w:rPr>
          <w:b/>
          <w:u w:val="single"/>
        </w:rPr>
        <w:t>/Requirements</w:t>
      </w:r>
    </w:p>
    <w:p w:rsidR="002B6134" w:rsidRPr="002B6134" w:rsidRDefault="001C2CCA" w:rsidP="00C067E6">
      <w:pPr>
        <w:spacing w:after="0"/>
      </w:pPr>
      <w:r>
        <w:t xml:space="preserve">An established UK Law firm, </w:t>
      </w:r>
      <w:r w:rsidR="005F3ECA">
        <w:t xml:space="preserve"> </w:t>
      </w:r>
      <w:r w:rsidR="001652F0">
        <w:t xml:space="preserve">who are able to </w:t>
      </w:r>
      <w:r w:rsidR="005F3ECA">
        <w:t>demonstrate</w:t>
      </w:r>
      <w:r w:rsidR="0066284A">
        <w:t xml:space="preserve"> provision of the required services to a number of Registered Housing Providers.</w:t>
      </w:r>
      <w:r>
        <w:t xml:space="preserve"> </w:t>
      </w:r>
      <w:r w:rsidR="001652F0">
        <w:t>You will be proactive and recognised  in the Housing Sector - i</w:t>
      </w:r>
      <w:r>
        <w:t xml:space="preserve">t is likely you have a team dedicated to </w:t>
      </w:r>
      <w:r w:rsidR="005F3ECA">
        <w:t>our</w:t>
      </w:r>
      <w:r>
        <w:t xml:space="preserve"> sector.</w:t>
      </w:r>
    </w:p>
    <w:p w:rsidR="0066284A" w:rsidRPr="00C82055" w:rsidRDefault="0066284A" w:rsidP="0066284A">
      <w:pPr>
        <w:spacing w:after="0"/>
      </w:pPr>
      <w:r>
        <w:rPr>
          <w:color w:val="333333"/>
        </w:rPr>
        <w:t>Expiring contracts have achieved effic</w:t>
      </w:r>
      <w:r w:rsidRPr="00C82055">
        <w:rPr>
          <w:color w:val="333333"/>
        </w:rPr>
        <w:t>iency gains (internal improvements and cost reductions) for EMH Group</w:t>
      </w:r>
      <w:r>
        <w:rPr>
          <w:color w:val="333333"/>
        </w:rPr>
        <w:t xml:space="preserve"> and this is expected to be continually achieved</w:t>
      </w:r>
      <w:r w:rsidRPr="00C82055">
        <w:rPr>
          <w:color w:val="333333"/>
        </w:rPr>
        <w:t xml:space="preserve">. </w:t>
      </w:r>
      <w:r w:rsidRPr="00C82055">
        <w:rPr>
          <w:color w:val="333333"/>
        </w:rPr>
        <w:br/>
        <w:t>EMH Group are therefore looking to find good calibre providers who will encourage, through education and coaching, EMH Group staff to become more self reliant and consistent across the Group in order to reduce the need for legal services and hence costs.</w:t>
      </w:r>
    </w:p>
    <w:p w:rsidR="0066284A" w:rsidRPr="002B6134" w:rsidRDefault="0066284A" w:rsidP="00DA12AE">
      <w:pPr>
        <w:spacing w:after="0"/>
        <w:rPr>
          <w:b/>
        </w:rPr>
      </w:pPr>
    </w:p>
    <w:p w:rsidR="005050C9" w:rsidRPr="002B6134" w:rsidRDefault="002B6134" w:rsidP="00DA12AE">
      <w:pPr>
        <w:spacing w:after="0"/>
      </w:pPr>
      <w:r w:rsidRPr="002B6134">
        <w:t xml:space="preserve">The following will be assessed at the </w:t>
      </w:r>
      <w:r w:rsidR="00C067E6" w:rsidRPr="002B6134">
        <w:t xml:space="preserve">Tender Stage </w:t>
      </w:r>
    </w:p>
    <w:p w:rsidR="00EC7738" w:rsidRPr="002B6134" w:rsidRDefault="00C067E6" w:rsidP="00E63F43">
      <w:pPr>
        <w:pStyle w:val="ListParagraph"/>
        <w:numPr>
          <w:ilvl w:val="0"/>
          <w:numId w:val="8"/>
        </w:numPr>
        <w:spacing w:after="0"/>
      </w:pPr>
      <w:r w:rsidRPr="002B6134">
        <w:t>Pricing</w:t>
      </w:r>
      <w:r w:rsidR="007E5FA8" w:rsidRPr="002B6134">
        <w:t xml:space="preserve"> </w:t>
      </w:r>
    </w:p>
    <w:p w:rsidR="005050C9" w:rsidRPr="002B6134" w:rsidRDefault="001C2CCA" w:rsidP="00E63F43">
      <w:pPr>
        <w:pStyle w:val="ListParagraph"/>
        <w:numPr>
          <w:ilvl w:val="0"/>
          <w:numId w:val="8"/>
        </w:numPr>
        <w:spacing w:after="0"/>
      </w:pPr>
      <w:proofErr w:type="spellStart"/>
      <w:r>
        <w:t>Structure,Capability,Capacity</w:t>
      </w:r>
      <w:proofErr w:type="spellEnd"/>
      <w:r w:rsidR="007E5FA8" w:rsidRPr="002B6134">
        <w:t xml:space="preserve"> </w:t>
      </w:r>
    </w:p>
    <w:p w:rsidR="00C067E6" w:rsidRDefault="001C2CCA" w:rsidP="00E63F43">
      <w:pPr>
        <w:pStyle w:val="ListParagraph"/>
        <w:numPr>
          <w:ilvl w:val="0"/>
          <w:numId w:val="8"/>
        </w:numPr>
        <w:spacing w:after="0"/>
      </w:pPr>
      <w:r>
        <w:t>Training, Education, Added value</w:t>
      </w:r>
    </w:p>
    <w:p w:rsidR="005F3ECA" w:rsidRDefault="005F3ECA" w:rsidP="00E63F43">
      <w:pPr>
        <w:pStyle w:val="ListParagraph"/>
        <w:numPr>
          <w:ilvl w:val="0"/>
          <w:numId w:val="8"/>
        </w:numPr>
        <w:spacing w:after="0"/>
      </w:pPr>
      <w:r>
        <w:t>Contract Management</w:t>
      </w:r>
    </w:p>
    <w:p w:rsidR="001C2CCA" w:rsidRPr="002B6134" w:rsidRDefault="001C2CCA" w:rsidP="00E63F43">
      <w:pPr>
        <w:pStyle w:val="ListParagraph"/>
        <w:numPr>
          <w:ilvl w:val="0"/>
          <w:numId w:val="8"/>
        </w:numPr>
        <w:spacing w:after="0"/>
      </w:pPr>
      <w:r>
        <w:t>Interview</w:t>
      </w:r>
    </w:p>
    <w:p w:rsidR="007958BB" w:rsidRPr="002B6134" w:rsidRDefault="007958BB" w:rsidP="00DA12AE">
      <w:pPr>
        <w:spacing w:after="0"/>
        <w:rPr>
          <w:b/>
        </w:rPr>
      </w:pPr>
    </w:p>
    <w:p w:rsidR="00FD093B" w:rsidRDefault="00C74A33" w:rsidP="00381B5C">
      <w:r w:rsidRPr="002B6134">
        <w:t>Further Information may be obtained from</w:t>
      </w:r>
    </w:p>
    <w:p w:rsidR="00381B5C" w:rsidRDefault="0004557C" w:rsidP="00381B5C">
      <w:pPr>
        <w:rPr>
          <w:rStyle w:val="Hyperlink"/>
        </w:rPr>
      </w:pPr>
      <w:hyperlink r:id="rId8" w:history="1">
        <w:r w:rsidR="00C74A33" w:rsidRPr="00F534E0">
          <w:rPr>
            <w:rStyle w:val="Hyperlink"/>
          </w:rPr>
          <w:t>Bob.crabb@emhgroup.org.uk</w:t>
        </w:r>
      </w:hyperlink>
    </w:p>
    <w:p w:rsidR="005F3ECA" w:rsidRPr="005F3ECA" w:rsidRDefault="005F3ECA" w:rsidP="00381B5C">
      <w:r w:rsidRPr="005F3ECA">
        <w:rPr>
          <w:rStyle w:val="Hyperlink"/>
          <w:color w:val="auto"/>
          <w:u w:val="none"/>
        </w:rPr>
        <w:t>01530 278190</w:t>
      </w:r>
    </w:p>
    <w:sectPr w:rsidR="005F3ECA" w:rsidRPr="005F3ECA" w:rsidSect="004956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149D5"/>
    <w:multiLevelType w:val="hybridMultilevel"/>
    <w:tmpl w:val="548008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8E36DE3"/>
    <w:multiLevelType w:val="hybridMultilevel"/>
    <w:tmpl w:val="4B06A548"/>
    <w:lvl w:ilvl="0" w:tplc="7228EBF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EB4FAE"/>
    <w:multiLevelType w:val="hybridMultilevel"/>
    <w:tmpl w:val="5B46164C"/>
    <w:lvl w:ilvl="0" w:tplc="AB927EE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B9E047D"/>
    <w:multiLevelType w:val="hybridMultilevel"/>
    <w:tmpl w:val="9476FB42"/>
    <w:lvl w:ilvl="0" w:tplc="35AC5FD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7BB099A"/>
    <w:multiLevelType w:val="hybridMultilevel"/>
    <w:tmpl w:val="CFD60028"/>
    <w:lvl w:ilvl="0" w:tplc="8416B2E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B11002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56177C73"/>
    <w:multiLevelType w:val="hybridMultilevel"/>
    <w:tmpl w:val="28382EA8"/>
    <w:lvl w:ilvl="0" w:tplc="21B43CF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6A4101B"/>
    <w:multiLevelType w:val="hybridMultilevel"/>
    <w:tmpl w:val="2DF8F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381203E"/>
    <w:multiLevelType w:val="hybridMultilevel"/>
    <w:tmpl w:val="096CB558"/>
    <w:lvl w:ilvl="0" w:tplc="C70CB64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C076531"/>
    <w:multiLevelType w:val="hybridMultilevel"/>
    <w:tmpl w:val="10061552"/>
    <w:lvl w:ilvl="0" w:tplc="1FBE130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EEE4381"/>
    <w:multiLevelType w:val="hybridMultilevel"/>
    <w:tmpl w:val="BD8C3018"/>
    <w:lvl w:ilvl="0" w:tplc="7228EBF8">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2"/>
  </w:num>
  <w:num w:numId="4">
    <w:abstractNumId w:val="8"/>
  </w:num>
  <w:num w:numId="5">
    <w:abstractNumId w:val="6"/>
  </w:num>
  <w:num w:numId="6">
    <w:abstractNumId w:val="5"/>
  </w:num>
  <w:num w:numId="7">
    <w:abstractNumId w:val="9"/>
  </w:num>
  <w:num w:numId="8">
    <w:abstractNumId w:val="10"/>
  </w:num>
  <w:num w:numId="9">
    <w:abstractNumId w:val="7"/>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ECB"/>
    <w:rsid w:val="00002FC3"/>
    <w:rsid w:val="0004557C"/>
    <w:rsid w:val="00047598"/>
    <w:rsid w:val="00070CFE"/>
    <w:rsid w:val="000C4290"/>
    <w:rsid w:val="000C47DF"/>
    <w:rsid w:val="000E6100"/>
    <w:rsid w:val="00152CA6"/>
    <w:rsid w:val="00163059"/>
    <w:rsid w:val="001652F0"/>
    <w:rsid w:val="00170D59"/>
    <w:rsid w:val="001773FE"/>
    <w:rsid w:val="00181894"/>
    <w:rsid w:val="001C2CCA"/>
    <w:rsid w:val="001D024E"/>
    <w:rsid w:val="002115DB"/>
    <w:rsid w:val="00213502"/>
    <w:rsid w:val="0023759B"/>
    <w:rsid w:val="00282C7B"/>
    <w:rsid w:val="00285977"/>
    <w:rsid w:val="00293390"/>
    <w:rsid w:val="002B6134"/>
    <w:rsid w:val="002B731F"/>
    <w:rsid w:val="002C2E87"/>
    <w:rsid w:val="002D62DD"/>
    <w:rsid w:val="003111BC"/>
    <w:rsid w:val="00323154"/>
    <w:rsid w:val="00355D21"/>
    <w:rsid w:val="00366685"/>
    <w:rsid w:val="00373B1F"/>
    <w:rsid w:val="00381B5C"/>
    <w:rsid w:val="003B1204"/>
    <w:rsid w:val="003C0CF9"/>
    <w:rsid w:val="003F1985"/>
    <w:rsid w:val="00426862"/>
    <w:rsid w:val="00495641"/>
    <w:rsid w:val="004B2F17"/>
    <w:rsid w:val="00502DF5"/>
    <w:rsid w:val="005050C9"/>
    <w:rsid w:val="005513C3"/>
    <w:rsid w:val="005D059E"/>
    <w:rsid w:val="005E4C8D"/>
    <w:rsid w:val="005F3ECA"/>
    <w:rsid w:val="0060037D"/>
    <w:rsid w:val="006074B2"/>
    <w:rsid w:val="0066284A"/>
    <w:rsid w:val="006814C6"/>
    <w:rsid w:val="006835AB"/>
    <w:rsid w:val="006A1A83"/>
    <w:rsid w:val="006B31B4"/>
    <w:rsid w:val="0073775E"/>
    <w:rsid w:val="007958BB"/>
    <w:rsid w:val="007C318B"/>
    <w:rsid w:val="007C5DF1"/>
    <w:rsid w:val="007D0975"/>
    <w:rsid w:val="007D5C20"/>
    <w:rsid w:val="007E0347"/>
    <w:rsid w:val="007E5FA8"/>
    <w:rsid w:val="007F3D0D"/>
    <w:rsid w:val="008014DF"/>
    <w:rsid w:val="00827AB0"/>
    <w:rsid w:val="00872757"/>
    <w:rsid w:val="008831A6"/>
    <w:rsid w:val="008A193D"/>
    <w:rsid w:val="00921107"/>
    <w:rsid w:val="00980654"/>
    <w:rsid w:val="00996BDA"/>
    <w:rsid w:val="009A67CD"/>
    <w:rsid w:val="009B22B5"/>
    <w:rsid w:val="00A33A10"/>
    <w:rsid w:val="00A912E7"/>
    <w:rsid w:val="00AA7ACE"/>
    <w:rsid w:val="00AD49AC"/>
    <w:rsid w:val="00AD4AB3"/>
    <w:rsid w:val="00AD4EE4"/>
    <w:rsid w:val="00AF597D"/>
    <w:rsid w:val="00B60819"/>
    <w:rsid w:val="00B82017"/>
    <w:rsid w:val="00BD3CCF"/>
    <w:rsid w:val="00C067E6"/>
    <w:rsid w:val="00C074D2"/>
    <w:rsid w:val="00C57EEA"/>
    <w:rsid w:val="00C71ECB"/>
    <w:rsid w:val="00C74A33"/>
    <w:rsid w:val="00C82055"/>
    <w:rsid w:val="00C95DA4"/>
    <w:rsid w:val="00CC0A3C"/>
    <w:rsid w:val="00CD28D6"/>
    <w:rsid w:val="00CD5473"/>
    <w:rsid w:val="00CF3B3C"/>
    <w:rsid w:val="00D025D1"/>
    <w:rsid w:val="00DA12AE"/>
    <w:rsid w:val="00E63F43"/>
    <w:rsid w:val="00E84390"/>
    <w:rsid w:val="00E91A6A"/>
    <w:rsid w:val="00E91DD3"/>
    <w:rsid w:val="00EB14E7"/>
    <w:rsid w:val="00EC7738"/>
    <w:rsid w:val="00F04988"/>
    <w:rsid w:val="00F25C7A"/>
    <w:rsid w:val="00F826E3"/>
    <w:rsid w:val="00F96AB0"/>
    <w:rsid w:val="00F97AC7"/>
    <w:rsid w:val="00FA2A33"/>
    <w:rsid w:val="00FB0EB2"/>
    <w:rsid w:val="00FB20B4"/>
    <w:rsid w:val="00FC5EB1"/>
    <w:rsid w:val="00FD093B"/>
    <w:rsid w:val="00FD3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95641"/>
    <w:pPr>
      <w:keepNext/>
      <w:numPr>
        <w:ilvl w:val="1"/>
        <w:numId w:val="6"/>
      </w:numPr>
      <w:overflowPunct w:val="0"/>
      <w:autoSpaceDE w:val="0"/>
      <w:autoSpaceDN w:val="0"/>
      <w:adjustRightInd w:val="0"/>
      <w:spacing w:before="120" w:after="240" w:line="240" w:lineRule="auto"/>
      <w:ind w:right="828"/>
      <w:jc w:val="both"/>
      <w:textAlignment w:val="baseline"/>
      <w:outlineLvl w:val="1"/>
    </w:pPr>
    <w:rPr>
      <w:rFonts w:ascii="Verdana" w:eastAsia="Calibri" w:hAnsi="Verdana" w:cs="Times New Roman"/>
      <w:b/>
      <w:bCs/>
      <w:i/>
      <w:color w:val="4F81BD"/>
      <w:sz w:val="24"/>
      <w:szCs w:val="24"/>
      <w:u w:val="single"/>
      <w:lang w:val="en-US"/>
    </w:rPr>
  </w:style>
  <w:style w:type="paragraph" w:styleId="Heading3">
    <w:name w:val="heading 3"/>
    <w:basedOn w:val="Normal"/>
    <w:next w:val="Normal"/>
    <w:link w:val="Heading3Char"/>
    <w:qFormat/>
    <w:rsid w:val="00495641"/>
    <w:pPr>
      <w:keepNext/>
      <w:numPr>
        <w:ilvl w:val="2"/>
        <w:numId w:val="6"/>
      </w:numPr>
      <w:overflowPunct w:val="0"/>
      <w:autoSpaceDE w:val="0"/>
      <w:autoSpaceDN w:val="0"/>
      <w:adjustRightInd w:val="0"/>
      <w:spacing w:before="240" w:after="120" w:line="240" w:lineRule="auto"/>
      <w:jc w:val="both"/>
      <w:textAlignment w:val="baseline"/>
      <w:outlineLvl w:val="2"/>
    </w:pPr>
    <w:rPr>
      <w:rFonts w:ascii="Verdana" w:eastAsia="Calibri" w:hAnsi="Verdana" w:cs="Times New Roman"/>
      <w:b/>
      <w:sz w:val="20"/>
      <w:szCs w:val="20"/>
      <w:u w:val="single"/>
      <w:lang w:val="en-US"/>
    </w:rPr>
  </w:style>
  <w:style w:type="paragraph" w:styleId="Heading4">
    <w:name w:val="heading 4"/>
    <w:basedOn w:val="Normal"/>
    <w:next w:val="Normal"/>
    <w:link w:val="Heading4Char"/>
    <w:qFormat/>
    <w:rsid w:val="00495641"/>
    <w:pPr>
      <w:keepNext/>
      <w:numPr>
        <w:ilvl w:val="3"/>
        <w:numId w:val="6"/>
      </w:numPr>
      <w:overflowPunct w:val="0"/>
      <w:autoSpaceDE w:val="0"/>
      <w:autoSpaceDN w:val="0"/>
      <w:adjustRightInd w:val="0"/>
      <w:spacing w:after="120" w:line="240" w:lineRule="auto"/>
      <w:jc w:val="both"/>
      <w:textAlignment w:val="baseline"/>
      <w:outlineLvl w:val="3"/>
    </w:pPr>
    <w:rPr>
      <w:rFonts w:ascii="Verdana" w:eastAsia="Calibri" w:hAnsi="Verdana" w:cs="Times New Roman"/>
      <w:b/>
      <w:sz w:val="20"/>
      <w:szCs w:val="20"/>
      <w:u w:val="single"/>
      <w:lang w:val="en-US"/>
    </w:rPr>
  </w:style>
  <w:style w:type="paragraph" w:styleId="Heading5">
    <w:name w:val="heading 5"/>
    <w:basedOn w:val="Normal"/>
    <w:next w:val="Normal"/>
    <w:link w:val="Heading5Char"/>
    <w:qFormat/>
    <w:rsid w:val="00495641"/>
    <w:pPr>
      <w:numPr>
        <w:ilvl w:val="4"/>
        <w:numId w:val="6"/>
      </w:numPr>
      <w:overflowPunct w:val="0"/>
      <w:autoSpaceDE w:val="0"/>
      <w:autoSpaceDN w:val="0"/>
      <w:adjustRightInd w:val="0"/>
      <w:spacing w:before="240" w:after="60" w:line="240" w:lineRule="auto"/>
      <w:jc w:val="both"/>
      <w:textAlignment w:val="baseline"/>
      <w:outlineLvl w:val="4"/>
    </w:pPr>
    <w:rPr>
      <w:rFonts w:ascii="Verdana" w:eastAsia="Calibri" w:hAnsi="Verdana" w:cs="Times New Roman"/>
      <w:b/>
      <w:bCs/>
      <w:i/>
      <w:iCs/>
      <w:sz w:val="26"/>
      <w:szCs w:val="26"/>
      <w:lang w:val="en-US"/>
    </w:rPr>
  </w:style>
  <w:style w:type="paragraph" w:styleId="Heading6">
    <w:name w:val="heading 6"/>
    <w:basedOn w:val="Normal"/>
    <w:next w:val="Normal"/>
    <w:link w:val="Heading6Char"/>
    <w:qFormat/>
    <w:rsid w:val="00495641"/>
    <w:pPr>
      <w:numPr>
        <w:ilvl w:val="5"/>
        <w:numId w:val="6"/>
      </w:numPr>
      <w:overflowPunct w:val="0"/>
      <w:autoSpaceDE w:val="0"/>
      <w:autoSpaceDN w:val="0"/>
      <w:adjustRightInd w:val="0"/>
      <w:spacing w:before="240" w:after="60" w:line="240" w:lineRule="auto"/>
      <w:jc w:val="both"/>
      <w:textAlignment w:val="baseline"/>
      <w:outlineLvl w:val="5"/>
    </w:pPr>
    <w:rPr>
      <w:rFonts w:ascii="Verdana" w:eastAsia="Calibri" w:hAnsi="Verdana" w:cs="Times New Roman"/>
      <w:b/>
      <w:bCs/>
      <w:lang w:val="en-US"/>
    </w:rPr>
  </w:style>
  <w:style w:type="paragraph" w:styleId="Heading7">
    <w:name w:val="heading 7"/>
    <w:basedOn w:val="Normal"/>
    <w:next w:val="Normal"/>
    <w:link w:val="Heading7Char"/>
    <w:qFormat/>
    <w:rsid w:val="00495641"/>
    <w:pPr>
      <w:keepNext/>
      <w:numPr>
        <w:ilvl w:val="6"/>
        <w:numId w:val="6"/>
      </w:numPr>
      <w:overflowPunct w:val="0"/>
      <w:autoSpaceDE w:val="0"/>
      <w:autoSpaceDN w:val="0"/>
      <w:adjustRightInd w:val="0"/>
      <w:spacing w:after="120" w:line="240" w:lineRule="auto"/>
      <w:jc w:val="both"/>
      <w:textAlignment w:val="baseline"/>
      <w:outlineLvl w:val="6"/>
    </w:pPr>
    <w:rPr>
      <w:rFonts w:ascii="Trebuchet MS" w:eastAsia="Calibri" w:hAnsi="Trebuchet MS" w:cs="Times New Roman"/>
      <w:b/>
      <w:sz w:val="28"/>
      <w:szCs w:val="20"/>
      <w:u w:val="single"/>
      <w:lang w:val="en-US"/>
    </w:rPr>
  </w:style>
  <w:style w:type="paragraph" w:styleId="Heading8">
    <w:name w:val="heading 8"/>
    <w:basedOn w:val="Normal"/>
    <w:next w:val="Normal"/>
    <w:link w:val="Heading8Char"/>
    <w:qFormat/>
    <w:rsid w:val="00495641"/>
    <w:pPr>
      <w:numPr>
        <w:ilvl w:val="7"/>
        <w:numId w:val="6"/>
      </w:numPr>
      <w:overflowPunct w:val="0"/>
      <w:autoSpaceDE w:val="0"/>
      <w:autoSpaceDN w:val="0"/>
      <w:adjustRightInd w:val="0"/>
      <w:spacing w:before="240" w:after="60" w:line="240" w:lineRule="auto"/>
      <w:jc w:val="both"/>
      <w:textAlignment w:val="baseline"/>
      <w:outlineLvl w:val="7"/>
    </w:pPr>
    <w:rPr>
      <w:rFonts w:ascii="Verdana" w:eastAsia="Calibri" w:hAnsi="Verdana" w:cs="Times New Roman"/>
      <w:i/>
      <w:iCs/>
      <w:sz w:val="24"/>
      <w:szCs w:val="24"/>
      <w:lang w:val="en-US"/>
    </w:rPr>
  </w:style>
  <w:style w:type="paragraph" w:styleId="Heading9">
    <w:name w:val="heading 9"/>
    <w:basedOn w:val="Normal"/>
    <w:next w:val="Normal"/>
    <w:link w:val="Heading9Char"/>
    <w:qFormat/>
    <w:rsid w:val="00495641"/>
    <w:pPr>
      <w:keepNext/>
      <w:numPr>
        <w:ilvl w:val="8"/>
        <w:numId w:val="6"/>
      </w:numPr>
      <w:spacing w:after="60" w:line="240" w:lineRule="auto"/>
      <w:jc w:val="both"/>
      <w:outlineLvl w:val="8"/>
    </w:pPr>
    <w:rPr>
      <w:rFonts w:ascii="Trebuchet MS" w:eastAsia="Calibri" w:hAnsi="Trebuchet MS" w:cs="Arial"/>
      <w:b/>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B5C"/>
    <w:pPr>
      <w:ind w:left="720"/>
      <w:contextualSpacing/>
    </w:pPr>
  </w:style>
  <w:style w:type="paragraph" w:styleId="BalloonText">
    <w:name w:val="Balloon Text"/>
    <w:basedOn w:val="Normal"/>
    <w:link w:val="BalloonTextChar"/>
    <w:uiPriority w:val="99"/>
    <w:semiHidden/>
    <w:unhideWhenUsed/>
    <w:rsid w:val="00495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641"/>
    <w:rPr>
      <w:rFonts w:ascii="Tahoma" w:hAnsi="Tahoma" w:cs="Tahoma"/>
      <w:sz w:val="16"/>
      <w:szCs w:val="16"/>
    </w:rPr>
  </w:style>
  <w:style w:type="character" w:customStyle="1" w:styleId="Heading2Char">
    <w:name w:val="Heading 2 Char"/>
    <w:basedOn w:val="DefaultParagraphFont"/>
    <w:link w:val="Heading2"/>
    <w:rsid w:val="00495641"/>
    <w:rPr>
      <w:rFonts w:ascii="Verdana" w:eastAsia="Calibri" w:hAnsi="Verdana" w:cs="Times New Roman"/>
      <w:b/>
      <w:bCs/>
      <w:i/>
      <w:color w:val="4F81BD"/>
      <w:sz w:val="24"/>
      <w:szCs w:val="24"/>
      <w:u w:val="single"/>
      <w:lang w:val="en-US"/>
    </w:rPr>
  </w:style>
  <w:style w:type="character" w:customStyle="1" w:styleId="Heading3Char">
    <w:name w:val="Heading 3 Char"/>
    <w:basedOn w:val="DefaultParagraphFont"/>
    <w:link w:val="Heading3"/>
    <w:rsid w:val="00495641"/>
    <w:rPr>
      <w:rFonts w:ascii="Verdana" w:eastAsia="Calibri" w:hAnsi="Verdana" w:cs="Times New Roman"/>
      <w:b/>
      <w:sz w:val="20"/>
      <w:szCs w:val="20"/>
      <w:u w:val="single"/>
      <w:lang w:val="en-US"/>
    </w:rPr>
  </w:style>
  <w:style w:type="character" w:customStyle="1" w:styleId="Heading4Char">
    <w:name w:val="Heading 4 Char"/>
    <w:basedOn w:val="DefaultParagraphFont"/>
    <w:link w:val="Heading4"/>
    <w:rsid w:val="00495641"/>
    <w:rPr>
      <w:rFonts w:ascii="Verdana" w:eastAsia="Calibri" w:hAnsi="Verdana" w:cs="Times New Roman"/>
      <w:b/>
      <w:sz w:val="20"/>
      <w:szCs w:val="20"/>
      <w:u w:val="single"/>
      <w:lang w:val="en-US"/>
    </w:rPr>
  </w:style>
  <w:style w:type="character" w:customStyle="1" w:styleId="Heading5Char">
    <w:name w:val="Heading 5 Char"/>
    <w:basedOn w:val="DefaultParagraphFont"/>
    <w:link w:val="Heading5"/>
    <w:rsid w:val="00495641"/>
    <w:rPr>
      <w:rFonts w:ascii="Verdana" w:eastAsia="Calibri" w:hAnsi="Verdana" w:cs="Times New Roman"/>
      <w:b/>
      <w:bCs/>
      <w:i/>
      <w:iCs/>
      <w:sz w:val="26"/>
      <w:szCs w:val="26"/>
      <w:lang w:val="en-US"/>
    </w:rPr>
  </w:style>
  <w:style w:type="character" w:customStyle="1" w:styleId="Heading6Char">
    <w:name w:val="Heading 6 Char"/>
    <w:basedOn w:val="DefaultParagraphFont"/>
    <w:link w:val="Heading6"/>
    <w:rsid w:val="00495641"/>
    <w:rPr>
      <w:rFonts w:ascii="Verdana" w:eastAsia="Calibri" w:hAnsi="Verdana" w:cs="Times New Roman"/>
      <w:b/>
      <w:bCs/>
      <w:lang w:val="en-US"/>
    </w:rPr>
  </w:style>
  <w:style w:type="character" w:customStyle="1" w:styleId="Heading7Char">
    <w:name w:val="Heading 7 Char"/>
    <w:basedOn w:val="DefaultParagraphFont"/>
    <w:link w:val="Heading7"/>
    <w:rsid w:val="00495641"/>
    <w:rPr>
      <w:rFonts w:ascii="Trebuchet MS" w:eastAsia="Calibri" w:hAnsi="Trebuchet MS" w:cs="Times New Roman"/>
      <w:b/>
      <w:sz w:val="28"/>
      <w:szCs w:val="20"/>
      <w:u w:val="single"/>
      <w:lang w:val="en-US"/>
    </w:rPr>
  </w:style>
  <w:style w:type="character" w:customStyle="1" w:styleId="Heading8Char">
    <w:name w:val="Heading 8 Char"/>
    <w:basedOn w:val="DefaultParagraphFont"/>
    <w:link w:val="Heading8"/>
    <w:rsid w:val="00495641"/>
    <w:rPr>
      <w:rFonts w:ascii="Verdana" w:eastAsia="Calibri" w:hAnsi="Verdana" w:cs="Times New Roman"/>
      <w:i/>
      <w:iCs/>
      <w:sz w:val="24"/>
      <w:szCs w:val="24"/>
      <w:lang w:val="en-US"/>
    </w:rPr>
  </w:style>
  <w:style w:type="character" w:customStyle="1" w:styleId="Heading9Char">
    <w:name w:val="Heading 9 Char"/>
    <w:basedOn w:val="DefaultParagraphFont"/>
    <w:link w:val="Heading9"/>
    <w:rsid w:val="00495641"/>
    <w:rPr>
      <w:rFonts w:ascii="Trebuchet MS" w:eastAsia="Calibri" w:hAnsi="Trebuchet MS" w:cs="Arial"/>
      <w:b/>
      <w:sz w:val="20"/>
      <w:szCs w:val="24"/>
      <w:lang w:val="en-US"/>
    </w:rPr>
  </w:style>
  <w:style w:type="character" w:styleId="Hyperlink">
    <w:name w:val="Hyperlink"/>
    <w:uiPriority w:val="99"/>
    <w:rsid w:val="004956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95641"/>
    <w:pPr>
      <w:keepNext/>
      <w:numPr>
        <w:ilvl w:val="1"/>
        <w:numId w:val="6"/>
      </w:numPr>
      <w:overflowPunct w:val="0"/>
      <w:autoSpaceDE w:val="0"/>
      <w:autoSpaceDN w:val="0"/>
      <w:adjustRightInd w:val="0"/>
      <w:spacing w:before="120" w:after="240" w:line="240" w:lineRule="auto"/>
      <w:ind w:right="828"/>
      <w:jc w:val="both"/>
      <w:textAlignment w:val="baseline"/>
      <w:outlineLvl w:val="1"/>
    </w:pPr>
    <w:rPr>
      <w:rFonts w:ascii="Verdana" w:eastAsia="Calibri" w:hAnsi="Verdana" w:cs="Times New Roman"/>
      <w:b/>
      <w:bCs/>
      <w:i/>
      <w:color w:val="4F81BD"/>
      <w:sz w:val="24"/>
      <w:szCs w:val="24"/>
      <w:u w:val="single"/>
      <w:lang w:val="en-US"/>
    </w:rPr>
  </w:style>
  <w:style w:type="paragraph" w:styleId="Heading3">
    <w:name w:val="heading 3"/>
    <w:basedOn w:val="Normal"/>
    <w:next w:val="Normal"/>
    <w:link w:val="Heading3Char"/>
    <w:qFormat/>
    <w:rsid w:val="00495641"/>
    <w:pPr>
      <w:keepNext/>
      <w:numPr>
        <w:ilvl w:val="2"/>
        <w:numId w:val="6"/>
      </w:numPr>
      <w:overflowPunct w:val="0"/>
      <w:autoSpaceDE w:val="0"/>
      <w:autoSpaceDN w:val="0"/>
      <w:adjustRightInd w:val="0"/>
      <w:spacing w:before="240" w:after="120" w:line="240" w:lineRule="auto"/>
      <w:jc w:val="both"/>
      <w:textAlignment w:val="baseline"/>
      <w:outlineLvl w:val="2"/>
    </w:pPr>
    <w:rPr>
      <w:rFonts w:ascii="Verdana" w:eastAsia="Calibri" w:hAnsi="Verdana" w:cs="Times New Roman"/>
      <w:b/>
      <w:sz w:val="20"/>
      <w:szCs w:val="20"/>
      <w:u w:val="single"/>
      <w:lang w:val="en-US"/>
    </w:rPr>
  </w:style>
  <w:style w:type="paragraph" w:styleId="Heading4">
    <w:name w:val="heading 4"/>
    <w:basedOn w:val="Normal"/>
    <w:next w:val="Normal"/>
    <w:link w:val="Heading4Char"/>
    <w:qFormat/>
    <w:rsid w:val="00495641"/>
    <w:pPr>
      <w:keepNext/>
      <w:numPr>
        <w:ilvl w:val="3"/>
        <w:numId w:val="6"/>
      </w:numPr>
      <w:overflowPunct w:val="0"/>
      <w:autoSpaceDE w:val="0"/>
      <w:autoSpaceDN w:val="0"/>
      <w:adjustRightInd w:val="0"/>
      <w:spacing w:after="120" w:line="240" w:lineRule="auto"/>
      <w:jc w:val="both"/>
      <w:textAlignment w:val="baseline"/>
      <w:outlineLvl w:val="3"/>
    </w:pPr>
    <w:rPr>
      <w:rFonts w:ascii="Verdana" w:eastAsia="Calibri" w:hAnsi="Verdana" w:cs="Times New Roman"/>
      <w:b/>
      <w:sz w:val="20"/>
      <w:szCs w:val="20"/>
      <w:u w:val="single"/>
      <w:lang w:val="en-US"/>
    </w:rPr>
  </w:style>
  <w:style w:type="paragraph" w:styleId="Heading5">
    <w:name w:val="heading 5"/>
    <w:basedOn w:val="Normal"/>
    <w:next w:val="Normal"/>
    <w:link w:val="Heading5Char"/>
    <w:qFormat/>
    <w:rsid w:val="00495641"/>
    <w:pPr>
      <w:numPr>
        <w:ilvl w:val="4"/>
        <w:numId w:val="6"/>
      </w:numPr>
      <w:overflowPunct w:val="0"/>
      <w:autoSpaceDE w:val="0"/>
      <w:autoSpaceDN w:val="0"/>
      <w:adjustRightInd w:val="0"/>
      <w:spacing w:before="240" w:after="60" w:line="240" w:lineRule="auto"/>
      <w:jc w:val="both"/>
      <w:textAlignment w:val="baseline"/>
      <w:outlineLvl w:val="4"/>
    </w:pPr>
    <w:rPr>
      <w:rFonts w:ascii="Verdana" w:eastAsia="Calibri" w:hAnsi="Verdana" w:cs="Times New Roman"/>
      <w:b/>
      <w:bCs/>
      <w:i/>
      <w:iCs/>
      <w:sz w:val="26"/>
      <w:szCs w:val="26"/>
      <w:lang w:val="en-US"/>
    </w:rPr>
  </w:style>
  <w:style w:type="paragraph" w:styleId="Heading6">
    <w:name w:val="heading 6"/>
    <w:basedOn w:val="Normal"/>
    <w:next w:val="Normal"/>
    <w:link w:val="Heading6Char"/>
    <w:qFormat/>
    <w:rsid w:val="00495641"/>
    <w:pPr>
      <w:numPr>
        <w:ilvl w:val="5"/>
        <w:numId w:val="6"/>
      </w:numPr>
      <w:overflowPunct w:val="0"/>
      <w:autoSpaceDE w:val="0"/>
      <w:autoSpaceDN w:val="0"/>
      <w:adjustRightInd w:val="0"/>
      <w:spacing w:before="240" w:after="60" w:line="240" w:lineRule="auto"/>
      <w:jc w:val="both"/>
      <w:textAlignment w:val="baseline"/>
      <w:outlineLvl w:val="5"/>
    </w:pPr>
    <w:rPr>
      <w:rFonts w:ascii="Verdana" w:eastAsia="Calibri" w:hAnsi="Verdana" w:cs="Times New Roman"/>
      <w:b/>
      <w:bCs/>
      <w:lang w:val="en-US"/>
    </w:rPr>
  </w:style>
  <w:style w:type="paragraph" w:styleId="Heading7">
    <w:name w:val="heading 7"/>
    <w:basedOn w:val="Normal"/>
    <w:next w:val="Normal"/>
    <w:link w:val="Heading7Char"/>
    <w:qFormat/>
    <w:rsid w:val="00495641"/>
    <w:pPr>
      <w:keepNext/>
      <w:numPr>
        <w:ilvl w:val="6"/>
        <w:numId w:val="6"/>
      </w:numPr>
      <w:overflowPunct w:val="0"/>
      <w:autoSpaceDE w:val="0"/>
      <w:autoSpaceDN w:val="0"/>
      <w:adjustRightInd w:val="0"/>
      <w:spacing w:after="120" w:line="240" w:lineRule="auto"/>
      <w:jc w:val="both"/>
      <w:textAlignment w:val="baseline"/>
      <w:outlineLvl w:val="6"/>
    </w:pPr>
    <w:rPr>
      <w:rFonts w:ascii="Trebuchet MS" w:eastAsia="Calibri" w:hAnsi="Trebuchet MS" w:cs="Times New Roman"/>
      <w:b/>
      <w:sz w:val="28"/>
      <w:szCs w:val="20"/>
      <w:u w:val="single"/>
      <w:lang w:val="en-US"/>
    </w:rPr>
  </w:style>
  <w:style w:type="paragraph" w:styleId="Heading8">
    <w:name w:val="heading 8"/>
    <w:basedOn w:val="Normal"/>
    <w:next w:val="Normal"/>
    <w:link w:val="Heading8Char"/>
    <w:qFormat/>
    <w:rsid w:val="00495641"/>
    <w:pPr>
      <w:numPr>
        <w:ilvl w:val="7"/>
        <w:numId w:val="6"/>
      </w:numPr>
      <w:overflowPunct w:val="0"/>
      <w:autoSpaceDE w:val="0"/>
      <w:autoSpaceDN w:val="0"/>
      <w:adjustRightInd w:val="0"/>
      <w:spacing w:before="240" w:after="60" w:line="240" w:lineRule="auto"/>
      <w:jc w:val="both"/>
      <w:textAlignment w:val="baseline"/>
      <w:outlineLvl w:val="7"/>
    </w:pPr>
    <w:rPr>
      <w:rFonts w:ascii="Verdana" w:eastAsia="Calibri" w:hAnsi="Verdana" w:cs="Times New Roman"/>
      <w:i/>
      <w:iCs/>
      <w:sz w:val="24"/>
      <w:szCs w:val="24"/>
      <w:lang w:val="en-US"/>
    </w:rPr>
  </w:style>
  <w:style w:type="paragraph" w:styleId="Heading9">
    <w:name w:val="heading 9"/>
    <w:basedOn w:val="Normal"/>
    <w:next w:val="Normal"/>
    <w:link w:val="Heading9Char"/>
    <w:qFormat/>
    <w:rsid w:val="00495641"/>
    <w:pPr>
      <w:keepNext/>
      <w:numPr>
        <w:ilvl w:val="8"/>
        <w:numId w:val="6"/>
      </w:numPr>
      <w:spacing w:after="60" w:line="240" w:lineRule="auto"/>
      <w:jc w:val="both"/>
      <w:outlineLvl w:val="8"/>
    </w:pPr>
    <w:rPr>
      <w:rFonts w:ascii="Trebuchet MS" w:eastAsia="Calibri" w:hAnsi="Trebuchet MS" w:cs="Arial"/>
      <w:b/>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B5C"/>
    <w:pPr>
      <w:ind w:left="720"/>
      <w:contextualSpacing/>
    </w:pPr>
  </w:style>
  <w:style w:type="paragraph" w:styleId="BalloonText">
    <w:name w:val="Balloon Text"/>
    <w:basedOn w:val="Normal"/>
    <w:link w:val="BalloonTextChar"/>
    <w:uiPriority w:val="99"/>
    <w:semiHidden/>
    <w:unhideWhenUsed/>
    <w:rsid w:val="00495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641"/>
    <w:rPr>
      <w:rFonts w:ascii="Tahoma" w:hAnsi="Tahoma" w:cs="Tahoma"/>
      <w:sz w:val="16"/>
      <w:szCs w:val="16"/>
    </w:rPr>
  </w:style>
  <w:style w:type="character" w:customStyle="1" w:styleId="Heading2Char">
    <w:name w:val="Heading 2 Char"/>
    <w:basedOn w:val="DefaultParagraphFont"/>
    <w:link w:val="Heading2"/>
    <w:rsid w:val="00495641"/>
    <w:rPr>
      <w:rFonts w:ascii="Verdana" w:eastAsia="Calibri" w:hAnsi="Verdana" w:cs="Times New Roman"/>
      <w:b/>
      <w:bCs/>
      <w:i/>
      <w:color w:val="4F81BD"/>
      <w:sz w:val="24"/>
      <w:szCs w:val="24"/>
      <w:u w:val="single"/>
      <w:lang w:val="en-US"/>
    </w:rPr>
  </w:style>
  <w:style w:type="character" w:customStyle="1" w:styleId="Heading3Char">
    <w:name w:val="Heading 3 Char"/>
    <w:basedOn w:val="DefaultParagraphFont"/>
    <w:link w:val="Heading3"/>
    <w:rsid w:val="00495641"/>
    <w:rPr>
      <w:rFonts w:ascii="Verdana" w:eastAsia="Calibri" w:hAnsi="Verdana" w:cs="Times New Roman"/>
      <w:b/>
      <w:sz w:val="20"/>
      <w:szCs w:val="20"/>
      <w:u w:val="single"/>
      <w:lang w:val="en-US"/>
    </w:rPr>
  </w:style>
  <w:style w:type="character" w:customStyle="1" w:styleId="Heading4Char">
    <w:name w:val="Heading 4 Char"/>
    <w:basedOn w:val="DefaultParagraphFont"/>
    <w:link w:val="Heading4"/>
    <w:rsid w:val="00495641"/>
    <w:rPr>
      <w:rFonts w:ascii="Verdana" w:eastAsia="Calibri" w:hAnsi="Verdana" w:cs="Times New Roman"/>
      <w:b/>
      <w:sz w:val="20"/>
      <w:szCs w:val="20"/>
      <w:u w:val="single"/>
      <w:lang w:val="en-US"/>
    </w:rPr>
  </w:style>
  <w:style w:type="character" w:customStyle="1" w:styleId="Heading5Char">
    <w:name w:val="Heading 5 Char"/>
    <w:basedOn w:val="DefaultParagraphFont"/>
    <w:link w:val="Heading5"/>
    <w:rsid w:val="00495641"/>
    <w:rPr>
      <w:rFonts w:ascii="Verdana" w:eastAsia="Calibri" w:hAnsi="Verdana" w:cs="Times New Roman"/>
      <w:b/>
      <w:bCs/>
      <w:i/>
      <w:iCs/>
      <w:sz w:val="26"/>
      <w:szCs w:val="26"/>
      <w:lang w:val="en-US"/>
    </w:rPr>
  </w:style>
  <w:style w:type="character" w:customStyle="1" w:styleId="Heading6Char">
    <w:name w:val="Heading 6 Char"/>
    <w:basedOn w:val="DefaultParagraphFont"/>
    <w:link w:val="Heading6"/>
    <w:rsid w:val="00495641"/>
    <w:rPr>
      <w:rFonts w:ascii="Verdana" w:eastAsia="Calibri" w:hAnsi="Verdana" w:cs="Times New Roman"/>
      <w:b/>
      <w:bCs/>
      <w:lang w:val="en-US"/>
    </w:rPr>
  </w:style>
  <w:style w:type="character" w:customStyle="1" w:styleId="Heading7Char">
    <w:name w:val="Heading 7 Char"/>
    <w:basedOn w:val="DefaultParagraphFont"/>
    <w:link w:val="Heading7"/>
    <w:rsid w:val="00495641"/>
    <w:rPr>
      <w:rFonts w:ascii="Trebuchet MS" w:eastAsia="Calibri" w:hAnsi="Trebuchet MS" w:cs="Times New Roman"/>
      <w:b/>
      <w:sz w:val="28"/>
      <w:szCs w:val="20"/>
      <w:u w:val="single"/>
      <w:lang w:val="en-US"/>
    </w:rPr>
  </w:style>
  <w:style w:type="character" w:customStyle="1" w:styleId="Heading8Char">
    <w:name w:val="Heading 8 Char"/>
    <w:basedOn w:val="DefaultParagraphFont"/>
    <w:link w:val="Heading8"/>
    <w:rsid w:val="00495641"/>
    <w:rPr>
      <w:rFonts w:ascii="Verdana" w:eastAsia="Calibri" w:hAnsi="Verdana" w:cs="Times New Roman"/>
      <w:i/>
      <w:iCs/>
      <w:sz w:val="24"/>
      <w:szCs w:val="24"/>
      <w:lang w:val="en-US"/>
    </w:rPr>
  </w:style>
  <w:style w:type="character" w:customStyle="1" w:styleId="Heading9Char">
    <w:name w:val="Heading 9 Char"/>
    <w:basedOn w:val="DefaultParagraphFont"/>
    <w:link w:val="Heading9"/>
    <w:rsid w:val="00495641"/>
    <w:rPr>
      <w:rFonts w:ascii="Trebuchet MS" w:eastAsia="Calibri" w:hAnsi="Trebuchet MS" w:cs="Arial"/>
      <w:b/>
      <w:sz w:val="20"/>
      <w:szCs w:val="24"/>
      <w:lang w:val="en-US"/>
    </w:rPr>
  </w:style>
  <w:style w:type="character" w:styleId="Hyperlink">
    <w:name w:val="Hyperlink"/>
    <w:uiPriority w:val="99"/>
    <w:rsid w:val="004956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b.crabb@emhgroup.org.uk"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484D1-0034-4AE8-8BB5-83BC850A3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2CC1E48</Template>
  <TotalTime>420</TotalTime>
  <Pages>2</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Pritti Allen</dc:creator>
  <cp:lastModifiedBy>Bob Crabb</cp:lastModifiedBy>
  <cp:revision>28</cp:revision>
  <cp:lastPrinted>2016-11-08T11:22:00Z</cp:lastPrinted>
  <dcterms:created xsi:type="dcterms:W3CDTF">2016-06-16T14:43:00Z</dcterms:created>
  <dcterms:modified xsi:type="dcterms:W3CDTF">2016-11-08T11:25:00Z</dcterms:modified>
</cp:coreProperties>
</file>