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8FDA2" w14:textId="7876EEBE" w:rsidR="00730835" w:rsidRPr="006960F4" w:rsidRDefault="00EC2162" w:rsidP="00D5050D">
      <w:pPr>
        <w:pStyle w:val="Heading1"/>
        <w:spacing w:before="0" w:after="120" w:line="276" w:lineRule="auto"/>
        <w:rPr>
          <w:rFonts w:ascii="Verdana" w:hAnsi="Verdana"/>
          <w:b w:val="0"/>
          <w:color w:val="183850" w:themeColor="text1"/>
          <w:sz w:val="34"/>
          <w:szCs w:val="34"/>
        </w:rPr>
      </w:pPr>
      <w:r>
        <w:rPr>
          <w:rFonts w:ascii="Verdana" w:hAnsi="Verdana"/>
          <w:b w:val="0"/>
          <w:color w:val="183850" w:themeColor="text1"/>
          <w:sz w:val="34"/>
          <w:szCs w:val="34"/>
        </w:rPr>
        <w:t>LPP GROUP</w:t>
      </w:r>
    </w:p>
    <w:p w14:paraId="54D6DBFC" w14:textId="024CA669" w:rsidR="00730835" w:rsidRDefault="00677D83" w:rsidP="00D5050D">
      <w:pPr>
        <w:spacing w:after="0" w:line="240" w:lineRule="auto"/>
        <w:rPr>
          <w:rFonts w:ascii="Verdana" w:hAnsi="Verdana" w:cs="Arial"/>
          <w:bCs/>
          <w:color w:val="2BADEC" w:themeColor="accent1" w:themeShade="BF"/>
          <w:sz w:val="34"/>
          <w:szCs w:val="34"/>
        </w:rPr>
      </w:pPr>
      <w:r>
        <w:rPr>
          <w:rFonts w:ascii="Verdana" w:hAnsi="Verdana" w:cs="Arial"/>
          <w:bCs/>
          <w:color w:val="2BADEC" w:themeColor="accent1" w:themeShade="BF"/>
          <w:sz w:val="34"/>
          <w:szCs w:val="34"/>
        </w:rPr>
        <w:t>Company Mandatory Policies</w:t>
      </w:r>
    </w:p>
    <w:p w14:paraId="51C22BDC" w14:textId="77777777" w:rsidR="00D5050D" w:rsidRPr="006960F4" w:rsidRDefault="00D5050D" w:rsidP="00D5050D">
      <w:pPr>
        <w:spacing w:after="0" w:line="240" w:lineRule="auto"/>
        <w:rPr>
          <w:rFonts w:ascii="Verdana" w:hAnsi="Verdana" w:cs="Arial"/>
          <w:bCs/>
          <w:color w:val="2BADEC" w:themeColor="accent1" w:themeShade="BF"/>
          <w:sz w:val="34"/>
          <w:szCs w:val="34"/>
        </w:rPr>
      </w:pPr>
    </w:p>
    <w:p w14:paraId="2119848B" w14:textId="77777777" w:rsidR="00730835" w:rsidRPr="00463526" w:rsidRDefault="00730835" w:rsidP="00730835">
      <w:pPr>
        <w:pStyle w:val="treb"/>
        <w:ind w:left="567" w:hanging="567"/>
        <w:rPr>
          <w:rFonts w:ascii="Verdana" w:hAnsi="Verdana"/>
          <w:color w:val="54BBAB" w:themeColor="text2"/>
          <w:szCs w:val="20"/>
        </w:rPr>
      </w:pPr>
      <w:r w:rsidRPr="00463526">
        <w:rPr>
          <w:rFonts w:ascii="Verdana" w:hAnsi="Verdana"/>
          <w:color w:val="54BBAB" w:themeColor="text2"/>
          <w:szCs w:val="20"/>
        </w:rPr>
        <w:t>Introduction</w:t>
      </w:r>
    </w:p>
    <w:p w14:paraId="6E03A952" w14:textId="021F2CCC" w:rsidR="00677D83" w:rsidRPr="00677D83" w:rsidRDefault="00677D83" w:rsidP="00677D83">
      <w:pPr>
        <w:autoSpaceDE w:val="0"/>
        <w:autoSpaceDN w:val="0"/>
        <w:adjustRightInd w:val="0"/>
        <w:spacing w:after="0" w:line="240" w:lineRule="auto"/>
        <w:rPr>
          <w:rFonts w:ascii="Verdana" w:hAnsi="Verdana" w:cs="Arial"/>
          <w:bCs/>
          <w:color w:val="183850" w:themeColor="text1"/>
          <w:sz w:val="20"/>
        </w:rPr>
      </w:pPr>
      <w:r w:rsidRPr="00677D83">
        <w:rPr>
          <w:rFonts w:ascii="Verdana" w:hAnsi="Verdana" w:cs="Arial"/>
          <w:bCs/>
          <w:color w:val="183850" w:themeColor="text1"/>
          <w:sz w:val="20"/>
        </w:rPr>
        <w:t>This document sets out the Company’s Mandatory Policies which are referenced in the Invitation to Tender and/or Agreement.</w:t>
      </w:r>
    </w:p>
    <w:p w14:paraId="01062FAE" w14:textId="77777777" w:rsidR="00677D83" w:rsidRPr="00677D83" w:rsidRDefault="00677D83" w:rsidP="00677D83">
      <w:pPr>
        <w:autoSpaceDE w:val="0"/>
        <w:autoSpaceDN w:val="0"/>
        <w:adjustRightInd w:val="0"/>
        <w:spacing w:after="0" w:line="240" w:lineRule="auto"/>
        <w:rPr>
          <w:rFonts w:ascii="Verdana" w:hAnsi="Verdana" w:cs="Arial"/>
          <w:bCs/>
          <w:color w:val="183850" w:themeColor="text1"/>
          <w:sz w:val="20"/>
        </w:rPr>
      </w:pPr>
    </w:p>
    <w:p w14:paraId="57307D03" w14:textId="77777777" w:rsidR="00730835" w:rsidRPr="00677D83" w:rsidRDefault="00677D83" w:rsidP="00677D83">
      <w:pPr>
        <w:autoSpaceDE w:val="0"/>
        <w:autoSpaceDN w:val="0"/>
        <w:adjustRightInd w:val="0"/>
        <w:spacing w:after="0" w:line="240" w:lineRule="auto"/>
        <w:rPr>
          <w:rFonts w:ascii="Verdana" w:hAnsi="Verdana" w:cs="Arial"/>
          <w:color w:val="183850" w:themeColor="text1"/>
          <w:sz w:val="18"/>
          <w:szCs w:val="20"/>
        </w:rPr>
      </w:pPr>
      <w:r w:rsidRPr="00677D83">
        <w:rPr>
          <w:rFonts w:ascii="Verdana" w:hAnsi="Verdana" w:cs="Arial"/>
          <w:bCs/>
          <w:color w:val="183850" w:themeColor="text1"/>
          <w:sz w:val="20"/>
        </w:rPr>
        <w:t>By responding to an ITT and/or entering into an Agreement, you hereby acknowledge that you have read, understood and shall adhere to these Mandatory Policies.</w:t>
      </w:r>
    </w:p>
    <w:p w14:paraId="66CF571D" w14:textId="77777777" w:rsidR="00D742B4" w:rsidRPr="00463526" w:rsidRDefault="00D742B4" w:rsidP="00730835">
      <w:pPr>
        <w:autoSpaceDE w:val="0"/>
        <w:autoSpaceDN w:val="0"/>
        <w:adjustRightInd w:val="0"/>
        <w:spacing w:after="0" w:line="240" w:lineRule="auto"/>
        <w:rPr>
          <w:rFonts w:ascii="Verdana" w:hAnsi="Verdana" w:cs="CenturyGothic"/>
          <w:color w:val="183850" w:themeColor="text1"/>
          <w:szCs w:val="20"/>
        </w:rPr>
      </w:pPr>
    </w:p>
    <w:p w14:paraId="7A38CC2E" w14:textId="7BD18398" w:rsidR="00730835" w:rsidRDefault="00677D83" w:rsidP="00730835">
      <w:pPr>
        <w:pStyle w:val="treb"/>
        <w:ind w:left="567" w:hanging="567"/>
        <w:rPr>
          <w:rFonts w:ascii="Verdana" w:hAnsi="Verdana"/>
          <w:color w:val="54BBAB" w:themeColor="text2"/>
          <w:szCs w:val="20"/>
        </w:rPr>
      </w:pPr>
      <w:r>
        <w:rPr>
          <w:rFonts w:ascii="Verdana" w:hAnsi="Verdana"/>
          <w:color w:val="54BBAB" w:themeColor="text2"/>
          <w:szCs w:val="20"/>
        </w:rPr>
        <w:t>Defined Terms</w:t>
      </w:r>
    </w:p>
    <w:tbl>
      <w:tblPr>
        <w:tblW w:w="8255" w:type="dxa"/>
        <w:tblInd w:w="959" w:type="dxa"/>
        <w:tblCellMar>
          <w:left w:w="10" w:type="dxa"/>
          <w:right w:w="10" w:type="dxa"/>
        </w:tblCellMar>
        <w:tblLook w:val="04A0" w:firstRow="1" w:lastRow="0" w:firstColumn="1" w:lastColumn="0" w:noHBand="0" w:noVBand="1"/>
      </w:tblPr>
      <w:tblGrid>
        <w:gridCol w:w="3260"/>
        <w:gridCol w:w="4995"/>
      </w:tblGrid>
      <w:tr w:rsidR="00677D83" w:rsidRPr="00677D83" w14:paraId="511DBE4E" w14:textId="77777777" w:rsidTr="00986E3A">
        <w:tc>
          <w:tcPr>
            <w:tcW w:w="3260" w:type="dxa"/>
            <w:shd w:val="clear" w:color="auto" w:fill="auto"/>
            <w:tcMar>
              <w:top w:w="57" w:type="dxa"/>
              <w:left w:w="57" w:type="dxa"/>
              <w:bottom w:w="57" w:type="dxa"/>
              <w:right w:w="57" w:type="dxa"/>
            </w:tcMar>
          </w:tcPr>
          <w:p w14:paraId="09C76617" w14:textId="77777777" w:rsidR="00677D83" w:rsidRPr="00677D83" w:rsidRDefault="00677D83" w:rsidP="00986E3A">
            <w:pPr>
              <w:pStyle w:val="Definition"/>
              <w:spacing w:before="120" w:after="240"/>
              <w:ind w:left="0" w:firstLine="0"/>
              <w:jc w:val="left"/>
              <w:rPr>
                <w:b/>
                <w:color w:val="183850" w:themeColor="text1"/>
                <w:sz w:val="20"/>
                <w:szCs w:val="20"/>
              </w:rPr>
            </w:pPr>
            <w:r w:rsidRPr="00677D83">
              <w:rPr>
                <w:b/>
                <w:color w:val="183850" w:themeColor="text1"/>
                <w:sz w:val="20"/>
                <w:szCs w:val="20"/>
              </w:rPr>
              <w:t>“Adequate Procedures”</w:t>
            </w:r>
          </w:p>
        </w:tc>
        <w:tc>
          <w:tcPr>
            <w:tcW w:w="4995" w:type="dxa"/>
            <w:shd w:val="clear" w:color="auto" w:fill="auto"/>
            <w:tcMar>
              <w:top w:w="57" w:type="dxa"/>
              <w:left w:w="57" w:type="dxa"/>
              <w:bottom w:w="57" w:type="dxa"/>
              <w:right w:w="57" w:type="dxa"/>
            </w:tcMar>
          </w:tcPr>
          <w:p w14:paraId="41A4249F" w14:textId="77777777" w:rsidR="00677D83" w:rsidRPr="00677D83" w:rsidRDefault="00677D83" w:rsidP="00986E3A">
            <w:pPr>
              <w:pStyle w:val="Definition"/>
              <w:spacing w:before="120" w:after="240"/>
              <w:ind w:left="0" w:firstLine="0"/>
              <w:rPr>
                <w:color w:val="183850" w:themeColor="text1"/>
                <w:sz w:val="20"/>
                <w:szCs w:val="20"/>
              </w:rPr>
            </w:pPr>
            <w:r w:rsidRPr="00677D83">
              <w:rPr>
                <w:color w:val="183850" w:themeColor="text1"/>
                <w:sz w:val="20"/>
                <w:szCs w:val="20"/>
              </w:rPr>
              <w:t>has the meaning given to it in the Bribery Act;</w:t>
            </w:r>
          </w:p>
        </w:tc>
      </w:tr>
      <w:tr w:rsidR="00677D83" w:rsidRPr="00677D83" w14:paraId="63D28AC2" w14:textId="77777777" w:rsidTr="00986E3A">
        <w:tc>
          <w:tcPr>
            <w:tcW w:w="3260" w:type="dxa"/>
            <w:shd w:val="clear" w:color="auto" w:fill="auto"/>
            <w:tcMar>
              <w:top w:w="57" w:type="dxa"/>
              <w:left w:w="57" w:type="dxa"/>
              <w:bottom w:w="57" w:type="dxa"/>
              <w:right w:w="57" w:type="dxa"/>
            </w:tcMar>
          </w:tcPr>
          <w:p w14:paraId="7D1A884E" w14:textId="77777777" w:rsidR="00677D83" w:rsidRPr="00677D83" w:rsidRDefault="00677D83" w:rsidP="00986E3A">
            <w:pPr>
              <w:pStyle w:val="Definition"/>
              <w:spacing w:before="120" w:after="240"/>
              <w:ind w:left="0" w:firstLine="0"/>
              <w:jc w:val="left"/>
              <w:rPr>
                <w:b/>
                <w:color w:val="183850" w:themeColor="text1"/>
                <w:sz w:val="20"/>
                <w:szCs w:val="20"/>
              </w:rPr>
            </w:pPr>
            <w:r w:rsidRPr="00677D83">
              <w:rPr>
                <w:b/>
                <w:color w:val="183850" w:themeColor="text1"/>
                <w:sz w:val="20"/>
                <w:szCs w:val="20"/>
              </w:rPr>
              <w:t>“Affiliate”</w:t>
            </w:r>
          </w:p>
        </w:tc>
        <w:tc>
          <w:tcPr>
            <w:tcW w:w="4995" w:type="dxa"/>
            <w:shd w:val="clear" w:color="auto" w:fill="auto"/>
            <w:tcMar>
              <w:top w:w="57" w:type="dxa"/>
              <w:left w:w="57" w:type="dxa"/>
              <w:bottom w:w="57" w:type="dxa"/>
              <w:right w:w="57" w:type="dxa"/>
            </w:tcMar>
          </w:tcPr>
          <w:p w14:paraId="7DEC0D98" w14:textId="77777777" w:rsidR="00677D83" w:rsidRPr="00677D83" w:rsidRDefault="00677D83" w:rsidP="00986E3A">
            <w:pPr>
              <w:pStyle w:val="Definition"/>
              <w:spacing w:before="120" w:after="240"/>
              <w:ind w:left="0" w:firstLine="0"/>
              <w:rPr>
                <w:color w:val="183850" w:themeColor="text1"/>
                <w:sz w:val="20"/>
                <w:szCs w:val="20"/>
              </w:rPr>
            </w:pPr>
            <w:r w:rsidRPr="00677D83">
              <w:rPr>
                <w:color w:val="183850" w:themeColor="text1"/>
                <w:sz w:val="20"/>
                <w:szCs w:val="20"/>
              </w:rPr>
              <w:t xml:space="preserve">means in relation to a Party, any person which, from time to time, Controls that Party, is Controlled by that Party, or is under common Control with that Party. For the purposes of the aforesaid “Control” </w:t>
            </w:r>
            <w:r w:rsidRPr="00677D83">
              <w:rPr>
                <w:rFonts w:cs="Arial"/>
                <w:color w:val="183850" w:themeColor="text1"/>
                <w:sz w:val="20"/>
                <w:szCs w:val="20"/>
              </w:rPr>
              <w:t>has the meaning given in sections 450 and 451 of the Corporation Tax Act 2010 and “Controls” and “Controlled” shall be interpreted accordingly</w:t>
            </w:r>
            <w:r w:rsidRPr="00677D83">
              <w:rPr>
                <w:color w:val="183850" w:themeColor="text1"/>
                <w:sz w:val="20"/>
                <w:szCs w:val="20"/>
              </w:rPr>
              <w:t>;</w:t>
            </w:r>
          </w:p>
        </w:tc>
      </w:tr>
      <w:tr w:rsidR="00677D83" w:rsidRPr="00677D83" w14:paraId="5C0BC395" w14:textId="77777777" w:rsidTr="00986E3A">
        <w:tc>
          <w:tcPr>
            <w:tcW w:w="3260" w:type="dxa"/>
            <w:shd w:val="clear" w:color="auto" w:fill="auto"/>
            <w:tcMar>
              <w:top w:w="57" w:type="dxa"/>
              <w:left w:w="57" w:type="dxa"/>
              <w:bottom w:w="57" w:type="dxa"/>
              <w:right w:w="57" w:type="dxa"/>
            </w:tcMar>
          </w:tcPr>
          <w:p w14:paraId="1F222F23" w14:textId="77777777" w:rsidR="00677D83" w:rsidRPr="00677D83" w:rsidRDefault="00677D83" w:rsidP="00986E3A">
            <w:pPr>
              <w:pStyle w:val="Body"/>
              <w:spacing w:before="120"/>
              <w:jc w:val="left"/>
              <w:rPr>
                <w:b/>
                <w:bCs/>
                <w:color w:val="183850" w:themeColor="text1"/>
                <w:sz w:val="20"/>
                <w:szCs w:val="20"/>
              </w:rPr>
            </w:pPr>
            <w:r w:rsidRPr="00677D83">
              <w:rPr>
                <w:b/>
                <w:bCs/>
                <w:color w:val="183850" w:themeColor="text1"/>
                <w:sz w:val="20"/>
                <w:szCs w:val="20"/>
              </w:rPr>
              <w:t>“Agreement”</w:t>
            </w:r>
          </w:p>
        </w:tc>
        <w:tc>
          <w:tcPr>
            <w:tcW w:w="4995" w:type="dxa"/>
            <w:shd w:val="clear" w:color="auto" w:fill="auto"/>
            <w:tcMar>
              <w:top w:w="57" w:type="dxa"/>
              <w:left w:w="57" w:type="dxa"/>
              <w:bottom w:w="57" w:type="dxa"/>
              <w:right w:w="57" w:type="dxa"/>
            </w:tcMar>
          </w:tcPr>
          <w:p w14:paraId="7D771273" w14:textId="77777777" w:rsidR="00677D83" w:rsidRPr="00677D83" w:rsidRDefault="00677D83" w:rsidP="00986E3A">
            <w:pPr>
              <w:pStyle w:val="Body"/>
              <w:rPr>
                <w:color w:val="183850" w:themeColor="text1"/>
                <w:sz w:val="20"/>
                <w:szCs w:val="20"/>
              </w:rPr>
            </w:pPr>
            <w:r w:rsidRPr="00677D83">
              <w:rPr>
                <w:color w:val="183850" w:themeColor="text1"/>
                <w:sz w:val="20"/>
                <w:szCs w:val="20"/>
              </w:rPr>
              <w:t>means any contractual or other document entered into between the Parties, which is read in conjunction with these Mandatory Policies;</w:t>
            </w:r>
          </w:p>
        </w:tc>
      </w:tr>
      <w:tr w:rsidR="00677D83" w:rsidRPr="00677D83" w14:paraId="4BB194E7" w14:textId="77777777" w:rsidTr="00986E3A">
        <w:tc>
          <w:tcPr>
            <w:tcW w:w="3260" w:type="dxa"/>
            <w:shd w:val="clear" w:color="auto" w:fill="auto"/>
            <w:tcMar>
              <w:top w:w="57" w:type="dxa"/>
              <w:left w:w="57" w:type="dxa"/>
              <w:bottom w:w="57" w:type="dxa"/>
              <w:right w:w="57" w:type="dxa"/>
            </w:tcMar>
          </w:tcPr>
          <w:p w14:paraId="4A5B0412" w14:textId="77777777" w:rsidR="00677D83" w:rsidRPr="00677D83" w:rsidRDefault="00677D83" w:rsidP="00986E3A">
            <w:pPr>
              <w:pStyle w:val="Body"/>
              <w:rPr>
                <w:b/>
                <w:bCs/>
                <w:color w:val="183850" w:themeColor="text1"/>
                <w:sz w:val="20"/>
                <w:szCs w:val="20"/>
              </w:rPr>
            </w:pPr>
            <w:r w:rsidRPr="00677D83">
              <w:rPr>
                <w:b/>
                <w:bCs/>
                <w:color w:val="183850" w:themeColor="text1"/>
                <w:sz w:val="20"/>
                <w:szCs w:val="20"/>
              </w:rPr>
              <w:t>“Applicable Law”</w:t>
            </w:r>
          </w:p>
        </w:tc>
        <w:tc>
          <w:tcPr>
            <w:tcW w:w="4995" w:type="dxa"/>
            <w:shd w:val="clear" w:color="auto" w:fill="auto"/>
            <w:tcMar>
              <w:top w:w="57" w:type="dxa"/>
              <w:left w:w="57" w:type="dxa"/>
              <w:bottom w:w="57" w:type="dxa"/>
              <w:right w:w="57" w:type="dxa"/>
            </w:tcMar>
          </w:tcPr>
          <w:p w14:paraId="20B7F152" w14:textId="77777777" w:rsidR="00677D83" w:rsidRPr="00677D83" w:rsidRDefault="00677D83" w:rsidP="00986E3A">
            <w:pPr>
              <w:pStyle w:val="Body"/>
              <w:rPr>
                <w:color w:val="183850" w:themeColor="text1"/>
                <w:sz w:val="20"/>
                <w:szCs w:val="20"/>
              </w:rPr>
            </w:pPr>
            <w:r w:rsidRPr="00677D83">
              <w:rPr>
                <w:color w:val="183850" w:themeColor="text1"/>
                <w:sz w:val="20"/>
                <w:szCs w:val="20"/>
              </w:rPr>
              <w:t>means all laws, statutes, regulatory rules and regulations applicable to a Party relevant to its rights and obligations under the ITT and/or Agreement;</w:t>
            </w:r>
          </w:p>
        </w:tc>
      </w:tr>
      <w:tr w:rsidR="00677D83" w:rsidRPr="00677D83" w14:paraId="7F0A8BCB" w14:textId="77777777" w:rsidTr="00986E3A">
        <w:tc>
          <w:tcPr>
            <w:tcW w:w="3260" w:type="dxa"/>
            <w:shd w:val="clear" w:color="auto" w:fill="auto"/>
            <w:tcMar>
              <w:top w:w="57" w:type="dxa"/>
              <w:left w:w="57" w:type="dxa"/>
              <w:bottom w:w="57" w:type="dxa"/>
              <w:right w:w="57" w:type="dxa"/>
            </w:tcMar>
          </w:tcPr>
          <w:p w14:paraId="76AA5202" w14:textId="77777777" w:rsidR="00677D83" w:rsidRPr="00677D83" w:rsidRDefault="00677D83" w:rsidP="00986E3A">
            <w:pPr>
              <w:pStyle w:val="Body"/>
              <w:rPr>
                <w:b/>
                <w:bCs/>
                <w:color w:val="183850" w:themeColor="text1"/>
                <w:sz w:val="20"/>
                <w:szCs w:val="20"/>
              </w:rPr>
            </w:pPr>
            <w:r w:rsidRPr="00677D83">
              <w:rPr>
                <w:b/>
                <w:bCs/>
                <w:color w:val="183850" w:themeColor="text1"/>
                <w:sz w:val="20"/>
                <w:szCs w:val="20"/>
              </w:rPr>
              <w:t>“Bribery Act”</w:t>
            </w:r>
          </w:p>
        </w:tc>
        <w:tc>
          <w:tcPr>
            <w:tcW w:w="4995" w:type="dxa"/>
            <w:shd w:val="clear" w:color="auto" w:fill="auto"/>
            <w:tcMar>
              <w:top w:w="57" w:type="dxa"/>
              <w:left w:w="57" w:type="dxa"/>
              <w:bottom w:w="57" w:type="dxa"/>
              <w:right w:w="57" w:type="dxa"/>
            </w:tcMar>
          </w:tcPr>
          <w:p w14:paraId="7F190CBC" w14:textId="77777777" w:rsidR="00677D83" w:rsidRPr="00677D83" w:rsidRDefault="00677D83" w:rsidP="00986E3A">
            <w:pPr>
              <w:pStyle w:val="Body"/>
              <w:rPr>
                <w:color w:val="183850" w:themeColor="text1"/>
                <w:sz w:val="20"/>
                <w:szCs w:val="20"/>
              </w:rPr>
            </w:pPr>
            <w:r w:rsidRPr="00677D83">
              <w:rPr>
                <w:color w:val="183850" w:themeColor="text1"/>
                <w:sz w:val="20"/>
                <w:szCs w:val="20"/>
              </w:rPr>
              <w:t>means the Bribery Act 2010 as amended, updated or replaced from time to time;</w:t>
            </w:r>
          </w:p>
        </w:tc>
      </w:tr>
      <w:tr w:rsidR="00677D83" w:rsidRPr="00677D83" w14:paraId="0CECF8C9" w14:textId="77777777" w:rsidTr="00986E3A">
        <w:tc>
          <w:tcPr>
            <w:tcW w:w="3260" w:type="dxa"/>
            <w:shd w:val="clear" w:color="auto" w:fill="auto"/>
            <w:tcMar>
              <w:top w:w="57" w:type="dxa"/>
              <w:left w:w="57" w:type="dxa"/>
              <w:bottom w:w="57" w:type="dxa"/>
              <w:right w:w="57" w:type="dxa"/>
            </w:tcMar>
          </w:tcPr>
          <w:p w14:paraId="52A1E28E" w14:textId="77777777" w:rsidR="00677D83" w:rsidRPr="00677D83" w:rsidRDefault="00677D83" w:rsidP="00986E3A">
            <w:pPr>
              <w:pStyle w:val="Body"/>
              <w:rPr>
                <w:b/>
                <w:bCs/>
                <w:color w:val="183850" w:themeColor="text1"/>
                <w:sz w:val="20"/>
                <w:szCs w:val="20"/>
              </w:rPr>
            </w:pPr>
            <w:r w:rsidRPr="00677D83">
              <w:rPr>
                <w:b/>
                <w:bCs/>
                <w:color w:val="183850" w:themeColor="text1"/>
                <w:sz w:val="20"/>
                <w:szCs w:val="20"/>
              </w:rPr>
              <w:t>“Business Day”</w:t>
            </w:r>
          </w:p>
        </w:tc>
        <w:tc>
          <w:tcPr>
            <w:tcW w:w="4995" w:type="dxa"/>
            <w:shd w:val="clear" w:color="auto" w:fill="auto"/>
            <w:tcMar>
              <w:top w:w="57" w:type="dxa"/>
              <w:left w:w="57" w:type="dxa"/>
              <w:bottom w:w="57" w:type="dxa"/>
              <w:right w:w="57" w:type="dxa"/>
            </w:tcMar>
          </w:tcPr>
          <w:p w14:paraId="277D4C83" w14:textId="77777777" w:rsidR="00677D83" w:rsidRPr="00677D83" w:rsidRDefault="00677D83" w:rsidP="00986E3A">
            <w:pPr>
              <w:pStyle w:val="Body"/>
              <w:rPr>
                <w:color w:val="183850" w:themeColor="text1"/>
                <w:sz w:val="20"/>
                <w:szCs w:val="20"/>
              </w:rPr>
            </w:pPr>
            <w:r w:rsidRPr="00677D83">
              <w:rPr>
                <w:color w:val="183850" w:themeColor="text1"/>
                <w:sz w:val="20"/>
                <w:szCs w:val="20"/>
              </w:rPr>
              <w:t xml:space="preserve">means any day other than Saturday or Sunday or a public or bank holiday in the United Kingdom; </w:t>
            </w:r>
          </w:p>
        </w:tc>
      </w:tr>
      <w:tr w:rsidR="00677D83" w:rsidRPr="00677D83" w14:paraId="03DA7DD2" w14:textId="77777777" w:rsidTr="00986E3A">
        <w:tc>
          <w:tcPr>
            <w:tcW w:w="3260" w:type="dxa"/>
            <w:shd w:val="clear" w:color="auto" w:fill="auto"/>
            <w:tcMar>
              <w:top w:w="57" w:type="dxa"/>
              <w:left w:w="57" w:type="dxa"/>
              <w:bottom w:w="57" w:type="dxa"/>
              <w:right w:w="57" w:type="dxa"/>
            </w:tcMar>
          </w:tcPr>
          <w:p w14:paraId="7A10FD86" w14:textId="77777777" w:rsidR="00677D83" w:rsidRPr="00677D83" w:rsidRDefault="00677D83" w:rsidP="00986E3A">
            <w:pPr>
              <w:pStyle w:val="Body"/>
              <w:jc w:val="left"/>
              <w:rPr>
                <w:b/>
                <w:bCs/>
                <w:color w:val="183850" w:themeColor="text1"/>
                <w:sz w:val="20"/>
                <w:szCs w:val="20"/>
              </w:rPr>
            </w:pPr>
            <w:r w:rsidRPr="00677D83">
              <w:rPr>
                <w:b/>
                <w:bCs/>
                <w:color w:val="183850" w:themeColor="text1"/>
                <w:sz w:val="20"/>
                <w:szCs w:val="20"/>
              </w:rPr>
              <w:t>“Commercially Sensitive Information”</w:t>
            </w:r>
          </w:p>
        </w:tc>
        <w:tc>
          <w:tcPr>
            <w:tcW w:w="4995" w:type="dxa"/>
            <w:shd w:val="clear" w:color="auto" w:fill="auto"/>
            <w:tcMar>
              <w:top w:w="57" w:type="dxa"/>
              <w:left w:w="57" w:type="dxa"/>
              <w:bottom w:w="57" w:type="dxa"/>
              <w:right w:w="57" w:type="dxa"/>
            </w:tcMar>
          </w:tcPr>
          <w:p w14:paraId="78DAFAF5" w14:textId="77777777" w:rsidR="00677D83" w:rsidRPr="00677D83" w:rsidRDefault="00677D83" w:rsidP="00986E3A">
            <w:pPr>
              <w:pStyle w:val="Body"/>
              <w:rPr>
                <w:color w:val="183850" w:themeColor="text1"/>
                <w:sz w:val="20"/>
                <w:szCs w:val="20"/>
              </w:rPr>
            </w:pPr>
            <w:r w:rsidRPr="00677D83">
              <w:rPr>
                <w:color w:val="183850" w:themeColor="text1"/>
                <w:sz w:val="20"/>
                <w:szCs w:val="20"/>
              </w:rPr>
              <w:t>means confidential and/or commercially sensitive information relating to a Party and its Affiliates which is held by or provided to the other Party;</w:t>
            </w:r>
          </w:p>
        </w:tc>
      </w:tr>
      <w:tr w:rsidR="00677D83" w:rsidRPr="00677D83" w14:paraId="30491CDB" w14:textId="77777777" w:rsidTr="00986E3A">
        <w:trPr>
          <w:trHeight w:val="145"/>
        </w:trPr>
        <w:tc>
          <w:tcPr>
            <w:tcW w:w="3260" w:type="dxa"/>
            <w:shd w:val="clear" w:color="auto" w:fill="auto"/>
            <w:tcMar>
              <w:top w:w="57" w:type="dxa"/>
              <w:left w:w="57" w:type="dxa"/>
              <w:bottom w:w="57" w:type="dxa"/>
              <w:right w:w="57" w:type="dxa"/>
            </w:tcMar>
          </w:tcPr>
          <w:p w14:paraId="70199BA8" w14:textId="77777777" w:rsidR="00677D83" w:rsidRPr="00677D83" w:rsidRDefault="00677D83" w:rsidP="00986E3A">
            <w:pPr>
              <w:pStyle w:val="Body"/>
              <w:spacing w:before="120"/>
              <w:jc w:val="left"/>
              <w:rPr>
                <w:b/>
                <w:bCs/>
                <w:color w:val="183850" w:themeColor="text1"/>
                <w:sz w:val="20"/>
                <w:szCs w:val="20"/>
              </w:rPr>
            </w:pPr>
            <w:r w:rsidRPr="00677D83">
              <w:rPr>
                <w:b/>
                <w:bCs/>
                <w:color w:val="183850" w:themeColor="text1"/>
                <w:sz w:val="20"/>
                <w:szCs w:val="20"/>
              </w:rPr>
              <w:lastRenderedPageBreak/>
              <w:t>“Company”</w:t>
            </w:r>
          </w:p>
        </w:tc>
        <w:tc>
          <w:tcPr>
            <w:tcW w:w="4995" w:type="dxa"/>
            <w:shd w:val="clear" w:color="auto" w:fill="auto"/>
            <w:tcMar>
              <w:top w:w="57" w:type="dxa"/>
              <w:left w:w="57" w:type="dxa"/>
              <w:bottom w:w="57" w:type="dxa"/>
              <w:right w:w="57" w:type="dxa"/>
            </w:tcMar>
          </w:tcPr>
          <w:p w14:paraId="217568FB" w14:textId="77777777" w:rsidR="00677D83" w:rsidRPr="00677D83" w:rsidRDefault="00677D83" w:rsidP="00986E3A">
            <w:pPr>
              <w:pStyle w:val="Definition"/>
              <w:spacing w:before="120" w:after="240"/>
              <w:ind w:left="0" w:firstLine="0"/>
              <w:rPr>
                <w:rFonts w:cs="Arial"/>
                <w:color w:val="183850" w:themeColor="text1"/>
                <w:sz w:val="20"/>
                <w:szCs w:val="20"/>
              </w:rPr>
            </w:pPr>
            <w:r w:rsidRPr="00677D83">
              <w:rPr>
                <w:rFonts w:cs="Arial"/>
                <w:color w:val="183850" w:themeColor="text1"/>
                <w:sz w:val="20"/>
                <w:szCs w:val="20"/>
              </w:rPr>
              <w:t>means Local Pensions Partnership Ltd or Local Pensions Partnership Investments Ltd, and each of their respective Affiliates, as the case may be;</w:t>
            </w:r>
          </w:p>
        </w:tc>
      </w:tr>
      <w:tr w:rsidR="00677D83" w:rsidRPr="00677D83" w14:paraId="5ADB4A54" w14:textId="77777777" w:rsidTr="00986E3A">
        <w:trPr>
          <w:trHeight w:val="145"/>
        </w:trPr>
        <w:tc>
          <w:tcPr>
            <w:tcW w:w="3260" w:type="dxa"/>
            <w:shd w:val="clear" w:color="auto" w:fill="auto"/>
            <w:tcMar>
              <w:top w:w="57" w:type="dxa"/>
              <w:left w:w="57" w:type="dxa"/>
              <w:bottom w:w="57" w:type="dxa"/>
              <w:right w:w="57" w:type="dxa"/>
            </w:tcMar>
          </w:tcPr>
          <w:p w14:paraId="7FE4D5D2" w14:textId="77777777" w:rsidR="00677D83" w:rsidRPr="00677D83" w:rsidRDefault="00677D83" w:rsidP="00986E3A">
            <w:pPr>
              <w:pStyle w:val="Body"/>
              <w:spacing w:before="120"/>
              <w:jc w:val="left"/>
              <w:rPr>
                <w:b/>
                <w:bCs/>
                <w:color w:val="183850" w:themeColor="text1"/>
                <w:sz w:val="20"/>
                <w:szCs w:val="20"/>
              </w:rPr>
            </w:pPr>
          </w:p>
        </w:tc>
        <w:tc>
          <w:tcPr>
            <w:tcW w:w="4995" w:type="dxa"/>
            <w:shd w:val="clear" w:color="auto" w:fill="auto"/>
            <w:tcMar>
              <w:top w:w="57" w:type="dxa"/>
              <w:left w:w="57" w:type="dxa"/>
              <w:bottom w:w="57" w:type="dxa"/>
              <w:right w:w="57" w:type="dxa"/>
            </w:tcMar>
          </w:tcPr>
          <w:p w14:paraId="08EBD872" w14:textId="77777777" w:rsidR="00677D83" w:rsidRPr="00677D83" w:rsidRDefault="00677D83" w:rsidP="00986E3A">
            <w:pPr>
              <w:pStyle w:val="Definition"/>
              <w:spacing w:before="120" w:after="240"/>
              <w:ind w:left="0" w:firstLine="0"/>
              <w:rPr>
                <w:rFonts w:cs="Arial"/>
                <w:color w:val="183850" w:themeColor="text1"/>
                <w:sz w:val="20"/>
                <w:szCs w:val="20"/>
              </w:rPr>
            </w:pPr>
          </w:p>
        </w:tc>
      </w:tr>
      <w:tr w:rsidR="00677D83" w:rsidRPr="00677D83" w14:paraId="5EA9F86B" w14:textId="77777777" w:rsidTr="00986E3A">
        <w:tc>
          <w:tcPr>
            <w:tcW w:w="3260" w:type="dxa"/>
            <w:shd w:val="clear" w:color="auto" w:fill="auto"/>
            <w:tcMar>
              <w:top w:w="57" w:type="dxa"/>
              <w:left w:w="57" w:type="dxa"/>
              <w:bottom w:w="57" w:type="dxa"/>
              <w:right w:w="57" w:type="dxa"/>
            </w:tcMar>
          </w:tcPr>
          <w:p w14:paraId="29BF6C35" w14:textId="77777777" w:rsidR="00677D83" w:rsidRPr="00677D83" w:rsidRDefault="00677D83" w:rsidP="00986E3A">
            <w:pPr>
              <w:pStyle w:val="Body"/>
              <w:rPr>
                <w:b/>
                <w:bCs/>
                <w:color w:val="183850" w:themeColor="text1"/>
                <w:sz w:val="20"/>
                <w:szCs w:val="20"/>
              </w:rPr>
            </w:pPr>
            <w:r w:rsidRPr="00677D83">
              <w:rPr>
                <w:b/>
                <w:bCs/>
                <w:color w:val="183850" w:themeColor="text1"/>
                <w:sz w:val="20"/>
                <w:szCs w:val="20"/>
              </w:rPr>
              <w:t>“Data Protection Laws”</w:t>
            </w:r>
          </w:p>
        </w:tc>
        <w:tc>
          <w:tcPr>
            <w:tcW w:w="4995" w:type="dxa"/>
            <w:shd w:val="clear" w:color="auto" w:fill="auto"/>
            <w:tcMar>
              <w:top w:w="57" w:type="dxa"/>
              <w:left w:w="57" w:type="dxa"/>
              <w:bottom w:w="57" w:type="dxa"/>
              <w:right w:w="57" w:type="dxa"/>
            </w:tcMar>
          </w:tcPr>
          <w:p w14:paraId="2FA6F21D" w14:textId="77777777" w:rsidR="00677D83" w:rsidRPr="00677D83" w:rsidRDefault="00677D83" w:rsidP="00986E3A">
            <w:pPr>
              <w:pStyle w:val="Body"/>
              <w:rPr>
                <w:color w:val="183850" w:themeColor="text1"/>
                <w:sz w:val="20"/>
                <w:szCs w:val="20"/>
              </w:rPr>
            </w:pPr>
            <w:r w:rsidRPr="00677D83">
              <w:rPr>
                <w:color w:val="183850" w:themeColor="text1"/>
                <w:sz w:val="20"/>
                <w:szCs w:val="20"/>
              </w:rPr>
              <w:t>all Applicable Law relating to privacy or the use or processing of data relating to natural persons including:</w:t>
            </w:r>
          </w:p>
          <w:p w14:paraId="32A3199A" w14:textId="77777777" w:rsidR="00677D83" w:rsidRPr="00677D83" w:rsidRDefault="00677D83" w:rsidP="00677D83">
            <w:pPr>
              <w:numPr>
                <w:ilvl w:val="1"/>
                <w:numId w:val="11"/>
              </w:numPr>
              <w:tabs>
                <w:tab w:val="left" w:pos="992"/>
              </w:tabs>
              <w:suppressAutoHyphens/>
              <w:autoSpaceDN w:val="0"/>
              <w:spacing w:before="120" w:after="240" w:line="240" w:lineRule="auto"/>
              <w:ind w:left="992"/>
              <w:jc w:val="both"/>
              <w:textAlignment w:val="baseline"/>
              <w:rPr>
                <w:rFonts w:ascii="Verdana" w:eastAsia="Times New Roman" w:hAnsi="Verdana" w:cs="Times New Roman"/>
                <w:color w:val="183850" w:themeColor="text1"/>
                <w:sz w:val="20"/>
                <w:szCs w:val="20"/>
                <w:lang w:eastAsia="zh-CN"/>
              </w:rPr>
            </w:pPr>
            <w:r w:rsidRPr="00677D83" w:rsidDel="00F63BFC">
              <w:rPr>
                <w:rFonts w:ascii="Verdana" w:eastAsia="Times New Roman" w:hAnsi="Verdana" w:cs="Times New Roman"/>
                <w:color w:val="183850" w:themeColor="text1"/>
                <w:sz w:val="20"/>
                <w:szCs w:val="20"/>
                <w:lang w:eastAsia="zh-CN"/>
              </w:rPr>
              <w:t xml:space="preserve"> </w:t>
            </w:r>
            <w:r w:rsidRPr="00677D83">
              <w:rPr>
                <w:rFonts w:ascii="Verdana" w:eastAsia="Times New Roman" w:hAnsi="Verdana" w:cs="Times New Roman"/>
                <w:color w:val="183850" w:themeColor="text1"/>
                <w:sz w:val="20"/>
                <w:szCs w:val="20"/>
                <w:lang w:eastAsia="zh-CN"/>
              </w:rPr>
              <w:t xml:space="preserve">the General Data Protection Regulation (EU) 2016/679 ("GDPR") and any laws or regulations ratifying, implementing, adopting, supplementing or replacing GDPR; </w:t>
            </w:r>
          </w:p>
          <w:p w14:paraId="361A0555" w14:textId="77777777" w:rsidR="00677D83" w:rsidRPr="00677D83" w:rsidRDefault="00677D83" w:rsidP="00677D83">
            <w:pPr>
              <w:numPr>
                <w:ilvl w:val="1"/>
                <w:numId w:val="11"/>
              </w:numPr>
              <w:tabs>
                <w:tab w:val="left" w:pos="992"/>
              </w:tabs>
              <w:suppressAutoHyphens/>
              <w:autoSpaceDN w:val="0"/>
              <w:spacing w:before="120" w:after="240" w:line="240" w:lineRule="auto"/>
              <w:ind w:left="992"/>
              <w:jc w:val="both"/>
              <w:textAlignment w:val="baseline"/>
              <w:rPr>
                <w:rFonts w:ascii="Verdana" w:eastAsia="Times New Roman" w:hAnsi="Verdana" w:cs="Times New Roman"/>
                <w:color w:val="183850" w:themeColor="text1"/>
                <w:sz w:val="20"/>
                <w:szCs w:val="20"/>
                <w:lang w:eastAsia="zh-CN"/>
              </w:rPr>
            </w:pPr>
            <w:r w:rsidRPr="00677D83">
              <w:rPr>
                <w:rFonts w:ascii="Verdana" w:eastAsia="Times New Roman" w:hAnsi="Verdana" w:cs="Times New Roman"/>
                <w:color w:val="183850" w:themeColor="text1"/>
                <w:sz w:val="20"/>
                <w:szCs w:val="20"/>
                <w:lang w:eastAsia="zh-CN"/>
              </w:rPr>
              <w:t xml:space="preserve">Directive 2002/58/EC (as amended by 2009/136/EC) as implemented by the Privacy and Electronic Communications (EC Directive) Regulations 2003 in each case as may be amended or replaced from time to time including as at the date of the Agreement by the proposed Regulation on Privacy and Electronic Communications; </w:t>
            </w:r>
          </w:p>
          <w:p w14:paraId="1F4B664C" w14:textId="77777777" w:rsidR="00677D83" w:rsidRPr="00677D83" w:rsidRDefault="00677D83" w:rsidP="00677D83">
            <w:pPr>
              <w:numPr>
                <w:ilvl w:val="1"/>
                <w:numId w:val="11"/>
              </w:numPr>
              <w:tabs>
                <w:tab w:val="left" w:pos="992"/>
              </w:tabs>
              <w:suppressAutoHyphens/>
              <w:autoSpaceDN w:val="0"/>
              <w:spacing w:before="120" w:after="240" w:line="240" w:lineRule="auto"/>
              <w:ind w:left="992"/>
              <w:jc w:val="both"/>
              <w:textAlignment w:val="baseline"/>
              <w:rPr>
                <w:rFonts w:ascii="Verdana" w:eastAsia="Times New Roman" w:hAnsi="Verdana" w:cs="Times New Roman"/>
                <w:color w:val="183850" w:themeColor="text1"/>
                <w:sz w:val="20"/>
                <w:szCs w:val="20"/>
                <w:lang w:eastAsia="zh-CN"/>
              </w:rPr>
            </w:pPr>
            <w:r w:rsidRPr="00677D83">
              <w:rPr>
                <w:rFonts w:ascii="Verdana" w:eastAsia="Times New Roman" w:hAnsi="Verdana" w:cs="Times New Roman"/>
                <w:color w:val="183850" w:themeColor="text1"/>
                <w:sz w:val="20"/>
                <w:szCs w:val="20"/>
                <w:lang w:eastAsia="zh-CN"/>
              </w:rPr>
              <w:t>any legislation that, in respect of the United Kingdom, replaces the General Data Protection Regulation (EU) 2016/679, the proposed Regulation on Privacy and Electronic Communications or any other law relating to data protection, the processing of Personal Data and privacy as a consequence of the United Kingdom leaving the European Union; and</w:t>
            </w:r>
          </w:p>
          <w:p w14:paraId="2AA031F9" w14:textId="77777777" w:rsidR="00677D83" w:rsidRPr="00677D83" w:rsidRDefault="00677D83" w:rsidP="00677D83">
            <w:pPr>
              <w:numPr>
                <w:ilvl w:val="1"/>
                <w:numId w:val="11"/>
              </w:numPr>
              <w:tabs>
                <w:tab w:val="left" w:pos="992"/>
              </w:tabs>
              <w:suppressAutoHyphens/>
              <w:autoSpaceDN w:val="0"/>
              <w:spacing w:before="120" w:after="240" w:line="240" w:lineRule="auto"/>
              <w:ind w:left="992"/>
              <w:jc w:val="both"/>
              <w:textAlignment w:val="baseline"/>
              <w:rPr>
                <w:rFonts w:ascii="Verdana" w:eastAsia="Times New Roman" w:hAnsi="Verdana" w:cs="Times New Roman"/>
                <w:color w:val="183850" w:themeColor="text1"/>
                <w:sz w:val="20"/>
                <w:szCs w:val="20"/>
                <w:lang w:eastAsia="zh-CN"/>
              </w:rPr>
            </w:pPr>
            <w:r w:rsidRPr="00677D83">
              <w:rPr>
                <w:rFonts w:ascii="Verdana" w:eastAsia="Times New Roman" w:hAnsi="Verdana" w:cs="Times New Roman"/>
                <w:color w:val="183850" w:themeColor="text1"/>
                <w:sz w:val="20"/>
                <w:szCs w:val="20"/>
                <w:lang w:eastAsia="zh-CN"/>
              </w:rPr>
              <w:t>all related regulations, regulatory codes of practice and guidance issued from time to time, including from the Information Commissioner’s Office (“</w:t>
            </w:r>
            <w:r w:rsidRPr="00677D83">
              <w:rPr>
                <w:rFonts w:ascii="Verdana" w:eastAsia="Times New Roman" w:hAnsi="Verdana" w:cs="Times New Roman"/>
                <w:b/>
                <w:color w:val="183850" w:themeColor="text1"/>
                <w:sz w:val="20"/>
                <w:szCs w:val="20"/>
                <w:lang w:eastAsia="zh-CN"/>
              </w:rPr>
              <w:t>ICO</w:t>
            </w:r>
            <w:r w:rsidRPr="00677D83">
              <w:rPr>
                <w:rFonts w:ascii="Verdana" w:eastAsia="Times New Roman" w:hAnsi="Verdana" w:cs="Times New Roman"/>
                <w:color w:val="183850" w:themeColor="text1"/>
                <w:sz w:val="20"/>
                <w:szCs w:val="20"/>
                <w:lang w:eastAsia="zh-CN"/>
              </w:rPr>
              <w:t>”);</w:t>
            </w:r>
          </w:p>
        </w:tc>
      </w:tr>
      <w:tr w:rsidR="00677D83" w:rsidRPr="00677D83" w14:paraId="0DCF2321" w14:textId="77777777" w:rsidTr="00986E3A">
        <w:tc>
          <w:tcPr>
            <w:tcW w:w="3260" w:type="dxa"/>
            <w:shd w:val="clear" w:color="auto" w:fill="auto"/>
            <w:tcMar>
              <w:top w:w="57" w:type="dxa"/>
              <w:left w:w="57" w:type="dxa"/>
              <w:bottom w:w="57" w:type="dxa"/>
              <w:right w:w="57" w:type="dxa"/>
            </w:tcMar>
          </w:tcPr>
          <w:p w14:paraId="39AC0E58" w14:textId="77777777" w:rsidR="00677D83" w:rsidRPr="00677D83" w:rsidRDefault="00677D83" w:rsidP="00986E3A">
            <w:pPr>
              <w:pStyle w:val="Body"/>
              <w:rPr>
                <w:b/>
                <w:bCs/>
                <w:color w:val="183850" w:themeColor="text1"/>
                <w:sz w:val="20"/>
                <w:szCs w:val="20"/>
              </w:rPr>
            </w:pPr>
            <w:r w:rsidRPr="00677D83">
              <w:rPr>
                <w:b/>
                <w:bCs/>
                <w:color w:val="183850" w:themeColor="text1"/>
                <w:sz w:val="20"/>
                <w:szCs w:val="20"/>
              </w:rPr>
              <w:t>“</w:t>
            </w:r>
            <w:proofErr w:type="spellStart"/>
            <w:r w:rsidRPr="00677D83">
              <w:rPr>
                <w:b/>
                <w:bCs/>
                <w:color w:val="183850" w:themeColor="text1"/>
                <w:sz w:val="20"/>
                <w:szCs w:val="20"/>
              </w:rPr>
              <w:t>FoIA</w:t>
            </w:r>
            <w:proofErr w:type="spellEnd"/>
            <w:r w:rsidRPr="00677D83">
              <w:rPr>
                <w:b/>
                <w:bCs/>
                <w:color w:val="183850" w:themeColor="text1"/>
                <w:sz w:val="20"/>
                <w:szCs w:val="20"/>
              </w:rPr>
              <w:t>”</w:t>
            </w:r>
          </w:p>
        </w:tc>
        <w:tc>
          <w:tcPr>
            <w:tcW w:w="4995" w:type="dxa"/>
            <w:shd w:val="clear" w:color="auto" w:fill="auto"/>
            <w:tcMar>
              <w:top w:w="57" w:type="dxa"/>
              <w:left w:w="57" w:type="dxa"/>
              <w:bottom w:w="57" w:type="dxa"/>
              <w:right w:w="57" w:type="dxa"/>
            </w:tcMar>
          </w:tcPr>
          <w:p w14:paraId="18AF07E9" w14:textId="77777777" w:rsidR="00677D83" w:rsidRPr="00677D83" w:rsidRDefault="00677D83" w:rsidP="00986E3A">
            <w:pPr>
              <w:pStyle w:val="Body"/>
              <w:rPr>
                <w:color w:val="183850" w:themeColor="text1"/>
                <w:sz w:val="20"/>
                <w:szCs w:val="20"/>
              </w:rPr>
            </w:pPr>
            <w:r w:rsidRPr="00677D83">
              <w:rPr>
                <w:color w:val="183850" w:themeColor="text1"/>
                <w:sz w:val="20"/>
                <w:szCs w:val="20"/>
              </w:rPr>
              <w:t>means Freedom of Information Act 2000, as amended, updated or replaced from time to time;</w:t>
            </w:r>
          </w:p>
        </w:tc>
      </w:tr>
      <w:tr w:rsidR="00677D83" w:rsidRPr="00677D83" w14:paraId="440D30FC" w14:textId="77777777" w:rsidTr="00986E3A">
        <w:tc>
          <w:tcPr>
            <w:tcW w:w="3260" w:type="dxa"/>
            <w:shd w:val="clear" w:color="auto" w:fill="auto"/>
            <w:tcMar>
              <w:top w:w="57" w:type="dxa"/>
              <w:left w:w="57" w:type="dxa"/>
              <w:bottom w:w="57" w:type="dxa"/>
              <w:right w:w="57" w:type="dxa"/>
            </w:tcMar>
          </w:tcPr>
          <w:p w14:paraId="5E836647" w14:textId="77777777" w:rsidR="00677D83" w:rsidRPr="00677D83" w:rsidRDefault="00677D83" w:rsidP="00986E3A">
            <w:pPr>
              <w:pStyle w:val="Body"/>
              <w:rPr>
                <w:b/>
                <w:bCs/>
                <w:color w:val="183850" w:themeColor="text1"/>
                <w:sz w:val="20"/>
                <w:szCs w:val="20"/>
              </w:rPr>
            </w:pPr>
            <w:r w:rsidRPr="00677D83">
              <w:rPr>
                <w:b/>
                <w:bCs/>
                <w:color w:val="183850" w:themeColor="text1"/>
                <w:sz w:val="20"/>
                <w:szCs w:val="20"/>
              </w:rPr>
              <w:lastRenderedPageBreak/>
              <w:t xml:space="preserve">“Invitation to Tender” </w:t>
            </w:r>
            <w:r w:rsidRPr="00677D83">
              <w:rPr>
                <w:bCs/>
                <w:color w:val="183850" w:themeColor="text1"/>
                <w:sz w:val="20"/>
                <w:szCs w:val="20"/>
              </w:rPr>
              <w:t xml:space="preserve">or </w:t>
            </w:r>
            <w:r w:rsidRPr="00677D83">
              <w:rPr>
                <w:b/>
                <w:bCs/>
                <w:color w:val="183850" w:themeColor="text1"/>
                <w:sz w:val="20"/>
                <w:szCs w:val="20"/>
              </w:rPr>
              <w:t>“ITT”</w:t>
            </w:r>
          </w:p>
        </w:tc>
        <w:tc>
          <w:tcPr>
            <w:tcW w:w="4995" w:type="dxa"/>
            <w:shd w:val="clear" w:color="auto" w:fill="auto"/>
            <w:tcMar>
              <w:top w:w="57" w:type="dxa"/>
              <w:left w:w="57" w:type="dxa"/>
              <w:bottom w:w="57" w:type="dxa"/>
              <w:right w:w="57" w:type="dxa"/>
            </w:tcMar>
          </w:tcPr>
          <w:p w14:paraId="71F7A1F5" w14:textId="77777777" w:rsidR="00677D83" w:rsidRPr="00677D83" w:rsidRDefault="00677D83" w:rsidP="00986E3A">
            <w:pPr>
              <w:pStyle w:val="Body"/>
              <w:rPr>
                <w:color w:val="183850" w:themeColor="text1"/>
                <w:sz w:val="20"/>
                <w:szCs w:val="20"/>
              </w:rPr>
            </w:pPr>
            <w:r w:rsidRPr="00677D83">
              <w:rPr>
                <w:color w:val="183850" w:themeColor="text1"/>
                <w:sz w:val="20"/>
                <w:szCs w:val="20"/>
              </w:rPr>
              <w:t>means the invitation to tender issued by the Company to which You are invited to bid for the services specified therein;</w:t>
            </w:r>
          </w:p>
        </w:tc>
      </w:tr>
      <w:tr w:rsidR="00677D83" w:rsidRPr="00677D83" w14:paraId="71162FEA" w14:textId="77777777" w:rsidTr="00986E3A">
        <w:tc>
          <w:tcPr>
            <w:tcW w:w="3260" w:type="dxa"/>
            <w:shd w:val="clear" w:color="auto" w:fill="auto"/>
            <w:tcMar>
              <w:top w:w="57" w:type="dxa"/>
              <w:left w:w="57" w:type="dxa"/>
              <w:bottom w:w="57" w:type="dxa"/>
              <w:right w:w="57" w:type="dxa"/>
            </w:tcMar>
          </w:tcPr>
          <w:p w14:paraId="491D0C7D" w14:textId="77777777" w:rsidR="00677D83" w:rsidRPr="00677D83" w:rsidRDefault="00677D83" w:rsidP="00986E3A">
            <w:pPr>
              <w:pStyle w:val="Body"/>
              <w:rPr>
                <w:b/>
                <w:bCs/>
                <w:color w:val="183850" w:themeColor="text1"/>
                <w:sz w:val="20"/>
                <w:szCs w:val="20"/>
              </w:rPr>
            </w:pPr>
            <w:r w:rsidRPr="00677D83">
              <w:rPr>
                <w:b/>
                <w:bCs/>
                <w:color w:val="183850" w:themeColor="text1"/>
                <w:sz w:val="20"/>
                <w:szCs w:val="20"/>
              </w:rPr>
              <w:t>“Party”</w:t>
            </w:r>
          </w:p>
        </w:tc>
        <w:tc>
          <w:tcPr>
            <w:tcW w:w="4995" w:type="dxa"/>
            <w:shd w:val="clear" w:color="auto" w:fill="auto"/>
            <w:tcMar>
              <w:top w:w="57" w:type="dxa"/>
              <w:left w:w="57" w:type="dxa"/>
              <w:bottom w:w="57" w:type="dxa"/>
              <w:right w:w="57" w:type="dxa"/>
            </w:tcMar>
          </w:tcPr>
          <w:p w14:paraId="7A74E22F" w14:textId="77777777" w:rsidR="00677D83" w:rsidRPr="00677D83" w:rsidRDefault="00677D83" w:rsidP="00986E3A">
            <w:pPr>
              <w:pStyle w:val="Body"/>
              <w:rPr>
                <w:color w:val="183850" w:themeColor="text1"/>
                <w:sz w:val="20"/>
                <w:szCs w:val="20"/>
              </w:rPr>
            </w:pPr>
            <w:r w:rsidRPr="00677D83">
              <w:rPr>
                <w:color w:val="183850" w:themeColor="text1"/>
                <w:sz w:val="20"/>
                <w:szCs w:val="20"/>
              </w:rPr>
              <w:t>means individually the Company and (a) the relevant counter-party to the Agreement and/or (b) a respondent to an ITT, as the case may be;</w:t>
            </w:r>
          </w:p>
        </w:tc>
      </w:tr>
      <w:tr w:rsidR="00677D83" w:rsidRPr="00677D83" w14:paraId="50A21D0C" w14:textId="77777777" w:rsidTr="00986E3A">
        <w:tc>
          <w:tcPr>
            <w:tcW w:w="3260" w:type="dxa"/>
            <w:shd w:val="clear" w:color="auto" w:fill="auto"/>
            <w:tcMar>
              <w:top w:w="57" w:type="dxa"/>
              <w:left w:w="57" w:type="dxa"/>
              <w:bottom w:w="57" w:type="dxa"/>
              <w:right w:w="57" w:type="dxa"/>
            </w:tcMar>
          </w:tcPr>
          <w:p w14:paraId="7B39142C" w14:textId="77777777" w:rsidR="00677D83" w:rsidRPr="00677D83" w:rsidRDefault="00677D83" w:rsidP="00986E3A">
            <w:pPr>
              <w:pStyle w:val="Body"/>
              <w:spacing w:before="120"/>
              <w:jc w:val="left"/>
              <w:rPr>
                <w:b/>
                <w:bCs/>
                <w:color w:val="183850" w:themeColor="text1"/>
                <w:sz w:val="20"/>
                <w:szCs w:val="20"/>
              </w:rPr>
            </w:pPr>
            <w:r w:rsidRPr="00677D83">
              <w:rPr>
                <w:b/>
                <w:bCs/>
                <w:color w:val="183850" w:themeColor="text1"/>
                <w:sz w:val="20"/>
                <w:szCs w:val="20"/>
              </w:rPr>
              <w:t>“Prohibited Act”</w:t>
            </w:r>
          </w:p>
        </w:tc>
        <w:tc>
          <w:tcPr>
            <w:tcW w:w="4995" w:type="dxa"/>
            <w:shd w:val="clear" w:color="auto" w:fill="auto"/>
            <w:tcMar>
              <w:top w:w="57" w:type="dxa"/>
              <w:left w:w="57" w:type="dxa"/>
              <w:bottom w:w="57" w:type="dxa"/>
              <w:right w:w="57" w:type="dxa"/>
            </w:tcMar>
          </w:tcPr>
          <w:p w14:paraId="57C7D90A" w14:textId="77777777" w:rsidR="00677D83" w:rsidRPr="00677D83" w:rsidRDefault="00677D83" w:rsidP="00986E3A">
            <w:pPr>
              <w:pStyle w:val="Body"/>
              <w:spacing w:before="120"/>
              <w:rPr>
                <w:color w:val="183850" w:themeColor="text1"/>
                <w:sz w:val="20"/>
                <w:szCs w:val="20"/>
              </w:rPr>
            </w:pPr>
            <w:r w:rsidRPr="00677D83">
              <w:rPr>
                <w:color w:val="183850" w:themeColor="text1"/>
                <w:sz w:val="20"/>
                <w:szCs w:val="20"/>
              </w:rPr>
              <w:t>means:</w:t>
            </w:r>
          </w:p>
          <w:p w14:paraId="28DE349E" w14:textId="77777777" w:rsidR="00677D83" w:rsidRPr="00677D83" w:rsidRDefault="00677D83" w:rsidP="00677D83">
            <w:pPr>
              <w:pStyle w:val="abcdDefinition"/>
              <w:numPr>
                <w:ilvl w:val="0"/>
                <w:numId w:val="9"/>
              </w:numPr>
              <w:tabs>
                <w:tab w:val="clear" w:pos="0"/>
                <w:tab w:val="left" w:pos="-6808"/>
              </w:tabs>
              <w:rPr>
                <w:color w:val="183850" w:themeColor="text1"/>
                <w:sz w:val="20"/>
                <w:szCs w:val="20"/>
              </w:rPr>
            </w:pPr>
            <w:r w:rsidRPr="00677D83">
              <w:rPr>
                <w:color w:val="183850" w:themeColor="text1"/>
                <w:sz w:val="20"/>
                <w:szCs w:val="20"/>
              </w:rPr>
              <w:t>directly or indirectly offering, promising or giving any person working for or engaged by the other Party or the Company a financial or other advantage to:</w:t>
            </w:r>
          </w:p>
          <w:p w14:paraId="6F955F06" w14:textId="77777777" w:rsidR="00677D83" w:rsidRPr="00677D83" w:rsidRDefault="00677D83" w:rsidP="00677D83">
            <w:pPr>
              <w:pStyle w:val="iBankingDefinition"/>
              <w:numPr>
                <w:ilvl w:val="1"/>
                <w:numId w:val="6"/>
              </w:numPr>
              <w:tabs>
                <w:tab w:val="left" w:pos="1820"/>
              </w:tabs>
              <w:spacing w:before="120"/>
              <w:ind w:left="1820" w:hanging="992"/>
              <w:rPr>
                <w:color w:val="183850" w:themeColor="text1"/>
                <w:sz w:val="20"/>
                <w:szCs w:val="20"/>
              </w:rPr>
            </w:pPr>
            <w:r w:rsidRPr="00677D83">
              <w:rPr>
                <w:color w:val="183850" w:themeColor="text1"/>
                <w:sz w:val="20"/>
                <w:szCs w:val="20"/>
              </w:rPr>
              <w:t>induce that person to perform improperly a relevant function or activity; or</w:t>
            </w:r>
          </w:p>
          <w:p w14:paraId="506B49E9" w14:textId="77777777" w:rsidR="00677D83" w:rsidRPr="00677D83" w:rsidRDefault="00677D83" w:rsidP="00677D83">
            <w:pPr>
              <w:pStyle w:val="iBankingDefinition"/>
              <w:numPr>
                <w:ilvl w:val="1"/>
                <w:numId w:val="6"/>
              </w:numPr>
              <w:tabs>
                <w:tab w:val="left" w:pos="1820"/>
              </w:tabs>
              <w:spacing w:before="120"/>
              <w:ind w:left="1820" w:hanging="992"/>
              <w:rPr>
                <w:color w:val="183850" w:themeColor="text1"/>
                <w:sz w:val="20"/>
                <w:szCs w:val="20"/>
              </w:rPr>
            </w:pPr>
            <w:r w:rsidRPr="00677D83">
              <w:rPr>
                <w:color w:val="183850" w:themeColor="text1"/>
                <w:sz w:val="20"/>
                <w:szCs w:val="20"/>
              </w:rPr>
              <w:t>reward that person for improper performance of a relevant function or activity;</w:t>
            </w:r>
          </w:p>
          <w:p w14:paraId="3EFF5CAA" w14:textId="77777777" w:rsidR="00677D83" w:rsidRPr="00677D83" w:rsidRDefault="00677D83" w:rsidP="00677D83">
            <w:pPr>
              <w:pStyle w:val="abcdDefinition"/>
              <w:numPr>
                <w:ilvl w:val="0"/>
                <w:numId w:val="9"/>
              </w:numPr>
              <w:tabs>
                <w:tab w:val="clear" w:pos="0"/>
                <w:tab w:val="left" w:pos="-6808"/>
              </w:tabs>
              <w:rPr>
                <w:color w:val="183850" w:themeColor="text1"/>
                <w:sz w:val="20"/>
                <w:szCs w:val="20"/>
              </w:rPr>
            </w:pPr>
            <w:r w:rsidRPr="00677D83">
              <w:rPr>
                <w:color w:val="183850" w:themeColor="text1"/>
                <w:sz w:val="20"/>
                <w:szCs w:val="20"/>
              </w:rPr>
              <w:t>directly or indirectly requesting, agreeing to receive or accepting any financial or other advantage as an inducement or a reward for improper performance of a relevant function or activity in connection with the Agreement; or</w:t>
            </w:r>
          </w:p>
          <w:p w14:paraId="6592CA9C" w14:textId="77777777" w:rsidR="00677D83" w:rsidRPr="00677D83" w:rsidRDefault="00677D83" w:rsidP="00677D83">
            <w:pPr>
              <w:pStyle w:val="abcdDefinition"/>
              <w:numPr>
                <w:ilvl w:val="0"/>
                <w:numId w:val="9"/>
              </w:numPr>
              <w:tabs>
                <w:tab w:val="clear" w:pos="0"/>
                <w:tab w:val="left" w:pos="-6808"/>
              </w:tabs>
              <w:rPr>
                <w:color w:val="183850" w:themeColor="text1"/>
                <w:sz w:val="20"/>
                <w:szCs w:val="20"/>
              </w:rPr>
            </w:pPr>
            <w:r w:rsidRPr="00677D83">
              <w:rPr>
                <w:color w:val="183850" w:themeColor="text1"/>
                <w:sz w:val="20"/>
                <w:szCs w:val="20"/>
              </w:rPr>
              <w:t>committing any offence:-</w:t>
            </w:r>
          </w:p>
          <w:p w14:paraId="4B73AF3E" w14:textId="77777777" w:rsidR="00677D83" w:rsidRPr="00677D83" w:rsidRDefault="00677D83" w:rsidP="00677D83">
            <w:pPr>
              <w:pStyle w:val="iDefinition"/>
              <w:numPr>
                <w:ilvl w:val="2"/>
                <w:numId w:val="10"/>
              </w:numPr>
              <w:spacing w:before="120"/>
              <w:rPr>
                <w:color w:val="183850" w:themeColor="text1"/>
                <w:sz w:val="20"/>
                <w:szCs w:val="20"/>
              </w:rPr>
            </w:pPr>
            <w:r w:rsidRPr="00677D83">
              <w:rPr>
                <w:color w:val="183850" w:themeColor="text1"/>
                <w:sz w:val="20"/>
                <w:szCs w:val="20"/>
              </w:rPr>
              <w:t>under Anti-Bribery Laws;</w:t>
            </w:r>
          </w:p>
          <w:p w14:paraId="3016BEEE" w14:textId="77777777" w:rsidR="00677D83" w:rsidRPr="00677D83" w:rsidRDefault="00677D83" w:rsidP="00677D83">
            <w:pPr>
              <w:pStyle w:val="iDefinition"/>
              <w:numPr>
                <w:ilvl w:val="2"/>
                <w:numId w:val="10"/>
              </w:numPr>
              <w:spacing w:before="120"/>
              <w:rPr>
                <w:color w:val="183850" w:themeColor="text1"/>
                <w:sz w:val="20"/>
                <w:szCs w:val="20"/>
              </w:rPr>
            </w:pPr>
            <w:r w:rsidRPr="00677D83">
              <w:rPr>
                <w:color w:val="183850" w:themeColor="text1"/>
                <w:sz w:val="20"/>
                <w:szCs w:val="20"/>
              </w:rPr>
              <w:t>under legislation creating offences concerning fraudulent acts;</w:t>
            </w:r>
          </w:p>
          <w:p w14:paraId="73A78F64" w14:textId="77777777" w:rsidR="00677D83" w:rsidRPr="00677D83" w:rsidRDefault="00677D83" w:rsidP="00677D83">
            <w:pPr>
              <w:pStyle w:val="iDefinition"/>
              <w:numPr>
                <w:ilvl w:val="2"/>
                <w:numId w:val="10"/>
              </w:numPr>
              <w:spacing w:before="120"/>
              <w:rPr>
                <w:color w:val="183850" w:themeColor="text1"/>
                <w:sz w:val="20"/>
                <w:szCs w:val="20"/>
              </w:rPr>
            </w:pPr>
            <w:r w:rsidRPr="00677D83">
              <w:rPr>
                <w:color w:val="183850" w:themeColor="text1"/>
                <w:sz w:val="20"/>
                <w:szCs w:val="20"/>
              </w:rPr>
              <w:t>at common law concerning fraudulent acts relating to the Agreement or any other contract with the other Party; or</w:t>
            </w:r>
          </w:p>
          <w:p w14:paraId="7E34F4D9" w14:textId="77777777" w:rsidR="00677D83" w:rsidRPr="00677D83" w:rsidRDefault="00677D83" w:rsidP="00677D83">
            <w:pPr>
              <w:pStyle w:val="abcdDefinition"/>
              <w:numPr>
                <w:ilvl w:val="0"/>
                <w:numId w:val="9"/>
              </w:numPr>
              <w:tabs>
                <w:tab w:val="clear" w:pos="0"/>
                <w:tab w:val="left" w:pos="-6808"/>
              </w:tabs>
              <w:rPr>
                <w:color w:val="183850" w:themeColor="text1"/>
                <w:sz w:val="20"/>
                <w:szCs w:val="20"/>
              </w:rPr>
            </w:pPr>
            <w:r w:rsidRPr="00677D83">
              <w:rPr>
                <w:color w:val="183850" w:themeColor="text1"/>
                <w:sz w:val="20"/>
                <w:szCs w:val="20"/>
              </w:rPr>
              <w:t xml:space="preserve">defrauding, attempting to defraud or conspiring to defraud the other Party; </w:t>
            </w:r>
          </w:p>
        </w:tc>
      </w:tr>
      <w:tr w:rsidR="00677D83" w:rsidRPr="00677D83" w14:paraId="36665A60" w14:textId="77777777" w:rsidTr="00986E3A">
        <w:tc>
          <w:tcPr>
            <w:tcW w:w="3260" w:type="dxa"/>
            <w:shd w:val="clear" w:color="auto" w:fill="auto"/>
            <w:tcMar>
              <w:top w:w="57" w:type="dxa"/>
              <w:left w:w="57" w:type="dxa"/>
              <w:bottom w:w="57" w:type="dxa"/>
              <w:right w:w="57" w:type="dxa"/>
            </w:tcMar>
          </w:tcPr>
          <w:p w14:paraId="764124B5" w14:textId="77777777" w:rsidR="00677D83" w:rsidRPr="00677D83" w:rsidRDefault="00677D83" w:rsidP="00986E3A">
            <w:pPr>
              <w:pStyle w:val="Body"/>
              <w:rPr>
                <w:b/>
                <w:bCs/>
                <w:color w:val="183850" w:themeColor="text1"/>
                <w:sz w:val="20"/>
                <w:szCs w:val="20"/>
              </w:rPr>
            </w:pPr>
            <w:r w:rsidRPr="00677D83">
              <w:rPr>
                <w:b/>
                <w:bCs/>
                <w:color w:val="183850" w:themeColor="text1"/>
                <w:sz w:val="20"/>
                <w:szCs w:val="20"/>
              </w:rPr>
              <w:lastRenderedPageBreak/>
              <w:t>“Request for Information”</w:t>
            </w:r>
          </w:p>
        </w:tc>
        <w:tc>
          <w:tcPr>
            <w:tcW w:w="4995" w:type="dxa"/>
            <w:shd w:val="clear" w:color="auto" w:fill="auto"/>
            <w:tcMar>
              <w:top w:w="57" w:type="dxa"/>
              <w:left w:w="57" w:type="dxa"/>
              <w:bottom w:w="57" w:type="dxa"/>
              <w:right w:w="57" w:type="dxa"/>
            </w:tcMar>
          </w:tcPr>
          <w:p w14:paraId="3C2A1B4E" w14:textId="77777777" w:rsidR="00677D83" w:rsidRPr="00677D83" w:rsidRDefault="00677D83" w:rsidP="00986E3A">
            <w:pPr>
              <w:pStyle w:val="Body"/>
              <w:rPr>
                <w:color w:val="183850" w:themeColor="text1"/>
                <w:sz w:val="20"/>
                <w:szCs w:val="20"/>
              </w:rPr>
            </w:pPr>
            <w:r w:rsidRPr="00677D83">
              <w:rPr>
                <w:color w:val="183850" w:themeColor="text1"/>
                <w:sz w:val="20"/>
                <w:szCs w:val="20"/>
              </w:rPr>
              <w:t xml:space="preserve">means a request for information pursuant to the </w:t>
            </w:r>
            <w:proofErr w:type="spellStart"/>
            <w:r w:rsidRPr="00677D83">
              <w:rPr>
                <w:color w:val="183850" w:themeColor="text1"/>
                <w:sz w:val="20"/>
                <w:szCs w:val="20"/>
              </w:rPr>
              <w:t>FoIA</w:t>
            </w:r>
            <w:proofErr w:type="spellEnd"/>
            <w:r w:rsidRPr="00677D83">
              <w:rPr>
                <w:color w:val="183850" w:themeColor="text1"/>
                <w:sz w:val="20"/>
                <w:szCs w:val="20"/>
              </w:rPr>
              <w:t>, where Commercially Sensitive Information is requested;</w:t>
            </w:r>
          </w:p>
        </w:tc>
      </w:tr>
      <w:tr w:rsidR="00677D83" w:rsidRPr="00677D83" w14:paraId="2CB424BA" w14:textId="77777777" w:rsidTr="00986E3A">
        <w:tc>
          <w:tcPr>
            <w:tcW w:w="3260" w:type="dxa"/>
            <w:shd w:val="clear" w:color="auto" w:fill="auto"/>
            <w:tcMar>
              <w:top w:w="57" w:type="dxa"/>
              <w:left w:w="57" w:type="dxa"/>
              <w:bottom w:w="57" w:type="dxa"/>
              <w:right w:w="57" w:type="dxa"/>
            </w:tcMar>
          </w:tcPr>
          <w:p w14:paraId="0FA5E2F4" w14:textId="77777777" w:rsidR="00677D83" w:rsidRPr="00677D83" w:rsidRDefault="00677D83" w:rsidP="00986E3A">
            <w:pPr>
              <w:pStyle w:val="Body"/>
              <w:rPr>
                <w:b/>
                <w:bCs/>
                <w:color w:val="183850" w:themeColor="text1"/>
                <w:sz w:val="20"/>
                <w:szCs w:val="20"/>
              </w:rPr>
            </w:pPr>
          </w:p>
        </w:tc>
        <w:tc>
          <w:tcPr>
            <w:tcW w:w="4995" w:type="dxa"/>
            <w:shd w:val="clear" w:color="auto" w:fill="auto"/>
            <w:tcMar>
              <w:top w:w="57" w:type="dxa"/>
              <w:left w:w="57" w:type="dxa"/>
              <w:bottom w:w="57" w:type="dxa"/>
              <w:right w:w="57" w:type="dxa"/>
            </w:tcMar>
          </w:tcPr>
          <w:p w14:paraId="6A006874" w14:textId="77777777" w:rsidR="00677D83" w:rsidRPr="00677D83" w:rsidRDefault="00677D83" w:rsidP="00986E3A">
            <w:pPr>
              <w:pStyle w:val="Body"/>
              <w:rPr>
                <w:color w:val="183850" w:themeColor="text1"/>
                <w:sz w:val="20"/>
                <w:szCs w:val="20"/>
              </w:rPr>
            </w:pPr>
          </w:p>
        </w:tc>
      </w:tr>
    </w:tbl>
    <w:p w14:paraId="15F1AD58" w14:textId="4E576888" w:rsidR="00677D83" w:rsidRPr="00677D83" w:rsidRDefault="00677D83" w:rsidP="00677D83">
      <w:pPr>
        <w:pStyle w:val="treb"/>
        <w:ind w:left="567" w:hanging="567"/>
        <w:rPr>
          <w:rFonts w:ascii="Verdana" w:hAnsi="Verdana"/>
          <w:color w:val="54BBAB" w:themeColor="text2"/>
          <w:szCs w:val="20"/>
        </w:rPr>
      </w:pPr>
      <w:r w:rsidRPr="00677D83">
        <w:rPr>
          <w:rFonts w:ascii="Verdana" w:hAnsi="Verdana"/>
          <w:color w:val="54BBAB" w:themeColor="text2"/>
          <w:szCs w:val="20"/>
        </w:rPr>
        <w:t>Anti-Bribery and Corruption Policy</w:t>
      </w:r>
    </w:p>
    <w:p w14:paraId="7393BE2A" w14:textId="77777777" w:rsidR="00677D83" w:rsidRPr="00677D83" w:rsidRDefault="00677D83" w:rsidP="00677D83">
      <w:pPr>
        <w:pStyle w:val="Level2"/>
        <w:numPr>
          <w:ilvl w:val="1"/>
          <w:numId w:val="1"/>
        </w:numPr>
        <w:tabs>
          <w:tab w:val="left" w:pos="851"/>
        </w:tabs>
        <w:suppressAutoHyphens/>
        <w:autoSpaceDN w:val="0"/>
        <w:spacing w:before="120"/>
        <w:ind w:left="851"/>
        <w:textAlignment w:val="baseline"/>
        <w:outlineLvl w:val="9"/>
        <w:rPr>
          <w:color w:val="183850" w:themeColor="text1"/>
          <w:sz w:val="20"/>
          <w:szCs w:val="20"/>
        </w:rPr>
      </w:pPr>
      <w:bookmarkStart w:id="0" w:name="_Ref292370813"/>
      <w:r w:rsidRPr="00677D83">
        <w:rPr>
          <w:color w:val="183850" w:themeColor="text1"/>
          <w:sz w:val="20"/>
          <w:szCs w:val="20"/>
        </w:rPr>
        <w:t>Each Party will, and will ensure that its agents and Affiliates will:</w:t>
      </w:r>
      <w:bookmarkEnd w:id="0"/>
    </w:p>
    <w:p w14:paraId="05F3501E" w14:textId="77777777" w:rsidR="00677D83" w:rsidRPr="00677D83" w:rsidRDefault="00677D83" w:rsidP="00677D83">
      <w:pPr>
        <w:pStyle w:val="Level3"/>
        <w:numPr>
          <w:ilvl w:val="2"/>
          <w:numId w:val="1"/>
        </w:numPr>
        <w:suppressAutoHyphens/>
        <w:autoSpaceDN w:val="0"/>
        <w:spacing w:before="120"/>
        <w:textAlignment w:val="baseline"/>
        <w:outlineLvl w:val="9"/>
        <w:rPr>
          <w:color w:val="183850" w:themeColor="text1"/>
          <w:sz w:val="20"/>
          <w:szCs w:val="20"/>
        </w:rPr>
      </w:pPr>
      <w:bookmarkStart w:id="1" w:name="_Ref294194031"/>
      <w:r w:rsidRPr="00677D83">
        <w:rPr>
          <w:color w:val="183850" w:themeColor="text1"/>
          <w:sz w:val="20"/>
          <w:szCs w:val="20"/>
        </w:rPr>
        <w:t>not do or omit to do any act or thing which constitutes or may constitute a Prohibited Act;</w:t>
      </w:r>
      <w:bookmarkEnd w:id="1"/>
    </w:p>
    <w:p w14:paraId="62552FF1" w14:textId="77777777" w:rsidR="00677D83" w:rsidRPr="00677D83" w:rsidRDefault="00677D83" w:rsidP="00677D83">
      <w:pPr>
        <w:pStyle w:val="Level3"/>
        <w:numPr>
          <w:ilvl w:val="2"/>
          <w:numId w:val="1"/>
        </w:numPr>
        <w:suppressAutoHyphens/>
        <w:autoSpaceDN w:val="0"/>
        <w:spacing w:before="120"/>
        <w:textAlignment w:val="baseline"/>
        <w:outlineLvl w:val="9"/>
        <w:rPr>
          <w:color w:val="183850" w:themeColor="text1"/>
          <w:sz w:val="20"/>
          <w:szCs w:val="20"/>
        </w:rPr>
      </w:pPr>
      <w:bookmarkStart w:id="2" w:name="_Ref421007969"/>
      <w:r w:rsidRPr="00677D83">
        <w:rPr>
          <w:color w:val="183850" w:themeColor="text1"/>
          <w:sz w:val="20"/>
          <w:szCs w:val="20"/>
        </w:rPr>
        <w:t xml:space="preserve">without prejudice to </w:t>
      </w:r>
      <w:r w:rsidRPr="00677D83">
        <w:rPr>
          <w:b/>
          <w:color w:val="183850" w:themeColor="text1"/>
          <w:sz w:val="20"/>
          <w:szCs w:val="20"/>
        </w:rPr>
        <w:t>c</w:t>
      </w:r>
      <w:r w:rsidRPr="00677D83">
        <w:rPr>
          <w:rStyle w:val="CrossReference"/>
          <w:color w:val="183850" w:themeColor="text1"/>
          <w:sz w:val="20"/>
          <w:szCs w:val="20"/>
        </w:rPr>
        <w:t>lause </w:t>
      </w:r>
      <w:r w:rsidRPr="00677D83">
        <w:rPr>
          <w:rStyle w:val="CrossReference"/>
          <w:b w:val="0"/>
          <w:color w:val="183850" w:themeColor="text1"/>
          <w:sz w:val="20"/>
          <w:szCs w:val="20"/>
        </w:rPr>
        <w:fldChar w:fldCharType="begin"/>
      </w:r>
      <w:r w:rsidRPr="00677D83">
        <w:rPr>
          <w:rStyle w:val="CrossReference"/>
          <w:color w:val="183850" w:themeColor="text1"/>
          <w:sz w:val="20"/>
          <w:szCs w:val="20"/>
        </w:rPr>
        <w:instrText xml:space="preserve"> REF _Ref294194031 \r \h  \* MERGEFORMAT </w:instrText>
      </w:r>
      <w:r w:rsidRPr="00677D83">
        <w:rPr>
          <w:rStyle w:val="CrossReference"/>
          <w:b w:val="0"/>
          <w:color w:val="183850" w:themeColor="text1"/>
          <w:sz w:val="20"/>
          <w:szCs w:val="20"/>
        </w:rPr>
      </w:r>
      <w:r w:rsidRPr="00677D83">
        <w:rPr>
          <w:rStyle w:val="CrossReference"/>
          <w:b w:val="0"/>
          <w:color w:val="183850" w:themeColor="text1"/>
          <w:sz w:val="20"/>
          <w:szCs w:val="20"/>
        </w:rPr>
        <w:fldChar w:fldCharType="separate"/>
      </w:r>
      <w:r w:rsidRPr="00677D83">
        <w:rPr>
          <w:rStyle w:val="CrossReference"/>
          <w:color w:val="183850" w:themeColor="text1"/>
          <w:sz w:val="20"/>
          <w:szCs w:val="20"/>
        </w:rPr>
        <w:t>1.1.1</w:t>
      </w:r>
      <w:r w:rsidRPr="00677D83">
        <w:rPr>
          <w:rStyle w:val="CrossReference"/>
          <w:b w:val="0"/>
          <w:color w:val="183850" w:themeColor="text1"/>
          <w:sz w:val="20"/>
          <w:szCs w:val="20"/>
        </w:rPr>
        <w:fldChar w:fldCharType="end"/>
      </w:r>
      <w:r w:rsidRPr="00677D83">
        <w:rPr>
          <w:color w:val="183850" w:themeColor="text1"/>
          <w:sz w:val="20"/>
          <w:szCs w:val="20"/>
        </w:rPr>
        <w:t>, not do or omit to do any act or thing which causes or may cause the other Party to be guilty of an offence under section 7 of the Bribery Act (or would or may do so if the other Party was unable to prove that it had in place Adequate Procedures designed to prevent persons associated with it from undertaking such conduct);</w:t>
      </w:r>
      <w:bookmarkEnd w:id="2"/>
      <w:r w:rsidRPr="00677D83">
        <w:rPr>
          <w:color w:val="183850" w:themeColor="text1"/>
          <w:sz w:val="20"/>
          <w:szCs w:val="20"/>
        </w:rPr>
        <w:t xml:space="preserve"> </w:t>
      </w:r>
    </w:p>
    <w:p w14:paraId="791D0E5C" w14:textId="77777777" w:rsidR="00677D83" w:rsidRPr="00677D83" w:rsidRDefault="00677D83" w:rsidP="00677D83">
      <w:pPr>
        <w:pStyle w:val="Level3"/>
        <w:numPr>
          <w:ilvl w:val="2"/>
          <w:numId w:val="1"/>
        </w:numPr>
        <w:suppressAutoHyphens/>
        <w:autoSpaceDN w:val="0"/>
        <w:spacing w:before="120"/>
        <w:textAlignment w:val="baseline"/>
        <w:outlineLvl w:val="9"/>
        <w:rPr>
          <w:color w:val="183850" w:themeColor="text1"/>
          <w:sz w:val="20"/>
          <w:szCs w:val="20"/>
        </w:rPr>
      </w:pPr>
      <w:bookmarkStart w:id="3" w:name="_Ref335747108"/>
      <w:r w:rsidRPr="00677D83">
        <w:rPr>
          <w:color w:val="183850" w:themeColor="text1"/>
          <w:sz w:val="20"/>
          <w:szCs w:val="20"/>
        </w:rPr>
        <w:t>have, and comply with, Adequate Procedures;</w:t>
      </w:r>
      <w:bookmarkEnd w:id="3"/>
    </w:p>
    <w:p w14:paraId="6ABCC925" w14:textId="3ABFD6F3" w:rsidR="00677D83" w:rsidRPr="00677D83" w:rsidRDefault="00677D83" w:rsidP="00677D83">
      <w:pPr>
        <w:pStyle w:val="Level3"/>
        <w:numPr>
          <w:ilvl w:val="2"/>
          <w:numId w:val="1"/>
        </w:numPr>
        <w:suppressAutoHyphens/>
        <w:autoSpaceDN w:val="0"/>
        <w:spacing w:before="120"/>
        <w:textAlignment w:val="baseline"/>
        <w:outlineLvl w:val="9"/>
        <w:rPr>
          <w:color w:val="183850" w:themeColor="text1"/>
          <w:sz w:val="20"/>
          <w:szCs w:val="20"/>
        </w:rPr>
      </w:pPr>
      <w:r w:rsidRPr="00677D83">
        <w:rPr>
          <w:color w:val="183850" w:themeColor="text1"/>
          <w:sz w:val="20"/>
          <w:szCs w:val="20"/>
        </w:rPr>
        <w:t>from time to time, at the reasonable request of the other Party, confirm in writing that it has complied with its undertakings under</w:t>
      </w:r>
      <w:r w:rsidRPr="00677D83">
        <w:rPr>
          <w:b/>
          <w:color w:val="183850" w:themeColor="text1"/>
          <w:sz w:val="20"/>
          <w:szCs w:val="20"/>
        </w:rPr>
        <w:t xml:space="preserve"> c</w:t>
      </w:r>
      <w:r w:rsidRPr="00677D83">
        <w:rPr>
          <w:rStyle w:val="CrossReference"/>
          <w:color w:val="183850" w:themeColor="text1"/>
          <w:sz w:val="20"/>
          <w:szCs w:val="20"/>
        </w:rPr>
        <w:t>lauses </w:t>
      </w:r>
      <w:r w:rsidRPr="00677D83">
        <w:rPr>
          <w:rStyle w:val="CrossReference"/>
          <w:b w:val="0"/>
          <w:color w:val="183850" w:themeColor="text1"/>
          <w:sz w:val="20"/>
          <w:szCs w:val="20"/>
        </w:rPr>
        <w:fldChar w:fldCharType="begin"/>
      </w:r>
      <w:r w:rsidRPr="00677D83">
        <w:rPr>
          <w:rStyle w:val="CrossReference"/>
          <w:color w:val="183850" w:themeColor="text1"/>
          <w:sz w:val="20"/>
          <w:szCs w:val="20"/>
        </w:rPr>
        <w:instrText xml:space="preserve"> REF _Ref294194031 \r \h  \* MERGEFORMAT </w:instrText>
      </w:r>
      <w:r w:rsidRPr="00677D83">
        <w:rPr>
          <w:rStyle w:val="CrossReference"/>
          <w:b w:val="0"/>
          <w:color w:val="183850" w:themeColor="text1"/>
          <w:sz w:val="20"/>
          <w:szCs w:val="20"/>
        </w:rPr>
      </w:r>
      <w:r w:rsidRPr="00677D83">
        <w:rPr>
          <w:rStyle w:val="CrossReference"/>
          <w:b w:val="0"/>
          <w:color w:val="183850" w:themeColor="text1"/>
          <w:sz w:val="20"/>
          <w:szCs w:val="20"/>
        </w:rPr>
        <w:fldChar w:fldCharType="separate"/>
      </w:r>
      <w:r w:rsidRPr="00677D83">
        <w:rPr>
          <w:rStyle w:val="CrossReference"/>
          <w:color w:val="183850" w:themeColor="text1"/>
          <w:sz w:val="20"/>
          <w:szCs w:val="20"/>
        </w:rPr>
        <w:t>1.1.1</w:t>
      </w:r>
      <w:r w:rsidRPr="00677D83">
        <w:rPr>
          <w:rStyle w:val="CrossReference"/>
          <w:b w:val="0"/>
          <w:color w:val="183850" w:themeColor="text1"/>
          <w:sz w:val="20"/>
          <w:szCs w:val="20"/>
        </w:rPr>
        <w:fldChar w:fldCharType="end"/>
      </w:r>
      <w:r w:rsidRPr="00677D83">
        <w:rPr>
          <w:color w:val="183850" w:themeColor="text1"/>
          <w:sz w:val="20"/>
          <w:szCs w:val="20"/>
        </w:rPr>
        <w:t xml:space="preserve"> to </w:t>
      </w:r>
      <w:r w:rsidRPr="00677D83">
        <w:rPr>
          <w:color w:val="183850" w:themeColor="text1"/>
          <w:sz w:val="20"/>
          <w:szCs w:val="20"/>
        </w:rPr>
        <w:fldChar w:fldCharType="begin"/>
      </w:r>
      <w:r w:rsidRPr="00677D83">
        <w:rPr>
          <w:color w:val="183850" w:themeColor="text1"/>
          <w:sz w:val="20"/>
          <w:szCs w:val="20"/>
        </w:rPr>
        <w:instrText xml:space="preserve"> REF _Ref335747108 \r \h  \* MERGEFORMAT </w:instrText>
      </w:r>
      <w:r w:rsidRPr="00677D83">
        <w:rPr>
          <w:color w:val="183850" w:themeColor="text1"/>
          <w:sz w:val="20"/>
          <w:szCs w:val="20"/>
        </w:rPr>
      </w:r>
      <w:r w:rsidRPr="00677D83">
        <w:rPr>
          <w:color w:val="183850" w:themeColor="text1"/>
          <w:sz w:val="20"/>
          <w:szCs w:val="20"/>
        </w:rPr>
        <w:fldChar w:fldCharType="separate"/>
      </w:r>
      <w:r w:rsidRPr="00677D83">
        <w:rPr>
          <w:color w:val="183850" w:themeColor="text1"/>
          <w:sz w:val="20"/>
          <w:szCs w:val="20"/>
        </w:rPr>
        <w:t>1.1.3</w:t>
      </w:r>
      <w:r w:rsidRPr="00677D83">
        <w:rPr>
          <w:color w:val="183850" w:themeColor="text1"/>
          <w:sz w:val="20"/>
          <w:szCs w:val="20"/>
        </w:rPr>
        <w:fldChar w:fldCharType="end"/>
      </w:r>
      <w:r w:rsidRPr="00677D83">
        <w:rPr>
          <w:color w:val="183850" w:themeColor="text1"/>
          <w:sz w:val="20"/>
          <w:szCs w:val="20"/>
        </w:rPr>
        <w:t xml:space="preserve"> (inclusive) and will provide information reasonably requested by the other Party in support of such compliance; and</w:t>
      </w:r>
    </w:p>
    <w:p w14:paraId="677D75AB" w14:textId="6CA60423" w:rsidR="00677D83" w:rsidRPr="00677D83" w:rsidRDefault="00677D83" w:rsidP="00677D83">
      <w:pPr>
        <w:pStyle w:val="Level3"/>
        <w:numPr>
          <w:ilvl w:val="2"/>
          <w:numId w:val="1"/>
        </w:numPr>
        <w:suppressAutoHyphens/>
        <w:autoSpaceDN w:val="0"/>
        <w:spacing w:before="120"/>
        <w:textAlignment w:val="baseline"/>
        <w:outlineLvl w:val="9"/>
        <w:rPr>
          <w:color w:val="183850" w:themeColor="text1"/>
          <w:sz w:val="20"/>
          <w:szCs w:val="20"/>
        </w:rPr>
      </w:pPr>
      <w:r w:rsidRPr="00677D83">
        <w:rPr>
          <w:color w:val="183850" w:themeColor="text1"/>
          <w:sz w:val="20"/>
          <w:szCs w:val="20"/>
        </w:rPr>
        <w:t>promptly give written notice to the other Party upon a breach, or suspected breach, of any of its obligations under this clause </w:t>
      </w:r>
      <w:r w:rsidRPr="00677D83">
        <w:rPr>
          <w:color w:val="183850" w:themeColor="text1"/>
          <w:sz w:val="20"/>
          <w:szCs w:val="20"/>
        </w:rPr>
        <w:fldChar w:fldCharType="begin"/>
      </w:r>
      <w:r w:rsidRPr="00677D83">
        <w:rPr>
          <w:color w:val="183850" w:themeColor="text1"/>
          <w:sz w:val="20"/>
          <w:szCs w:val="20"/>
        </w:rPr>
        <w:instrText xml:space="preserve"> REF _Ref292370813 \r \h  \* MERGEFORMAT </w:instrText>
      </w:r>
      <w:r w:rsidRPr="00677D83">
        <w:rPr>
          <w:color w:val="183850" w:themeColor="text1"/>
          <w:sz w:val="20"/>
          <w:szCs w:val="20"/>
        </w:rPr>
      </w:r>
      <w:r w:rsidRPr="00677D83">
        <w:rPr>
          <w:color w:val="183850" w:themeColor="text1"/>
          <w:sz w:val="20"/>
          <w:szCs w:val="20"/>
        </w:rPr>
        <w:fldChar w:fldCharType="separate"/>
      </w:r>
      <w:r w:rsidRPr="00677D83">
        <w:rPr>
          <w:color w:val="183850" w:themeColor="text1"/>
          <w:sz w:val="20"/>
          <w:szCs w:val="20"/>
        </w:rPr>
        <w:t>1.1</w:t>
      </w:r>
      <w:r w:rsidRPr="00677D83">
        <w:rPr>
          <w:color w:val="183850" w:themeColor="text1"/>
          <w:sz w:val="20"/>
          <w:szCs w:val="20"/>
        </w:rPr>
        <w:fldChar w:fldCharType="end"/>
      </w:r>
      <w:r w:rsidRPr="00677D83">
        <w:rPr>
          <w:color w:val="183850" w:themeColor="text1"/>
          <w:sz w:val="20"/>
          <w:szCs w:val="20"/>
        </w:rPr>
        <w:t>.</w:t>
      </w:r>
    </w:p>
    <w:p w14:paraId="53180A2B" w14:textId="77777777" w:rsidR="00677D83" w:rsidRPr="00677D83" w:rsidRDefault="00677D83" w:rsidP="00677D83">
      <w:pPr>
        <w:pStyle w:val="Level2"/>
        <w:numPr>
          <w:ilvl w:val="1"/>
          <w:numId w:val="1"/>
        </w:numPr>
        <w:tabs>
          <w:tab w:val="left" w:pos="851"/>
        </w:tabs>
        <w:suppressAutoHyphens/>
        <w:autoSpaceDN w:val="0"/>
        <w:spacing w:before="120"/>
        <w:ind w:left="851"/>
        <w:textAlignment w:val="baseline"/>
        <w:outlineLvl w:val="9"/>
        <w:rPr>
          <w:color w:val="183850" w:themeColor="text1"/>
          <w:sz w:val="20"/>
          <w:szCs w:val="20"/>
        </w:rPr>
      </w:pPr>
      <w:r w:rsidRPr="00677D83">
        <w:rPr>
          <w:color w:val="183850" w:themeColor="text1"/>
          <w:sz w:val="20"/>
          <w:szCs w:val="20"/>
        </w:rPr>
        <w:t>If either Party, its Affiliates or anyone acting on its behalf or to its knowledge commits any Prohibited Act in relation to the ITT or the Agreement or in relation to any matter or activity pertaining to any public body in the United Kingdom, the Party committing or having knowledge of the Prohibited Act shall promptly inform the other Party of the occurrence of such Prohibited Act and render all such assistance to the other Party as may reasonably require in investigating such acts.</w:t>
      </w:r>
    </w:p>
    <w:p w14:paraId="5C4B06C9" w14:textId="77777777" w:rsidR="00677D83" w:rsidRPr="00677D83" w:rsidRDefault="00677D83" w:rsidP="00677D83">
      <w:pPr>
        <w:pStyle w:val="Level2"/>
        <w:numPr>
          <w:ilvl w:val="1"/>
          <w:numId w:val="1"/>
        </w:numPr>
        <w:tabs>
          <w:tab w:val="left" w:pos="851"/>
        </w:tabs>
        <w:suppressAutoHyphens/>
        <w:autoSpaceDN w:val="0"/>
        <w:spacing w:before="120"/>
        <w:ind w:left="851"/>
        <w:textAlignment w:val="baseline"/>
        <w:outlineLvl w:val="9"/>
        <w:rPr>
          <w:color w:val="183850" w:themeColor="text1"/>
          <w:sz w:val="20"/>
          <w:szCs w:val="20"/>
        </w:rPr>
      </w:pPr>
      <w:r w:rsidRPr="00677D83">
        <w:rPr>
          <w:color w:val="183850" w:themeColor="text1"/>
          <w:sz w:val="20"/>
          <w:szCs w:val="20"/>
        </w:rPr>
        <w:t xml:space="preserve">Each Party shall notify the other in writing of its authorised persons from time to time to whom it may make a qualifying disclosure under the Public Interest Disclosure Act 1998 and declares that any of its representatives and employees making a protected disclosure (as defined by that Act) shall not for that reason be subjected to any detriment or disadvantage. </w:t>
      </w:r>
    </w:p>
    <w:p w14:paraId="45502DD4" w14:textId="6F315D26" w:rsidR="00677D83" w:rsidRPr="00677D83" w:rsidRDefault="00677D83" w:rsidP="00677D83">
      <w:pPr>
        <w:pStyle w:val="treb"/>
        <w:ind w:left="567" w:hanging="567"/>
        <w:rPr>
          <w:rFonts w:ascii="Verdana" w:hAnsi="Verdana"/>
          <w:color w:val="54BBAB" w:themeColor="text2"/>
          <w:szCs w:val="20"/>
        </w:rPr>
      </w:pPr>
      <w:bookmarkStart w:id="4" w:name="_NN355"/>
      <w:bookmarkEnd w:id="4"/>
      <w:r w:rsidRPr="00677D83">
        <w:rPr>
          <w:rFonts w:ascii="Verdana" w:hAnsi="Verdana"/>
          <w:color w:val="54BBAB" w:themeColor="text2"/>
          <w:szCs w:val="20"/>
        </w:rPr>
        <w:t>Freedom of Information</w:t>
      </w:r>
      <w:r w:rsidRPr="00677D83">
        <w:rPr>
          <w:rFonts w:ascii="Verdana" w:hAnsi="Verdana"/>
          <w:color w:val="54BBAB" w:themeColor="text2"/>
          <w:szCs w:val="20"/>
        </w:rPr>
        <w:fldChar w:fldCharType="begin"/>
      </w:r>
      <w:r w:rsidRPr="00677D83">
        <w:rPr>
          <w:rFonts w:ascii="Verdana" w:hAnsi="Verdana"/>
          <w:color w:val="54BBAB" w:themeColor="text2"/>
          <w:szCs w:val="20"/>
        </w:rPr>
        <w:instrText xml:space="preserve">TC </w:instrText>
      </w:r>
      <w:bookmarkStart w:id="5" w:name="_Toc506541253"/>
      <w:bookmarkStart w:id="6" w:name="_Toc506913633"/>
      <w:r w:rsidRPr="00677D83">
        <w:rPr>
          <w:rFonts w:ascii="Verdana" w:hAnsi="Verdana"/>
          <w:color w:val="54BBAB" w:themeColor="text2"/>
          <w:szCs w:val="20"/>
        </w:rPr>
        <w:instrText>“</w:instrText>
      </w:r>
      <w:bookmarkStart w:id="7" w:name="_Toc508017095"/>
      <w:bookmarkStart w:id="8" w:name="_Toc513729573"/>
      <w:r w:rsidRPr="00677D83">
        <w:rPr>
          <w:rFonts w:ascii="Verdana" w:hAnsi="Verdana"/>
          <w:color w:val="54BBAB" w:themeColor="text2"/>
          <w:szCs w:val="20"/>
        </w:rPr>
        <w:instrText>29 REQUESTS FOR INFORMATION</w:instrText>
      </w:r>
      <w:bookmarkEnd w:id="5"/>
      <w:bookmarkEnd w:id="6"/>
      <w:bookmarkEnd w:id="7"/>
      <w:bookmarkEnd w:id="8"/>
      <w:r w:rsidRPr="00677D83">
        <w:rPr>
          <w:rFonts w:ascii="Verdana" w:hAnsi="Verdana"/>
          <w:color w:val="54BBAB" w:themeColor="text2"/>
          <w:szCs w:val="20"/>
        </w:rPr>
        <w:instrText>” \l 1</w:instrText>
      </w:r>
      <w:r w:rsidRPr="00677D83">
        <w:rPr>
          <w:rFonts w:ascii="Verdana" w:hAnsi="Verdana"/>
          <w:color w:val="54BBAB" w:themeColor="text2"/>
          <w:szCs w:val="20"/>
        </w:rPr>
        <w:fldChar w:fldCharType="end"/>
      </w:r>
    </w:p>
    <w:p w14:paraId="2FFAEB91" w14:textId="77777777" w:rsidR="00677D83" w:rsidRPr="00677D83" w:rsidRDefault="00677D83" w:rsidP="00677D83">
      <w:pPr>
        <w:pStyle w:val="Level2"/>
        <w:numPr>
          <w:ilvl w:val="1"/>
          <w:numId w:val="1"/>
        </w:numPr>
        <w:tabs>
          <w:tab w:val="left" w:pos="851"/>
        </w:tabs>
        <w:suppressAutoHyphens/>
        <w:autoSpaceDN w:val="0"/>
        <w:spacing w:before="120"/>
        <w:ind w:left="851"/>
        <w:textAlignment w:val="baseline"/>
        <w:outlineLvl w:val="9"/>
        <w:rPr>
          <w:color w:val="183850" w:themeColor="text1"/>
          <w:sz w:val="20"/>
          <w:szCs w:val="20"/>
        </w:rPr>
      </w:pPr>
      <w:r w:rsidRPr="00677D83">
        <w:rPr>
          <w:color w:val="183850" w:themeColor="text1"/>
          <w:sz w:val="20"/>
          <w:szCs w:val="20"/>
        </w:rPr>
        <w:t xml:space="preserve">Each Party acknowledges and agrees that the Company is a public authority for the purposes of the </w:t>
      </w:r>
      <w:proofErr w:type="spellStart"/>
      <w:r w:rsidRPr="00677D83">
        <w:rPr>
          <w:color w:val="183850" w:themeColor="text1"/>
          <w:sz w:val="20"/>
          <w:szCs w:val="20"/>
        </w:rPr>
        <w:t>FoIA</w:t>
      </w:r>
      <w:proofErr w:type="spellEnd"/>
      <w:r w:rsidRPr="00677D83">
        <w:rPr>
          <w:color w:val="183850" w:themeColor="text1"/>
          <w:sz w:val="20"/>
          <w:szCs w:val="20"/>
        </w:rPr>
        <w:t xml:space="preserve"> and is therefore subject to the requirements of and </w:t>
      </w:r>
      <w:proofErr w:type="spellStart"/>
      <w:r w:rsidRPr="00677D83">
        <w:rPr>
          <w:color w:val="183850" w:themeColor="text1"/>
          <w:sz w:val="20"/>
          <w:szCs w:val="20"/>
        </w:rPr>
        <w:t>FoIA</w:t>
      </w:r>
      <w:proofErr w:type="spellEnd"/>
      <w:r w:rsidRPr="00677D83">
        <w:rPr>
          <w:color w:val="183850" w:themeColor="text1"/>
          <w:sz w:val="20"/>
          <w:szCs w:val="20"/>
        </w:rPr>
        <w:t xml:space="preserve"> and may receive Requests for Information. Accordingly, the other Party agrees reasonably to assist and cooperate with the Company, bearing in mind always the time limits imposed under the </w:t>
      </w:r>
      <w:proofErr w:type="spellStart"/>
      <w:r w:rsidRPr="00677D83">
        <w:rPr>
          <w:color w:val="183850" w:themeColor="text1"/>
          <w:sz w:val="20"/>
          <w:szCs w:val="20"/>
        </w:rPr>
        <w:t>FoIA</w:t>
      </w:r>
      <w:proofErr w:type="spellEnd"/>
      <w:r w:rsidRPr="00677D83">
        <w:rPr>
          <w:color w:val="183850" w:themeColor="text1"/>
          <w:sz w:val="20"/>
          <w:szCs w:val="20"/>
        </w:rPr>
        <w:t xml:space="preserve"> as notified to it by the Company, to enable the Company to comply with its obligations under the </w:t>
      </w:r>
      <w:proofErr w:type="spellStart"/>
      <w:r w:rsidRPr="00677D83">
        <w:rPr>
          <w:color w:val="183850" w:themeColor="text1"/>
          <w:sz w:val="20"/>
          <w:szCs w:val="20"/>
        </w:rPr>
        <w:t>FoIA</w:t>
      </w:r>
      <w:proofErr w:type="spellEnd"/>
      <w:r w:rsidRPr="00677D83">
        <w:rPr>
          <w:color w:val="183850" w:themeColor="text1"/>
          <w:sz w:val="20"/>
          <w:szCs w:val="20"/>
        </w:rPr>
        <w:t>.</w:t>
      </w:r>
    </w:p>
    <w:p w14:paraId="482BF371" w14:textId="37F9A714" w:rsidR="00677D83" w:rsidRPr="00677D83" w:rsidRDefault="00677D83" w:rsidP="00677D83">
      <w:pPr>
        <w:pStyle w:val="Level2"/>
        <w:numPr>
          <w:ilvl w:val="1"/>
          <w:numId w:val="1"/>
        </w:numPr>
        <w:tabs>
          <w:tab w:val="left" w:pos="851"/>
        </w:tabs>
        <w:suppressAutoHyphens/>
        <w:autoSpaceDN w:val="0"/>
        <w:spacing w:before="120"/>
        <w:ind w:left="851"/>
        <w:textAlignment w:val="baseline"/>
        <w:outlineLvl w:val="9"/>
        <w:rPr>
          <w:color w:val="183850" w:themeColor="text1"/>
          <w:sz w:val="20"/>
          <w:szCs w:val="20"/>
        </w:rPr>
      </w:pPr>
      <w:bookmarkStart w:id="9" w:name="_Ref437351786"/>
      <w:r w:rsidRPr="00677D83">
        <w:rPr>
          <w:color w:val="183850" w:themeColor="text1"/>
          <w:sz w:val="20"/>
          <w:szCs w:val="20"/>
        </w:rPr>
        <w:lastRenderedPageBreak/>
        <w:t>Subject to clause </w:t>
      </w:r>
      <w:r w:rsidRPr="00677D83">
        <w:rPr>
          <w:color w:val="183850" w:themeColor="text1"/>
          <w:sz w:val="20"/>
          <w:szCs w:val="20"/>
        </w:rPr>
        <w:fldChar w:fldCharType="begin"/>
      </w:r>
      <w:r w:rsidRPr="00677D83">
        <w:rPr>
          <w:color w:val="183850" w:themeColor="text1"/>
          <w:sz w:val="20"/>
          <w:szCs w:val="20"/>
        </w:rPr>
        <w:instrText xml:space="preserve"> REF _Ref437351731 \r \h  \* MERGEFORMAT </w:instrText>
      </w:r>
      <w:r w:rsidRPr="00677D83">
        <w:rPr>
          <w:color w:val="183850" w:themeColor="text1"/>
          <w:sz w:val="20"/>
          <w:szCs w:val="20"/>
        </w:rPr>
      </w:r>
      <w:r w:rsidRPr="00677D83">
        <w:rPr>
          <w:color w:val="183850" w:themeColor="text1"/>
          <w:sz w:val="20"/>
          <w:szCs w:val="20"/>
        </w:rPr>
        <w:fldChar w:fldCharType="separate"/>
      </w:r>
      <w:r w:rsidRPr="00677D83">
        <w:rPr>
          <w:color w:val="183850" w:themeColor="text1"/>
          <w:sz w:val="20"/>
          <w:szCs w:val="20"/>
        </w:rPr>
        <w:t>2.</w:t>
      </w:r>
      <w:r w:rsidRPr="00677D83">
        <w:rPr>
          <w:color w:val="183850" w:themeColor="text1"/>
          <w:sz w:val="20"/>
          <w:szCs w:val="20"/>
        </w:rPr>
        <w:fldChar w:fldCharType="end"/>
      </w:r>
      <w:r w:rsidRPr="00677D83">
        <w:rPr>
          <w:color w:val="183850" w:themeColor="text1"/>
          <w:sz w:val="20"/>
          <w:szCs w:val="20"/>
        </w:rPr>
        <w:t>3 and without prejudice to clause 2.6, where the Company receives a Request for Information:</w:t>
      </w:r>
      <w:bookmarkEnd w:id="9"/>
    </w:p>
    <w:p w14:paraId="592700C1" w14:textId="77777777" w:rsidR="00677D83" w:rsidRPr="00677D83" w:rsidRDefault="00677D83" w:rsidP="00677D83">
      <w:pPr>
        <w:pStyle w:val="Level3"/>
        <w:numPr>
          <w:ilvl w:val="2"/>
          <w:numId w:val="1"/>
        </w:numPr>
        <w:suppressAutoHyphens/>
        <w:autoSpaceDN w:val="0"/>
        <w:spacing w:before="120"/>
        <w:textAlignment w:val="baseline"/>
        <w:outlineLvl w:val="9"/>
        <w:rPr>
          <w:b/>
          <w:color w:val="183850" w:themeColor="text1"/>
          <w:sz w:val="20"/>
          <w:szCs w:val="20"/>
        </w:rPr>
      </w:pPr>
      <w:bookmarkStart w:id="10" w:name="_Ref424316068"/>
      <w:r w:rsidRPr="00677D83">
        <w:rPr>
          <w:rStyle w:val="Level1asHeadingtext"/>
          <w:color w:val="183850" w:themeColor="text1"/>
          <w:sz w:val="20"/>
          <w:szCs w:val="20"/>
        </w:rPr>
        <w:t>the Company shall notify the other Party as soon as reasonably possible, confirming what Commercially Sensitive Information is being requested</w:t>
      </w:r>
      <w:bookmarkEnd w:id="10"/>
      <w:r w:rsidRPr="00677D83">
        <w:rPr>
          <w:rStyle w:val="Level1asHeadingtext"/>
          <w:color w:val="183850" w:themeColor="text1"/>
          <w:sz w:val="20"/>
          <w:szCs w:val="20"/>
        </w:rPr>
        <w:t>;</w:t>
      </w:r>
    </w:p>
    <w:p w14:paraId="4854C9A0" w14:textId="77777777" w:rsidR="00677D83" w:rsidRPr="00677D83" w:rsidRDefault="00677D83" w:rsidP="00677D83">
      <w:pPr>
        <w:pStyle w:val="Level3"/>
        <w:numPr>
          <w:ilvl w:val="2"/>
          <w:numId w:val="1"/>
        </w:numPr>
        <w:suppressAutoHyphens/>
        <w:autoSpaceDN w:val="0"/>
        <w:spacing w:before="120"/>
        <w:textAlignment w:val="baseline"/>
        <w:outlineLvl w:val="9"/>
        <w:rPr>
          <w:color w:val="183850" w:themeColor="text1"/>
          <w:sz w:val="20"/>
          <w:szCs w:val="20"/>
        </w:rPr>
      </w:pPr>
      <w:r w:rsidRPr="00677D83">
        <w:rPr>
          <w:color w:val="183850" w:themeColor="text1"/>
          <w:sz w:val="20"/>
          <w:szCs w:val="20"/>
        </w:rPr>
        <w:t xml:space="preserve">the Company agrees to consider any reasonable comments from the other Party as to whether a relevant exemption/exception to the requirement to disclose the Commercially Sensitive Information under the </w:t>
      </w:r>
      <w:proofErr w:type="spellStart"/>
      <w:r w:rsidRPr="00677D83">
        <w:rPr>
          <w:color w:val="183850" w:themeColor="text1"/>
          <w:sz w:val="20"/>
          <w:szCs w:val="20"/>
        </w:rPr>
        <w:t>FoIA</w:t>
      </w:r>
      <w:proofErr w:type="spellEnd"/>
      <w:r w:rsidRPr="00677D83">
        <w:rPr>
          <w:color w:val="183850" w:themeColor="text1"/>
          <w:sz w:val="20"/>
          <w:szCs w:val="20"/>
        </w:rPr>
        <w:t xml:space="preserve"> might be applicable, provided that other Party provides such comments within a reasonable time (and in any event within five Business Days of being notified of the Request for Information) so that the Company has a reasonable opportunity to consider the other Party’s comments prior to the deadline for the Company to respond to the Request for Information;</w:t>
      </w:r>
    </w:p>
    <w:p w14:paraId="77C7CCF9" w14:textId="77777777" w:rsidR="00677D83" w:rsidRPr="00677D83" w:rsidRDefault="00677D83" w:rsidP="00677D83">
      <w:pPr>
        <w:pStyle w:val="Level3"/>
        <w:numPr>
          <w:ilvl w:val="2"/>
          <w:numId w:val="1"/>
        </w:numPr>
        <w:suppressAutoHyphens/>
        <w:autoSpaceDN w:val="0"/>
        <w:spacing w:before="120"/>
        <w:textAlignment w:val="baseline"/>
        <w:outlineLvl w:val="9"/>
        <w:rPr>
          <w:color w:val="183850" w:themeColor="text1"/>
          <w:sz w:val="20"/>
          <w:szCs w:val="20"/>
        </w:rPr>
      </w:pPr>
      <w:r w:rsidRPr="00677D83">
        <w:rPr>
          <w:color w:val="183850" w:themeColor="text1"/>
          <w:sz w:val="20"/>
          <w:szCs w:val="20"/>
        </w:rPr>
        <w:t xml:space="preserve">to the extent that the other Party holds information or records on behalf of the Company (for example, where it is acting as a Data Processor for the Company), upon request, the other Party agrees to provide the Company with a copy of all such information related to the Request for Information, in the form that the Company reasonably requires within five Business Days (or such other period as the Company may reasonably specify) of the Company's request; </w:t>
      </w:r>
    </w:p>
    <w:p w14:paraId="470F6218" w14:textId="77777777" w:rsidR="00677D83" w:rsidRPr="00677D83" w:rsidRDefault="00677D83" w:rsidP="00677D83">
      <w:pPr>
        <w:pStyle w:val="Level3"/>
        <w:numPr>
          <w:ilvl w:val="2"/>
          <w:numId w:val="1"/>
        </w:numPr>
        <w:suppressAutoHyphens/>
        <w:autoSpaceDN w:val="0"/>
        <w:spacing w:before="120"/>
        <w:textAlignment w:val="baseline"/>
        <w:outlineLvl w:val="9"/>
        <w:rPr>
          <w:color w:val="183850" w:themeColor="text1"/>
          <w:sz w:val="20"/>
          <w:szCs w:val="20"/>
        </w:rPr>
      </w:pPr>
      <w:r w:rsidRPr="00677D83">
        <w:rPr>
          <w:color w:val="183850" w:themeColor="text1"/>
          <w:sz w:val="20"/>
          <w:szCs w:val="20"/>
        </w:rPr>
        <w:t xml:space="preserve">the other Party agrees to provide all necessary assistance as reasonably requested by the Company in connection with any such Request for Information, to enable the Company to respond to a Request for Information within the time for compliance set out in the </w:t>
      </w:r>
      <w:proofErr w:type="spellStart"/>
      <w:r w:rsidRPr="00677D83">
        <w:rPr>
          <w:color w:val="183850" w:themeColor="text1"/>
          <w:sz w:val="20"/>
          <w:szCs w:val="20"/>
        </w:rPr>
        <w:t>FoIA</w:t>
      </w:r>
      <w:proofErr w:type="spellEnd"/>
      <w:r w:rsidRPr="00677D83">
        <w:rPr>
          <w:color w:val="183850" w:themeColor="text1"/>
          <w:sz w:val="20"/>
          <w:szCs w:val="20"/>
        </w:rPr>
        <w:t xml:space="preserve">; </w:t>
      </w:r>
    </w:p>
    <w:p w14:paraId="34331374" w14:textId="77777777" w:rsidR="00677D83" w:rsidRPr="00677D83" w:rsidRDefault="00677D83" w:rsidP="00677D83">
      <w:pPr>
        <w:pStyle w:val="Level3"/>
        <w:numPr>
          <w:ilvl w:val="2"/>
          <w:numId w:val="1"/>
        </w:numPr>
        <w:suppressAutoHyphens/>
        <w:autoSpaceDN w:val="0"/>
        <w:spacing w:before="120"/>
        <w:textAlignment w:val="baseline"/>
        <w:outlineLvl w:val="9"/>
        <w:rPr>
          <w:color w:val="183850" w:themeColor="text1"/>
          <w:sz w:val="20"/>
          <w:szCs w:val="20"/>
        </w:rPr>
      </w:pPr>
      <w:r w:rsidRPr="00677D83">
        <w:rPr>
          <w:color w:val="183850" w:themeColor="text1"/>
          <w:sz w:val="20"/>
          <w:szCs w:val="20"/>
        </w:rPr>
        <w:t>the other Party agrees not to respond directly to any such Request for Information or otherwise make any public statement in relation to it, without the prior written consent of the Company.</w:t>
      </w:r>
    </w:p>
    <w:p w14:paraId="267E0FBA" w14:textId="77777777" w:rsidR="00677D83" w:rsidRPr="00677D83" w:rsidRDefault="00677D83" w:rsidP="00677D83">
      <w:pPr>
        <w:pStyle w:val="Level2"/>
        <w:numPr>
          <w:ilvl w:val="1"/>
          <w:numId w:val="1"/>
        </w:numPr>
        <w:tabs>
          <w:tab w:val="left" w:pos="851"/>
        </w:tabs>
        <w:suppressAutoHyphens/>
        <w:autoSpaceDN w:val="0"/>
        <w:spacing w:before="120"/>
        <w:ind w:left="851"/>
        <w:textAlignment w:val="baseline"/>
        <w:outlineLvl w:val="9"/>
        <w:rPr>
          <w:color w:val="183850" w:themeColor="text1"/>
          <w:sz w:val="20"/>
          <w:szCs w:val="20"/>
        </w:rPr>
      </w:pPr>
      <w:bookmarkStart w:id="11" w:name="_Ref437351731"/>
      <w:r w:rsidRPr="00677D83">
        <w:rPr>
          <w:color w:val="183850" w:themeColor="text1"/>
          <w:sz w:val="20"/>
          <w:szCs w:val="20"/>
        </w:rPr>
        <w:t>The Company will notify the other Party as soon as reasonably possible if it:</w:t>
      </w:r>
      <w:bookmarkEnd w:id="11"/>
    </w:p>
    <w:p w14:paraId="4D2E0A17" w14:textId="77777777" w:rsidR="00677D83" w:rsidRPr="00677D83" w:rsidRDefault="00677D83" w:rsidP="00677D83">
      <w:pPr>
        <w:pStyle w:val="Level3"/>
        <w:numPr>
          <w:ilvl w:val="2"/>
          <w:numId w:val="1"/>
        </w:numPr>
        <w:suppressAutoHyphens/>
        <w:autoSpaceDN w:val="0"/>
        <w:spacing w:before="120"/>
        <w:textAlignment w:val="baseline"/>
        <w:outlineLvl w:val="9"/>
        <w:rPr>
          <w:color w:val="183850" w:themeColor="text1"/>
          <w:sz w:val="20"/>
          <w:szCs w:val="20"/>
        </w:rPr>
      </w:pPr>
      <w:r w:rsidRPr="00677D83">
        <w:rPr>
          <w:color w:val="183850" w:themeColor="text1"/>
          <w:sz w:val="20"/>
          <w:szCs w:val="20"/>
        </w:rPr>
        <w:t>receives a complaint in relation to the handling of a Request for Information;</w:t>
      </w:r>
    </w:p>
    <w:p w14:paraId="7A46050B" w14:textId="77777777" w:rsidR="00677D83" w:rsidRPr="00677D83" w:rsidRDefault="00677D83" w:rsidP="00677D83">
      <w:pPr>
        <w:pStyle w:val="Level3"/>
        <w:numPr>
          <w:ilvl w:val="2"/>
          <w:numId w:val="1"/>
        </w:numPr>
        <w:suppressAutoHyphens/>
        <w:autoSpaceDN w:val="0"/>
        <w:spacing w:before="120"/>
        <w:textAlignment w:val="baseline"/>
        <w:outlineLvl w:val="9"/>
        <w:rPr>
          <w:color w:val="183850" w:themeColor="text1"/>
          <w:sz w:val="20"/>
          <w:szCs w:val="20"/>
        </w:rPr>
      </w:pPr>
      <w:r w:rsidRPr="00677D83">
        <w:rPr>
          <w:color w:val="183850" w:themeColor="text1"/>
          <w:sz w:val="20"/>
          <w:szCs w:val="20"/>
        </w:rPr>
        <w:t>becomes aware that an application has been made to the Information ICO for a decision in relation to the Request for Information;</w:t>
      </w:r>
    </w:p>
    <w:p w14:paraId="6B3C7E64" w14:textId="77777777" w:rsidR="00677D83" w:rsidRPr="00677D83" w:rsidRDefault="00677D83" w:rsidP="00677D83">
      <w:pPr>
        <w:pStyle w:val="Level3"/>
        <w:numPr>
          <w:ilvl w:val="2"/>
          <w:numId w:val="1"/>
        </w:numPr>
        <w:suppressAutoHyphens/>
        <w:autoSpaceDN w:val="0"/>
        <w:spacing w:before="120"/>
        <w:textAlignment w:val="baseline"/>
        <w:outlineLvl w:val="9"/>
        <w:rPr>
          <w:color w:val="183850" w:themeColor="text1"/>
          <w:sz w:val="20"/>
          <w:szCs w:val="20"/>
        </w:rPr>
      </w:pPr>
      <w:r w:rsidRPr="00677D83">
        <w:rPr>
          <w:color w:val="183850" w:themeColor="text1"/>
          <w:sz w:val="20"/>
          <w:szCs w:val="20"/>
        </w:rPr>
        <w:t>becomes aware that the ICO has served any notice on it in relation to the Request for Information;</w:t>
      </w:r>
    </w:p>
    <w:p w14:paraId="0AC9A4DD" w14:textId="77777777" w:rsidR="00677D83" w:rsidRPr="00677D83" w:rsidRDefault="00677D83" w:rsidP="00677D83">
      <w:pPr>
        <w:pStyle w:val="Level3"/>
        <w:numPr>
          <w:ilvl w:val="2"/>
          <w:numId w:val="1"/>
        </w:numPr>
        <w:suppressAutoHyphens/>
        <w:autoSpaceDN w:val="0"/>
        <w:spacing w:before="120"/>
        <w:textAlignment w:val="baseline"/>
        <w:outlineLvl w:val="9"/>
        <w:rPr>
          <w:color w:val="183850" w:themeColor="text1"/>
          <w:sz w:val="20"/>
          <w:szCs w:val="20"/>
        </w:rPr>
      </w:pPr>
      <w:r w:rsidRPr="00677D83">
        <w:rPr>
          <w:color w:val="183850" w:themeColor="text1"/>
          <w:sz w:val="20"/>
          <w:szCs w:val="20"/>
        </w:rPr>
        <w:t>becomes aware that an appeal has been made to the Information Tribunal or the court in relation to the Request for Information; or</w:t>
      </w:r>
    </w:p>
    <w:p w14:paraId="74C6605D" w14:textId="77777777" w:rsidR="00677D83" w:rsidRPr="00677D83" w:rsidRDefault="00677D83" w:rsidP="00677D83">
      <w:pPr>
        <w:pStyle w:val="Level3"/>
        <w:numPr>
          <w:ilvl w:val="2"/>
          <w:numId w:val="1"/>
        </w:numPr>
        <w:suppressAutoHyphens/>
        <w:autoSpaceDN w:val="0"/>
        <w:spacing w:before="120"/>
        <w:textAlignment w:val="baseline"/>
        <w:outlineLvl w:val="9"/>
        <w:rPr>
          <w:color w:val="183850" w:themeColor="text1"/>
          <w:sz w:val="20"/>
          <w:szCs w:val="20"/>
        </w:rPr>
      </w:pPr>
      <w:r w:rsidRPr="00677D83">
        <w:rPr>
          <w:color w:val="183850" w:themeColor="text1"/>
          <w:sz w:val="20"/>
          <w:szCs w:val="20"/>
        </w:rPr>
        <w:t>becomes aware that Commercially Sensitive Information has been or is about to be disclosed to a third Party pursuant to a decision of the ICO, Information Tribunal or court without the Company’s prior written consent,</w:t>
      </w:r>
    </w:p>
    <w:p w14:paraId="796BC4D2" w14:textId="77777777" w:rsidR="00677D83" w:rsidRPr="00677D83" w:rsidRDefault="00677D83" w:rsidP="00677D83">
      <w:pPr>
        <w:pStyle w:val="FWBCont2"/>
        <w:spacing w:before="120"/>
        <w:ind w:left="851"/>
        <w:rPr>
          <w:rFonts w:ascii="Verdana" w:hAnsi="Verdana"/>
          <w:color w:val="183850" w:themeColor="text1"/>
          <w:sz w:val="20"/>
          <w:szCs w:val="20"/>
        </w:rPr>
      </w:pPr>
      <w:r w:rsidRPr="00677D83">
        <w:rPr>
          <w:rFonts w:ascii="Verdana" w:hAnsi="Verdana"/>
          <w:color w:val="183850" w:themeColor="text1"/>
          <w:sz w:val="20"/>
          <w:szCs w:val="20"/>
        </w:rPr>
        <w:lastRenderedPageBreak/>
        <w:t xml:space="preserve">and in each case shall provide the other Party with such details as may reasonably be requested by the other Party. </w:t>
      </w:r>
    </w:p>
    <w:p w14:paraId="366AA201" w14:textId="77777777" w:rsidR="00677D83" w:rsidRPr="00677D83" w:rsidRDefault="00677D83" w:rsidP="00677D83">
      <w:pPr>
        <w:pStyle w:val="Level2"/>
        <w:numPr>
          <w:ilvl w:val="1"/>
          <w:numId w:val="1"/>
        </w:numPr>
        <w:tabs>
          <w:tab w:val="left" w:pos="851"/>
        </w:tabs>
        <w:suppressAutoHyphens/>
        <w:autoSpaceDN w:val="0"/>
        <w:spacing w:before="120"/>
        <w:ind w:left="851"/>
        <w:textAlignment w:val="baseline"/>
        <w:outlineLvl w:val="9"/>
        <w:rPr>
          <w:color w:val="183850" w:themeColor="text1"/>
          <w:sz w:val="20"/>
          <w:szCs w:val="20"/>
        </w:rPr>
      </w:pPr>
      <w:r w:rsidRPr="00677D83">
        <w:rPr>
          <w:color w:val="183850" w:themeColor="text1"/>
          <w:sz w:val="20"/>
          <w:szCs w:val="20"/>
        </w:rPr>
        <w:t>The other Party agrees to provide all reasonable assistance as requested by the Company, in relation to anything in this clause 2.</w:t>
      </w:r>
    </w:p>
    <w:p w14:paraId="33D5C1A0" w14:textId="26DC0B89" w:rsidR="00677D83" w:rsidRPr="00677D83" w:rsidRDefault="00677D83" w:rsidP="00677D83">
      <w:pPr>
        <w:pStyle w:val="Level2"/>
        <w:numPr>
          <w:ilvl w:val="1"/>
          <w:numId w:val="1"/>
        </w:numPr>
        <w:tabs>
          <w:tab w:val="left" w:pos="851"/>
        </w:tabs>
        <w:suppressAutoHyphens/>
        <w:autoSpaceDN w:val="0"/>
        <w:spacing w:before="120"/>
        <w:ind w:left="851"/>
        <w:textAlignment w:val="baseline"/>
        <w:outlineLvl w:val="9"/>
        <w:rPr>
          <w:color w:val="183850" w:themeColor="text1"/>
          <w:sz w:val="20"/>
          <w:szCs w:val="20"/>
        </w:rPr>
      </w:pPr>
      <w:r w:rsidRPr="00677D83">
        <w:rPr>
          <w:color w:val="183850" w:themeColor="text1"/>
          <w:sz w:val="20"/>
          <w:szCs w:val="20"/>
        </w:rPr>
        <w:t>The other Party acknowledges that in some circumstances it may not be possible or reasonable for the Company to provide notice of any Request for Information (or other matters described in clauses </w:t>
      </w:r>
      <w:r w:rsidRPr="00677D83">
        <w:rPr>
          <w:color w:val="183850" w:themeColor="text1"/>
          <w:sz w:val="20"/>
          <w:szCs w:val="20"/>
        </w:rPr>
        <w:fldChar w:fldCharType="begin"/>
      </w:r>
      <w:r w:rsidRPr="00677D83">
        <w:rPr>
          <w:color w:val="183850" w:themeColor="text1"/>
          <w:sz w:val="20"/>
          <w:szCs w:val="20"/>
        </w:rPr>
        <w:instrText xml:space="preserve"> REF _Ref437351786 \r \h  \* MERGEFORMAT </w:instrText>
      </w:r>
      <w:r w:rsidRPr="00677D83">
        <w:rPr>
          <w:color w:val="183850" w:themeColor="text1"/>
          <w:sz w:val="20"/>
          <w:szCs w:val="20"/>
        </w:rPr>
      </w:r>
      <w:r w:rsidRPr="00677D83">
        <w:rPr>
          <w:color w:val="183850" w:themeColor="text1"/>
          <w:sz w:val="20"/>
          <w:szCs w:val="20"/>
        </w:rPr>
        <w:fldChar w:fldCharType="separate"/>
      </w:r>
      <w:r w:rsidRPr="00677D83">
        <w:rPr>
          <w:color w:val="183850" w:themeColor="text1"/>
          <w:sz w:val="20"/>
          <w:szCs w:val="20"/>
        </w:rPr>
        <w:t>2.</w:t>
      </w:r>
      <w:r w:rsidRPr="00677D83">
        <w:rPr>
          <w:color w:val="183850" w:themeColor="text1"/>
          <w:sz w:val="20"/>
          <w:szCs w:val="20"/>
        </w:rPr>
        <w:fldChar w:fldCharType="end"/>
      </w:r>
      <w:r w:rsidRPr="00677D83">
        <w:rPr>
          <w:color w:val="183850" w:themeColor="text1"/>
          <w:sz w:val="20"/>
          <w:szCs w:val="20"/>
        </w:rPr>
        <w:t xml:space="preserve">2 or </w:t>
      </w:r>
      <w:r w:rsidRPr="00677D83">
        <w:rPr>
          <w:color w:val="183850" w:themeColor="text1"/>
          <w:sz w:val="20"/>
          <w:szCs w:val="20"/>
        </w:rPr>
        <w:fldChar w:fldCharType="begin"/>
      </w:r>
      <w:r w:rsidRPr="00677D83">
        <w:rPr>
          <w:color w:val="183850" w:themeColor="text1"/>
          <w:sz w:val="20"/>
          <w:szCs w:val="20"/>
        </w:rPr>
        <w:instrText xml:space="preserve"> REF _Ref437351731 \r \h  \* MERGEFORMAT </w:instrText>
      </w:r>
      <w:r w:rsidRPr="00677D83">
        <w:rPr>
          <w:color w:val="183850" w:themeColor="text1"/>
          <w:sz w:val="20"/>
          <w:szCs w:val="20"/>
        </w:rPr>
      </w:r>
      <w:r w:rsidRPr="00677D83">
        <w:rPr>
          <w:color w:val="183850" w:themeColor="text1"/>
          <w:sz w:val="20"/>
          <w:szCs w:val="20"/>
        </w:rPr>
        <w:fldChar w:fldCharType="separate"/>
      </w:r>
      <w:r w:rsidRPr="00677D83">
        <w:rPr>
          <w:color w:val="183850" w:themeColor="text1"/>
          <w:sz w:val="20"/>
          <w:szCs w:val="20"/>
        </w:rPr>
        <w:t>2.</w:t>
      </w:r>
      <w:r w:rsidRPr="00677D83">
        <w:rPr>
          <w:color w:val="183850" w:themeColor="text1"/>
          <w:sz w:val="20"/>
          <w:szCs w:val="20"/>
        </w:rPr>
        <w:fldChar w:fldCharType="end"/>
      </w:r>
      <w:r w:rsidRPr="00677D83">
        <w:rPr>
          <w:color w:val="183850" w:themeColor="text1"/>
          <w:sz w:val="20"/>
          <w:szCs w:val="20"/>
        </w:rPr>
        <w:t>3) or to consider the comments of other Party in relation to it, prior to responding to such a request.</w:t>
      </w:r>
    </w:p>
    <w:p w14:paraId="2A71F8FC" w14:textId="77777777" w:rsidR="00677D83" w:rsidRPr="00677D83" w:rsidRDefault="00677D83" w:rsidP="00677D83">
      <w:pPr>
        <w:pStyle w:val="Level2"/>
        <w:numPr>
          <w:ilvl w:val="1"/>
          <w:numId w:val="1"/>
        </w:numPr>
        <w:tabs>
          <w:tab w:val="left" w:pos="851"/>
        </w:tabs>
        <w:suppressAutoHyphens/>
        <w:autoSpaceDN w:val="0"/>
        <w:spacing w:before="120"/>
        <w:ind w:left="851"/>
        <w:textAlignment w:val="baseline"/>
        <w:outlineLvl w:val="9"/>
        <w:rPr>
          <w:color w:val="183850" w:themeColor="text1"/>
          <w:sz w:val="20"/>
          <w:szCs w:val="20"/>
        </w:rPr>
      </w:pPr>
      <w:r w:rsidRPr="00677D83">
        <w:rPr>
          <w:color w:val="183850" w:themeColor="text1"/>
          <w:sz w:val="20"/>
          <w:szCs w:val="20"/>
        </w:rPr>
        <w:t xml:space="preserve">The Company shall have the sole discretion, acting reasonably at all times, to decide the extent of disclosure of any Commercially Sensitive Information in response to an Information Request. In so doing, the Company shall consider the availability of any exemptions and/or limitations on any such disclosure pursuant to the FIOA, where appropriate under the guidelines or instructions of the ICO. </w:t>
      </w:r>
    </w:p>
    <w:p w14:paraId="71699790" w14:textId="12761548" w:rsidR="00677D83" w:rsidRPr="00677D83" w:rsidRDefault="00677D83" w:rsidP="00677D83">
      <w:pPr>
        <w:pStyle w:val="treb"/>
        <w:ind w:left="567" w:hanging="567"/>
        <w:rPr>
          <w:rFonts w:ascii="Verdana" w:hAnsi="Verdana"/>
          <w:b w:val="0"/>
          <w:bCs w:val="0"/>
          <w:color w:val="54BBAB" w:themeColor="text2"/>
          <w:szCs w:val="18"/>
        </w:rPr>
      </w:pPr>
      <w:bookmarkStart w:id="12" w:name="_Ref506393083"/>
      <w:r w:rsidRPr="00677D83">
        <w:rPr>
          <w:rFonts w:ascii="Verdana" w:hAnsi="Verdana"/>
          <w:color w:val="54BBAB" w:themeColor="text2"/>
          <w:szCs w:val="20"/>
        </w:rPr>
        <w:t>Data Protection</w:t>
      </w:r>
      <w:bookmarkStart w:id="13" w:name="_NN353"/>
      <w:bookmarkEnd w:id="12"/>
      <w:bookmarkEnd w:id="13"/>
      <w:r w:rsidRPr="00677D83">
        <w:rPr>
          <w:rFonts w:ascii="Verdana" w:hAnsi="Verdana"/>
          <w:b w:val="0"/>
          <w:bCs w:val="0"/>
          <w:color w:val="54BBAB" w:themeColor="text2"/>
          <w:szCs w:val="18"/>
        </w:rPr>
        <w:fldChar w:fldCharType="begin"/>
      </w:r>
      <w:r w:rsidRPr="00677D83">
        <w:rPr>
          <w:rFonts w:ascii="Verdana" w:hAnsi="Verdana"/>
          <w:b w:val="0"/>
          <w:bCs w:val="0"/>
          <w:color w:val="54BBAB" w:themeColor="text2"/>
          <w:szCs w:val="18"/>
        </w:rPr>
        <w:instrText xml:space="preserve">TC </w:instrText>
      </w:r>
      <w:bookmarkStart w:id="14" w:name="_Toc506541251"/>
      <w:bookmarkStart w:id="15" w:name="_Toc506913631"/>
      <w:r w:rsidRPr="00677D83">
        <w:rPr>
          <w:rFonts w:ascii="Verdana" w:hAnsi="Verdana"/>
          <w:b w:val="0"/>
          <w:bCs w:val="0"/>
          <w:color w:val="54BBAB" w:themeColor="text2"/>
          <w:szCs w:val="18"/>
        </w:rPr>
        <w:instrText>“</w:instrText>
      </w:r>
      <w:bookmarkStart w:id="16" w:name="_Toc508017093"/>
      <w:bookmarkStart w:id="17" w:name="_Toc513729571"/>
      <w:r w:rsidRPr="00677D83">
        <w:rPr>
          <w:rFonts w:ascii="Verdana" w:hAnsi="Verdana"/>
          <w:b w:val="0"/>
          <w:bCs w:val="0"/>
          <w:color w:val="54BBAB" w:themeColor="text2"/>
          <w:szCs w:val="18"/>
        </w:rPr>
        <w:instrText>27 DATA PROTECTION</w:instrText>
      </w:r>
      <w:bookmarkEnd w:id="14"/>
      <w:bookmarkEnd w:id="15"/>
      <w:bookmarkEnd w:id="16"/>
      <w:bookmarkEnd w:id="17"/>
      <w:r w:rsidRPr="00677D83">
        <w:rPr>
          <w:rFonts w:ascii="Verdana" w:hAnsi="Verdana"/>
          <w:b w:val="0"/>
          <w:bCs w:val="0"/>
          <w:color w:val="54BBAB" w:themeColor="text2"/>
          <w:szCs w:val="18"/>
        </w:rPr>
        <w:instrText>” \l 1</w:instrText>
      </w:r>
      <w:r w:rsidRPr="00677D83">
        <w:rPr>
          <w:rFonts w:ascii="Verdana" w:hAnsi="Verdana"/>
          <w:b w:val="0"/>
          <w:bCs w:val="0"/>
          <w:color w:val="54BBAB" w:themeColor="text2"/>
          <w:szCs w:val="18"/>
        </w:rPr>
        <w:fldChar w:fldCharType="end"/>
      </w:r>
    </w:p>
    <w:p w14:paraId="7AE85C1B" w14:textId="77777777" w:rsidR="00677D83" w:rsidRPr="00677D83" w:rsidRDefault="00677D83" w:rsidP="00677D83">
      <w:pPr>
        <w:numPr>
          <w:ilvl w:val="1"/>
          <w:numId w:val="1"/>
        </w:numPr>
        <w:tabs>
          <w:tab w:val="left" w:pos="851"/>
        </w:tabs>
        <w:suppressAutoHyphens/>
        <w:autoSpaceDN w:val="0"/>
        <w:spacing w:before="120" w:after="240" w:line="240" w:lineRule="auto"/>
        <w:ind w:left="851"/>
        <w:jc w:val="both"/>
        <w:textAlignment w:val="baseline"/>
        <w:rPr>
          <w:rFonts w:ascii="Verdana" w:hAnsi="Verdana"/>
          <w:color w:val="183850" w:themeColor="text1"/>
          <w:sz w:val="20"/>
          <w:szCs w:val="20"/>
        </w:rPr>
      </w:pPr>
      <w:bookmarkStart w:id="18" w:name="NN28"/>
      <w:bookmarkStart w:id="19" w:name="NN61"/>
      <w:bookmarkStart w:id="20" w:name="NN29"/>
      <w:bookmarkStart w:id="21" w:name="NN62"/>
      <w:bookmarkEnd w:id="18"/>
      <w:bookmarkEnd w:id="19"/>
      <w:bookmarkEnd w:id="20"/>
      <w:bookmarkEnd w:id="21"/>
      <w:r w:rsidRPr="00677D83">
        <w:rPr>
          <w:rFonts w:ascii="Verdana" w:hAnsi="Verdana"/>
          <w:color w:val="183850" w:themeColor="text1"/>
          <w:sz w:val="20"/>
          <w:szCs w:val="20"/>
        </w:rPr>
        <w:t xml:space="preserve">In this Clause 3, all terms used (including Data Subject, Data Controller, Personal Data, Process and Processing) will have the meanings given to them in the Data Protection Laws.  </w:t>
      </w:r>
    </w:p>
    <w:p w14:paraId="3F226E1F" w14:textId="77777777" w:rsidR="00677D83" w:rsidRPr="00677D83" w:rsidRDefault="00677D83" w:rsidP="00677D83">
      <w:pPr>
        <w:numPr>
          <w:ilvl w:val="1"/>
          <w:numId w:val="1"/>
        </w:numPr>
        <w:tabs>
          <w:tab w:val="left" w:pos="851"/>
        </w:tabs>
        <w:suppressAutoHyphens/>
        <w:autoSpaceDN w:val="0"/>
        <w:spacing w:before="120" w:after="240" w:line="240" w:lineRule="auto"/>
        <w:ind w:left="851"/>
        <w:jc w:val="both"/>
        <w:textAlignment w:val="baseline"/>
        <w:rPr>
          <w:rFonts w:ascii="Verdana" w:hAnsi="Verdana"/>
          <w:color w:val="183850" w:themeColor="text1"/>
          <w:sz w:val="20"/>
          <w:szCs w:val="20"/>
        </w:rPr>
      </w:pPr>
      <w:r w:rsidRPr="00677D83">
        <w:rPr>
          <w:rFonts w:ascii="Verdana" w:hAnsi="Verdana"/>
          <w:color w:val="183850" w:themeColor="text1"/>
          <w:sz w:val="20"/>
          <w:szCs w:val="20"/>
        </w:rPr>
        <w:t>The Parties shall comply with the provisions and obligations imposed on them by the Data Protection Laws at all times when Processing Personal Data in connection with the Agreement.</w:t>
      </w:r>
    </w:p>
    <w:p w14:paraId="26E76DE9" w14:textId="77777777" w:rsidR="00677D83" w:rsidRPr="00677D83" w:rsidRDefault="00677D83" w:rsidP="00677D83">
      <w:pPr>
        <w:numPr>
          <w:ilvl w:val="1"/>
          <w:numId w:val="1"/>
        </w:numPr>
        <w:tabs>
          <w:tab w:val="left" w:pos="851"/>
        </w:tabs>
        <w:suppressAutoHyphens/>
        <w:autoSpaceDN w:val="0"/>
        <w:spacing w:before="120" w:after="240" w:line="240" w:lineRule="auto"/>
        <w:ind w:left="851"/>
        <w:jc w:val="both"/>
        <w:textAlignment w:val="baseline"/>
        <w:rPr>
          <w:rFonts w:ascii="Verdana" w:hAnsi="Verdana"/>
          <w:color w:val="183850" w:themeColor="text1"/>
          <w:sz w:val="20"/>
          <w:szCs w:val="20"/>
        </w:rPr>
      </w:pPr>
      <w:r w:rsidRPr="00677D83">
        <w:rPr>
          <w:rFonts w:ascii="Verdana" w:hAnsi="Verdana"/>
          <w:color w:val="183850" w:themeColor="text1"/>
          <w:sz w:val="20"/>
          <w:szCs w:val="20"/>
        </w:rPr>
        <w:t>Each Party shall maintain records of all Processing operations under its responsibility that contain at least the minimum information required by the Data Protection Laws, and shall make such information available to any Data Protection Regulator on request.</w:t>
      </w:r>
    </w:p>
    <w:p w14:paraId="17704489" w14:textId="77777777" w:rsidR="00677D83" w:rsidRPr="00677D83" w:rsidRDefault="00677D83" w:rsidP="00677D83">
      <w:pPr>
        <w:numPr>
          <w:ilvl w:val="1"/>
          <w:numId w:val="1"/>
        </w:numPr>
        <w:tabs>
          <w:tab w:val="left" w:pos="851"/>
        </w:tabs>
        <w:suppressAutoHyphens/>
        <w:autoSpaceDN w:val="0"/>
        <w:spacing w:before="120" w:after="240" w:line="240" w:lineRule="auto"/>
        <w:ind w:left="851"/>
        <w:jc w:val="both"/>
        <w:textAlignment w:val="baseline"/>
        <w:rPr>
          <w:rFonts w:ascii="Verdana" w:hAnsi="Verdana"/>
          <w:color w:val="183850" w:themeColor="text1"/>
          <w:sz w:val="20"/>
          <w:szCs w:val="20"/>
        </w:rPr>
      </w:pPr>
      <w:r w:rsidRPr="00677D83">
        <w:rPr>
          <w:rFonts w:ascii="Verdana" w:hAnsi="Verdana"/>
          <w:bCs/>
          <w:color w:val="183850" w:themeColor="text1"/>
          <w:sz w:val="20"/>
          <w:szCs w:val="20"/>
        </w:rPr>
        <w:t xml:space="preserve">To the extent that </w:t>
      </w:r>
      <w:r w:rsidRPr="00677D83">
        <w:rPr>
          <w:rFonts w:ascii="Verdana" w:hAnsi="Verdana"/>
          <w:color w:val="183850" w:themeColor="text1"/>
          <w:sz w:val="20"/>
          <w:szCs w:val="20"/>
        </w:rPr>
        <w:t>either Party Processes Data on behalf of the other Party</w:t>
      </w:r>
      <w:r w:rsidRPr="00677D83">
        <w:rPr>
          <w:rFonts w:ascii="Verdana" w:hAnsi="Verdana"/>
          <w:bCs/>
          <w:color w:val="183850" w:themeColor="text1"/>
          <w:sz w:val="20"/>
          <w:szCs w:val="20"/>
        </w:rPr>
        <w:t xml:space="preserve"> pursuant to the Agreement, the Data Processor shall: </w:t>
      </w:r>
    </w:p>
    <w:p w14:paraId="4901FAC9" w14:textId="48C226B3" w:rsidR="00677D83" w:rsidRPr="00677D83" w:rsidRDefault="00677D83" w:rsidP="00677D83">
      <w:pPr>
        <w:numPr>
          <w:ilvl w:val="2"/>
          <w:numId w:val="1"/>
        </w:numPr>
        <w:tabs>
          <w:tab w:val="left" w:pos="851"/>
        </w:tabs>
        <w:suppressAutoHyphens/>
        <w:autoSpaceDN w:val="0"/>
        <w:spacing w:before="120" w:after="240" w:line="240" w:lineRule="auto"/>
        <w:jc w:val="both"/>
        <w:textAlignment w:val="baseline"/>
        <w:rPr>
          <w:rFonts w:ascii="Verdana" w:hAnsi="Verdana"/>
          <w:bCs/>
          <w:color w:val="183850" w:themeColor="text1"/>
          <w:sz w:val="20"/>
          <w:szCs w:val="20"/>
        </w:rPr>
      </w:pPr>
      <w:r w:rsidRPr="00677D83">
        <w:rPr>
          <w:rFonts w:ascii="Verdana" w:hAnsi="Verdana"/>
          <w:bCs/>
          <w:color w:val="183850" w:themeColor="text1"/>
          <w:sz w:val="20"/>
          <w:szCs w:val="20"/>
        </w:rPr>
        <w:t>Process such Personal Data (</w:t>
      </w:r>
      <w:proofErr w:type="spellStart"/>
      <w:r w:rsidRPr="00677D83">
        <w:rPr>
          <w:rFonts w:ascii="Verdana" w:hAnsi="Verdana"/>
          <w:bCs/>
          <w:color w:val="183850" w:themeColor="text1"/>
          <w:sz w:val="20"/>
          <w:szCs w:val="20"/>
        </w:rPr>
        <w:t>i</w:t>
      </w:r>
      <w:proofErr w:type="spellEnd"/>
      <w:r w:rsidRPr="00677D83">
        <w:rPr>
          <w:rFonts w:ascii="Verdana" w:hAnsi="Verdana"/>
          <w:bCs/>
          <w:color w:val="183850" w:themeColor="text1"/>
          <w:sz w:val="20"/>
          <w:szCs w:val="20"/>
        </w:rPr>
        <w:t>) only in accordance with the Data Controller’s written instructions from time to time (including those set out in the Agreement), unless it is otherwise required by Applicable Law (in which case, unless such law prohibits such notification on important grounds of public interest, the Data Processor shall notify the Data Controller of the relevant legal requirement before Processing the Personal Data), and (ii) only for the duration of the Agreement;</w:t>
      </w:r>
    </w:p>
    <w:p w14:paraId="6BFEC1A4" w14:textId="77777777" w:rsidR="00677D83" w:rsidRPr="00677D83" w:rsidRDefault="00677D83" w:rsidP="00677D83">
      <w:pPr>
        <w:numPr>
          <w:ilvl w:val="2"/>
          <w:numId w:val="1"/>
        </w:numPr>
        <w:tabs>
          <w:tab w:val="left" w:pos="851"/>
        </w:tabs>
        <w:suppressAutoHyphens/>
        <w:autoSpaceDN w:val="0"/>
        <w:spacing w:before="120" w:after="240" w:line="240" w:lineRule="auto"/>
        <w:jc w:val="both"/>
        <w:textAlignment w:val="baseline"/>
        <w:rPr>
          <w:rFonts w:ascii="Verdana" w:hAnsi="Verdana"/>
          <w:bCs/>
          <w:color w:val="183850" w:themeColor="text1"/>
          <w:sz w:val="20"/>
          <w:szCs w:val="20"/>
        </w:rPr>
      </w:pPr>
      <w:r w:rsidRPr="00677D83">
        <w:rPr>
          <w:rFonts w:ascii="Verdana" w:hAnsi="Verdana"/>
          <w:bCs/>
          <w:color w:val="183850" w:themeColor="text1"/>
          <w:sz w:val="20"/>
          <w:szCs w:val="20"/>
        </w:rPr>
        <w:t>not Process such Personal Data for any purpose other than those set out in the Agreement or otherwise expressly authorised by the Data Controller;</w:t>
      </w:r>
    </w:p>
    <w:p w14:paraId="27579B81" w14:textId="77777777" w:rsidR="00677D83" w:rsidRPr="00677D83" w:rsidRDefault="00677D83" w:rsidP="00677D83">
      <w:pPr>
        <w:numPr>
          <w:ilvl w:val="2"/>
          <w:numId w:val="1"/>
        </w:numPr>
        <w:tabs>
          <w:tab w:val="left" w:pos="851"/>
        </w:tabs>
        <w:suppressAutoHyphens/>
        <w:autoSpaceDN w:val="0"/>
        <w:spacing w:before="120" w:after="240" w:line="240" w:lineRule="auto"/>
        <w:jc w:val="both"/>
        <w:textAlignment w:val="baseline"/>
        <w:rPr>
          <w:rFonts w:ascii="Verdana" w:hAnsi="Verdana"/>
          <w:bCs/>
          <w:color w:val="183850" w:themeColor="text1"/>
          <w:sz w:val="20"/>
          <w:szCs w:val="20"/>
        </w:rPr>
      </w:pPr>
      <w:r w:rsidRPr="00677D83">
        <w:rPr>
          <w:rFonts w:ascii="Verdana" w:hAnsi="Verdana"/>
          <w:bCs/>
          <w:color w:val="183850" w:themeColor="text1"/>
          <w:sz w:val="20"/>
          <w:szCs w:val="20"/>
        </w:rPr>
        <w:t>take reasonable steps to ensure the reliability of all its personnel who have access to such Personal Data, and ensure that any such personnel are committed to binding obligations of confidentiality when Processing such Personal Data;</w:t>
      </w:r>
    </w:p>
    <w:p w14:paraId="66F55F21" w14:textId="77777777" w:rsidR="00677D83" w:rsidRPr="00677D83" w:rsidRDefault="00677D83" w:rsidP="00677D83">
      <w:pPr>
        <w:numPr>
          <w:ilvl w:val="2"/>
          <w:numId w:val="1"/>
        </w:numPr>
        <w:tabs>
          <w:tab w:val="left" w:pos="851"/>
        </w:tabs>
        <w:suppressAutoHyphens/>
        <w:autoSpaceDN w:val="0"/>
        <w:spacing w:before="120" w:after="240" w:line="240" w:lineRule="auto"/>
        <w:jc w:val="both"/>
        <w:textAlignment w:val="baseline"/>
        <w:rPr>
          <w:rFonts w:ascii="Verdana" w:hAnsi="Verdana"/>
          <w:bCs/>
          <w:color w:val="183850" w:themeColor="text1"/>
          <w:sz w:val="20"/>
          <w:szCs w:val="20"/>
        </w:rPr>
      </w:pPr>
      <w:r w:rsidRPr="00677D83">
        <w:rPr>
          <w:rFonts w:ascii="Verdana" w:hAnsi="Verdana"/>
          <w:bCs/>
          <w:color w:val="183850" w:themeColor="text1"/>
          <w:sz w:val="20"/>
          <w:szCs w:val="20"/>
        </w:rPr>
        <w:t xml:space="preserve">implement and maintain technical and organisational measures and procedures to ensure an appropriate level of security for such </w:t>
      </w:r>
      <w:r w:rsidRPr="00677D83">
        <w:rPr>
          <w:rFonts w:ascii="Verdana" w:hAnsi="Verdana"/>
          <w:bCs/>
          <w:color w:val="183850" w:themeColor="text1"/>
          <w:sz w:val="20"/>
          <w:szCs w:val="20"/>
        </w:rPr>
        <w:lastRenderedPageBreak/>
        <w:t>Personal Data, including protecting such Personal Data against the risks of accidental, unlawful or unauthorised destruction, loss, alteration, disclosure, dissemination or access;</w:t>
      </w:r>
    </w:p>
    <w:p w14:paraId="6E4F68D3" w14:textId="77777777" w:rsidR="00677D83" w:rsidRPr="00677D83" w:rsidRDefault="00677D83" w:rsidP="00677D83">
      <w:pPr>
        <w:numPr>
          <w:ilvl w:val="2"/>
          <w:numId w:val="1"/>
        </w:numPr>
        <w:tabs>
          <w:tab w:val="left" w:pos="851"/>
        </w:tabs>
        <w:suppressAutoHyphens/>
        <w:autoSpaceDN w:val="0"/>
        <w:spacing w:before="120" w:after="240" w:line="240" w:lineRule="auto"/>
        <w:jc w:val="both"/>
        <w:textAlignment w:val="baseline"/>
        <w:rPr>
          <w:rFonts w:ascii="Verdana" w:hAnsi="Verdana"/>
          <w:bCs/>
          <w:color w:val="183850" w:themeColor="text1"/>
          <w:sz w:val="20"/>
          <w:szCs w:val="20"/>
        </w:rPr>
      </w:pPr>
      <w:r w:rsidRPr="00677D83">
        <w:rPr>
          <w:rFonts w:ascii="Verdana" w:hAnsi="Verdana"/>
          <w:bCs/>
          <w:color w:val="183850" w:themeColor="text1"/>
          <w:sz w:val="20"/>
          <w:szCs w:val="20"/>
        </w:rPr>
        <w:t>not transfer, access or otherwise Process such Personal Data outside the UK or the European Economic Area without the prior written consent of the other Party (and, if the other Party so consents, take such steps as are required by the other Party to ensure that the relevant transfer, access or other Processing complies with the Data Protection Laws);</w:t>
      </w:r>
    </w:p>
    <w:p w14:paraId="77755FCF" w14:textId="279884EC" w:rsidR="00677D83" w:rsidRPr="00677D83" w:rsidRDefault="00677D83" w:rsidP="00677D83">
      <w:pPr>
        <w:numPr>
          <w:ilvl w:val="2"/>
          <w:numId w:val="1"/>
        </w:numPr>
        <w:tabs>
          <w:tab w:val="left" w:pos="851"/>
        </w:tabs>
        <w:suppressAutoHyphens/>
        <w:autoSpaceDN w:val="0"/>
        <w:spacing w:before="120" w:after="240" w:line="240" w:lineRule="auto"/>
        <w:jc w:val="both"/>
        <w:textAlignment w:val="baseline"/>
        <w:rPr>
          <w:rFonts w:ascii="Verdana" w:hAnsi="Verdana"/>
          <w:bCs/>
          <w:color w:val="183850" w:themeColor="text1"/>
          <w:sz w:val="20"/>
          <w:szCs w:val="20"/>
        </w:rPr>
      </w:pPr>
      <w:r w:rsidRPr="00677D83">
        <w:rPr>
          <w:rFonts w:ascii="Verdana" w:hAnsi="Verdana"/>
          <w:bCs/>
          <w:color w:val="183850" w:themeColor="text1"/>
          <w:sz w:val="20"/>
          <w:szCs w:val="20"/>
        </w:rPr>
        <w:t>inform the other Party within 24 hours if any such Personal Data is (while within the its</w:t>
      </w:r>
      <w:r>
        <w:rPr>
          <w:rFonts w:ascii="Verdana" w:hAnsi="Verdana"/>
          <w:bCs/>
          <w:color w:val="183850" w:themeColor="text1"/>
          <w:sz w:val="20"/>
          <w:szCs w:val="20"/>
        </w:rPr>
        <w:t xml:space="preserve"> own</w:t>
      </w:r>
      <w:r w:rsidRPr="00677D83">
        <w:rPr>
          <w:rFonts w:ascii="Verdana" w:hAnsi="Verdana"/>
          <w:bCs/>
          <w:color w:val="183850" w:themeColor="text1"/>
          <w:sz w:val="20"/>
          <w:szCs w:val="20"/>
        </w:rPr>
        <w:t>, its subcontractors' or Affiliates' possession or control) subject to a personal data breach (as defined in Article 4 of GDPR) or is lost or destroyed or becomes damaged, corrupted or unusable;</w:t>
      </w:r>
    </w:p>
    <w:p w14:paraId="6CE97D76" w14:textId="77777777" w:rsidR="00677D83" w:rsidRPr="00677D83" w:rsidRDefault="00677D83" w:rsidP="00677D83">
      <w:pPr>
        <w:numPr>
          <w:ilvl w:val="2"/>
          <w:numId w:val="1"/>
        </w:numPr>
        <w:tabs>
          <w:tab w:val="left" w:pos="851"/>
        </w:tabs>
        <w:suppressAutoHyphens/>
        <w:autoSpaceDN w:val="0"/>
        <w:spacing w:before="120" w:after="240" w:line="240" w:lineRule="auto"/>
        <w:jc w:val="both"/>
        <w:textAlignment w:val="baseline"/>
        <w:rPr>
          <w:rFonts w:ascii="Verdana" w:hAnsi="Verdana"/>
          <w:bCs/>
          <w:color w:val="183850" w:themeColor="text1"/>
          <w:sz w:val="20"/>
          <w:szCs w:val="20"/>
        </w:rPr>
      </w:pPr>
      <w:r w:rsidRPr="00677D83">
        <w:rPr>
          <w:rFonts w:ascii="Verdana" w:hAnsi="Verdana"/>
          <w:bCs/>
          <w:color w:val="183850" w:themeColor="text1"/>
          <w:sz w:val="20"/>
          <w:szCs w:val="20"/>
        </w:rPr>
        <w:t>only appoint a third party (including any subcontractors and Affiliates) to process such Personal Data with the prior written consent of the Data Controller, and notwithstanding any such appointment the Data Processor shall be liable for the acts and omissions of any such third party as if they were the acts and omissions of the Data Processor;</w:t>
      </w:r>
    </w:p>
    <w:p w14:paraId="547EFC0C" w14:textId="77777777" w:rsidR="00677D83" w:rsidRPr="00677D83" w:rsidRDefault="00677D83" w:rsidP="00677D83">
      <w:pPr>
        <w:numPr>
          <w:ilvl w:val="2"/>
          <w:numId w:val="1"/>
        </w:numPr>
        <w:tabs>
          <w:tab w:val="left" w:pos="851"/>
        </w:tabs>
        <w:suppressAutoHyphens/>
        <w:autoSpaceDN w:val="0"/>
        <w:spacing w:before="120" w:after="240" w:line="240" w:lineRule="auto"/>
        <w:jc w:val="both"/>
        <w:textAlignment w:val="baseline"/>
        <w:rPr>
          <w:rFonts w:ascii="Verdana" w:hAnsi="Verdana"/>
          <w:bCs/>
          <w:color w:val="183850" w:themeColor="text1"/>
          <w:sz w:val="20"/>
          <w:szCs w:val="20"/>
        </w:rPr>
      </w:pPr>
      <w:r w:rsidRPr="00677D83">
        <w:rPr>
          <w:rFonts w:ascii="Verdana" w:hAnsi="Verdana"/>
          <w:bCs/>
          <w:color w:val="183850" w:themeColor="text1"/>
          <w:sz w:val="20"/>
          <w:szCs w:val="20"/>
        </w:rPr>
        <w:t>not disclose any Personal Data to any Data Subject or to a third party other than at the written request of the other Party or as expressly provided for in the Agreement;</w:t>
      </w:r>
    </w:p>
    <w:p w14:paraId="26982CA8" w14:textId="77777777" w:rsidR="00677D83" w:rsidRPr="00677D83" w:rsidRDefault="00677D83" w:rsidP="00677D83">
      <w:pPr>
        <w:numPr>
          <w:ilvl w:val="2"/>
          <w:numId w:val="1"/>
        </w:numPr>
        <w:tabs>
          <w:tab w:val="left" w:pos="851"/>
        </w:tabs>
        <w:suppressAutoHyphens/>
        <w:autoSpaceDN w:val="0"/>
        <w:spacing w:before="120" w:after="240" w:line="240" w:lineRule="auto"/>
        <w:jc w:val="both"/>
        <w:textAlignment w:val="baseline"/>
        <w:rPr>
          <w:rFonts w:ascii="Verdana" w:hAnsi="Verdana"/>
          <w:bCs/>
          <w:color w:val="183850" w:themeColor="text1"/>
          <w:sz w:val="20"/>
          <w:szCs w:val="20"/>
        </w:rPr>
      </w:pPr>
      <w:r w:rsidRPr="00677D83">
        <w:rPr>
          <w:rFonts w:ascii="Verdana" w:hAnsi="Verdana"/>
          <w:bCs/>
          <w:color w:val="183850" w:themeColor="text1"/>
          <w:sz w:val="20"/>
          <w:szCs w:val="20"/>
        </w:rPr>
        <w:t>as the other Party so directs, return or irretrievably delete all Personal Data on termination or expiry of the Agreement, and not make any further use of such Personal Data (except to the extent Applicable Law requires continued storage of the Personal Data by the Data Processor and the Data Processor has notified the other Party accordingly, in which case the provisions of this clause 3.4 shall continue to apply to such Personal Data);</w:t>
      </w:r>
    </w:p>
    <w:p w14:paraId="36F5E9C5" w14:textId="77777777" w:rsidR="00677D83" w:rsidRPr="00677D83" w:rsidRDefault="00677D83" w:rsidP="00677D83">
      <w:pPr>
        <w:numPr>
          <w:ilvl w:val="2"/>
          <w:numId w:val="1"/>
        </w:numPr>
        <w:tabs>
          <w:tab w:val="left" w:pos="851"/>
        </w:tabs>
        <w:suppressAutoHyphens/>
        <w:autoSpaceDN w:val="0"/>
        <w:spacing w:before="120" w:after="240" w:line="240" w:lineRule="auto"/>
        <w:jc w:val="both"/>
        <w:textAlignment w:val="baseline"/>
        <w:rPr>
          <w:rFonts w:ascii="Verdana" w:hAnsi="Verdana"/>
          <w:bCs/>
          <w:color w:val="183850" w:themeColor="text1"/>
          <w:sz w:val="20"/>
          <w:szCs w:val="20"/>
        </w:rPr>
      </w:pPr>
      <w:r w:rsidRPr="00677D83">
        <w:rPr>
          <w:rFonts w:ascii="Verdana" w:hAnsi="Verdana"/>
          <w:bCs/>
          <w:color w:val="183850" w:themeColor="text1"/>
          <w:sz w:val="20"/>
          <w:szCs w:val="20"/>
        </w:rPr>
        <w:t>provide to the other Party and any Data Protection Regulator all information and assistance necessary or desirable to demonstrate or ensure compliance with the obligations in this clause 3.4 and/or the Data Protection Laws;</w:t>
      </w:r>
    </w:p>
    <w:p w14:paraId="13160203" w14:textId="77777777" w:rsidR="00677D83" w:rsidRPr="00677D83" w:rsidRDefault="00677D83" w:rsidP="00677D83">
      <w:pPr>
        <w:numPr>
          <w:ilvl w:val="2"/>
          <w:numId w:val="1"/>
        </w:numPr>
        <w:tabs>
          <w:tab w:val="left" w:pos="851"/>
        </w:tabs>
        <w:suppressAutoHyphens/>
        <w:autoSpaceDN w:val="0"/>
        <w:spacing w:before="120" w:after="240" w:line="240" w:lineRule="auto"/>
        <w:jc w:val="both"/>
        <w:textAlignment w:val="baseline"/>
        <w:rPr>
          <w:rFonts w:ascii="Verdana" w:hAnsi="Verdana"/>
          <w:bCs/>
          <w:color w:val="183850" w:themeColor="text1"/>
          <w:sz w:val="20"/>
          <w:szCs w:val="20"/>
        </w:rPr>
      </w:pPr>
      <w:r w:rsidRPr="00677D83">
        <w:rPr>
          <w:rFonts w:ascii="Verdana" w:hAnsi="Verdana"/>
          <w:bCs/>
          <w:color w:val="183850" w:themeColor="text1"/>
          <w:sz w:val="20"/>
          <w:szCs w:val="20"/>
        </w:rPr>
        <w:t xml:space="preserve">permit the other Party or its representatives to access any relevant premises, personnel or records of the Data Processor on reasonable notice to audit and otherwise verify compliance with this clause 3.4; </w:t>
      </w:r>
    </w:p>
    <w:p w14:paraId="4E57DF97" w14:textId="77777777" w:rsidR="00677D83" w:rsidRPr="00677D83" w:rsidRDefault="00677D83" w:rsidP="00677D83">
      <w:pPr>
        <w:numPr>
          <w:ilvl w:val="2"/>
          <w:numId w:val="1"/>
        </w:numPr>
        <w:tabs>
          <w:tab w:val="left" w:pos="851"/>
        </w:tabs>
        <w:suppressAutoHyphens/>
        <w:autoSpaceDN w:val="0"/>
        <w:spacing w:before="120" w:after="240" w:line="240" w:lineRule="auto"/>
        <w:jc w:val="both"/>
        <w:textAlignment w:val="baseline"/>
        <w:rPr>
          <w:rFonts w:ascii="Verdana" w:hAnsi="Verdana"/>
          <w:bCs/>
          <w:color w:val="183850" w:themeColor="text1"/>
          <w:sz w:val="20"/>
          <w:szCs w:val="20"/>
        </w:rPr>
      </w:pPr>
      <w:r w:rsidRPr="00677D83">
        <w:rPr>
          <w:rFonts w:ascii="Verdana" w:hAnsi="Verdana"/>
          <w:bCs/>
          <w:color w:val="183850" w:themeColor="text1"/>
          <w:sz w:val="20"/>
          <w:szCs w:val="20"/>
        </w:rPr>
        <w:t xml:space="preserve">take such steps as are reasonably required to assist the Data Controller in ensuring compliance with its obligations under Articles 30 to 36 (inclusive) of GDPR; </w:t>
      </w:r>
    </w:p>
    <w:p w14:paraId="1C298E08" w14:textId="77777777" w:rsidR="00677D83" w:rsidRPr="00677D83" w:rsidRDefault="00677D83" w:rsidP="00677D83">
      <w:pPr>
        <w:numPr>
          <w:ilvl w:val="2"/>
          <w:numId w:val="1"/>
        </w:numPr>
        <w:tabs>
          <w:tab w:val="left" w:pos="851"/>
        </w:tabs>
        <w:suppressAutoHyphens/>
        <w:autoSpaceDN w:val="0"/>
        <w:spacing w:before="120" w:after="240" w:line="240" w:lineRule="auto"/>
        <w:jc w:val="both"/>
        <w:textAlignment w:val="baseline"/>
        <w:rPr>
          <w:rFonts w:ascii="Verdana" w:hAnsi="Verdana"/>
          <w:bCs/>
          <w:color w:val="183850" w:themeColor="text1"/>
          <w:sz w:val="20"/>
          <w:szCs w:val="20"/>
        </w:rPr>
      </w:pPr>
      <w:r w:rsidRPr="00677D83">
        <w:rPr>
          <w:rFonts w:ascii="Verdana" w:hAnsi="Verdana"/>
          <w:bCs/>
          <w:color w:val="183850" w:themeColor="text1"/>
          <w:sz w:val="20"/>
          <w:szCs w:val="20"/>
        </w:rPr>
        <w:t>notify the other Party within two (2) Business Days if it receives a request from a Data Subject to exercise its rights under the Data Protection Laws in relation to that person's Personal Data; and</w:t>
      </w:r>
    </w:p>
    <w:p w14:paraId="013A8B26" w14:textId="77777777" w:rsidR="00677D83" w:rsidRPr="00677D83" w:rsidRDefault="00677D83" w:rsidP="00677D83">
      <w:pPr>
        <w:numPr>
          <w:ilvl w:val="2"/>
          <w:numId w:val="1"/>
        </w:numPr>
        <w:tabs>
          <w:tab w:val="left" w:pos="851"/>
        </w:tabs>
        <w:suppressAutoHyphens/>
        <w:autoSpaceDN w:val="0"/>
        <w:spacing w:before="120" w:after="240" w:line="240" w:lineRule="auto"/>
        <w:jc w:val="both"/>
        <w:textAlignment w:val="baseline"/>
        <w:rPr>
          <w:rFonts w:ascii="Verdana" w:hAnsi="Verdana"/>
          <w:color w:val="183850" w:themeColor="text1"/>
          <w:sz w:val="20"/>
          <w:szCs w:val="20"/>
        </w:rPr>
      </w:pPr>
      <w:r w:rsidRPr="00677D83">
        <w:rPr>
          <w:rFonts w:ascii="Verdana" w:hAnsi="Verdana"/>
          <w:bCs/>
          <w:color w:val="183850" w:themeColor="text1"/>
          <w:sz w:val="20"/>
          <w:szCs w:val="20"/>
        </w:rPr>
        <w:t xml:space="preserve">provide the Data Controller with its full co-operation and assistance in relation to any request made by a Data Subject to exercise its </w:t>
      </w:r>
      <w:r w:rsidRPr="00677D83">
        <w:rPr>
          <w:rFonts w:ascii="Verdana" w:hAnsi="Verdana"/>
          <w:bCs/>
          <w:color w:val="183850" w:themeColor="text1"/>
          <w:sz w:val="20"/>
          <w:szCs w:val="20"/>
        </w:rPr>
        <w:lastRenderedPageBreak/>
        <w:t>rights under the Data Protection Laws in relation to that person's Personal Data.</w:t>
      </w:r>
    </w:p>
    <w:p w14:paraId="3DF8D3CC" w14:textId="77777777" w:rsidR="00677D83" w:rsidRPr="00677D83" w:rsidRDefault="00677D83" w:rsidP="00677D83">
      <w:pPr>
        <w:numPr>
          <w:ilvl w:val="1"/>
          <w:numId w:val="1"/>
        </w:numPr>
        <w:tabs>
          <w:tab w:val="left" w:pos="851"/>
        </w:tabs>
        <w:suppressAutoHyphens/>
        <w:autoSpaceDN w:val="0"/>
        <w:spacing w:before="120" w:after="240" w:line="240" w:lineRule="auto"/>
        <w:ind w:left="851"/>
        <w:jc w:val="both"/>
        <w:textAlignment w:val="baseline"/>
        <w:rPr>
          <w:rFonts w:ascii="Verdana" w:hAnsi="Verdana"/>
          <w:color w:val="183850" w:themeColor="text1"/>
          <w:sz w:val="20"/>
          <w:szCs w:val="20"/>
        </w:rPr>
      </w:pPr>
      <w:r w:rsidRPr="00677D83">
        <w:rPr>
          <w:rFonts w:ascii="Verdana" w:hAnsi="Verdana"/>
          <w:color w:val="183850" w:themeColor="text1"/>
          <w:sz w:val="20"/>
          <w:szCs w:val="20"/>
        </w:rPr>
        <w:t>Other than where a Party Processes Personal Data on behalf of the other Party pursuant to the Agreement, the Parties acknowledge that for the purposes of the Data Protection Laws each will be a Data Controller in respect of Personal Data which the Parties may share under the Agreement for the purposes of servicing the relationship between the Parties (which such Personal Data may include that relating to individual employees in connection with evidencing internal compliance or providing contractual sign-off in connection with the Agreement or general correspondence for the management of the Agreement). The Parties will comply at all times with their obligations under the Data Protection Legislation when Processing shared Personal Data and will not by any act or omission cause the other Party to be in breach of any of its obligations under the Data Protection Laws.</w:t>
      </w:r>
    </w:p>
    <w:p w14:paraId="0DE20C49" w14:textId="77777777" w:rsidR="00677D83" w:rsidRPr="00677D83" w:rsidRDefault="00677D83" w:rsidP="00677D83">
      <w:pPr>
        <w:numPr>
          <w:ilvl w:val="1"/>
          <w:numId w:val="1"/>
        </w:numPr>
        <w:tabs>
          <w:tab w:val="left" w:pos="851"/>
        </w:tabs>
        <w:suppressAutoHyphens/>
        <w:autoSpaceDN w:val="0"/>
        <w:spacing w:before="120" w:after="240" w:line="240" w:lineRule="auto"/>
        <w:ind w:left="851"/>
        <w:jc w:val="both"/>
        <w:textAlignment w:val="baseline"/>
        <w:rPr>
          <w:rFonts w:ascii="Verdana" w:hAnsi="Verdana"/>
          <w:color w:val="183850" w:themeColor="text1"/>
          <w:sz w:val="20"/>
          <w:szCs w:val="20"/>
        </w:rPr>
      </w:pPr>
      <w:r w:rsidRPr="00677D83">
        <w:rPr>
          <w:rFonts w:ascii="Verdana" w:hAnsi="Verdana"/>
          <w:color w:val="183850" w:themeColor="text1"/>
          <w:sz w:val="20"/>
          <w:szCs w:val="20"/>
        </w:rPr>
        <w:t xml:space="preserve">If either Party receives any complaint, notice or communication which relates directly or indirectly to the Processing of Personal Data by the other Party or to either Party's compliance with the Data Protection Laws, it shall as soon as reasonably practicable notify the other Party and it shall provide the other Party with reasonable co-operation and assistance in relation to any such complaint, notice or communication. </w:t>
      </w:r>
    </w:p>
    <w:p w14:paraId="33FDFCED" w14:textId="1BACF307" w:rsidR="00677D83" w:rsidRPr="00677D83" w:rsidRDefault="00677D83" w:rsidP="00677D83">
      <w:pPr>
        <w:pStyle w:val="treb"/>
        <w:ind w:left="567" w:hanging="567"/>
        <w:rPr>
          <w:rFonts w:ascii="Verdana" w:hAnsi="Verdana"/>
          <w:color w:val="54BBAB" w:themeColor="text2"/>
          <w:szCs w:val="20"/>
        </w:rPr>
      </w:pPr>
      <w:bookmarkStart w:id="22" w:name="_Ref421011839"/>
      <w:r w:rsidRPr="00677D83">
        <w:rPr>
          <w:rFonts w:ascii="Verdana" w:hAnsi="Verdana"/>
          <w:color w:val="54BBAB" w:themeColor="text2"/>
          <w:szCs w:val="20"/>
        </w:rPr>
        <w:t>Confidentiality and Disclosure</w:t>
      </w:r>
      <w:bookmarkStart w:id="23" w:name="_NN352"/>
      <w:bookmarkEnd w:id="22"/>
      <w:bookmarkEnd w:id="23"/>
      <w:r w:rsidRPr="00677D83">
        <w:rPr>
          <w:rFonts w:ascii="Verdana" w:hAnsi="Verdana"/>
          <w:color w:val="54BBAB" w:themeColor="text2"/>
          <w:szCs w:val="20"/>
        </w:rPr>
        <w:fldChar w:fldCharType="begin"/>
      </w:r>
      <w:r w:rsidRPr="00677D83">
        <w:rPr>
          <w:rFonts w:ascii="Verdana" w:hAnsi="Verdana"/>
          <w:color w:val="54BBAB" w:themeColor="text2"/>
          <w:szCs w:val="20"/>
        </w:rPr>
        <w:instrText xml:space="preserve">TC </w:instrText>
      </w:r>
      <w:bookmarkStart w:id="24" w:name="_Toc506541250"/>
      <w:bookmarkStart w:id="25" w:name="_Toc506913630"/>
      <w:r w:rsidRPr="00677D83">
        <w:rPr>
          <w:rFonts w:ascii="Verdana" w:hAnsi="Verdana"/>
          <w:color w:val="54BBAB" w:themeColor="text2"/>
          <w:szCs w:val="20"/>
        </w:rPr>
        <w:instrText>“</w:instrText>
      </w:r>
      <w:bookmarkStart w:id="26" w:name="_Toc508017092"/>
      <w:bookmarkStart w:id="27" w:name="_Toc513729570"/>
      <w:r w:rsidRPr="00677D83">
        <w:rPr>
          <w:rFonts w:ascii="Verdana" w:hAnsi="Verdana"/>
          <w:color w:val="54BBAB" w:themeColor="text2"/>
          <w:szCs w:val="20"/>
        </w:rPr>
        <w:instrText>26 CONFIDENTIALITY AND DISCLOSURE</w:instrText>
      </w:r>
      <w:bookmarkEnd w:id="24"/>
      <w:bookmarkEnd w:id="25"/>
      <w:bookmarkEnd w:id="26"/>
      <w:bookmarkEnd w:id="27"/>
      <w:r w:rsidRPr="00677D83">
        <w:rPr>
          <w:rFonts w:ascii="Verdana" w:hAnsi="Verdana"/>
          <w:color w:val="54BBAB" w:themeColor="text2"/>
          <w:szCs w:val="20"/>
        </w:rPr>
        <w:instrText>” \l 1</w:instrText>
      </w:r>
      <w:r w:rsidRPr="00677D83">
        <w:rPr>
          <w:rFonts w:ascii="Verdana" w:hAnsi="Verdana"/>
          <w:color w:val="54BBAB" w:themeColor="text2"/>
          <w:szCs w:val="20"/>
        </w:rPr>
        <w:fldChar w:fldCharType="end"/>
      </w:r>
    </w:p>
    <w:p w14:paraId="31DCD09D" w14:textId="77777777" w:rsidR="00677D83" w:rsidRPr="00677D83" w:rsidRDefault="00677D83" w:rsidP="00677D83">
      <w:pPr>
        <w:pStyle w:val="Level2"/>
        <w:numPr>
          <w:ilvl w:val="1"/>
          <w:numId w:val="1"/>
        </w:numPr>
        <w:tabs>
          <w:tab w:val="left" w:pos="851"/>
        </w:tabs>
        <w:suppressAutoHyphens/>
        <w:autoSpaceDN w:val="0"/>
        <w:spacing w:before="120"/>
        <w:ind w:left="851"/>
        <w:textAlignment w:val="baseline"/>
        <w:outlineLvl w:val="9"/>
        <w:rPr>
          <w:color w:val="183850" w:themeColor="text1"/>
          <w:sz w:val="20"/>
          <w:szCs w:val="20"/>
        </w:rPr>
      </w:pPr>
      <w:r w:rsidRPr="00677D83">
        <w:rPr>
          <w:color w:val="183850" w:themeColor="text1"/>
          <w:sz w:val="20"/>
          <w:szCs w:val="20"/>
        </w:rPr>
        <w:t xml:space="preserve">Subject to clause 4.2, each Party shall use all reasonable endeavours to prevent disclosure, other than to its Affiliates, to any person, firm or company whatsoever of any information of a confidential nature relating to the business (including the terms of the ITT and the Agreement), investments, finances or other matters of a confidential nature of the other which may come into its possession, including (but not limited to) in the course of communications under the ITT and/or providing or receiving the services under the Agreement. </w:t>
      </w:r>
    </w:p>
    <w:p w14:paraId="7F3BD991" w14:textId="77777777" w:rsidR="00677D83" w:rsidRPr="00677D83" w:rsidRDefault="00677D83" w:rsidP="00677D83">
      <w:pPr>
        <w:pStyle w:val="Level2"/>
        <w:numPr>
          <w:ilvl w:val="1"/>
          <w:numId w:val="1"/>
        </w:numPr>
        <w:tabs>
          <w:tab w:val="left" w:pos="851"/>
        </w:tabs>
        <w:suppressAutoHyphens/>
        <w:autoSpaceDN w:val="0"/>
        <w:spacing w:before="120"/>
        <w:ind w:left="851"/>
        <w:textAlignment w:val="baseline"/>
        <w:outlineLvl w:val="9"/>
        <w:rPr>
          <w:color w:val="183850" w:themeColor="text1"/>
          <w:sz w:val="20"/>
          <w:szCs w:val="20"/>
        </w:rPr>
      </w:pPr>
      <w:r w:rsidRPr="00677D83">
        <w:rPr>
          <w:color w:val="183850" w:themeColor="text1"/>
          <w:sz w:val="20"/>
          <w:szCs w:val="20"/>
        </w:rPr>
        <w:t xml:space="preserve">The confidentiality and non-disclosure obligations under clause 4.1 do not apply: </w:t>
      </w:r>
    </w:p>
    <w:p w14:paraId="36169B45" w14:textId="77777777" w:rsidR="00677D83" w:rsidRPr="00677D83" w:rsidRDefault="00677D83" w:rsidP="00677D83">
      <w:pPr>
        <w:pStyle w:val="Level2"/>
        <w:numPr>
          <w:ilvl w:val="2"/>
          <w:numId w:val="1"/>
        </w:numPr>
        <w:tabs>
          <w:tab w:val="left" w:pos="851"/>
        </w:tabs>
        <w:suppressAutoHyphens/>
        <w:autoSpaceDN w:val="0"/>
        <w:spacing w:before="120"/>
        <w:textAlignment w:val="baseline"/>
        <w:outlineLvl w:val="9"/>
        <w:rPr>
          <w:color w:val="183850" w:themeColor="text1"/>
          <w:sz w:val="20"/>
          <w:szCs w:val="20"/>
        </w:rPr>
      </w:pPr>
      <w:r w:rsidRPr="00677D83">
        <w:rPr>
          <w:color w:val="183850" w:themeColor="text1"/>
          <w:sz w:val="20"/>
          <w:szCs w:val="20"/>
        </w:rPr>
        <w:t xml:space="preserve">where the Party in receipt of such information has the authority of the other Party to make the disclosure; or </w:t>
      </w:r>
    </w:p>
    <w:p w14:paraId="1C4F68D4" w14:textId="77777777" w:rsidR="00677D83" w:rsidRPr="00677D83" w:rsidRDefault="00677D83" w:rsidP="00677D83">
      <w:pPr>
        <w:pStyle w:val="Level2"/>
        <w:numPr>
          <w:ilvl w:val="2"/>
          <w:numId w:val="1"/>
        </w:numPr>
        <w:tabs>
          <w:tab w:val="left" w:pos="851"/>
        </w:tabs>
        <w:suppressAutoHyphens/>
        <w:autoSpaceDN w:val="0"/>
        <w:spacing w:before="120"/>
        <w:textAlignment w:val="baseline"/>
        <w:outlineLvl w:val="9"/>
        <w:rPr>
          <w:color w:val="183850" w:themeColor="text1"/>
          <w:sz w:val="20"/>
          <w:szCs w:val="20"/>
        </w:rPr>
      </w:pPr>
      <w:r w:rsidRPr="00677D83">
        <w:rPr>
          <w:color w:val="183850" w:themeColor="text1"/>
          <w:sz w:val="20"/>
          <w:szCs w:val="20"/>
        </w:rPr>
        <w:t xml:space="preserve">where it reasonably considers it appropriate to make such disclosure to the Financial Conducts Authority, the ICO or any other regulatory body or authority or by any equivalent jurisdiction; or </w:t>
      </w:r>
    </w:p>
    <w:p w14:paraId="2D7560C9" w14:textId="77777777" w:rsidR="00677D83" w:rsidRPr="00677D83" w:rsidRDefault="00677D83" w:rsidP="00677D83">
      <w:pPr>
        <w:pStyle w:val="Level2"/>
        <w:numPr>
          <w:ilvl w:val="2"/>
          <w:numId w:val="1"/>
        </w:numPr>
        <w:tabs>
          <w:tab w:val="left" w:pos="851"/>
        </w:tabs>
        <w:suppressAutoHyphens/>
        <w:autoSpaceDN w:val="0"/>
        <w:spacing w:before="120"/>
        <w:textAlignment w:val="baseline"/>
        <w:outlineLvl w:val="9"/>
        <w:rPr>
          <w:color w:val="183850" w:themeColor="text1"/>
          <w:sz w:val="20"/>
          <w:szCs w:val="20"/>
        </w:rPr>
      </w:pPr>
      <w:r w:rsidRPr="00677D83">
        <w:rPr>
          <w:color w:val="183850" w:themeColor="text1"/>
          <w:sz w:val="20"/>
          <w:szCs w:val="20"/>
        </w:rPr>
        <w:t xml:space="preserve">where disclosure is made to insurers, auditors or legal or tax advisers where necessary (including but not limited to under the FIOA); or </w:t>
      </w:r>
    </w:p>
    <w:p w14:paraId="0B0EDBB6" w14:textId="77777777" w:rsidR="00677D83" w:rsidRPr="00677D83" w:rsidRDefault="00677D83" w:rsidP="00677D83">
      <w:pPr>
        <w:pStyle w:val="Level2"/>
        <w:numPr>
          <w:ilvl w:val="2"/>
          <w:numId w:val="1"/>
        </w:numPr>
        <w:tabs>
          <w:tab w:val="left" w:pos="851"/>
        </w:tabs>
        <w:suppressAutoHyphens/>
        <w:autoSpaceDN w:val="0"/>
        <w:spacing w:before="120"/>
        <w:textAlignment w:val="baseline"/>
        <w:outlineLvl w:val="9"/>
        <w:rPr>
          <w:color w:val="183850" w:themeColor="text1"/>
          <w:sz w:val="20"/>
          <w:szCs w:val="20"/>
        </w:rPr>
      </w:pPr>
      <w:r w:rsidRPr="00677D83">
        <w:rPr>
          <w:color w:val="183850" w:themeColor="text1"/>
          <w:sz w:val="20"/>
          <w:szCs w:val="20"/>
        </w:rPr>
        <w:t xml:space="preserve">where such information has otherwise come into </w:t>
      </w:r>
      <w:bookmarkStart w:id="28" w:name="_GoBack"/>
      <w:bookmarkEnd w:id="28"/>
      <w:r w:rsidRPr="00677D83">
        <w:rPr>
          <w:color w:val="183850" w:themeColor="text1"/>
          <w:sz w:val="20"/>
          <w:szCs w:val="20"/>
        </w:rPr>
        <w:t xml:space="preserve">the public domain. </w:t>
      </w:r>
    </w:p>
    <w:p w14:paraId="0F5385AD" w14:textId="77777777" w:rsidR="00C25AD2" w:rsidRPr="00F24A44" w:rsidRDefault="00C25AD2" w:rsidP="00730835">
      <w:pPr>
        <w:autoSpaceDE w:val="0"/>
        <w:autoSpaceDN w:val="0"/>
        <w:adjustRightInd w:val="0"/>
        <w:spacing w:after="0" w:line="240" w:lineRule="auto"/>
        <w:rPr>
          <w:rFonts w:ascii="Verdana" w:hAnsi="Verdana" w:cs="CenturyGothic"/>
          <w:color w:val="183850" w:themeColor="text1"/>
          <w:sz w:val="20"/>
          <w:szCs w:val="20"/>
        </w:rPr>
      </w:pPr>
    </w:p>
    <w:p w14:paraId="110AC674" w14:textId="0ABB1E6C" w:rsidR="00166576" w:rsidRPr="00D130DC" w:rsidRDefault="00166576" w:rsidP="00730835">
      <w:pPr>
        <w:rPr>
          <w:rFonts w:ascii="Verdana" w:hAnsi="Verdana" w:cs="CenturyGothic,Bold"/>
          <w:b/>
          <w:bCs/>
          <w:color w:val="183850" w:themeColor="text1"/>
          <w:sz w:val="20"/>
          <w:szCs w:val="20"/>
        </w:rPr>
      </w:pPr>
    </w:p>
    <w:sectPr w:rsidR="00166576" w:rsidRPr="00D130DC" w:rsidSect="00D5050D">
      <w:headerReference w:type="even" r:id="rId8"/>
      <w:headerReference w:type="default" r:id="rId9"/>
      <w:footerReference w:type="default" r:id="rId10"/>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8C38E" w14:textId="77777777" w:rsidR="00ED22D7" w:rsidRDefault="00ED22D7" w:rsidP="00730835">
      <w:pPr>
        <w:spacing w:after="0" w:line="240" w:lineRule="auto"/>
      </w:pPr>
      <w:r>
        <w:separator/>
      </w:r>
    </w:p>
  </w:endnote>
  <w:endnote w:type="continuationSeparator" w:id="0">
    <w:p w14:paraId="5115EB4C" w14:textId="77777777" w:rsidR="00ED22D7" w:rsidRDefault="00ED22D7" w:rsidP="00730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Gothic">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Gothic,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2369390"/>
      <w:docPartObj>
        <w:docPartGallery w:val="Page Numbers (Bottom of Page)"/>
        <w:docPartUnique/>
      </w:docPartObj>
    </w:sdtPr>
    <w:sdtEndPr/>
    <w:sdtContent>
      <w:sdt>
        <w:sdtPr>
          <w:id w:val="-1769616900"/>
          <w:docPartObj>
            <w:docPartGallery w:val="Page Numbers (Top of Page)"/>
            <w:docPartUnique/>
          </w:docPartObj>
        </w:sdtPr>
        <w:sdtEndPr/>
        <w:sdtContent>
          <w:p w14:paraId="4A039326" w14:textId="50A4BC55" w:rsidR="00463526" w:rsidRDefault="00463526">
            <w:pPr>
              <w:pStyle w:val="Footer"/>
              <w:jc w:val="right"/>
            </w:pPr>
            <w:r w:rsidRPr="00463526">
              <w:rPr>
                <w:rFonts w:ascii="Verdana" w:hAnsi="Verdana"/>
                <w:sz w:val="16"/>
              </w:rPr>
              <w:t xml:space="preserve">Page </w:t>
            </w:r>
            <w:r w:rsidRPr="00463526">
              <w:rPr>
                <w:rFonts w:ascii="Verdana" w:hAnsi="Verdana"/>
                <w:b/>
                <w:bCs/>
                <w:sz w:val="18"/>
                <w:szCs w:val="24"/>
              </w:rPr>
              <w:fldChar w:fldCharType="begin"/>
            </w:r>
            <w:r w:rsidRPr="00463526">
              <w:rPr>
                <w:rFonts w:ascii="Verdana" w:hAnsi="Verdana"/>
                <w:b/>
                <w:bCs/>
                <w:sz w:val="16"/>
              </w:rPr>
              <w:instrText xml:space="preserve"> PAGE </w:instrText>
            </w:r>
            <w:r w:rsidRPr="00463526">
              <w:rPr>
                <w:rFonts w:ascii="Verdana" w:hAnsi="Verdana"/>
                <w:b/>
                <w:bCs/>
                <w:sz w:val="18"/>
                <w:szCs w:val="24"/>
              </w:rPr>
              <w:fldChar w:fldCharType="separate"/>
            </w:r>
            <w:r w:rsidR="00D130DC">
              <w:rPr>
                <w:rFonts w:ascii="Verdana" w:hAnsi="Verdana"/>
                <w:b/>
                <w:bCs/>
                <w:noProof/>
                <w:sz w:val="16"/>
              </w:rPr>
              <w:t>1</w:t>
            </w:r>
            <w:r w:rsidRPr="00463526">
              <w:rPr>
                <w:rFonts w:ascii="Verdana" w:hAnsi="Verdana"/>
                <w:b/>
                <w:bCs/>
                <w:sz w:val="18"/>
                <w:szCs w:val="24"/>
              </w:rPr>
              <w:fldChar w:fldCharType="end"/>
            </w:r>
            <w:r w:rsidRPr="00463526">
              <w:rPr>
                <w:rFonts w:ascii="Verdana" w:hAnsi="Verdana"/>
                <w:sz w:val="16"/>
              </w:rPr>
              <w:t xml:space="preserve"> of </w:t>
            </w:r>
            <w:r w:rsidRPr="00463526">
              <w:rPr>
                <w:rFonts w:ascii="Verdana" w:hAnsi="Verdana"/>
                <w:b/>
                <w:bCs/>
                <w:sz w:val="18"/>
                <w:szCs w:val="24"/>
              </w:rPr>
              <w:fldChar w:fldCharType="begin"/>
            </w:r>
            <w:r w:rsidRPr="00463526">
              <w:rPr>
                <w:rFonts w:ascii="Verdana" w:hAnsi="Verdana"/>
                <w:b/>
                <w:bCs/>
                <w:sz w:val="16"/>
              </w:rPr>
              <w:instrText xml:space="preserve"> NUMPAGES  </w:instrText>
            </w:r>
            <w:r w:rsidRPr="00463526">
              <w:rPr>
                <w:rFonts w:ascii="Verdana" w:hAnsi="Verdana"/>
                <w:b/>
                <w:bCs/>
                <w:sz w:val="18"/>
                <w:szCs w:val="24"/>
              </w:rPr>
              <w:fldChar w:fldCharType="separate"/>
            </w:r>
            <w:r w:rsidR="00D130DC">
              <w:rPr>
                <w:rFonts w:ascii="Verdana" w:hAnsi="Verdana"/>
                <w:b/>
                <w:bCs/>
                <w:noProof/>
                <w:sz w:val="16"/>
              </w:rPr>
              <w:t>8</w:t>
            </w:r>
            <w:r w:rsidRPr="00463526">
              <w:rPr>
                <w:rFonts w:ascii="Verdana" w:hAnsi="Verdana"/>
                <w:b/>
                <w:bCs/>
                <w:sz w:val="18"/>
                <w:szCs w:val="24"/>
              </w:rPr>
              <w:fldChar w:fldCharType="end"/>
            </w:r>
          </w:p>
        </w:sdtContent>
      </w:sdt>
    </w:sdtContent>
  </w:sdt>
  <w:p w14:paraId="0FDF5323" w14:textId="1FACBE67" w:rsidR="003E5640" w:rsidRPr="003E5640" w:rsidRDefault="003E5640" w:rsidP="003E56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6FFBD" w14:textId="77777777" w:rsidR="00ED22D7" w:rsidRDefault="00ED22D7" w:rsidP="00730835">
      <w:pPr>
        <w:spacing w:after="0" w:line="240" w:lineRule="auto"/>
      </w:pPr>
      <w:r>
        <w:separator/>
      </w:r>
    </w:p>
  </w:footnote>
  <w:footnote w:type="continuationSeparator" w:id="0">
    <w:p w14:paraId="7F6AA102" w14:textId="77777777" w:rsidR="00ED22D7" w:rsidRDefault="00ED22D7" w:rsidP="00730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10C4E" w14:textId="77777777" w:rsidR="00D5050D" w:rsidRDefault="00905640">
    <w:pPr>
      <w:pStyle w:val="Header"/>
    </w:pPr>
    <w:r>
      <w:rPr>
        <w:noProof/>
        <w:lang w:eastAsia="en-GB"/>
      </w:rPr>
      <w:drawing>
        <wp:inline distT="0" distB="0" distL="0" distR="0" wp14:anchorId="5265245F" wp14:editId="0D313BBD">
          <wp:extent cx="5715000" cy="2867025"/>
          <wp:effectExtent l="0" t="0" r="0" b="9525"/>
          <wp:docPr id="1" name="Picture 1" descr="LPP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PP 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28670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FEF3F" w14:textId="7265BBC3" w:rsidR="00677D83" w:rsidRDefault="00677D83">
    <w:pPr>
      <w:pStyle w:val="Header"/>
    </w:pPr>
    <w:r>
      <w:rPr>
        <w:noProof/>
        <w:lang w:eastAsia="en-GB"/>
      </w:rPr>
      <w:drawing>
        <wp:anchor distT="0" distB="0" distL="114300" distR="114300" simplePos="0" relativeHeight="251659264" behindDoc="0" locked="0" layoutInCell="1" allowOverlap="1" wp14:anchorId="687775C6" wp14:editId="30963BA9">
          <wp:simplePos x="0" y="0"/>
          <wp:positionH relativeFrom="column">
            <wp:posOffset>4212590</wp:posOffset>
          </wp:positionH>
          <wp:positionV relativeFrom="paragraph">
            <wp:posOffset>-392430</wp:posOffset>
          </wp:positionV>
          <wp:extent cx="2152650" cy="1076325"/>
          <wp:effectExtent l="0" t="0" r="0" b="9525"/>
          <wp:wrapSquare wrapText="bothSides"/>
          <wp:docPr id="2" name="Picture 2" descr="C:\Users\sarah.vanson\AppData\Local\Microsoft\Windows\Temporary Internet Files\Content.Word\LPP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h.vanson\AppData\Local\Microsoft\Windows\Temporary Internet Files\Content.Word\LPP JPE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25DE0C" w14:textId="634EB10D" w:rsidR="00677D83" w:rsidRDefault="00677D83">
    <w:pPr>
      <w:pStyle w:val="Header"/>
    </w:pPr>
  </w:p>
  <w:p w14:paraId="55F36C83" w14:textId="77777777" w:rsidR="00677D83" w:rsidRDefault="00677D83">
    <w:pPr>
      <w:pStyle w:val="Header"/>
    </w:pPr>
  </w:p>
  <w:p w14:paraId="0DE575B3" w14:textId="77777777" w:rsidR="00677D83" w:rsidRDefault="00677D83">
    <w:pPr>
      <w:pStyle w:val="Header"/>
    </w:pPr>
  </w:p>
  <w:p w14:paraId="3A2636D1" w14:textId="66E17581" w:rsidR="007D5817" w:rsidRDefault="007D58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C1C5C"/>
    <w:multiLevelType w:val="multilevel"/>
    <w:tmpl w:val="7E88C0B2"/>
    <w:styleLink w:val="LFO471"/>
    <w:lvl w:ilvl="0">
      <w:start w:val="1"/>
      <w:numFmt w:val="lowerLetter"/>
      <w:pStyle w:val="abcdDefinition"/>
      <w:lvlText w:val="(%1)"/>
      <w:lvlJc w:val="left"/>
      <w:pPr>
        <w:ind w:left="851" w:hanging="851"/>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D83D8A"/>
    <w:multiLevelType w:val="hybridMultilevel"/>
    <w:tmpl w:val="76B0DE80"/>
    <w:lvl w:ilvl="0" w:tplc="A1ACBBC2">
      <w:start w:val="6"/>
      <w:numFmt w:val="bullet"/>
      <w:lvlText w:val=""/>
      <w:lvlJc w:val="left"/>
      <w:pPr>
        <w:ind w:left="720" w:hanging="360"/>
      </w:pPr>
      <w:rPr>
        <w:rFonts w:ascii="Symbol" w:eastAsiaTheme="minorHAnsi" w:hAnsi="Symbol" w:cs="Century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444BBF"/>
    <w:multiLevelType w:val="hybridMultilevel"/>
    <w:tmpl w:val="4AAC3FB6"/>
    <w:lvl w:ilvl="0" w:tplc="AACE20DE">
      <w:start w:val="1"/>
      <w:numFmt w:val="decimal"/>
      <w:pStyle w:val="treb"/>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226FCE"/>
    <w:multiLevelType w:val="multilevel"/>
    <w:tmpl w:val="2206B07E"/>
    <w:lvl w:ilvl="0">
      <w:start w:val="1"/>
      <w:numFmt w:val="lowerLetter"/>
      <w:lvlText w:val="(%1)"/>
      <w:lvlJc w:val="left"/>
      <w:pPr>
        <w:ind w:left="851" w:hanging="851"/>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9F3023"/>
    <w:multiLevelType w:val="multilevel"/>
    <w:tmpl w:val="EA64C264"/>
    <w:styleLink w:val="LFO36"/>
    <w:lvl w:ilvl="0">
      <w:start w:val="1"/>
      <w:numFmt w:val="lowerLetter"/>
      <w:lvlText w:val="(%1)"/>
      <w:lvlJc w:val="left"/>
      <w:pPr>
        <w:ind w:left="1843" w:hanging="992"/>
      </w:pPr>
    </w:lvl>
    <w:lvl w:ilvl="1">
      <w:start w:val="1"/>
      <w:numFmt w:val="lowerRoman"/>
      <w:lvlText w:val="(%2)"/>
      <w:lvlJc w:val="left"/>
      <w:pPr>
        <w:ind w:left="3119" w:hanging="1276"/>
      </w:pPr>
      <w:rPr>
        <w:b w:val="0"/>
      </w:rPr>
    </w:lvl>
    <w:lvl w:ilvl="2">
      <w:start w:val="1"/>
      <w:numFmt w:val="lowerRoman"/>
      <w:lvlText w:val="(%3)"/>
      <w:lvlJc w:val="left"/>
      <w:pPr>
        <w:ind w:left="4253" w:hanging="1134"/>
      </w:pPr>
    </w:lvl>
    <w:lvl w:ilvl="3">
      <w:start w:val="1"/>
      <w:numFmt w:val="lowerLetter"/>
      <w:lvlText w:val="(%4)"/>
      <w:lvlJc w:val="left"/>
      <w:pPr>
        <w:ind w:left="4253" w:hanging="1134"/>
      </w:pPr>
    </w:lvl>
    <w:lvl w:ilvl="4">
      <w:start w:val="1"/>
      <w:numFmt w:val="none"/>
      <w:lvlText w:val="%5"/>
      <w:lvlJc w:val="left"/>
      <w:pPr>
        <w:ind w:left="2232" w:hanging="792"/>
      </w:pPr>
    </w:lvl>
    <w:lvl w:ilvl="5">
      <w:start w:val="1"/>
      <w:numFmt w:val="none"/>
      <w:lvlText w:val="%6"/>
      <w:lvlJc w:val="left"/>
      <w:pPr>
        <w:ind w:left="2736" w:hanging="936"/>
      </w:pPr>
    </w:lvl>
    <w:lvl w:ilvl="6">
      <w:start w:val="1"/>
      <w:numFmt w:val="none"/>
      <w:lvlText w:val="%7"/>
      <w:lvlJc w:val="left"/>
      <w:pPr>
        <w:ind w:left="3240" w:hanging="1080"/>
      </w:pPr>
    </w:lvl>
    <w:lvl w:ilvl="7">
      <w:start w:val="1"/>
      <w:numFmt w:val="none"/>
      <w:lvlText w:val="%8"/>
      <w:lvlJc w:val="left"/>
      <w:pPr>
        <w:ind w:left="3744" w:hanging="1224"/>
      </w:pPr>
    </w:lvl>
    <w:lvl w:ilvl="8">
      <w:start w:val="1"/>
      <w:numFmt w:val="none"/>
      <w:lvlText w:val="%9"/>
      <w:lvlJc w:val="left"/>
      <w:pPr>
        <w:ind w:left="4320" w:hanging="1440"/>
      </w:pPr>
    </w:lvl>
  </w:abstractNum>
  <w:abstractNum w:abstractNumId="5" w15:restartNumberingAfterBreak="0">
    <w:nsid w:val="3B6008D5"/>
    <w:multiLevelType w:val="multilevel"/>
    <w:tmpl w:val="0F3E2AC6"/>
    <w:lvl w:ilvl="0">
      <w:start w:val="1"/>
      <w:numFmt w:val="none"/>
      <w:lvlText w:val="%1"/>
      <w:lvlJc w:val="left"/>
      <w:rPr>
        <w:b w:val="0"/>
        <w:i w:val="0"/>
      </w:rPr>
    </w:lvl>
    <w:lvl w:ilvl="1">
      <w:start w:val="1"/>
      <w:numFmt w:val="lowerLetter"/>
      <w:lvlText w:val="(%2)"/>
      <w:lvlJc w:val="left"/>
      <w:pPr>
        <w:ind w:left="851" w:hanging="851"/>
      </w:pPr>
    </w:lvl>
    <w:lvl w:ilvl="2">
      <w:start w:val="1"/>
      <w:numFmt w:val="lowerRoman"/>
      <w:lvlText w:val="(%3)"/>
      <w:lvlJc w:val="left"/>
      <w:pPr>
        <w:ind w:left="1843" w:hanging="992"/>
      </w:pPr>
    </w:lvl>
    <w:lvl w:ilvl="3">
      <w:numFmt w:val="bullet"/>
      <w:lvlText w:val=""/>
      <w:lvlJc w:val="left"/>
      <w:pPr>
        <w:ind w:left="1440" w:hanging="360"/>
      </w:pPr>
      <w:rPr>
        <w:rFonts w:ascii="Symbol" w:hAnsi="Symbol" w:cs="Times New Roman"/>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29627E6"/>
    <w:multiLevelType w:val="hybridMultilevel"/>
    <w:tmpl w:val="9B5A3F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87256C0"/>
    <w:multiLevelType w:val="multilevel"/>
    <w:tmpl w:val="A31AA9B2"/>
    <w:styleLink w:val="LFO361"/>
    <w:lvl w:ilvl="0">
      <w:start w:val="1"/>
      <w:numFmt w:val="lowerLetter"/>
      <w:pStyle w:val="iBankingDefinition"/>
      <w:lvlText w:val="(%1)"/>
      <w:lvlJc w:val="left"/>
      <w:pPr>
        <w:ind w:left="1843" w:hanging="992"/>
      </w:pPr>
    </w:lvl>
    <w:lvl w:ilvl="1">
      <w:start w:val="1"/>
      <w:numFmt w:val="lowerRoman"/>
      <w:lvlText w:val="(%2)"/>
      <w:lvlJc w:val="left"/>
      <w:pPr>
        <w:ind w:left="3119" w:hanging="1276"/>
      </w:pPr>
      <w:rPr>
        <w:b w:val="0"/>
      </w:rPr>
    </w:lvl>
    <w:lvl w:ilvl="2">
      <w:start w:val="1"/>
      <w:numFmt w:val="lowerRoman"/>
      <w:lvlText w:val="(%3)"/>
      <w:lvlJc w:val="left"/>
      <w:pPr>
        <w:ind w:left="4253" w:hanging="1134"/>
      </w:pPr>
    </w:lvl>
    <w:lvl w:ilvl="3">
      <w:start w:val="1"/>
      <w:numFmt w:val="lowerLetter"/>
      <w:lvlText w:val="(%4)"/>
      <w:lvlJc w:val="left"/>
      <w:pPr>
        <w:ind w:left="4253" w:hanging="1134"/>
      </w:pPr>
    </w:lvl>
    <w:lvl w:ilvl="4">
      <w:start w:val="1"/>
      <w:numFmt w:val="none"/>
      <w:lvlText w:val="%5"/>
      <w:lvlJc w:val="left"/>
      <w:pPr>
        <w:ind w:left="2232" w:hanging="792"/>
      </w:pPr>
    </w:lvl>
    <w:lvl w:ilvl="5">
      <w:start w:val="1"/>
      <w:numFmt w:val="none"/>
      <w:lvlText w:val="%6"/>
      <w:lvlJc w:val="left"/>
      <w:pPr>
        <w:ind w:left="2736" w:hanging="936"/>
      </w:pPr>
    </w:lvl>
    <w:lvl w:ilvl="6">
      <w:start w:val="1"/>
      <w:numFmt w:val="none"/>
      <w:lvlText w:val="%7"/>
      <w:lvlJc w:val="left"/>
      <w:pPr>
        <w:ind w:left="3240" w:hanging="1080"/>
      </w:pPr>
    </w:lvl>
    <w:lvl w:ilvl="7">
      <w:start w:val="1"/>
      <w:numFmt w:val="none"/>
      <w:lvlText w:val="%8"/>
      <w:lvlJc w:val="left"/>
      <w:pPr>
        <w:ind w:left="3744" w:hanging="1224"/>
      </w:pPr>
    </w:lvl>
    <w:lvl w:ilvl="8">
      <w:start w:val="1"/>
      <w:numFmt w:val="none"/>
      <w:lvlText w:val="%9"/>
      <w:lvlJc w:val="left"/>
      <w:pPr>
        <w:ind w:left="4320" w:hanging="1440"/>
      </w:pPr>
    </w:lvl>
  </w:abstractNum>
  <w:abstractNum w:abstractNumId="8" w15:restartNumberingAfterBreak="0">
    <w:nsid w:val="62787184"/>
    <w:multiLevelType w:val="multilevel"/>
    <w:tmpl w:val="4EF8E5E8"/>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1277"/>
        </w:tabs>
        <w:ind w:left="1277"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9" w15:restartNumberingAfterBreak="0">
    <w:nsid w:val="66D1373A"/>
    <w:multiLevelType w:val="multilevel"/>
    <w:tmpl w:val="C16E489E"/>
    <w:lvl w:ilvl="0">
      <w:start w:val="1"/>
      <w:numFmt w:val="none"/>
      <w:lvlText w:val="%1"/>
      <w:lvlJc w:val="left"/>
      <w:rPr>
        <w:b w:val="0"/>
        <w:i w:val="0"/>
      </w:rPr>
    </w:lvl>
    <w:lvl w:ilvl="1">
      <w:start w:val="1"/>
      <w:numFmt w:val="lowerLetter"/>
      <w:lvlText w:val="(%2)"/>
      <w:lvlJc w:val="left"/>
      <w:pPr>
        <w:ind w:left="851" w:hanging="851"/>
      </w:pPr>
    </w:lvl>
    <w:lvl w:ilvl="2">
      <w:start w:val="1"/>
      <w:numFmt w:val="lowerRoman"/>
      <w:lvlText w:val="(%3)"/>
      <w:lvlJc w:val="left"/>
      <w:pPr>
        <w:ind w:left="1843" w:hanging="992"/>
      </w:pPr>
    </w:lvl>
    <w:lvl w:ilvl="3">
      <w:numFmt w:val="bullet"/>
      <w:lvlText w:val=""/>
      <w:lvlJc w:val="left"/>
      <w:pPr>
        <w:ind w:left="1440" w:hanging="360"/>
      </w:pPr>
      <w:rPr>
        <w:rFonts w:ascii="Symbol" w:hAnsi="Symbol" w:cs="Times New Roman"/>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3281034"/>
    <w:multiLevelType w:val="multilevel"/>
    <w:tmpl w:val="B75A751C"/>
    <w:styleLink w:val="LFO32"/>
    <w:lvl w:ilvl="0">
      <w:start w:val="1"/>
      <w:numFmt w:val="decimal"/>
      <w:lvlText w:val="%1."/>
      <w:lvlJc w:val="left"/>
      <w:pPr>
        <w:ind w:left="851" w:hanging="851"/>
      </w:pPr>
      <w:rPr>
        <w:b w:val="0"/>
        <w:i w:val="0"/>
        <w:u w:val="none"/>
      </w:rPr>
    </w:lvl>
    <w:lvl w:ilvl="1">
      <w:start w:val="1"/>
      <w:numFmt w:val="decimal"/>
      <w:lvlText w:val="%1.%2"/>
      <w:lvlJc w:val="left"/>
      <w:pPr>
        <w:ind w:left="1277" w:hanging="851"/>
      </w:pPr>
      <w:rPr>
        <w:b w:val="0"/>
        <w:i w:val="0"/>
        <w:u w:val="none"/>
      </w:rPr>
    </w:lvl>
    <w:lvl w:ilvl="2">
      <w:start w:val="1"/>
      <w:numFmt w:val="decimal"/>
      <w:lvlText w:val="%1.%2.%3"/>
      <w:lvlJc w:val="left"/>
      <w:pPr>
        <w:ind w:left="1843" w:hanging="992"/>
      </w:pPr>
      <w:rPr>
        <w:b w:val="0"/>
        <w:i w:val="0"/>
        <w:u w:val="none"/>
      </w:rPr>
    </w:lvl>
    <w:lvl w:ilvl="3">
      <w:start w:val="1"/>
      <w:numFmt w:val="decimal"/>
      <w:lvlText w:val="%1.%2.%3.%4"/>
      <w:lvlJc w:val="left"/>
      <w:pPr>
        <w:ind w:left="3119" w:hanging="1276"/>
      </w:pPr>
      <w:rPr>
        <w:b w:val="0"/>
        <w:i w:val="0"/>
        <w:u w:val="none"/>
      </w:rPr>
    </w:lvl>
    <w:lvl w:ilvl="4">
      <w:start w:val="1"/>
      <w:numFmt w:val="lowerLetter"/>
      <w:lvlText w:val="(%5)"/>
      <w:lvlJc w:val="left"/>
      <w:pPr>
        <w:ind w:left="3119" w:hanging="1276"/>
      </w:pPr>
      <w:rPr>
        <w:b w:val="0"/>
        <w:i w:val="0"/>
        <w:u w:val="none"/>
      </w:rPr>
    </w:lvl>
    <w:lvl w:ilvl="5">
      <w:start w:val="1"/>
      <w:numFmt w:val="none"/>
      <w:lvlText w:val="(Not Defined)%6"/>
      <w:lvlJc w:val="left"/>
      <w:pPr>
        <w:ind w:left="2736" w:hanging="936"/>
      </w:pPr>
    </w:lvl>
    <w:lvl w:ilvl="6">
      <w:start w:val="1"/>
      <w:numFmt w:val="none"/>
      <w:lvlText w:val="(Not Defined)%7"/>
      <w:lvlJc w:val="left"/>
      <w:pPr>
        <w:ind w:left="3240" w:hanging="1080"/>
      </w:pPr>
    </w:lvl>
    <w:lvl w:ilvl="7">
      <w:start w:val="1"/>
      <w:numFmt w:val="none"/>
      <w:lvlText w:val="(Not Defined)%8"/>
      <w:lvlJc w:val="left"/>
      <w:pPr>
        <w:ind w:left="3744" w:hanging="1224"/>
      </w:pPr>
    </w:lvl>
    <w:lvl w:ilvl="8">
      <w:start w:val="1"/>
      <w:numFmt w:val="none"/>
      <w:lvlText w:val="(Not Defined)%9"/>
      <w:lvlJc w:val="left"/>
      <w:pPr>
        <w:ind w:left="4320" w:hanging="1440"/>
      </w:pPr>
    </w:lvl>
  </w:abstractNum>
  <w:num w:numId="1">
    <w:abstractNumId w:val="2"/>
  </w:num>
  <w:num w:numId="2">
    <w:abstractNumId w:val="1"/>
  </w:num>
  <w:num w:numId="3">
    <w:abstractNumId w:val="6"/>
  </w:num>
  <w:num w:numId="4">
    <w:abstractNumId w:val="8"/>
  </w:num>
  <w:num w:numId="5">
    <w:abstractNumId w:val="10"/>
    <w:lvlOverride w:ilvl="0">
      <w:lvl w:ilvl="0">
        <w:start w:val="1"/>
        <w:numFmt w:val="decimal"/>
        <w:lvlText w:val="%1."/>
        <w:lvlJc w:val="left"/>
        <w:pPr>
          <w:ind w:left="851" w:hanging="851"/>
        </w:pPr>
        <w:rPr>
          <w:b/>
          <w:i w:val="0"/>
          <w:u w:val="none"/>
        </w:rPr>
      </w:lvl>
    </w:lvlOverride>
    <w:lvlOverride w:ilvl="1">
      <w:lvl w:ilvl="1">
        <w:start w:val="1"/>
        <w:numFmt w:val="decimal"/>
        <w:lvlText w:val="%1.%2"/>
        <w:lvlJc w:val="left"/>
        <w:pPr>
          <w:ind w:left="1277" w:hanging="851"/>
        </w:pPr>
        <w:rPr>
          <w:rFonts w:ascii="Verdana" w:hAnsi="Verdana" w:hint="default"/>
          <w:b w:val="0"/>
          <w:i w:val="0"/>
          <w:sz w:val="18"/>
          <w:szCs w:val="18"/>
          <w:u w:val="none"/>
        </w:rPr>
      </w:lvl>
    </w:lvlOverride>
    <w:lvlOverride w:ilvl="2">
      <w:lvl w:ilvl="2">
        <w:start w:val="1"/>
        <w:numFmt w:val="decimal"/>
        <w:lvlText w:val="%1.%2.%3"/>
        <w:lvlJc w:val="left"/>
        <w:pPr>
          <w:ind w:left="1843" w:hanging="992"/>
        </w:pPr>
        <w:rPr>
          <w:rFonts w:ascii="Verdana" w:hAnsi="Verdana" w:hint="default"/>
          <w:b w:val="0"/>
          <w:i w:val="0"/>
          <w:sz w:val="18"/>
          <w:szCs w:val="18"/>
          <w:u w:val="none"/>
        </w:rPr>
      </w:lvl>
    </w:lvlOverride>
    <w:lvlOverride w:ilvl="3">
      <w:lvl w:ilvl="3">
        <w:start w:val="1"/>
        <w:numFmt w:val="decimal"/>
        <w:lvlText w:val="%1.%2.%3.%4"/>
        <w:lvlJc w:val="left"/>
        <w:pPr>
          <w:ind w:left="3119" w:hanging="1276"/>
        </w:pPr>
        <w:rPr>
          <w:rFonts w:ascii="Verdana" w:hAnsi="Verdana" w:hint="default"/>
          <w:b w:val="0"/>
          <w:i w:val="0"/>
          <w:sz w:val="18"/>
          <w:szCs w:val="18"/>
          <w:u w:val="none"/>
        </w:rPr>
      </w:lvl>
    </w:lvlOverride>
  </w:num>
  <w:num w:numId="6">
    <w:abstractNumId w:val="4"/>
  </w:num>
  <w:num w:numId="7">
    <w:abstractNumId w:val="7"/>
  </w:num>
  <w:num w:numId="8">
    <w:abstractNumId w:val="0"/>
  </w:num>
  <w:num w:numId="9">
    <w:abstractNumId w:val="3"/>
  </w:num>
  <w:num w:numId="10">
    <w:abstractNumId w:val="5"/>
  </w:num>
  <w:num w:numId="11">
    <w:abstractNumId w:val="9"/>
  </w:num>
  <w:num w:numId="12">
    <w:abstractNumId w:val="8"/>
  </w:num>
  <w:num w:numId="13">
    <w:abstractNumId w:val="8"/>
  </w:num>
  <w:num w:numId="14">
    <w:abstractNumId w:val="2"/>
  </w:num>
  <w:num w:numId="15">
    <w:abstractNumId w:val="2"/>
  </w:num>
  <w:num w:numId="16">
    <w:abstractNumId w:val="2"/>
  </w:num>
  <w:num w:numId="17">
    <w:abstractNumId w:val="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835"/>
    <w:rsid w:val="000032F8"/>
    <w:rsid w:val="00012AB9"/>
    <w:rsid w:val="000131F5"/>
    <w:rsid w:val="00015F66"/>
    <w:rsid w:val="00017938"/>
    <w:rsid w:val="0004252D"/>
    <w:rsid w:val="00052F1F"/>
    <w:rsid w:val="00060D37"/>
    <w:rsid w:val="00061580"/>
    <w:rsid w:val="00070903"/>
    <w:rsid w:val="00086B69"/>
    <w:rsid w:val="00097A62"/>
    <w:rsid w:val="000A2635"/>
    <w:rsid w:val="000A7773"/>
    <w:rsid w:val="000C3201"/>
    <w:rsid w:val="000C5643"/>
    <w:rsid w:val="000E2DFE"/>
    <w:rsid w:val="000E7C91"/>
    <w:rsid w:val="000F2CE9"/>
    <w:rsid w:val="00107599"/>
    <w:rsid w:val="00121067"/>
    <w:rsid w:val="00126BDF"/>
    <w:rsid w:val="00166576"/>
    <w:rsid w:val="00166F95"/>
    <w:rsid w:val="00173424"/>
    <w:rsid w:val="00176659"/>
    <w:rsid w:val="00183664"/>
    <w:rsid w:val="0018745F"/>
    <w:rsid w:val="001A0224"/>
    <w:rsid w:val="001A05F4"/>
    <w:rsid w:val="001B0E95"/>
    <w:rsid w:val="001C1F8A"/>
    <w:rsid w:val="001C2723"/>
    <w:rsid w:val="001C2901"/>
    <w:rsid w:val="001D25AA"/>
    <w:rsid w:val="001D63DC"/>
    <w:rsid w:val="00205F07"/>
    <w:rsid w:val="0021087D"/>
    <w:rsid w:val="00220C5F"/>
    <w:rsid w:val="00223A30"/>
    <w:rsid w:val="00267CBF"/>
    <w:rsid w:val="00286E38"/>
    <w:rsid w:val="002A4DD6"/>
    <w:rsid w:val="002D30AB"/>
    <w:rsid w:val="002E4BD2"/>
    <w:rsid w:val="002F446E"/>
    <w:rsid w:val="003011ED"/>
    <w:rsid w:val="0030288C"/>
    <w:rsid w:val="00326C12"/>
    <w:rsid w:val="0032741C"/>
    <w:rsid w:val="0033140F"/>
    <w:rsid w:val="0033311D"/>
    <w:rsid w:val="00335B19"/>
    <w:rsid w:val="00341C14"/>
    <w:rsid w:val="00345D6B"/>
    <w:rsid w:val="00354E1C"/>
    <w:rsid w:val="003622ED"/>
    <w:rsid w:val="00372003"/>
    <w:rsid w:val="003723A6"/>
    <w:rsid w:val="00381771"/>
    <w:rsid w:val="003843D8"/>
    <w:rsid w:val="003953D9"/>
    <w:rsid w:val="00396FBC"/>
    <w:rsid w:val="003A0A41"/>
    <w:rsid w:val="003A1B51"/>
    <w:rsid w:val="003A2A1A"/>
    <w:rsid w:val="003B7889"/>
    <w:rsid w:val="003C233C"/>
    <w:rsid w:val="003C5717"/>
    <w:rsid w:val="003D1D89"/>
    <w:rsid w:val="003E5397"/>
    <w:rsid w:val="003E5640"/>
    <w:rsid w:val="00405C8E"/>
    <w:rsid w:val="00420E97"/>
    <w:rsid w:val="00441118"/>
    <w:rsid w:val="00453055"/>
    <w:rsid w:val="00454936"/>
    <w:rsid w:val="00457914"/>
    <w:rsid w:val="00463526"/>
    <w:rsid w:val="004806F7"/>
    <w:rsid w:val="00482A59"/>
    <w:rsid w:val="00484B1A"/>
    <w:rsid w:val="004907E5"/>
    <w:rsid w:val="004B11CB"/>
    <w:rsid w:val="004C71C4"/>
    <w:rsid w:val="004D0A8D"/>
    <w:rsid w:val="004D1454"/>
    <w:rsid w:val="004E63D5"/>
    <w:rsid w:val="004F3A3E"/>
    <w:rsid w:val="004F6332"/>
    <w:rsid w:val="005002A4"/>
    <w:rsid w:val="00507734"/>
    <w:rsid w:val="00512C4A"/>
    <w:rsid w:val="00521635"/>
    <w:rsid w:val="0053563C"/>
    <w:rsid w:val="00536456"/>
    <w:rsid w:val="00551CFC"/>
    <w:rsid w:val="00567BD5"/>
    <w:rsid w:val="00580A8C"/>
    <w:rsid w:val="00582611"/>
    <w:rsid w:val="005906A8"/>
    <w:rsid w:val="005B1A7D"/>
    <w:rsid w:val="005C44A9"/>
    <w:rsid w:val="005D0CA1"/>
    <w:rsid w:val="005D2639"/>
    <w:rsid w:val="005E5CC4"/>
    <w:rsid w:val="005F207E"/>
    <w:rsid w:val="005F6C37"/>
    <w:rsid w:val="005F6F62"/>
    <w:rsid w:val="00603E9F"/>
    <w:rsid w:val="006072D6"/>
    <w:rsid w:val="00611E4A"/>
    <w:rsid w:val="0062536A"/>
    <w:rsid w:val="00630826"/>
    <w:rsid w:val="00655E97"/>
    <w:rsid w:val="00660366"/>
    <w:rsid w:val="00660FE9"/>
    <w:rsid w:val="006617F7"/>
    <w:rsid w:val="0066406A"/>
    <w:rsid w:val="006762AD"/>
    <w:rsid w:val="00677D83"/>
    <w:rsid w:val="006824C5"/>
    <w:rsid w:val="00683779"/>
    <w:rsid w:val="00691DA4"/>
    <w:rsid w:val="006960F4"/>
    <w:rsid w:val="006970EC"/>
    <w:rsid w:val="006C53CF"/>
    <w:rsid w:val="006C63FB"/>
    <w:rsid w:val="006C6D31"/>
    <w:rsid w:val="006D45C5"/>
    <w:rsid w:val="007051BD"/>
    <w:rsid w:val="00730835"/>
    <w:rsid w:val="007415A7"/>
    <w:rsid w:val="00750C0B"/>
    <w:rsid w:val="00753221"/>
    <w:rsid w:val="00756EC2"/>
    <w:rsid w:val="00765289"/>
    <w:rsid w:val="00772A76"/>
    <w:rsid w:val="00772ED8"/>
    <w:rsid w:val="0077389E"/>
    <w:rsid w:val="0078417D"/>
    <w:rsid w:val="00784468"/>
    <w:rsid w:val="007867A3"/>
    <w:rsid w:val="007963F7"/>
    <w:rsid w:val="00796636"/>
    <w:rsid w:val="007B44C8"/>
    <w:rsid w:val="007B5CC9"/>
    <w:rsid w:val="007B6C40"/>
    <w:rsid w:val="007D27B2"/>
    <w:rsid w:val="007D5817"/>
    <w:rsid w:val="007E56A5"/>
    <w:rsid w:val="00807566"/>
    <w:rsid w:val="00807D37"/>
    <w:rsid w:val="00820516"/>
    <w:rsid w:val="00831D03"/>
    <w:rsid w:val="0084174C"/>
    <w:rsid w:val="00862A6F"/>
    <w:rsid w:val="00863F86"/>
    <w:rsid w:val="00887B89"/>
    <w:rsid w:val="00891A8E"/>
    <w:rsid w:val="008921A0"/>
    <w:rsid w:val="00893D85"/>
    <w:rsid w:val="008A42BF"/>
    <w:rsid w:val="008A64F5"/>
    <w:rsid w:val="008A706B"/>
    <w:rsid w:val="008B2B72"/>
    <w:rsid w:val="008B2E9E"/>
    <w:rsid w:val="008C0183"/>
    <w:rsid w:val="008C1D23"/>
    <w:rsid w:val="008C33F2"/>
    <w:rsid w:val="008D37C0"/>
    <w:rsid w:val="008E3C86"/>
    <w:rsid w:val="008F4001"/>
    <w:rsid w:val="00905640"/>
    <w:rsid w:val="00907BE4"/>
    <w:rsid w:val="0091462B"/>
    <w:rsid w:val="00932B62"/>
    <w:rsid w:val="009414C6"/>
    <w:rsid w:val="0094402A"/>
    <w:rsid w:val="00967384"/>
    <w:rsid w:val="00982EDE"/>
    <w:rsid w:val="0098558B"/>
    <w:rsid w:val="0099460E"/>
    <w:rsid w:val="009B4177"/>
    <w:rsid w:val="009B637C"/>
    <w:rsid w:val="009C33E3"/>
    <w:rsid w:val="009C54CD"/>
    <w:rsid w:val="009C5A6F"/>
    <w:rsid w:val="009C7B84"/>
    <w:rsid w:val="009E0258"/>
    <w:rsid w:val="009F09E2"/>
    <w:rsid w:val="00A10DEA"/>
    <w:rsid w:val="00A120C1"/>
    <w:rsid w:val="00A23BA6"/>
    <w:rsid w:val="00A33E22"/>
    <w:rsid w:val="00A34D1E"/>
    <w:rsid w:val="00A40892"/>
    <w:rsid w:val="00A47086"/>
    <w:rsid w:val="00A65A11"/>
    <w:rsid w:val="00A800F9"/>
    <w:rsid w:val="00A96BFE"/>
    <w:rsid w:val="00AA0270"/>
    <w:rsid w:val="00AA02CC"/>
    <w:rsid w:val="00AA05C9"/>
    <w:rsid w:val="00AB01A8"/>
    <w:rsid w:val="00AB457D"/>
    <w:rsid w:val="00AC1443"/>
    <w:rsid w:val="00AD47E2"/>
    <w:rsid w:val="00B058DA"/>
    <w:rsid w:val="00B05E14"/>
    <w:rsid w:val="00B17566"/>
    <w:rsid w:val="00B200DB"/>
    <w:rsid w:val="00B216E6"/>
    <w:rsid w:val="00B26C54"/>
    <w:rsid w:val="00B30CBB"/>
    <w:rsid w:val="00B3685D"/>
    <w:rsid w:val="00B53840"/>
    <w:rsid w:val="00B576C7"/>
    <w:rsid w:val="00B62346"/>
    <w:rsid w:val="00B77103"/>
    <w:rsid w:val="00B82CA4"/>
    <w:rsid w:val="00B87239"/>
    <w:rsid w:val="00B946A4"/>
    <w:rsid w:val="00B95776"/>
    <w:rsid w:val="00BB294C"/>
    <w:rsid w:val="00BD1555"/>
    <w:rsid w:val="00BD4AA2"/>
    <w:rsid w:val="00BE1625"/>
    <w:rsid w:val="00BF474E"/>
    <w:rsid w:val="00C102D0"/>
    <w:rsid w:val="00C13A41"/>
    <w:rsid w:val="00C22DDC"/>
    <w:rsid w:val="00C25AD2"/>
    <w:rsid w:val="00C25E63"/>
    <w:rsid w:val="00C31475"/>
    <w:rsid w:val="00C4136C"/>
    <w:rsid w:val="00C4382D"/>
    <w:rsid w:val="00C501E3"/>
    <w:rsid w:val="00C62532"/>
    <w:rsid w:val="00C63EA9"/>
    <w:rsid w:val="00C65483"/>
    <w:rsid w:val="00CA3F50"/>
    <w:rsid w:val="00CA3F77"/>
    <w:rsid w:val="00CB0A91"/>
    <w:rsid w:val="00CB4D5D"/>
    <w:rsid w:val="00CC2AA3"/>
    <w:rsid w:val="00CC31C2"/>
    <w:rsid w:val="00CE3330"/>
    <w:rsid w:val="00CF46ED"/>
    <w:rsid w:val="00D069DE"/>
    <w:rsid w:val="00D12F12"/>
    <w:rsid w:val="00D130DC"/>
    <w:rsid w:val="00D22B99"/>
    <w:rsid w:val="00D23E48"/>
    <w:rsid w:val="00D40067"/>
    <w:rsid w:val="00D43E50"/>
    <w:rsid w:val="00D46704"/>
    <w:rsid w:val="00D5010F"/>
    <w:rsid w:val="00D5050D"/>
    <w:rsid w:val="00D519BA"/>
    <w:rsid w:val="00D525C6"/>
    <w:rsid w:val="00D60C92"/>
    <w:rsid w:val="00D71363"/>
    <w:rsid w:val="00D7363F"/>
    <w:rsid w:val="00D742B4"/>
    <w:rsid w:val="00D75703"/>
    <w:rsid w:val="00DA40E9"/>
    <w:rsid w:val="00DA4989"/>
    <w:rsid w:val="00DB2917"/>
    <w:rsid w:val="00DB5768"/>
    <w:rsid w:val="00DB6EE4"/>
    <w:rsid w:val="00DC6A58"/>
    <w:rsid w:val="00DE1AAA"/>
    <w:rsid w:val="00DF33DF"/>
    <w:rsid w:val="00DF48E3"/>
    <w:rsid w:val="00E01CAF"/>
    <w:rsid w:val="00E041E2"/>
    <w:rsid w:val="00E07BA9"/>
    <w:rsid w:val="00E1762A"/>
    <w:rsid w:val="00E21F66"/>
    <w:rsid w:val="00E618EE"/>
    <w:rsid w:val="00E65D79"/>
    <w:rsid w:val="00E77C13"/>
    <w:rsid w:val="00E93822"/>
    <w:rsid w:val="00E93F18"/>
    <w:rsid w:val="00EA4900"/>
    <w:rsid w:val="00EB6893"/>
    <w:rsid w:val="00EC2162"/>
    <w:rsid w:val="00ED22D7"/>
    <w:rsid w:val="00F14F01"/>
    <w:rsid w:val="00F169E9"/>
    <w:rsid w:val="00F22F90"/>
    <w:rsid w:val="00F24A44"/>
    <w:rsid w:val="00F417A3"/>
    <w:rsid w:val="00F43B24"/>
    <w:rsid w:val="00F5451A"/>
    <w:rsid w:val="00F6797E"/>
    <w:rsid w:val="00F80F1A"/>
    <w:rsid w:val="00FA32AB"/>
    <w:rsid w:val="00FB04DF"/>
    <w:rsid w:val="00FB40C6"/>
    <w:rsid w:val="00FB5C52"/>
    <w:rsid w:val="00FB6B56"/>
    <w:rsid w:val="00FC7368"/>
    <w:rsid w:val="00FD2128"/>
    <w:rsid w:val="00FD4880"/>
    <w:rsid w:val="00FE382B"/>
    <w:rsid w:val="00FF1674"/>
    <w:rsid w:val="00FF52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A9362C"/>
  <w15:docId w15:val="{49CF370C-1A7C-43B0-A2BF-6746EC84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730835"/>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0835"/>
    <w:rPr>
      <w:rFonts w:ascii="Arial" w:eastAsia="Times New Roman" w:hAnsi="Arial" w:cs="Arial"/>
      <w:b/>
      <w:bCs/>
      <w:kern w:val="32"/>
      <w:sz w:val="32"/>
      <w:szCs w:val="32"/>
    </w:rPr>
  </w:style>
  <w:style w:type="character" w:customStyle="1" w:styleId="subparatext">
    <w:name w:val="subparatext"/>
    <w:basedOn w:val="DefaultParagraphFont"/>
    <w:uiPriority w:val="99"/>
    <w:rsid w:val="00730835"/>
    <w:rPr>
      <w:rFonts w:cs="Times New Roman"/>
    </w:rPr>
  </w:style>
  <w:style w:type="paragraph" w:customStyle="1" w:styleId="treb">
    <w:name w:val="treb"/>
    <w:basedOn w:val="ListParagraph"/>
    <w:link w:val="trebChar"/>
    <w:qFormat/>
    <w:rsid w:val="00730835"/>
    <w:pPr>
      <w:numPr>
        <w:numId w:val="1"/>
      </w:numPr>
      <w:spacing w:after="120"/>
      <w:contextualSpacing w:val="0"/>
    </w:pPr>
    <w:rPr>
      <w:rFonts w:ascii="Trebuchet MS" w:hAnsi="Trebuchet MS" w:cs="Arial"/>
      <w:b/>
      <w:bCs/>
    </w:rPr>
  </w:style>
  <w:style w:type="character" w:customStyle="1" w:styleId="trebChar">
    <w:name w:val="treb Char"/>
    <w:basedOn w:val="DefaultParagraphFont"/>
    <w:link w:val="treb"/>
    <w:rsid w:val="00730835"/>
    <w:rPr>
      <w:rFonts w:ascii="Trebuchet MS" w:hAnsi="Trebuchet MS" w:cs="Arial"/>
      <w:b/>
      <w:bCs/>
    </w:rPr>
  </w:style>
  <w:style w:type="paragraph" w:styleId="ListParagraph">
    <w:name w:val="List Paragraph"/>
    <w:basedOn w:val="Normal"/>
    <w:uiPriority w:val="34"/>
    <w:qFormat/>
    <w:rsid w:val="00730835"/>
    <w:pPr>
      <w:ind w:left="720"/>
      <w:contextualSpacing/>
    </w:pPr>
  </w:style>
  <w:style w:type="paragraph" w:styleId="Header">
    <w:name w:val="header"/>
    <w:basedOn w:val="Normal"/>
    <w:link w:val="HeaderChar"/>
    <w:uiPriority w:val="99"/>
    <w:unhideWhenUsed/>
    <w:rsid w:val="007308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0835"/>
  </w:style>
  <w:style w:type="paragraph" w:styleId="Footer">
    <w:name w:val="footer"/>
    <w:basedOn w:val="Normal"/>
    <w:link w:val="FooterChar"/>
    <w:uiPriority w:val="99"/>
    <w:unhideWhenUsed/>
    <w:rsid w:val="007308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0835"/>
  </w:style>
  <w:style w:type="paragraph" w:styleId="BalloonText">
    <w:name w:val="Balloon Text"/>
    <w:basedOn w:val="Normal"/>
    <w:link w:val="BalloonTextChar"/>
    <w:uiPriority w:val="99"/>
    <w:semiHidden/>
    <w:unhideWhenUsed/>
    <w:rsid w:val="008075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566"/>
    <w:rPr>
      <w:rFonts w:ascii="Tahoma" w:hAnsi="Tahoma" w:cs="Tahoma"/>
      <w:sz w:val="16"/>
      <w:szCs w:val="16"/>
    </w:rPr>
  </w:style>
  <w:style w:type="paragraph" w:styleId="Revision">
    <w:name w:val="Revision"/>
    <w:hidden/>
    <w:uiPriority w:val="99"/>
    <w:semiHidden/>
    <w:rsid w:val="00D5050D"/>
    <w:pPr>
      <w:spacing w:after="0" w:line="240" w:lineRule="auto"/>
    </w:pPr>
  </w:style>
  <w:style w:type="character" w:styleId="CommentReference">
    <w:name w:val="annotation reference"/>
    <w:basedOn w:val="DefaultParagraphFont"/>
    <w:uiPriority w:val="99"/>
    <w:semiHidden/>
    <w:unhideWhenUsed/>
    <w:rsid w:val="00551CFC"/>
    <w:rPr>
      <w:sz w:val="16"/>
      <w:szCs w:val="16"/>
    </w:rPr>
  </w:style>
  <w:style w:type="paragraph" w:styleId="CommentText">
    <w:name w:val="annotation text"/>
    <w:basedOn w:val="Normal"/>
    <w:link w:val="CommentTextChar"/>
    <w:uiPriority w:val="99"/>
    <w:semiHidden/>
    <w:unhideWhenUsed/>
    <w:rsid w:val="00551CFC"/>
    <w:pPr>
      <w:spacing w:line="240" w:lineRule="auto"/>
    </w:pPr>
    <w:rPr>
      <w:sz w:val="20"/>
      <w:szCs w:val="20"/>
    </w:rPr>
  </w:style>
  <w:style w:type="character" w:customStyle="1" w:styleId="CommentTextChar">
    <w:name w:val="Comment Text Char"/>
    <w:basedOn w:val="DefaultParagraphFont"/>
    <w:link w:val="CommentText"/>
    <w:uiPriority w:val="99"/>
    <w:semiHidden/>
    <w:rsid w:val="00551CFC"/>
    <w:rPr>
      <w:sz w:val="20"/>
      <w:szCs w:val="20"/>
    </w:rPr>
  </w:style>
  <w:style w:type="paragraph" w:styleId="CommentSubject">
    <w:name w:val="annotation subject"/>
    <w:basedOn w:val="CommentText"/>
    <w:next w:val="CommentText"/>
    <w:link w:val="CommentSubjectChar"/>
    <w:uiPriority w:val="99"/>
    <w:semiHidden/>
    <w:unhideWhenUsed/>
    <w:rsid w:val="00551CFC"/>
    <w:rPr>
      <w:b/>
      <w:bCs/>
    </w:rPr>
  </w:style>
  <w:style w:type="character" w:customStyle="1" w:styleId="CommentSubjectChar">
    <w:name w:val="Comment Subject Char"/>
    <w:basedOn w:val="CommentTextChar"/>
    <w:link w:val="CommentSubject"/>
    <w:uiPriority w:val="99"/>
    <w:semiHidden/>
    <w:rsid w:val="00551CFC"/>
    <w:rPr>
      <w:b/>
      <w:bCs/>
      <w:sz w:val="20"/>
      <w:szCs w:val="20"/>
    </w:rPr>
  </w:style>
  <w:style w:type="paragraph" w:customStyle="1" w:styleId="Default">
    <w:name w:val="Default"/>
    <w:rsid w:val="00463526"/>
    <w:pPr>
      <w:autoSpaceDE w:val="0"/>
      <w:autoSpaceDN w:val="0"/>
      <w:adjustRightInd w:val="0"/>
      <w:spacing w:after="0" w:line="240" w:lineRule="auto"/>
    </w:pPr>
    <w:rPr>
      <w:rFonts w:ascii="Verdana" w:hAnsi="Verdana" w:cs="Verdana"/>
      <w:color w:val="000000"/>
      <w:sz w:val="24"/>
      <w:szCs w:val="24"/>
    </w:rPr>
  </w:style>
  <w:style w:type="paragraph" w:customStyle="1" w:styleId="Level1">
    <w:name w:val="Level 1"/>
    <w:basedOn w:val="Normal"/>
    <w:link w:val="Level1Char"/>
    <w:qFormat/>
    <w:rsid w:val="00677D83"/>
    <w:pPr>
      <w:numPr>
        <w:numId w:val="4"/>
      </w:numPr>
      <w:spacing w:after="240" w:line="240" w:lineRule="auto"/>
      <w:jc w:val="both"/>
      <w:outlineLvl w:val="0"/>
    </w:pPr>
    <w:rPr>
      <w:rFonts w:ascii="Verdana" w:eastAsia="Times New Roman" w:hAnsi="Verdana" w:cs="Times New Roman"/>
      <w:sz w:val="18"/>
      <w:szCs w:val="18"/>
      <w:lang w:eastAsia="zh-CN"/>
    </w:rPr>
  </w:style>
  <w:style w:type="paragraph" w:customStyle="1" w:styleId="Level2">
    <w:name w:val="Level 2"/>
    <w:basedOn w:val="Normal"/>
    <w:link w:val="Level2Char"/>
    <w:qFormat/>
    <w:rsid w:val="00677D83"/>
    <w:pPr>
      <w:numPr>
        <w:ilvl w:val="1"/>
        <w:numId w:val="4"/>
      </w:numPr>
      <w:spacing w:after="240" w:line="240" w:lineRule="auto"/>
      <w:jc w:val="both"/>
      <w:outlineLvl w:val="1"/>
    </w:pPr>
    <w:rPr>
      <w:rFonts w:ascii="Verdana" w:eastAsia="Times New Roman" w:hAnsi="Verdana" w:cs="Times New Roman"/>
      <w:sz w:val="18"/>
      <w:szCs w:val="18"/>
      <w:lang w:eastAsia="zh-CN"/>
    </w:rPr>
  </w:style>
  <w:style w:type="paragraph" w:customStyle="1" w:styleId="Level3">
    <w:name w:val="Level 3"/>
    <w:basedOn w:val="Normal"/>
    <w:link w:val="Level3Char"/>
    <w:qFormat/>
    <w:rsid w:val="00677D83"/>
    <w:pPr>
      <w:numPr>
        <w:ilvl w:val="2"/>
        <w:numId w:val="4"/>
      </w:numPr>
      <w:spacing w:after="240" w:line="240" w:lineRule="auto"/>
      <w:jc w:val="both"/>
      <w:outlineLvl w:val="2"/>
    </w:pPr>
    <w:rPr>
      <w:rFonts w:ascii="Verdana" w:eastAsia="Times New Roman" w:hAnsi="Verdana" w:cs="Times New Roman"/>
      <w:sz w:val="18"/>
      <w:szCs w:val="18"/>
      <w:lang w:eastAsia="zh-CN"/>
    </w:rPr>
  </w:style>
  <w:style w:type="paragraph" w:customStyle="1" w:styleId="Level4">
    <w:name w:val="Level 4"/>
    <w:basedOn w:val="Normal"/>
    <w:qFormat/>
    <w:rsid w:val="00677D83"/>
    <w:pPr>
      <w:numPr>
        <w:ilvl w:val="3"/>
        <w:numId w:val="4"/>
      </w:numPr>
      <w:spacing w:after="240" w:line="240" w:lineRule="auto"/>
      <w:jc w:val="both"/>
      <w:outlineLvl w:val="3"/>
    </w:pPr>
    <w:rPr>
      <w:rFonts w:ascii="Verdana" w:eastAsia="Times New Roman" w:hAnsi="Verdana" w:cs="Times New Roman"/>
      <w:sz w:val="18"/>
      <w:szCs w:val="18"/>
      <w:lang w:eastAsia="zh-CN"/>
    </w:rPr>
  </w:style>
  <w:style w:type="paragraph" w:customStyle="1" w:styleId="Level5">
    <w:name w:val="Level 5"/>
    <w:basedOn w:val="Normal"/>
    <w:qFormat/>
    <w:rsid w:val="00677D83"/>
    <w:pPr>
      <w:numPr>
        <w:ilvl w:val="4"/>
        <w:numId w:val="4"/>
      </w:numPr>
      <w:spacing w:after="240" w:line="240" w:lineRule="auto"/>
      <w:jc w:val="both"/>
      <w:outlineLvl w:val="4"/>
    </w:pPr>
    <w:rPr>
      <w:rFonts w:ascii="Verdana" w:eastAsia="Times New Roman" w:hAnsi="Verdana" w:cs="Times New Roman"/>
      <w:sz w:val="18"/>
      <w:szCs w:val="18"/>
      <w:lang w:eastAsia="zh-CN"/>
    </w:rPr>
  </w:style>
  <w:style w:type="character" w:customStyle="1" w:styleId="CrossReference">
    <w:name w:val="Cross Reference"/>
    <w:basedOn w:val="DefaultParagraphFont"/>
    <w:qFormat/>
    <w:rsid w:val="00677D83"/>
    <w:rPr>
      <w:b/>
    </w:rPr>
  </w:style>
  <w:style w:type="character" w:customStyle="1" w:styleId="Level2Char">
    <w:name w:val="Level 2 Char"/>
    <w:link w:val="Level2"/>
    <w:rsid w:val="00677D83"/>
    <w:rPr>
      <w:rFonts w:ascii="Verdana" w:eastAsia="Times New Roman" w:hAnsi="Verdana" w:cs="Times New Roman"/>
      <w:sz w:val="18"/>
      <w:szCs w:val="18"/>
      <w:lang w:eastAsia="zh-CN"/>
    </w:rPr>
  </w:style>
  <w:style w:type="character" w:customStyle="1" w:styleId="Level3Char">
    <w:name w:val="Level 3 Char"/>
    <w:link w:val="Level3"/>
    <w:rsid w:val="00677D83"/>
    <w:rPr>
      <w:rFonts w:ascii="Verdana" w:eastAsia="Times New Roman" w:hAnsi="Verdana" w:cs="Times New Roman"/>
      <w:sz w:val="18"/>
      <w:szCs w:val="18"/>
      <w:lang w:eastAsia="zh-CN"/>
    </w:rPr>
  </w:style>
  <w:style w:type="numbering" w:customStyle="1" w:styleId="LFO32">
    <w:name w:val="LFO32"/>
    <w:basedOn w:val="NoList"/>
    <w:rsid w:val="00677D83"/>
    <w:pPr>
      <w:numPr>
        <w:numId w:val="18"/>
      </w:numPr>
    </w:pPr>
  </w:style>
  <w:style w:type="character" w:customStyle="1" w:styleId="Level1asHeadingtext">
    <w:name w:val="Level 1 as Heading (text)"/>
    <w:basedOn w:val="DefaultParagraphFont"/>
    <w:rsid w:val="00677D83"/>
    <w:rPr>
      <w:b/>
    </w:rPr>
  </w:style>
  <w:style w:type="character" w:customStyle="1" w:styleId="Level1Char">
    <w:name w:val="Level 1 Char"/>
    <w:basedOn w:val="DefaultParagraphFont"/>
    <w:link w:val="Level1"/>
    <w:locked/>
    <w:rsid w:val="00677D83"/>
    <w:rPr>
      <w:rFonts w:ascii="Verdana" w:eastAsia="Times New Roman" w:hAnsi="Verdana" w:cs="Times New Roman"/>
      <w:sz w:val="18"/>
      <w:szCs w:val="18"/>
      <w:lang w:eastAsia="zh-CN"/>
    </w:rPr>
  </w:style>
  <w:style w:type="paragraph" w:customStyle="1" w:styleId="FWBCont2">
    <w:name w:val="FWB Cont 2"/>
    <w:basedOn w:val="Normal"/>
    <w:rsid w:val="00677D83"/>
    <w:pPr>
      <w:spacing w:after="240" w:line="240" w:lineRule="auto"/>
      <w:jc w:val="both"/>
    </w:pPr>
    <w:rPr>
      <w:rFonts w:ascii="Times New Roman" w:eastAsia="Times New Roman" w:hAnsi="Times New Roman" w:cs="Times New Roman"/>
      <w:sz w:val="24"/>
      <w:szCs w:val="24"/>
      <w:lang w:eastAsia="zh-CN"/>
    </w:rPr>
  </w:style>
  <w:style w:type="paragraph" w:customStyle="1" w:styleId="Body">
    <w:name w:val="Body"/>
    <w:basedOn w:val="Normal"/>
    <w:rsid w:val="00677D83"/>
    <w:pPr>
      <w:tabs>
        <w:tab w:val="left" w:pos="1843"/>
        <w:tab w:val="left" w:pos="3119"/>
        <w:tab w:val="left" w:pos="4253"/>
      </w:tabs>
      <w:suppressAutoHyphens/>
      <w:autoSpaceDN w:val="0"/>
      <w:spacing w:after="240" w:line="240" w:lineRule="auto"/>
      <w:jc w:val="both"/>
      <w:textAlignment w:val="baseline"/>
    </w:pPr>
    <w:rPr>
      <w:rFonts w:ascii="Verdana" w:eastAsia="Times New Roman" w:hAnsi="Verdana" w:cs="Times New Roman"/>
      <w:sz w:val="18"/>
      <w:szCs w:val="18"/>
      <w:lang w:eastAsia="zh-CN"/>
    </w:rPr>
  </w:style>
  <w:style w:type="paragraph" w:customStyle="1" w:styleId="iDefinition">
    <w:name w:val="(i) Definition"/>
    <w:basedOn w:val="Body"/>
    <w:rsid w:val="00677D83"/>
    <w:pPr>
      <w:tabs>
        <w:tab w:val="clear" w:pos="3119"/>
        <w:tab w:val="clear" w:pos="4253"/>
      </w:tabs>
    </w:pPr>
  </w:style>
  <w:style w:type="paragraph" w:customStyle="1" w:styleId="iBankingDefinition">
    <w:name w:val="(i) Banking Definition"/>
    <w:basedOn w:val="Normal"/>
    <w:rsid w:val="00677D83"/>
    <w:pPr>
      <w:numPr>
        <w:numId w:val="7"/>
      </w:numPr>
      <w:suppressAutoHyphens/>
      <w:autoSpaceDN w:val="0"/>
      <w:spacing w:after="240" w:line="240" w:lineRule="auto"/>
      <w:jc w:val="both"/>
      <w:textAlignment w:val="baseline"/>
    </w:pPr>
    <w:rPr>
      <w:rFonts w:ascii="Verdana" w:eastAsia="Times New Roman" w:hAnsi="Verdana" w:cs="Times New Roman"/>
      <w:sz w:val="18"/>
      <w:szCs w:val="18"/>
      <w:lang w:eastAsia="zh-CN"/>
    </w:rPr>
  </w:style>
  <w:style w:type="paragraph" w:customStyle="1" w:styleId="abcdDefinition">
    <w:name w:val="(a) (b) (c) (d) Definition"/>
    <w:basedOn w:val="Normal"/>
    <w:rsid w:val="00677D83"/>
    <w:pPr>
      <w:numPr>
        <w:numId w:val="8"/>
      </w:numPr>
      <w:tabs>
        <w:tab w:val="left" w:pos="0"/>
      </w:tabs>
      <w:suppressAutoHyphens/>
      <w:autoSpaceDN w:val="0"/>
      <w:spacing w:after="240" w:line="240" w:lineRule="auto"/>
      <w:jc w:val="both"/>
      <w:textAlignment w:val="baseline"/>
    </w:pPr>
    <w:rPr>
      <w:rFonts w:ascii="Verdana" w:eastAsia="Times New Roman" w:hAnsi="Verdana" w:cs="Times New Roman"/>
      <w:sz w:val="18"/>
      <w:szCs w:val="18"/>
      <w:lang w:eastAsia="zh-CN"/>
    </w:rPr>
  </w:style>
  <w:style w:type="numbering" w:customStyle="1" w:styleId="LFO36">
    <w:name w:val="LFO36"/>
    <w:basedOn w:val="NoList"/>
    <w:rsid w:val="00677D83"/>
    <w:pPr>
      <w:numPr>
        <w:numId w:val="6"/>
      </w:numPr>
    </w:pPr>
  </w:style>
  <w:style w:type="numbering" w:customStyle="1" w:styleId="LFO361">
    <w:name w:val="LFO36_1"/>
    <w:basedOn w:val="NoList"/>
    <w:rsid w:val="00677D83"/>
    <w:pPr>
      <w:numPr>
        <w:numId w:val="7"/>
      </w:numPr>
    </w:pPr>
  </w:style>
  <w:style w:type="numbering" w:customStyle="1" w:styleId="LFO471">
    <w:name w:val="LFO47_1"/>
    <w:basedOn w:val="NoList"/>
    <w:rsid w:val="00677D83"/>
    <w:pPr>
      <w:numPr>
        <w:numId w:val="8"/>
      </w:numPr>
    </w:pPr>
  </w:style>
  <w:style w:type="paragraph" w:customStyle="1" w:styleId="Definition">
    <w:name w:val="Definition"/>
    <w:basedOn w:val="Normal"/>
    <w:rsid w:val="00677D83"/>
    <w:pPr>
      <w:suppressAutoHyphens/>
      <w:autoSpaceDN w:val="0"/>
      <w:spacing w:after="0" w:line="240" w:lineRule="auto"/>
      <w:ind w:left="4111" w:hanging="3402"/>
      <w:jc w:val="both"/>
      <w:textAlignment w:val="baseline"/>
    </w:pPr>
    <w:rPr>
      <w:rFonts w:ascii="Verdana" w:eastAsia="Times New Roman" w:hAnsi="Verdana"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418470">
      <w:bodyDiv w:val="1"/>
      <w:marLeft w:val="0"/>
      <w:marRight w:val="0"/>
      <w:marTop w:val="0"/>
      <w:marBottom w:val="0"/>
      <w:divBdr>
        <w:top w:val="none" w:sz="0" w:space="0" w:color="auto"/>
        <w:left w:val="none" w:sz="0" w:space="0" w:color="auto"/>
        <w:bottom w:val="none" w:sz="0" w:space="0" w:color="auto"/>
        <w:right w:val="none" w:sz="0" w:space="0" w:color="auto"/>
      </w:divBdr>
    </w:div>
    <w:div w:id="1093546429">
      <w:bodyDiv w:val="1"/>
      <w:marLeft w:val="0"/>
      <w:marRight w:val="0"/>
      <w:marTop w:val="0"/>
      <w:marBottom w:val="0"/>
      <w:divBdr>
        <w:top w:val="none" w:sz="0" w:space="0" w:color="auto"/>
        <w:left w:val="none" w:sz="0" w:space="0" w:color="auto"/>
        <w:bottom w:val="none" w:sz="0" w:space="0" w:color="auto"/>
        <w:right w:val="none" w:sz="0" w:space="0" w:color="auto"/>
      </w:divBdr>
    </w:div>
    <w:div w:id="1549298892">
      <w:bodyDiv w:val="1"/>
      <w:marLeft w:val="0"/>
      <w:marRight w:val="0"/>
      <w:marTop w:val="0"/>
      <w:marBottom w:val="0"/>
      <w:divBdr>
        <w:top w:val="none" w:sz="0" w:space="0" w:color="auto"/>
        <w:left w:val="none" w:sz="0" w:space="0" w:color="auto"/>
        <w:bottom w:val="none" w:sz="0" w:space="0" w:color="auto"/>
        <w:right w:val="none" w:sz="0" w:space="0" w:color="auto"/>
      </w:divBdr>
    </w:div>
    <w:div w:id="1589534181">
      <w:bodyDiv w:val="1"/>
      <w:marLeft w:val="0"/>
      <w:marRight w:val="0"/>
      <w:marTop w:val="0"/>
      <w:marBottom w:val="0"/>
      <w:divBdr>
        <w:top w:val="none" w:sz="0" w:space="0" w:color="auto"/>
        <w:left w:val="none" w:sz="0" w:space="0" w:color="auto"/>
        <w:bottom w:val="none" w:sz="0" w:space="0" w:color="auto"/>
        <w:right w:val="none" w:sz="0" w:space="0" w:color="auto"/>
      </w:divBdr>
    </w:div>
    <w:div w:id="174024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PP Corporate">
      <a:dk1>
        <a:srgbClr val="183850"/>
      </a:dk1>
      <a:lt1>
        <a:sysClr val="window" lastClr="FFFFFF"/>
      </a:lt1>
      <a:dk2>
        <a:srgbClr val="54BBAB"/>
      </a:dk2>
      <a:lt2>
        <a:srgbClr val="F0F2F2"/>
      </a:lt2>
      <a:accent1>
        <a:srgbClr val="82CFF4"/>
      </a:accent1>
      <a:accent2>
        <a:srgbClr val="1C8E9D"/>
      </a:accent2>
      <a:accent3>
        <a:srgbClr val="FFFFFF"/>
      </a:accent3>
      <a:accent4>
        <a:srgbClr val="FFFFFF"/>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D672C-7757-42B0-887E-DB04FA531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B5806307</Template>
  <TotalTime>2</TotalTime>
  <Pages>8</Pages>
  <Words>2596</Words>
  <Characters>14801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LPP I</Company>
  <LinksUpToDate>false</LinksUpToDate>
  <CharactersWithSpaces>17363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LPP I</dc:creator>
  <cp:lastModifiedBy>Stuart Brown</cp:lastModifiedBy>
  <cp:revision>3</cp:revision>
  <dcterms:created xsi:type="dcterms:W3CDTF">2018-07-02T14:52:00Z</dcterms:created>
  <dcterms:modified xsi:type="dcterms:W3CDTF">2018-07-06T09:20:00Z</dcterms:modified>
</cp:coreProperties>
</file>