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0EE6" w14:textId="77777777" w:rsidR="000C2B32" w:rsidRDefault="000C2B32">
      <w:pPr>
        <w:jc w:val="center"/>
        <w:rPr>
          <w:rFonts w:ascii="Calibri" w:hAnsi="Calibri" w:cs="Calibri"/>
          <w:b/>
          <w:sz w:val="22"/>
          <w:szCs w:val="22"/>
        </w:rPr>
      </w:pPr>
      <w:bookmarkStart w:id="0" w:name="_Toc506726719"/>
    </w:p>
    <w:p w14:paraId="2C7A6BAB" w14:textId="77777777" w:rsidR="005A5E87" w:rsidRPr="005A5E87" w:rsidRDefault="005A5E87" w:rsidP="005A5E87">
      <w:pPr>
        <w:spacing w:after="240"/>
        <w:jc w:val="center"/>
        <w:rPr>
          <w:rFonts w:eastAsia="Calibri" w:cs="Arial"/>
          <w:sz w:val="22"/>
        </w:rPr>
      </w:pPr>
    </w:p>
    <w:p w14:paraId="6F8137FD" w14:textId="77777777" w:rsidR="005A5E87" w:rsidRPr="005A5E87" w:rsidRDefault="005A5E87" w:rsidP="005A5E87">
      <w:pPr>
        <w:spacing w:after="240"/>
        <w:rPr>
          <w:rFonts w:eastAsia="Calibri" w:cs="Arial"/>
          <w:sz w:val="22"/>
        </w:rPr>
      </w:pPr>
    </w:p>
    <w:p w14:paraId="4B4DDFF1" w14:textId="77777777" w:rsidR="00074694" w:rsidRPr="00074694" w:rsidRDefault="00074694" w:rsidP="00074694">
      <w:pPr>
        <w:spacing w:after="240"/>
        <w:jc w:val="center"/>
        <w:rPr>
          <w:rFonts w:eastAsia="Calibri" w:cs="Arial"/>
          <w:b/>
          <w:sz w:val="36"/>
          <w:szCs w:val="36"/>
        </w:rPr>
      </w:pPr>
      <w:r w:rsidRPr="00074694">
        <w:rPr>
          <w:rFonts w:eastAsia="Calibri" w:cs="Arial"/>
          <w:b/>
          <w:sz w:val="36"/>
          <w:szCs w:val="36"/>
        </w:rPr>
        <w:t>THE ROYAL BOROUGH OF KENSINGTON AND CHELSEA</w:t>
      </w:r>
    </w:p>
    <w:p w14:paraId="05950449" w14:textId="77777777" w:rsidR="00074694" w:rsidRPr="00074694" w:rsidRDefault="00074694" w:rsidP="00074694">
      <w:pPr>
        <w:spacing w:after="240"/>
        <w:jc w:val="center"/>
        <w:rPr>
          <w:rFonts w:eastAsia="Calibri" w:cs="Arial"/>
          <w:b/>
          <w:sz w:val="36"/>
          <w:szCs w:val="36"/>
        </w:rPr>
      </w:pPr>
    </w:p>
    <w:p w14:paraId="40D20EEE" w14:textId="77777777" w:rsidR="005A5E87" w:rsidRPr="00074694" w:rsidRDefault="00074694" w:rsidP="00074694">
      <w:pPr>
        <w:spacing w:after="240"/>
        <w:jc w:val="center"/>
        <w:rPr>
          <w:rFonts w:eastAsia="Calibri" w:cs="Arial"/>
          <w:b/>
          <w:sz w:val="36"/>
          <w:szCs w:val="36"/>
        </w:rPr>
      </w:pPr>
      <w:r w:rsidRPr="00074694">
        <w:rPr>
          <w:rFonts w:eastAsia="Calibri" w:cs="Arial"/>
          <w:b/>
          <w:sz w:val="36"/>
          <w:szCs w:val="36"/>
        </w:rPr>
        <w:t>INSTRUCTIONS TO TENDER</w:t>
      </w:r>
    </w:p>
    <w:p w14:paraId="559392F5" w14:textId="77777777" w:rsidR="00074694" w:rsidRDefault="00074694" w:rsidP="00074694">
      <w:pPr>
        <w:spacing w:after="240"/>
        <w:jc w:val="center"/>
        <w:rPr>
          <w:rFonts w:eastAsia="Calibri" w:cs="Arial"/>
          <w:color w:val="002060"/>
          <w:sz w:val="22"/>
        </w:rPr>
      </w:pPr>
    </w:p>
    <w:p w14:paraId="19799A52" w14:textId="77777777" w:rsidR="00074694" w:rsidRPr="005A5E87" w:rsidRDefault="004548C5" w:rsidP="00074694">
      <w:pPr>
        <w:spacing w:after="240"/>
        <w:jc w:val="center"/>
        <w:rPr>
          <w:rFonts w:eastAsia="Calibri" w:cs="Arial"/>
          <w:color w:val="002060"/>
          <w:sz w:val="22"/>
        </w:rPr>
      </w:pPr>
      <w:r>
        <w:rPr>
          <w:rFonts w:eastAsia="Calibri" w:cs="Arial"/>
          <w:color w:val="002060"/>
          <w:sz w:val="40"/>
          <w:szCs w:val="40"/>
        </w:rPr>
        <w:pict w14:anchorId="29AB7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03.5pt;mso-position-horizontal-relative:char;mso-position-vertical-relative:line">
            <v:imagedata r:id="rId12" o:title=""/>
          </v:shape>
        </w:pict>
      </w:r>
    </w:p>
    <w:p w14:paraId="6922030B" w14:textId="77777777" w:rsidR="005A5E87" w:rsidRPr="005A5E87" w:rsidRDefault="005A5E87" w:rsidP="005A5E87">
      <w:pPr>
        <w:spacing w:after="240"/>
        <w:jc w:val="center"/>
        <w:rPr>
          <w:rFonts w:eastAsia="Calibri" w:cs="Arial"/>
          <w:i/>
          <w:color w:val="002060"/>
          <w:sz w:val="22"/>
        </w:rPr>
      </w:pPr>
    </w:p>
    <w:p w14:paraId="58DBB33B" w14:textId="78DC5A5B" w:rsidR="00074694" w:rsidRDefault="00244C8E" w:rsidP="00074694">
      <w:pPr>
        <w:spacing w:after="240"/>
        <w:jc w:val="center"/>
        <w:rPr>
          <w:rFonts w:eastAsia="Calibri" w:cs="Arial"/>
          <w:sz w:val="40"/>
          <w:szCs w:val="40"/>
        </w:rPr>
      </w:pPr>
      <w:r>
        <w:rPr>
          <w:rFonts w:eastAsia="Calibri" w:cs="Arial"/>
          <w:sz w:val="40"/>
          <w:szCs w:val="40"/>
        </w:rPr>
        <w:t xml:space="preserve">Cremorne Estate - </w:t>
      </w:r>
      <w:r w:rsidR="00436676">
        <w:rPr>
          <w:rFonts w:eastAsia="Calibri" w:cs="Arial"/>
          <w:sz w:val="40"/>
          <w:szCs w:val="40"/>
        </w:rPr>
        <w:t xml:space="preserve">Heating </w:t>
      </w:r>
      <w:r w:rsidR="004053B7">
        <w:rPr>
          <w:rFonts w:eastAsia="Calibri" w:cs="Arial"/>
          <w:sz w:val="40"/>
          <w:szCs w:val="40"/>
        </w:rPr>
        <w:t xml:space="preserve">and </w:t>
      </w:r>
      <w:r w:rsidR="0003329D">
        <w:rPr>
          <w:rFonts w:eastAsia="Calibri" w:cs="Arial"/>
          <w:sz w:val="40"/>
          <w:szCs w:val="40"/>
        </w:rPr>
        <w:t>Do</w:t>
      </w:r>
      <w:r w:rsidR="00780CC5">
        <w:rPr>
          <w:rFonts w:eastAsia="Calibri" w:cs="Arial"/>
          <w:sz w:val="40"/>
          <w:szCs w:val="40"/>
        </w:rPr>
        <w:t>mestic hot and cold w</w:t>
      </w:r>
      <w:r w:rsidR="004053B7">
        <w:rPr>
          <w:rFonts w:eastAsia="Calibri" w:cs="Arial"/>
          <w:sz w:val="40"/>
          <w:szCs w:val="40"/>
        </w:rPr>
        <w:t>ater</w:t>
      </w:r>
      <w:r w:rsidR="006E2A66">
        <w:rPr>
          <w:rFonts w:eastAsia="Calibri" w:cs="Arial"/>
          <w:sz w:val="40"/>
          <w:szCs w:val="40"/>
        </w:rPr>
        <w:t>, central plant services distribution</w:t>
      </w:r>
      <w:r w:rsidR="00436676">
        <w:rPr>
          <w:rFonts w:eastAsia="Calibri" w:cs="Arial"/>
          <w:sz w:val="40"/>
          <w:szCs w:val="40"/>
        </w:rPr>
        <w:t xml:space="preserve"> Replacement</w:t>
      </w:r>
      <w:r w:rsidR="00074694">
        <w:rPr>
          <w:rFonts w:eastAsia="Calibri" w:cs="Arial"/>
          <w:sz w:val="40"/>
          <w:szCs w:val="40"/>
        </w:rPr>
        <w:t xml:space="preserve"> </w:t>
      </w:r>
      <w:r w:rsidR="006E2A66">
        <w:rPr>
          <w:rFonts w:eastAsia="Calibri" w:cs="Arial"/>
          <w:sz w:val="40"/>
          <w:szCs w:val="40"/>
        </w:rPr>
        <w:t>Scheme</w:t>
      </w:r>
      <w:r w:rsidR="00074694" w:rsidRPr="00074694">
        <w:rPr>
          <w:rFonts w:eastAsia="Calibri" w:cs="Arial"/>
          <w:sz w:val="40"/>
          <w:szCs w:val="40"/>
        </w:rPr>
        <w:t>.</w:t>
      </w:r>
    </w:p>
    <w:p w14:paraId="7577CA69" w14:textId="4524DA88" w:rsidR="006E2A66" w:rsidRPr="00074694" w:rsidRDefault="006E2A66" w:rsidP="00074694">
      <w:pPr>
        <w:spacing w:after="240"/>
        <w:jc w:val="center"/>
        <w:rPr>
          <w:rFonts w:eastAsia="Calibri" w:cs="Arial"/>
          <w:sz w:val="40"/>
          <w:szCs w:val="40"/>
        </w:rPr>
      </w:pPr>
      <w:r>
        <w:rPr>
          <w:rFonts w:eastAsia="Calibri" w:cs="Arial"/>
          <w:sz w:val="40"/>
          <w:szCs w:val="40"/>
        </w:rPr>
        <w:t>External of dwellings phase 1a and 1b.</w:t>
      </w:r>
    </w:p>
    <w:p w14:paraId="7F77D065" w14:textId="77777777" w:rsidR="00074694" w:rsidRPr="00074694" w:rsidRDefault="00074694" w:rsidP="00074694">
      <w:pPr>
        <w:spacing w:after="240"/>
        <w:jc w:val="center"/>
        <w:rPr>
          <w:rFonts w:eastAsia="Calibri" w:cs="Arial"/>
          <w:sz w:val="40"/>
          <w:szCs w:val="40"/>
        </w:rPr>
      </w:pPr>
    </w:p>
    <w:p w14:paraId="3282BD76" w14:textId="73DC1126" w:rsidR="001B3B95" w:rsidRPr="00E141C4" w:rsidRDefault="00074694" w:rsidP="00074694">
      <w:pPr>
        <w:jc w:val="center"/>
        <w:rPr>
          <w:rFonts w:eastAsia="Arial" w:cs="Arial"/>
          <w:sz w:val="40"/>
          <w:szCs w:val="40"/>
          <w:lang w:val="en-US"/>
        </w:rPr>
      </w:pPr>
      <w:r w:rsidRPr="00340228">
        <w:rPr>
          <w:rFonts w:eastAsia="Arial" w:cs="Arial"/>
          <w:sz w:val="40"/>
          <w:szCs w:val="40"/>
          <w:lang w:val="en-US"/>
        </w:rPr>
        <w:t xml:space="preserve">Tender </w:t>
      </w:r>
      <w:r w:rsidRPr="00E141C4">
        <w:rPr>
          <w:rFonts w:eastAsia="Arial" w:cs="Arial"/>
          <w:sz w:val="40"/>
          <w:szCs w:val="40"/>
          <w:lang w:val="en-US"/>
        </w:rPr>
        <w:t xml:space="preserve">return deadline: 12 noon </w:t>
      </w:r>
      <w:r w:rsidR="00340228" w:rsidRPr="00E141C4">
        <w:rPr>
          <w:rFonts w:eastAsia="Arial" w:cs="Arial"/>
          <w:sz w:val="40"/>
          <w:szCs w:val="40"/>
          <w:lang w:val="en-US"/>
        </w:rPr>
        <w:t xml:space="preserve">on </w:t>
      </w:r>
      <w:r w:rsidR="00E141C4" w:rsidRPr="00E141C4">
        <w:rPr>
          <w:rFonts w:eastAsia="Arial" w:cs="Arial"/>
          <w:sz w:val="40"/>
          <w:szCs w:val="40"/>
          <w:lang w:val="en-US"/>
        </w:rPr>
        <w:t>Fri</w:t>
      </w:r>
      <w:r w:rsidR="001B3B95" w:rsidRPr="00E141C4">
        <w:rPr>
          <w:rFonts w:eastAsia="Arial" w:cs="Arial"/>
          <w:sz w:val="40"/>
          <w:szCs w:val="40"/>
          <w:lang w:val="en-US"/>
        </w:rPr>
        <w:t>day</w:t>
      </w:r>
      <w:r w:rsidR="00340228" w:rsidRPr="00E141C4">
        <w:rPr>
          <w:rFonts w:eastAsia="Arial" w:cs="Arial"/>
          <w:sz w:val="40"/>
          <w:szCs w:val="40"/>
          <w:lang w:val="en-US"/>
        </w:rPr>
        <w:t xml:space="preserve">, </w:t>
      </w:r>
    </w:p>
    <w:p w14:paraId="5CAB1AA0" w14:textId="7138C591" w:rsidR="00074694" w:rsidRPr="00074694" w:rsidRDefault="00436676" w:rsidP="00074694">
      <w:pPr>
        <w:jc w:val="center"/>
        <w:rPr>
          <w:rFonts w:eastAsia="Arial" w:cs="Arial"/>
          <w:sz w:val="40"/>
          <w:szCs w:val="40"/>
          <w:lang w:val="en-US"/>
        </w:rPr>
      </w:pPr>
      <w:r w:rsidRPr="00E141C4">
        <w:rPr>
          <w:rFonts w:eastAsia="Arial" w:cs="Arial"/>
          <w:sz w:val="40"/>
          <w:szCs w:val="40"/>
          <w:lang w:val="en-US"/>
        </w:rPr>
        <w:t>1</w:t>
      </w:r>
      <w:r w:rsidR="006126DE" w:rsidRPr="00E141C4">
        <w:rPr>
          <w:rFonts w:eastAsia="Arial" w:cs="Arial"/>
          <w:sz w:val="40"/>
          <w:szCs w:val="40"/>
          <w:lang w:val="en-US"/>
        </w:rPr>
        <w:t>4</w:t>
      </w:r>
      <w:r w:rsidR="00914FA1" w:rsidRPr="00E141C4">
        <w:rPr>
          <w:rFonts w:eastAsia="Arial" w:cs="Arial"/>
          <w:sz w:val="40"/>
          <w:szCs w:val="40"/>
          <w:lang w:val="en-US"/>
        </w:rPr>
        <w:t xml:space="preserve"> </w:t>
      </w:r>
      <w:r w:rsidR="00E141C4" w:rsidRPr="00E141C4">
        <w:rPr>
          <w:rFonts w:eastAsia="Arial" w:cs="Arial"/>
          <w:sz w:val="40"/>
          <w:szCs w:val="40"/>
          <w:lang w:val="en-US"/>
        </w:rPr>
        <w:t>Jan</w:t>
      </w:r>
      <w:r w:rsidRPr="00E141C4">
        <w:rPr>
          <w:rFonts w:eastAsia="Arial" w:cs="Arial"/>
          <w:sz w:val="40"/>
          <w:szCs w:val="40"/>
          <w:lang w:val="en-US"/>
        </w:rPr>
        <w:t>uary</w:t>
      </w:r>
      <w:r w:rsidR="001B3B95" w:rsidRPr="00E141C4">
        <w:rPr>
          <w:rFonts w:eastAsia="Arial" w:cs="Arial"/>
          <w:sz w:val="40"/>
          <w:szCs w:val="40"/>
          <w:lang w:val="en-US"/>
        </w:rPr>
        <w:t xml:space="preserve"> 202</w:t>
      </w:r>
      <w:r w:rsidR="00E141C4" w:rsidRPr="00E141C4">
        <w:rPr>
          <w:rFonts w:eastAsia="Arial" w:cs="Arial"/>
          <w:sz w:val="40"/>
          <w:szCs w:val="40"/>
          <w:lang w:val="en-US"/>
        </w:rPr>
        <w:t>2</w:t>
      </w:r>
    </w:p>
    <w:p w14:paraId="2B296642" w14:textId="77777777" w:rsidR="00074694" w:rsidRPr="00074694" w:rsidRDefault="00074694" w:rsidP="00074694">
      <w:pPr>
        <w:jc w:val="left"/>
        <w:rPr>
          <w:rFonts w:eastAsia="Arial" w:cs="Arial"/>
          <w:sz w:val="32"/>
          <w:szCs w:val="32"/>
        </w:rPr>
      </w:pPr>
      <w:r w:rsidRPr="00074694">
        <w:rPr>
          <w:rFonts w:eastAsia="Arial" w:cs="Arial"/>
          <w:sz w:val="32"/>
          <w:szCs w:val="32"/>
        </w:rPr>
        <w:t xml:space="preserve"> </w:t>
      </w:r>
    </w:p>
    <w:p w14:paraId="6E44CEA9" w14:textId="77777777" w:rsidR="00074694" w:rsidRPr="00074694" w:rsidRDefault="00074694" w:rsidP="00074694">
      <w:pPr>
        <w:jc w:val="center"/>
        <w:rPr>
          <w:rFonts w:eastAsia="Arial" w:cs="Arial"/>
          <w:sz w:val="32"/>
          <w:szCs w:val="32"/>
        </w:rPr>
      </w:pPr>
    </w:p>
    <w:p w14:paraId="60B91DAE" w14:textId="77777777" w:rsidR="00074694" w:rsidRPr="00074694" w:rsidRDefault="00074694" w:rsidP="00074694">
      <w:pPr>
        <w:jc w:val="left"/>
        <w:rPr>
          <w:rFonts w:eastAsia="Arial" w:cs="Arial"/>
          <w:b/>
          <w:szCs w:val="24"/>
        </w:rPr>
      </w:pPr>
    </w:p>
    <w:p w14:paraId="38B498D1" w14:textId="7B2EBA41" w:rsidR="00074694" w:rsidRPr="00074694" w:rsidRDefault="00074694" w:rsidP="00074694">
      <w:pPr>
        <w:jc w:val="center"/>
        <w:rPr>
          <w:rFonts w:eastAsia="Arial" w:cs="Arial"/>
          <w:b/>
          <w:szCs w:val="24"/>
        </w:rPr>
      </w:pPr>
      <w:r w:rsidRPr="0046301C">
        <w:rPr>
          <w:rFonts w:eastAsia="Arial" w:cs="Arial"/>
          <w:b/>
          <w:sz w:val="36"/>
          <w:szCs w:val="36"/>
          <w:u w:val="single"/>
        </w:rPr>
        <w:t>RBKC-</w:t>
      </w:r>
      <w:r w:rsidRPr="00F64A02">
        <w:rPr>
          <w:rFonts w:eastAsia="Arial" w:cs="Arial"/>
          <w:b/>
          <w:sz w:val="36"/>
          <w:szCs w:val="36"/>
          <w:u w:val="single"/>
        </w:rPr>
        <w:t>HM/</w:t>
      </w:r>
      <w:r w:rsidR="0046301C" w:rsidRPr="00F64A02">
        <w:rPr>
          <w:rFonts w:eastAsia="Arial" w:cs="Arial"/>
          <w:b/>
          <w:sz w:val="36"/>
          <w:szCs w:val="36"/>
          <w:u w:val="single"/>
        </w:rPr>
        <w:t>202</w:t>
      </w:r>
      <w:r w:rsidR="004053B7" w:rsidRPr="00F64A02">
        <w:rPr>
          <w:rFonts w:eastAsia="Arial" w:cs="Arial"/>
          <w:b/>
          <w:sz w:val="36"/>
          <w:szCs w:val="36"/>
          <w:u w:val="single"/>
        </w:rPr>
        <w:t>1</w:t>
      </w:r>
      <w:r w:rsidR="0046301C" w:rsidRPr="00F64A02">
        <w:rPr>
          <w:rFonts w:eastAsia="Arial" w:cs="Arial"/>
          <w:b/>
          <w:sz w:val="36"/>
          <w:szCs w:val="36"/>
          <w:u w:val="single"/>
        </w:rPr>
        <w:t>/</w:t>
      </w:r>
      <w:r w:rsidRPr="00F64A02">
        <w:rPr>
          <w:rFonts w:eastAsia="Arial" w:cs="Arial"/>
          <w:b/>
          <w:sz w:val="36"/>
          <w:szCs w:val="36"/>
          <w:u w:val="single"/>
        </w:rPr>
        <w:t>0</w:t>
      </w:r>
      <w:r w:rsidR="00F64A02" w:rsidRPr="00F64A02">
        <w:rPr>
          <w:rFonts w:eastAsia="Arial" w:cs="Arial"/>
          <w:b/>
          <w:sz w:val="36"/>
          <w:szCs w:val="36"/>
          <w:u w:val="single"/>
        </w:rPr>
        <w:t>74</w:t>
      </w:r>
    </w:p>
    <w:p w14:paraId="03576664" w14:textId="77777777" w:rsidR="00074694" w:rsidRPr="00074694" w:rsidRDefault="00074694" w:rsidP="00074694">
      <w:pPr>
        <w:jc w:val="center"/>
        <w:rPr>
          <w:rFonts w:eastAsia="Arial" w:cs="Arial"/>
          <w:b/>
          <w:szCs w:val="24"/>
        </w:rPr>
      </w:pPr>
    </w:p>
    <w:p w14:paraId="4AFFC359" w14:textId="77777777" w:rsidR="005A5E87" w:rsidRPr="005A5E87" w:rsidRDefault="005A5E87" w:rsidP="005A5E87">
      <w:pPr>
        <w:spacing w:after="240"/>
        <w:jc w:val="center"/>
        <w:rPr>
          <w:rFonts w:eastAsia="Calibri" w:cs="Arial"/>
          <w:color w:val="002060"/>
          <w:sz w:val="22"/>
        </w:rPr>
      </w:pPr>
    </w:p>
    <w:p w14:paraId="50F60FF0" w14:textId="77777777" w:rsidR="005A5E87" w:rsidRPr="005A5E87" w:rsidRDefault="005A5E87" w:rsidP="005A5E87">
      <w:pPr>
        <w:spacing w:after="240"/>
        <w:jc w:val="center"/>
        <w:rPr>
          <w:rFonts w:eastAsia="Calibri" w:cs="Arial"/>
          <w:color w:val="002060"/>
          <w:sz w:val="40"/>
          <w:szCs w:val="40"/>
        </w:rPr>
      </w:pPr>
    </w:p>
    <w:p w14:paraId="0ACE4587" w14:textId="77777777" w:rsidR="005A5E87" w:rsidRPr="005A5E87" w:rsidRDefault="005A5E87" w:rsidP="005A5E87">
      <w:pPr>
        <w:spacing w:after="240"/>
        <w:jc w:val="center"/>
        <w:rPr>
          <w:rFonts w:eastAsia="Calibri" w:cs="Arial"/>
          <w:color w:val="002060"/>
          <w:sz w:val="40"/>
          <w:szCs w:val="40"/>
        </w:rPr>
      </w:pPr>
    </w:p>
    <w:p w14:paraId="264E0FA1" w14:textId="77777777" w:rsidR="005A5E87" w:rsidRPr="005A5E87" w:rsidRDefault="005A5E87" w:rsidP="005A5E87">
      <w:pPr>
        <w:spacing w:after="240"/>
        <w:jc w:val="center"/>
        <w:rPr>
          <w:rFonts w:eastAsia="Calibri" w:cs="Arial"/>
          <w:color w:val="002060"/>
          <w:sz w:val="40"/>
          <w:szCs w:val="40"/>
        </w:rPr>
      </w:pPr>
    </w:p>
    <w:p w14:paraId="1BBA6730" w14:textId="77777777" w:rsidR="000C2B32" w:rsidRDefault="000C2B32" w:rsidP="0031077F">
      <w:pPr>
        <w:rPr>
          <w:rFonts w:eastAsia="Calibri" w:cs="Arial"/>
          <w:color w:val="002060"/>
          <w:sz w:val="40"/>
          <w:szCs w:val="40"/>
        </w:rPr>
      </w:pPr>
    </w:p>
    <w:p w14:paraId="59154BCA" w14:textId="77777777" w:rsidR="0031077F" w:rsidRPr="005A5E87" w:rsidRDefault="0031077F" w:rsidP="0031077F">
      <w:pPr>
        <w:rPr>
          <w:rFonts w:ascii="Calibri" w:hAnsi="Calibri"/>
          <w:b/>
          <w:sz w:val="22"/>
        </w:rPr>
      </w:pPr>
    </w:p>
    <w:p w14:paraId="21097CC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4054D9E" w14:textId="77777777" w:rsidR="005C0613" w:rsidRPr="005A5E87" w:rsidRDefault="005C0613">
      <w:pPr>
        <w:pStyle w:val="NORMAL1"/>
        <w:spacing w:before="0" w:after="0"/>
        <w:ind w:firstLine="720"/>
        <w:rPr>
          <w:rFonts w:ascii="Calibri" w:hAnsi="Calibri"/>
          <w:sz w:val="22"/>
        </w:rPr>
      </w:pPr>
    </w:p>
    <w:p w14:paraId="5A7F6004" w14:textId="77777777" w:rsidR="009A0E84" w:rsidRPr="00D81168" w:rsidRDefault="00752ADF" w:rsidP="00781C55">
      <w:pPr>
        <w:pStyle w:val="TOC1"/>
        <w:rPr>
          <w:noProof/>
        </w:rPr>
      </w:pPr>
      <w:r w:rsidRPr="00D81168">
        <w:fldChar w:fldCharType="begin"/>
      </w:r>
      <w:r w:rsidR="005C0613" w:rsidRPr="00D81168">
        <w:instrText xml:space="preserve"> TOC \t "A1,1" </w:instrText>
      </w:r>
      <w:r w:rsidRPr="00D81168">
        <w:fldChar w:fldCharType="separate"/>
      </w:r>
      <w:r w:rsidR="009A0E84" w:rsidRPr="00D81168">
        <w:rPr>
          <w:noProof/>
        </w:rPr>
        <w:t>1.</w:t>
      </w:r>
      <w:r w:rsidR="009A0E84" w:rsidRPr="00D81168">
        <w:rPr>
          <w:noProof/>
        </w:rPr>
        <w:tab/>
        <w:t>Introduction</w:t>
      </w:r>
      <w:r w:rsidR="009A0E84" w:rsidRPr="00D81168">
        <w:rPr>
          <w:noProof/>
        </w:rPr>
        <w:tab/>
      </w:r>
      <w:r w:rsidRPr="00D81168">
        <w:rPr>
          <w:noProof/>
        </w:rPr>
        <w:fldChar w:fldCharType="begin"/>
      </w:r>
      <w:r w:rsidR="009A0E84" w:rsidRPr="00D81168">
        <w:rPr>
          <w:noProof/>
        </w:rPr>
        <w:instrText xml:space="preserve"> PAGEREF _Toc394843643 \h </w:instrText>
      </w:r>
      <w:r w:rsidRPr="00D81168">
        <w:rPr>
          <w:noProof/>
        </w:rPr>
      </w:r>
      <w:r w:rsidRPr="00D81168">
        <w:rPr>
          <w:noProof/>
        </w:rPr>
        <w:fldChar w:fldCharType="separate"/>
      </w:r>
      <w:r w:rsidR="0043554D" w:rsidRPr="00D81168">
        <w:rPr>
          <w:noProof/>
        </w:rPr>
        <w:t>3</w:t>
      </w:r>
      <w:r w:rsidRPr="00D81168">
        <w:rPr>
          <w:noProof/>
        </w:rPr>
        <w:fldChar w:fldCharType="end"/>
      </w:r>
    </w:p>
    <w:p w14:paraId="63936D71" w14:textId="77777777" w:rsidR="009A0E84" w:rsidRPr="00D81168" w:rsidRDefault="009A0E84" w:rsidP="00781C55">
      <w:pPr>
        <w:pStyle w:val="TOC1"/>
        <w:rPr>
          <w:noProof/>
        </w:rPr>
      </w:pPr>
      <w:r w:rsidRPr="00D81168">
        <w:rPr>
          <w:noProof/>
        </w:rPr>
        <w:t>2.</w:t>
      </w:r>
      <w:r w:rsidRPr="00D81168">
        <w:rPr>
          <w:noProof/>
        </w:rPr>
        <w:tab/>
      </w:r>
      <w:r w:rsidR="00D81168">
        <w:rPr>
          <w:noProof/>
        </w:rPr>
        <w:t>INSTRUCTIONS</w:t>
      </w:r>
      <w:r w:rsidRPr="00D81168">
        <w:rPr>
          <w:noProof/>
        </w:rPr>
        <w:tab/>
      </w:r>
      <w:r w:rsidR="00752ADF" w:rsidRPr="00D81168">
        <w:rPr>
          <w:noProof/>
        </w:rPr>
        <w:fldChar w:fldCharType="begin"/>
      </w:r>
      <w:r w:rsidRPr="00D81168">
        <w:rPr>
          <w:noProof/>
        </w:rPr>
        <w:instrText xml:space="preserve"> PAGEREF _Toc394843644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29DA68C9" w14:textId="77777777" w:rsidR="009A0E84" w:rsidRPr="00D81168" w:rsidRDefault="009A0E84" w:rsidP="00781C55">
      <w:pPr>
        <w:pStyle w:val="TOC1"/>
        <w:rPr>
          <w:noProof/>
        </w:rPr>
      </w:pPr>
      <w:r w:rsidRPr="00D81168">
        <w:rPr>
          <w:noProof/>
        </w:rPr>
        <w:t>3.</w:t>
      </w:r>
      <w:r w:rsidRPr="00D81168">
        <w:rPr>
          <w:noProof/>
        </w:rPr>
        <w:tab/>
      </w:r>
      <w:r w:rsidR="00781C55">
        <w:rPr>
          <w:noProof/>
        </w:rPr>
        <w:t>BACKGROUND</w:t>
      </w:r>
      <w:r w:rsidRPr="00D81168">
        <w:rPr>
          <w:noProof/>
        </w:rPr>
        <w:tab/>
      </w:r>
      <w:r w:rsidR="00752ADF" w:rsidRPr="00D81168">
        <w:rPr>
          <w:noProof/>
        </w:rPr>
        <w:fldChar w:fldCharType="begin"/>
      </w:r>
      <w:r w:rsidRPr="00D81168">
        <w:rPr>
          <w:noProof/>
        </w:rPr>
        <w:instrText xml:space="preserve"> PAGEREF _Toc394843645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3AF2AD9A" w14:textId="77777777" w:rsidR="009A0E84" w:rsidRPr="00D81168" w:rsidRDefault="009A0E84" w:rsidP="00781C55">
      <w:pPr>
        <w:pStyle w:val="TOC1"/>
        <w:rPr>
          <w:noProof/>
        </w:rPr>
      </w:pPr>
      <w:r w:rsidRPr="00D81168">
        <w:rPr>
          <w:noProof/>
        </w:rPr>
        <w:t>4.</w:t>
      </w:r>
      <w:r w:rsidRPr="00D81168">
        <w:rPr>
          <w:noProof/>
        </w:rPr>
        <w:tab/>
      </w:r>
      <w:r w:rsidR="00781C55">
        <w:rPr>
          <w:noProof/>
        </w:rPr>
        <w:t>TENDERING TIMETABLE</w:t>
      </w:r>
      <w:r w:rsidRPr="00D81168">
        <w:rPr>
          <w:noProof/>
        </w:rPr>
        <w:tab/>
      </w:r>
      <w:r w:rsidR="00752ADF" w:rsidRPr="00D81168">
        <w:rPr>
          <w:noProof/>
        </w:rPr>
        <w:fldChar w:fldCharType="begin"/>
      </w:r>
      <w:r w:rsidRPr="00D81168">
        <w:rPr>
          <w:noProof/>
        </w:rPr>
        <w:instrText xml:space="preserve"> PAGEREF _Toc394843646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0AFACAD6" w14:textId="77777777" w:rsidR="009A0E84" w:rsidRPr="00D81168" w:rsidRDefault="009A0E84" w:rsidP="00781C55">
      <w:pPr>
        <w:pStyle w:val="TOC1"/>
        <w:rPr>
          <w:noProof/>
        </w:rPr>
      </w:pPr>
      <w:r w:rsidRPr="00D81168">
        <w:rPr>
          <w:noProof/>
        </w:rPr>
        <w:t>5.</w:t>
      </w:r>
      <w:r w:rsidRPr="00D81168">
        <w:rPr>
          <w:noProof/>
        </w:rPr>
        <w:tab/>
      </w:r>
      <w:r w:rsidR="00781C55">
        <w:rPr>
          <w:noProof/>
        </w:rPr>
        <w:t>RIGHT TO CANCEL OR VARY THE PROCESS</w:t>
      </w:r>
      <w:r w:rsidRPr="00D81168">
        <w:rPr>
          <w:noProof/>
        </w:rPr>
        <w:tab/>
      </w:r>
      <w:r w:rsidR="00FC258B">
        <w:rPr>
          <w:noProof/>
        </w:rPr>
        <w:t>5</w:t>
      </w:r>
    </w:p>
    <w:p w14:paraId="524417B5" w14:textId="77777777" w:rsidR="009A0E84" w:rsidRPr="00D81168" w:rsidRDefault="009A0E84" w:rsidP="00781C55">
      <w:pPr>
        <w:pStyle w:val="TOC1"/>
        <w:rPr>
          <w:noProof/>
        </w:rPr>
      </w:pPr>
      <w:r w:rsidRPr="00D81168">
        <w:rPr>
          <w:noProof/>
        </w:rPr>
        <w:t>6.</w:t>
      </w:r>
      <w:r w:rsidRPr="00D81168">
        <w:rPr>
          <w:noProof/>
        </w:rPr>
        <w:tab/>
      </w:r>
      <w:r w:rsidR="00781C55">
        <w:rPr>
          <w:noProof/>
        </w:rPr>
        <w:t>CONSIDERATIONS PRIOR TO SUBMISSION OF TENDER</w:t>
      </w:r>
      <w:r w:rsidRPr="00D81168">
        <w:rPr>
          <w:noProof/>
        </w:rPr>
        <w:tab/>
      </w:r>
      <w:r w:rsidR="00FC258B">
        <w:rPr>
          <w:noProof/>
        </w:rPr>
        <w:t>5</w:t>
      </w:r>
    </w:p>
    <w:p w14:paraId="194E5BCA" w14:textId="77777777" w:rsidR="009A0E84" w:rsidRPr="00D81168" w:rsidRDefault="009A0E84" w:rsidP="00781C55">
      <w:pPr>
        <w:pStyle w:val="TOC1"/>
        <w:rPr>
          <w:noProof/>
        </w:rPr>
      </w:pPr>
      <w:r w:rsidRPr="00D81168">
        <w:rPr>
          <w:noProof/>
        </w:rPr>
        <w:t>7.</w:t>
      </w:r>
      <w:r w:rsidRPr="00D81168">
        <w:rPr>
          <w:noProof/>
        </w:rPr>
        <w:tab/>
      </w:r>
      <w:r w:rsidR="00781C55">
        <w:rPr>
          <w:noProof/>
        </w:rPr>
        <w:t>RESPONSE ENVELOPES AND THE TENDER</w:t>
      </w:r>
      <w:r w:rsidRPr="00D81168">
        <w:rPr>
          <w:noProof/>
        </w:rPr>
        <w:tab/>
      </w:r>
      <w:r w:rsidR="00FC258B">
        <w:rPr>
          <w:noProof/>
        </w:rPr>
        <w:t>7</w:t>
      </w:r>
    </w:p>
    <w:p w14:paraId="6E241079" w14:textId="77777777" w:rsidR="009A0E84" w:rsidRPr="00D81168" w:rsidRDefault="009A0E84" w:rsidP="00781C55">
      <w:pPr>
        <w:pStyle w:val="TOC1"/>
        <w:rPr>
          <w:noProof/>
        </w:rPr>
      </w:pPr>
      <w:r w:rsidRPr="00D81168">
        <w:rPr>
          <w:noProof/>
        </w:rPr>
        <w:t>8.</w:t>
      </w:r>
      <w:r w:rsidRPr="00D81168">
        <w:rPr>
          <w:noProof/>
        </w:rPr>
        <w:tab/>
      </w:r>
      <w:r w:rsidR="00781C55">
        <w:rPr>
          <w:noProof/>
        </w:rPr>
        <w:t>RETURN OF TENDERS</w:t>
      </w:r>
      <w:r w:rsidRPr="00D81168">
        <w:rPr>
          <w:noProof/>
        </w:rPr>
        <w:tab/>
      </w:r>
      <w:r w:rsidR="00FC258B">
        <w:rPr>
          <w:noProof/>
        </w:rPr>
        <w:t>8</w:t>
      </w:r>
    </w:p>
    <w:p w14:paraId="7898E5B8" w14:textId="77777777" w:rsidR="009A0E84" w:rsidRPr="00D81168" w:rsidRDefault="009A0E84" w:rsidP="00781C55">
      <w:pPr>
        <w:pStyle w:val="TOC1"/>
        <w:rPr>
          <w:noProof/>
        </w:rPr>
      </w:pPr>
      <w:r w:rsidRPr="00D81168">
        <w:rPr>
          <w:noProof/>
        </w:rPr>
        <w:t>9.</w:t>
      </w:r>
      <w:r w:rsidRPr="00D81168">
        <w:rPr>
          <w:noProof/>
        </w:rPr>
        <w:tab/>
      </w:r>
      <w:r w:rsidR="00781C55">
        <w:rPr>
          <w:noProof/>
        </w:rPr>
        <w:t>REJECTION OF TENDERS</w:t>
      </w:r>
      <w:r w:rsidRPr="00D81168">
        <w:rPr>
          <w:noProof/>
        </w:rPr>
        <w:tab/>
      </w:r>
      <w:r w:rsidR="00FC258B">
        <w:rPr>
          <w:noProof/>
        </w:rPr>
        <w:t>9</w:t>
      </w:r>
    </w:p>
    <w:p w14:paraId="1CB1B61D" w14:textId="77777777" w:rsidR="009A0E84" w:rsidRPr="00D81168" w:rsidRDefault="009A0E84" w:rsidP="00781C55">
      <w:pPr>
        <w:pStyle w:val="TOC1"/>
        <w:rPr>
          <w:noProof/>
        </w:rPr>
      </w:pPr>
      <w:r w:rsidRPr="00D81168">
        <w:rPr>
          <w:noProof/>
        </w:rPr>
        <w:t>10.</w:t>
      </w:r>
      <w:r w:rsidRPr="00D81168">
        <w:rPr>
          <w:noProof/>
        </w:rPr>
        <w:tab/>
      </w:r>
      <w:r w:rsidR="00781C55">
        <w:rPr>
          <w:noProof/>
        </w:rPr>
        <w:t>NON CONSIDERATION OF TENDER</w:t>
      </w:r>
      <w:r w:rsidRPr="00D81168">
        <w:rPr>
          <w:noProof/>
        </w:rPr>
        <w:tab/>
      </w:r>
      <w:r w:rsidR="00FC258B">
        <w:rPr>
          <w:noProof/>
        </w:rPr>
        <w:t>10</w:t>
      </w:r>
    </w:p>
    <w:p w14:paraId="68A42A29" w14:textId="77777777" w:rsidR="009A0E84" w:rsidRPr="00D81168" w:rsidRDefault="009A0E84" w:rsidP="00781C55">
      <w:pPr>
        <w:pStyle w:val="TOC1"/>
        <w:rPr>
          <w:noProof/>
        </w:rPr>
      </w:pPr>
      <w:r w:rsidRPr="00D81168">
        <w:rPr>
          <w:noProof/>
        </w:rPr>
        <w:t>11.</w:t>
      </w:r>
      <w:r w:rsidRPr="00D81168">
        <w:rPr>
          <w:noProof/>
        </w:rPr>
        <w:tab/>
      </w:r>
      <w:r w:rsidR="00617CE9">
        <w:rPr>
          <w:noProof/>
        </w:rPr>
        <w:t>TENDER EVALUATION AND AWARD PROCEDURE</w:t>
      </w:r>
      <w:r w:rsidRPr="00D81168">
        <w:rPr>
          <w:noProof/>
        </w:rPr>
        <w:tab/>
      </w:r>
      <w:r w:rsidR="00FC258B">
        <w:rPr>
          <w:noProof/>
        </w:rPr>
        <w:t>10</w:t>
      </w:r>
    </w:p>
    <w:p w14:paraId="7CF24680" w14:textId="77777777" w:rsidR="009A0E84" w:rsidRPr="00D81168" w:rsidRDefault="009A0E84" w:rsidP="00781C55">
      <w:pPr>
        <w:pStyle w:val="TOC1"/>
        <w:rPr>
          <w:noProof/>
        </w:rPr>
      </w:pPr>
      <w:r w:rsidRPr="00D81168">
        <w:rPr>
          <w:noProof/>
        </w:rPr>
        <w:t>12.</w:t>
      </w:r>
      <w:r w:rsidRPr="00D81168">
        <w:rPr>
          <w:noProof/>
        </w:rPr>
        <w:tab/>
      </w:r>
      <w:r w:rsidR="00617CE9">
        <w:rPr>
          <w:noProof/>
        </w:rPr>
        <w:t>ACCEPTANCE OF TENDER</w:t>
      </w:r>
      <w:r w:rsidRPr="00D81168">
        <w:rPr>
          <w:noProof/>
        </w:rPr>
        <w:tab/>
      </w:r>
      <w:r w:rsidR="00FC258B">
        <w:rPr>
          <w:noProof/>
        </w:rPr>
        <w:t>11</w:t>
      </w:r>
    </w:p>
    <w:p w14:paraId="75879402" w14:textId="77777777" w:rsidR="009A0E84" w:rsidRPr="00D81168" w:rsidRDefault="009A0E84" w:rsidP="00781C55">
      <w:pPr>
        <w:pStyle w:val="TOC1"/>
        <w:rPr>
          <w:noProof/>
        </w:rPr>
      </w:pPr>
      <w:r w:rsidRPr="00D81168">
        <w:rPr>
          <w:noProof/>
        </w:rPr>
        <w:t>13.</w:t>
      </w:r>
      <w:r w:rsidRPr="00D81168">
        <w:rPr>
          <w:noProof/>
        </w:rPr>
        <w:tab/>
      </w:r>
      <w:r w:rsidR="00617CE9">
        <w:rPr>
          <w:noProof/>
        </w:rPr>
        <w:t>THE CONTRACT</w:t>
      </w:r>
      <w:r w:rsidRPr="00D81168">
        <w:rPr>
          <w:noProof/>
        </w:rPr>
        <w:tab/>
      </w:r>
      <w:r w:rsidR="00FC258B">
        <w:rPr>
          <w:noProof/>
        </w:rPr>
        <w:t>11</w:t>
      </w:r>
    </w:p>
    <w:p w14:paraId="6D460623" w14:textId="77777777" w:rsidR="009A0E84" w:rsidRPr="00D81168" w:rsidRDefault="009A0E84" w:rsidP="00781C55">
      <w:pPr>
        <w:pStyle w:val="TOC1"/>
        <w:rPr>
          <w:noProof/>
        </w:rPr>
      </w:pPr>
      <w:r w:rsidRPr="00D81168">
        <w:rPr>
          <w:noProof/>
        </w:rPr>
        <w:t>14.</w:t>
      </w:r>
      <w:r w:rsidRPr="00D81168">
        <w:rPr>
          <w:noProof/>
        </w:rPr>
        <w:tab/>
      </w:r>
      <w:r w:rsidR="00617CE9">
        <w:rPr>
          <w:noProof/>
        </w:rPr>
        <w:t>CONFIDENTIALITY AND OWNERSHIP OF DOCUMENTS</w:t>
      </w:r>
      <w:r w:rsidRPr="00D81168">
        <w:rPr>
          <w:noProof/>
        </w:rPr>
        <w:tab/>
      </w:r>
      <w:r w:rsidR="00FC258B">
        <w:rPr>
          <w:noProof/>
        </w:rPr>
        <w:t>11</w:t>
      </w:r>
    </w:p>
    <w:p w14:paraId="32665ED5" w14:textId="77777777" w:rsidR="009A0E84" w:rsidRPr="00D81168" w:rsidRDefault="009A0E84" w:rsidP="00781C55">
      <w:pPr>
        <w:pStyle w:val="TOC1"/>
        <w:rPr>
          <w:noProof/>
        </w:rPr>
      </w:pPr>
      <w:r w:rsidRPr="00D81168">
        <w:rPr>
          <w:noProof/>
        </w:rPr>
        <w:t>15.</w:t>
      </w:r>
      <w:r w:rsidRPr="00D81168">
        <w:rPr>
          <w:noProof/>
        </w:rPr>
        <w:tab/>
      </w:r>
      <w:r w:rsidR="00617CE9">
        <w:rPr>
          <w:noProof/>
        </w:rPr>
        <w:t>SU</w:t>
      </w:r>
      <w:r w:rsidR="00FC258B">
        <w:rPr>
          <w:noProof/>
        </w:rPr>
        <w:t>B-</w:t>
      </w:r>
      <w:r w:rsidR="00617CE9">
        <w:rPr>
          <w:noProof/>
        </w:rPr>
        <w:t>CONTRACTING</w:t>
      </w:r>
      <w:r w:rsidRPr="00D81168">
        <w:rPr>
          <w:noProof/>
        </w:rPr>
        <w:tab/>
      </w:r>
      <w:r w:rsidR="00FC258B">
        <w:rPr>
          <w:noProof/>
        </w:rPr>
        <w:t>11</w:t>
      </w:r>
    </w:p>
    <w:p w14:paraId="1C50DD6F" w14:textId="77777777" w:rsidR="009A0E84" w:rsidRPr="00D81168" w:rsidRDefault="009A0E84" w:rsidP="00781C55">
      <w:pPr>
        <w:pStyle w:val="TOC1"/>
        <w:rPr>
          <w:noProof/>
        </w:rPr>
      </w:pPr>
      <w:r w:rsidRPr="00D81168">
        <w:rPr>
          <w:noProof/>
        </w:rPr>
        <w:t>16.</w:t>
      </w:r>
      <w:r w:rsidRPr="00D81168">
        <w:rPr>
          <w:noProof/>
        </w:rPr>
        <w:tab/>
      </w:r>
      <w:r w:rsidR="00FC258B">
        <w:rPr>
          <w:noProof/>
        </w:rPr>
        <w:t>FREEDOM OF INFORMATION ACT 2000</w:t>
      </w:r>
      <w:r w:rsidRPr="00D81168">
        <w:rPr>
          <w:noProof/>
        </w:rPr>
        <w:tab/>
      </w:r>
      <w:r w:rsidR="00FC258B">
        <w:rPr>
          <w:noProof/>
        </w:rPr>
        <w:t>12</w:t>
      </w:r>
    </w:p>
    <w:p w14:paraId="654BACCF" w14:textId="77777777" w:rsidR="00A0360D" w:rsidRPr="00A0360D" w:rsidRDefault="009A0E84" w:rsidP="00781C55">
      <w:pPr>
        <w:pStyle w:val="TOC1"/>
        <w:rPr>
          <w:noProof/>
        </w:rPr>
      </w:pPr>
      <w:r w:rsidRPr="00D81168">
        <w:rPr>
          <w:noProof/>
        </w:rPr>
        <w:t>17.</w:t>
      </w:r>
      <w:r w:rsidRPr="00D81168">
        <w:rPr>
          <w:noProof/>
        </w:rPr>
        <w:tab/>
      </w:r>
      <w:r w:rsidR="00FC258B">
        <w:rPr>
          <w:noProof/>
        </w:rPr>
        <w:t>TENDERER'S WARRANTIES</w:t>
      </w:r>
      <w:r w:rsidRPr="00D81168">
        <w:rPr>
          <w:noProof/>
        </w:rPr>
        <w:tab/>
      </w:r>
      <w:r w:rsidR="00617CE9">
        <w:rPr>
          <w:noProof/>
        </w:rPr>
        <w:t>12</w:t>
      </w:r>
    </w:p>
    <w:p w14:paraId="233177F6" w14:textId="77777777" w:rsidR="00A0360D" w:rsidRPr="00A0360D" w:rsidRDefault="00A0360D" w:rsidP="00781C55">
      <w:pPr>
        <w:pStyle w:val="TOC1"/>
        <w:rPr>
          <w:noProof/>
        </w:rPr>
      </w:pPr>
      <w:r w:rsidRPr="00A0360D">
        <w:rPr>
          <w:noProof/>
        </w:rPr>
        <w:t>18.</w:t>
      </w:r>
      <w:r w:rsidRPr="00A0360D">
        <w:rPr>
          <w:noProof/>
        </w:rPr>
        <w:tab/>
      </w:r>
      <w:r w:rsidR="00FC258B">
        <w:rPr>
          <w:noProof/>
        </w:rPr>
        <w:t>ANNOUNCEMENTS ………...</w:t>
      </w:r>
      <w:r w:rsidR="00617CE9">
        <w:rPr>
          <w:noProof/>
        </w:rPr>
        <w:t>………………………………………………………………...1</w:t>
      </w:r>
      <w:r w:rsidR="00FC258B">
        <w:rPr>
          <w:noProof/>
        </w:rPr>
        <w:t>3</w:t>
      </w:r>
    </w:p>
    <w:p w14:paraId="3BD3EE63" w14:textId="77777777" w:rsidR="002A7C7B" w:rsidRDefault="00752ADF" w:rsidP="001D2F28">
      <w:pPr>
        <w:pStyle w:val="NORMAL1"/>
        <w:spacing w:before="0" w:after="0" w:line="360" w:lineRule="auto"/>
        <w:rPr>
          <w:rFonts w:ascii="Calibri" w:hAnsi="Calibri"/>
          <w:b/>
          <w:caps/>
          <w:sz w:val="22"/>
        </w:rPr>
      </w:pPr>
      <w:r w:rsidRPr="00D81168">
        <w:rPr>
          <w:rFonts w:cs="Arial"/>
          <w:b/>
          <w:caps/>
          <w:szCs w:val="24"/>
        </w:rPr>
        <w:fldChar w:fldCharType="end"/>
      </w:r>
    </w:p>
    <w:p w14:paraId="4C6D1385" w14:textId="77777777" w:rsidR="001B3B95" w:rsidRDefault="001B3B95" w:rsidP="001D2F28">
      <w:pPr>
        <w:pStyle w:val="NORMAL1"/>
        <w:spacing w:before="0" w:after="0" w:line="360" w:lineRule="auto"/>
        <w:rPr>
          <w:rFonts w:ascii="Calibri" w:hAnsi="Calibri"/>
          <w:b/>
          <w:caps/>
          <w:sz w:val="22"/>
        </w:rPr>
      </w:pPr>
    </w:p>
    <w:p w14:paraId="0F92C111" w14:textId="77777777" w:rsidR="00ED1C86" w:rsidRDefault="00ED1C86" w:rsidP="001D2F28">
      <w:pPr>
        <w:pStyle w:val="NORMAL1"/>
        <w:spacing w:before="0" w:after="0" w:line="360" w:lineRule="auto"/>
        <w:rPr>
          <w:rFonts w:ascii="Calibri" w:hAnsi="Calibri"/>
          <w:b/>
          <w:caps/>
          <w:sz w:val="22"/>
        </w:rPr>
      </w:pPr>
    </w:p>
    <w:p w14:paraId="0C05644C" w14:textId="77777777" w:rsidR="00ED1C86" w:rsidRDefault="00ED1C86" w:rsidP="001D2F28">
      <w:pPr>
        <w:pStyle w:val="NORMAL1"/>
        <w:spacing w:before="0" w:after="0" w:line="360" w:lineRule="auto"/>
        <w:rPr>
          <w:rFonts w:ascii="Calibri" w:hAnsi="Calibri"/>
          <w:b/>
          <w:caps/>
          <w:sz w:val="22"/>
        </w:rPr>
      </w:pPr>
    </w:p>
    <w:p w14:paraId="45E57726" w14:textId="77777777" w:rsidR="00ED1C86" w:rsidRDefault="00ED1C86" w:rsidP="001D2F28">
      <w:pPr>
        <w:pStyle w:val="NORMAL1"/>
        <w:spacing w:before="0" w:after="0" w:line="360" w:lineRule="auto"/>
        <w:rPr>
          <w:rFonts w:ascii="Calibri" w:hAnsi="Calibri"/>
          <w:b/>
          <w:caps/>
          <w:sz w:val="22"/>
        </w:rPr>
      </w:pPr>
    </w:p>
    <w:p w14:paraId="0F18C7D9" w14:textId="77777777" w:rsidR="00ED1C86" w:rsidRPr="004976C6" w:rsidRDefault="00ED1C86" w:rsidP="00ED1C86">
      <w:pPr>
        <w:numPr>
          <w:ilvl w:val="0"/>
          <w:numId w:val="1"/>
        </w:numPr>
        <w:spacing w:before="120" w:after="120"/>
        <w:ind w:left="576"/>
        <w:outlineLvl w:val="0"/>
        <w:rPr>
          <w:rFonts w:cs="Arial"/>
          <w:b/>
          <w:caps/>
          <w:sz w:val="22"/>
          <w:szCs w:val="22"/>
          <w:u w:val="single"/>
        </w:rPr>
      </w:pPr>
      <w:r w:rsidRPr="004976C6">
        <w:rPr>
          <w:rFonts w:cs="Arial"/>
          <w:b/>
          <w:caps/>
          <w:sz w:val="22"/>
          <w:szCs w:val="22"/>
          <w:u w:val="single"/>
        </w:rPr>
        <w:t>Introduction</w:t>
      </w:r>
    </w:p>
    <w:p w14:paraId="44B7778B"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 xml:space="preserve">To help you in developing your response to our Invitation, we would like to tell you about ourselves and about our goals and values, so that you can use this information to inform every aspect of your bid and tell us exactly why we should choose you to help us realise our vision. </w:t>
      </w:r>
    </w:p>
    <w:p w14:paraId="4D71F3AD"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The Housing Management Department of The Royal Borough of Kensington and Chelsea (RBKC) manages some 9,500 properties on behalf of the Council, of which approximately three quarters are tenanted, and a quarter are leasehold dwellings.</w:t>
      </w:r>
      <w:r w:rsidRPr="004976C6">
        <w:rPr>
          <w:rFonts w:eastAsia="Calibri" w:cs="Arial"/>
          <w:sz w:val="22"/>
          <w:szCs w:val="22"/>
        </w:rPr>
        <w:t xml:space="preserve"> </w:t>
      </w:r>
    </w:p>
    <w:p w14:paraId="279E0812" w14:textId="713DD540" w:rsidR="00ED1C86" w:rsidRPr="004053B7"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eastAsia="Calibri" w:cs="Arial"/>
          <w:sz w:val="22"/>
          <w:szCs w:val="22"/>
        </w:rPr>
        <w:t xml:space="preserve">The property portfolio is varied in age and style and covers 15 postcode districts in </w:t>
      </w:r>
      <w:r w:rsidR="004053B7" w:rsidRPr="004976C6">
        <w:rPr>
          <w:rFonts w:eastAsia="Calibri" w:cs="Arial"/>
          <w:sz w:val="22"/>
          <w:szCs w:val="22"/>
        </w:rPr>
        <w:t>Southwest</w:t>
      </w:r>
      <w:r w:rsidRPr="004976C6">
        <w:rPr>
          <w:rFonts w:eastAsia="Calibri" w:cs="Arial"/>
          <w:sz w:val="22"/>
          <w:szCs w:val="22"/>
        </w:rPr>
        <w:t xml:space="preserve"> London (see map below).  The stock is comprised of both street properties and blocks.  There are approximately 400 blocks ranging in size from 2 - 31 floors.</w:t>
      </w:r>
    </w:p>
    <w:p w14:paraId="31FA0C9F" w14:textId="3064EB50" w:rsidR="004053B7" w:rsidRPr="0073371C" w:rsidRDefault="004053B7" w:rsidP="00ED1C86">
      <w:pPr>
        <w:numPr>
          <w:ilvl w:val="1"/>
          <w:numId w:val="1"/>
        </w:numPr>
        <w:tabs>
          <w:tab w:val="num" w:pos="567"/>
          <w:tab w:val="num" w:pos="1290"/>
        </w:tabs>
        <w:spacing w:before="120" w:after="120"/>
        <w:ind w:left="567" w:hanging="567"/>
        <w:outlineLvl w:val="1"/>
        <w:rPr>
          <w:rFonts w:cs="Arial"/>
          <w:b/>
          <w:bCs/>
          <w:sz w:val="22"/>
          <w:szCs w:val="22"/>
        </w:rPr>
      </w:pPr>
      <w:r>
        <w:rPr>
          <w:rFonts w:eastAsia="Calibri" w:cs="Arial"/>
          <w:sz w:val="22"/>
          <w:szCs w:val="22"/>
        </w:rPr>
        <w:t>It is the ambition of RBKC that the Council achieve a net carbon zero status by 2030.</w:t>
      </w:r>
      <w:r w:rsidR="007B61BA">
        <w:rPr>
          <w:rFonts w:eastAsia="Calibri" w:cs="Arial"/>
          <w:sz w:val="22"/>
          <w:szCs w:val="22"/>
        </w:rPr>
        <w:t xml:space="preserve"> </w:t>
      </w:r>
      <w:r w:rsidR="00A2293E" w:rsidRPr="0073371C">
        <w:rPr>
          <w:rFonts w:eastAsia="Calibri" w:cs="Arial"/>
          <w:b/>
          <w:bCs/>
          <w:sz w:val="22"/>
          <w:szCs w:val="22"/>
        </w:rPr>
        <w:t>Therefore,</w:t>
      </w:r>
      <w:r w:rsidR="00701FB3" w:rsidRPr="0073371C">
        <w:rPr>
          <w:rFonts w:eastAsia="Calibri" w:cs="Arial"/>
          <w:b/>
          <w:bCs/>
          <w:sz w:val="22"/>
          <w:szCs w:val="22"/>
        </w:rPr>
        <w:t xml:space="preserve"> this will </w:t>
      </w:r>
      <w:r w:rsidR="00940BF8" w:rsidRPr="0073371C">
        <w:rPr>
          <w:rFonts w:eastAsia="Calibri" w:cs="Arial"/>
          <w:b/>
          <w:bCs/>
          <w:sz w:val="22"/>
          <w:szCs w:val="22"/>
        </w:rPr>
        <w:t>be considered</w:t>
      </w:r>
      <w:r w:rsidR="009439B8" w:rsidRPr="0073371C">
        <w:rPr>
          <w:rFonts w:eastAsia="Calibri" w:cs="Arial"/>
          <w:b/>
          <w:bCs/>
          <w:sz w:val="22"/>
          <w:szCs w:val="22"/>
        </w:rPr>
        <w:t xml:space="preserve"> whilst evaluating </w:t>
      </w:r>
      <w:r w:rsidR="00701FB3" w:rsidRPr="0073371C">
        <w:rPr>
          <w:rFonts w:eastAsia="Calibri" w:cs="Arial"/>
          <w:b/>
          <w:bCs/>
          <w:sz w:val="22"/>
          <w:szCs w:val="22"/>
        </w:rPr>
        <w:t>tenders.</w:t>
      </w:r>
    </w:p>
    <w:p w14:paraId="40F5FA9D" w14:textId="02295535" w:rsidR="009529F7" w:rsidRPr="00D72D43" w:rsidRDefault="004548C5" w:rsidP="00D72D43">
      <w:pPr>
        <w:spacing w:before="120" w:after="120"/>
        <w:ind w:left="590" w:firstLine="544"/>
        <w:outlineLvl w:val="0"/>
        <w:rPr>
          <w:rFonts w:cs="Arial"/>
          <w:b/>
          <w:caps/>
          <w:sz w:val="22"/>
          <w:szCs w:val="22"/>
          <w:u w:val="single"/>
        </w:rPr>
      </w:pPr>
      <w:r>
        <w:rPr>
          <w:rFonts w:cs="Arial"/>
          <w:b/>
          <w:caps/>
          <w:noProof/>
          <w:sz w:val="22"/>
          <w:szCs w:val="22"/>
          <w:u w:val="single"/>
          <w:lang w:eastAsia="en-GB"/>
        </w:rPr>
        <w:pict w14:anchorId="2508789A">
          <v:shape id="Picture 17" o:spid="_x0000_i1026" type="#_x0000_t75" style="width:335.25pt;height:456pt;visibility:visible">
            <v:imagedata r:id="rId13" o:title=""/>
          </v:shape>
        </w:pict>
      </w:r>
      <w:r w:rsidR="00ED1C86" w:rsidRPr="004976C6">
        <w:rPr>
          <w:rFonts w:cs="Arial"/>
          <w:b/>
          <w:caps/>
          <w:noProof/>
          <w:sz w:val="22"/>
          <w:szCs w:val="22"/>
          <w:u w:val="single"/>
        </w:rPr>
        <w:t xml:space="preserve">  Fig 1</w:t>
      </w:r>
    </w:p>
    <w:p w14:paraId="379C1D25" w14:textId="77777777" w:rsidR="005C0613" w:rsidRPr="004976C6" w:rsidRDefault="005C0613">
      <w:pPr>
        <w:pStyle w:val="A1"/>
        <w:rPr>
          <w:rFonts w:cs="Arial"/>
          <w:sz w:val="22"/>
          <w:szCs w:val="22"/>
        </w:rPr>
      </w:pPr>
      <w:bookmarkStart w:id="1" w:name="_Toc371626597"/>
      <w:bookmarkStart w:id="2" w:name="_Toc394843643"/>
      <w:r w:rsidRPr="004976C6">
        <w:rPr>
          <w:rFonts w:cs="Arial"/>
          <w:sz w:val="22"/>
          <w:szCs w:val="22"/>
        </w:rPr>
        <w:t>In</w:t>
      </w:r>
      <w:bookmarkEnd w:id="0"/>
      <w:bookmarkEnd w:id="1"/>
      <w:bookmarkEnd w:id="2"/>
      <w:r w:rsidR="00D81168" w:rsidRPr="004976C6">
        <w:rPr>
          <w:rFonts w:cs="Arial"/>
          <w:sz w:val="22"/>
          <w:szCs w:val="22"/>
        </w:rPr>
        <w:t>STRUCTIONS</w:t>
      </w:r>
    </w:p>
    <w:p w14:paraId="7B16F28C"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These Instructions to Tenderers (ITT) are issued simultaneously to all organisations invited to tender and </w:t>
      </w:r>
      <w:r w:rsidR="0085498A" w:rsidRPr="004976C6">
        <w:rPr>
          <w:rFonts w:cs="Arial"/>
          <w:sz w:val="22"/>
          <w:szCs w:val="22"/>
        </w:rPr>
        <w:t>are</w:t>
      </w:r>
      <w:r w:rsidRPr="004976C6">
        <w:rPr>
          <w:rFonts w:cs="Arial"/>
          <w:sz w:val="22"/>
          <w:szCs w:val="22"/>
        </w:rPr>
        <w:t xml:space="preserve"> made available electronically on </w:t>
      </w:r>
      <w:hyperlink r:id="rId14" w:history="1">
        <w:r w:rsidRPr="004976C6">
          <w:rPr>
            <w:rStyle w:val="Hyperlink"/>
            <w:rFonts w:cs="Arial"/>
            <w:sz w:val="22"/>
            <w:szCs w:val="22"/>
          </w:rPr>
          <w:t>www.capitalEsourcing.com</w:t>
        </w:r>
      </w:hyperlink>
      <w:r w:rsidRPr="004976C6">
        <w:rPr>
          <w:rFonts w:cs="Arial"/>
          <w:sz w:val="22"/>
          <w:szCs w:val="22"/>
        </w:rPr>
        <w:t>.  Tenderers should read the ITT Documents as soon after receipt as possible.</w:t>
      </w:r>
    </w:p>
    <w:p w14:paraId="3A63EA75"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 ITT documents should provide all the information required at this stage. However, Tenderers are free to ask questions or seek clarification as appropriate to enable them to complete their Tender. </w:t>
      </w:r>
    </w:p>
    <w:p w14:paraId="26265F40"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Questions must only be asked via the </w:t>
      </w:r>
      <w:r w:rsidR="00436676" w:rsidRPr="004976C6">
        <w:rPr>
          <w:rFonts w:cs="Arial"/>
          <w:sz w:val="22"/>
          <w:szCs w:val="22"/>
        </w:rPr>
        <w:t xml:space="preserve">messaging facility on the </w:t>
      </w:r>
      <w:r w:rsidRPr="004976C6">
        <w:rPr>
          <w:rFonts w:cs="Arial"/>
          <w:sz w:val="22"/>
          <w:szCs w:val="22"/>
        </w:rPr>
        <w:t>Portal.</w:t>
      </w:r>
    </w:p>
    <w:p w14:paraId="2920DE70" w14:textId="77777777" w:rsidR="005C0613" w:rsidRPr="004976C6" w:rsidRDefault="005C0613" w:rsidP="004E1264">
      <w:pPr>
        <w:pStyle w:val="A2"/>
        <w:tabs>
          <w:tab w:val="num" w:pos="567"/>
        </w:tabs>
        <w:ind w:left="567" w:hanging="567"/>
        <w:rPr>
          <w:rFonts w:cs="Arial"/>
          <w:sz w:val="22"/>
          <w:szCs w:val="22"/>
        </w:rPr>
      </w:pPr>
      <w:r w:rsidRPr="004976C6">
        <w:rPr>
          <w:rFonts w:cs="Arial"/>
          <w:sz w:val="22"/>
          <w:szCs w:val="22"/>
        </w:rPr>
        <w:t xml:space="preserve">Unless otherwise indicated, all words and expressions used in these Instructions to Tenderers with an initial capital letter shall have the meanings set out in the </w:t>
      </w:r>
      <w:r w:rsidR="00167FD2" w:rsidRPr="004976C6">
        <w:rPr>
          <w:rFonts w:cs="Arial"/>
          <w:sz w:val="22"/>
          <w:szCs w:val="22"/>
        </w:rPr>
        <w:t>Conditions of Contract.</w:t>
      </w:r>
    </w:p>
    <w:p w14:paraId="6D022D66" w14:textId="66E7C29B"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 Contract Pe</w:t>
      </w:r>
      <w:r w:rsidR="00386310" w:rsidRPr="004976C6">
        <w:rPr>
          <w:rFonts w:cs="Arial"/>
          <w:sz w:val="22"/>
          <w:szCs w:val="22"/>
        </w:rPr>
        <w:t xml:space="preserve">riod will commence on or </w:t>
      </w:r>
      <w:r w:rsidR="00386310" w:rsidRPr="006075A9">
        <w:rPr>
          <w:rFonts w:cs="Arial"/>
          <w:sz w:val="22"/>
          <w:szCs w:val="22"/>
        </w:rPr>
        <w:t xml:space="preserve">around </w:t>
      </w:r>
      <w:r w:rsidR="00E141C4" w:rsidRPr="006075A9">
        <w:rPr>
          <w:rFonts w:cs="Arial"/>
          <w:sz w:val="22"/>
          <w:szCs w:val="22"/>
        </w:rPr>
        <w:t>9</w:t>
      </w:r>
      <w:r w:rsidR="00B3659D" w:rsidRPr="006075A9">
        <w:rPr>
          <w:rFonts w:cs="Arial"/>
          <w:sz w:val="22"/>
          <w:szCs w:val="22"/>
        </w:rPr>
        <w:t xml:space="preserve"> Ma</w:t>
      </w:r>
      <w:r w:rsidR="00436676" w:rsidRPr="006075A9">
        <w:rPr>
          <w:rFonts w:cs="Arial"/>
          <w:sz w:val="22"/>
          <w:szCs w:val="22"/>
        </w:rPr>
        <w:t>y</w:t>
      </w:r>
      <w:r w:rsidR="007C782B" w:rsidRPr="006075A9">
        <w:rPr>
          <w:rFonts w:cs="Arial"/>
          <w:sz w:val="22"/>
          <w:szCs w:val="22"/>
        </w:rPr>
        <w:t xml:space="preserve"> 202</w:t>
      </w:r>
      <w:r w:rsidR="00E141C4" w:rsidRPr="006075A9">
        <w:rPr>
          <w:rFonts w:cs="Arial"/>
          <w:sz w:val="22"/>
          <w:szCs w:val="22"/>
        </w:rPr>
        <w:t>2</w:t>
      </w:r>
      <w:r w:rsidR="00F352EF" w:rsidRPr="006075A9">
        <w:rPr>
          <w:rFonts w:cs="Arial"/>
          <w:sz w:val="22"/>
          <w:szCs w:val="22"/>
        </w:rPr>
        <w:t xml:space="preserve"> for a period of </w:t>
      </w:r>
      <w:r w:rsidR="00436676" w:rsidRPr="006075A9">
        <w:rPr>
          <w:rFonts w:cs="Arial"/>
          <w:sz w:val="22"/>
          <w:szCs w:val="22"/>
        </w:rPr>
        <w:t>5</w:t>
      </w:r>
      <w:r w:rsidR="00B3659D" w:rsidRPr="006075A9">
        <w:rPr>
          <w:rFonts w:cs="Arial"/>
          <w:sz w:val="22"/>
          <w:szCs w:val="22"/>
        </w:rPr>
        <w:t>2</w:t>
      </w:r>
      <w:r w:rsidR="00F352EF" w:rsidRPr="006075A9">
        <w:rPr>
          <w:rFonts w:cs="Arial"/>
          <w:sz w:val="22"/>
          <w:szCs w:val="22"/>
        </w:rPr>
        <w:t xml:space="preserve"> </w:t>
      </w:r>
      <w:r w:rsidR="0046301C" w:rsidRPr="006075A9">
        <w:rPr>
          <w:rFonts w:cs="Arial"/>
          <w:sz w:val="22"/>
          <w:szCs w:val="22"/>
        </w:rPr>
        <w:t>weeks.</w:t>
      </w:r>
    </w:p>
    <w:p w14:paraId="0794A389" w14:textId="7C19FE0D"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These Instructions to Tenderers describe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requirements for the </w:t>
      </w:r>
      <w:r w:rsidR="00436676" w:rsidRPr="004976C6">
        <w:rPr>
          <w:rFonts w:cs="Arial"/>
          <w:sz w:val="22"/>
          <w:szCs w:val="22"/>
        </w:rPr>
        <w:t>Works</w:t>
      </w:r>
      <w:r w:rsidRPr="004976C6">
        <w:rPr>
          <w:rFonts w:cs="Arial"/>
          <w:sz w:val="22"/>
          <w:szCs w:val="22"/>
        </w:rPr>
        <w:t xml:space="preserve">, the tendering </w:t>
      </w:r>
      <w:r w:rsidR="00D876EA" w:rsidRPr="004976C6">
        <w:rPr>
          <w:rFonts w:cs="Arial"/>
          <w:sz w:val="22"/>
          <w:szCs w:val="22"/>
        </w:rPr>
        <w:t>process,</w:t>
      </w:r>
      <w:r w:rsidRPr="004976C6">
        <w:rPr>
          <w:rFonts w:cs="Arial"/>
          <w:sz w:val="22"/>
          <w:szCs w:val="22"/>
        </w:rPr>
        <w:t xml:space="preserve"> and the commercial terms on which the </w:t>
      </w:r>
      <w:r w:rsidR="008449A8" w:rsidRPr="004976C6">
        <w:rPr>
          <w:rFonts w:cs="Arial"/>
          <w:sz w:val="22"/>
          <w:szCs w:val="22"/>
        </w:rPr>
        <w:t>Authority</w:t>
      </w:r>
      <w:r w:rsidRPr="004976C6">
        <w:rPr>
          <w:rFonts w:cs="Arial"/>
          <w:sz w:val="22"/>
          <w:szCs w:val="22"/>
        </w:rPr>
        <w:t xml:space="preserve"> will contract in due course with the successful Tenderer.</w:t>
      </w:r>
    </w:p>
    <w:p w14:paraId="6C526D73"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These Instructions to Tenderers also set out details on the form and content of Tenders and the timetable and other administrative arrangements for the tendering process.</w:t>
      </w:r>
    </w:p>
    <w:p w14:paraId="313DB4D6" w14:textId="4BD5E713"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w:t>
      </w:r>
      <w:r w:rsidR="0031337E" w:rsidRPr="004976C6">
        <w:rPr>
          <w:rFonts w:cs="Arial"/>
          <w:sz w:val="22"/>
          <w:szCs w:val="22"/>
        </w:rPr>
        <w:t>is Instructions to Tenderers also</w:t>
      </w:r>
      <w:r w:rsidRPr="004976C6">
        <w:rPr>
          <w:rFonts w:cs="Arial"/>
          <w:sz w:val="22"/>
          <w:szCs w:val="22"/>
        </w:rPr>
        <w:t xml:space="preserve"> sets out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minimum requirements for the provision of the </w:t>
      </w:r>
      <w:r w:rsidR="00436676" w:rsidRPr="004976C6">
        <w:rPr>
          <w:rFonts w:cs="Arial"/>
          <w:sz w:val="22"/>
          <w:szCs w:val="22"/>
        </w:rPr>
        <w:t>Works</w:t>
      </w:r>
      <w:r w:rsidRPr="004976C6">
        <w:rPr>
          <w:rFonts w:cs="Arial"/>
          <w:sz w:val="22"/>
          <w:szCs w:val="22"/>
        </w:rPr>
        <w:t xml:space="preserve">. Tenderers are (in accordance with the provisions set out below) invited to submit Tenders by no later than noon </w:t>
      </w:r>
      <w:r w:rsidRPr="006075A9">
        <w:rPr>
          <w:rFonts w:cs="Arial"/>
          <w:sz w:val="22"/>
          <w:szCs w:val="22"/>
        </w:rPr>
        <w:t xml:space="preserve">on </w:t>
      </w:r>
      <w:r w:rsidR="00436676" w:rsidRPr="006075A9">
        <w:rPr>
          <w:rFonts w:cs="Arial"/>
          <w:sz w:val="22"/>
          <w:szCs w:val="22"/>
        </w:rPr>
        <w:t>1</w:t>
      </w:r>
      <w:r w:rsidR="006075A9" w:rsidRPr="006075A9">
        <w:rPr>
          <w:rFonts w:cs="Arial"/>
          <w:sz w:val="22"/>
          <w:szCs w:val="22"/>
        </w:rPr>
        <w:t>4</w:t>
      </w:r>
      <w:r w:rsidR="00B3659D" w:rsidRPr="006075A9">
        <w:rPr>
          <w:rFonts w:cs="Arial"/>
          <w:sz w:val="22"/>
          <w:szCs w:val="22"/>
        </w:rPr>
        <w:t xml:space="preserve"> </w:t>
      </w:r>
      <w:r w:rsidR="006075A9" w:rsidRPr="006075A9">
        <w:rPr>
          <w:rFonts w:cs="Arial"/>
          <w:sz w:val="22"/>
          <w:szCs w:val="22"/>
        </w:rPr>
        <w:t>Jan</w:t>
      </w:r>
      <w:r w:rsidR="00436676" w:rsidRPr="006075A9">
        <w:rPr>
          <w:rFonts w:cs="Arial"/>
          <w:sz w:val="22"/>
          <w:szCs w:val="22"/>
        </w:rPr>
        <w:t>uary</w:t>
      </w:r>
      <w:r w:rsidR="0031337E" w:rsidRPr="006075A9">
        <w:rPr>
          <w:rFonts w:cs="Arial"/>
          <w:sz w:val="22"/>
          <w:szCs w:val="22"/>
        </w:rPr>
        <w:t xml:space="preserve"> 202</w:t>
      </w:r>
      <w:r w:rsidR="006075A9" w:rsidRPr="006075A9">
        <w:rPr>
          <w:rFonts w:cs="Arial"/>
          <w:sz w:val="22"/>
          <w:szCs w:val="22"/>
        </w:rPr>
        <w:t>2</w:t>
      </w:r>
      <w:r w:rsidR="000C3C15" w:rsidRPr="006075A9">
        <w:rPr>
          <w:rFonts w:cs="Arial"/>
          <w:sz w:val="22"/>
          <w:szCs w:val="22"/>
        </w:rPr>
        <w:t xml:space="preserve"> </w:t>
      </w:r>
      <w:r w:rsidR="00D14ED1" w:rsidRPr="006075A9">
        <w:rPr>
          <w:rFonts w:cs="Arial"/>
          <w:sz w:val="22"/>
          <w:szCs w:val="22"/>
        </w:rPr>
        <w:t>(‘Deadline’).</w:t>
      </w:r>
      <w:r w:rsidR="000A289A" w:rsidRPr="004976C6">
        <w:rPr>
          <w:rFonts w:cs="Arial"/>
          <w:sz w:val="22"/>
          <w:szCs w:val="22"/>
        </w:rPr>
        <w:t xml:space="preserve"> </w:t>
      </w:r>
    </w:p>
    <w:p w14:paraId="274F4A7D" w14:textId="3CFF4FD7"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 evaluation of Tenders will be a </w:t>
      </w:r>
      <w:r w:rsidR="005B63AA" w:rsidRPr="004976C6">
        <w:rPr>
          <w:rFonts w:cs="Arial"/>
          <w:sz w:val="22"/>
          <w:szCs w:val="22"/>
        </w:rPr>
        <w:t>two-stage</w:t>
      </w:r>
      <w:r w:rsidRPr="004976C6">
        <w:rPr>
          <w:rFonts w:cs="Arial"/>
          <w:sz w:val="22"/>
          <w:szCs w:val="22"/>
        </w:rPr>
        <w:t xml:space="preserve"> procedure. The first stage will be compliance and the second stage will be award (please refer to Appendix </w:t>
      </w:r>
      <w:r w:rsidR="004548C5">
        <w:rPr>
          <w:rFonts w:cs="Arial"/>
          <w:sz w:val="22"/>
          <w:szCs w:val="22"/>
        </w:rPr>
        <w:t>A</w:t>
      </w:r>
      <w:r w:rsidRPr="004976C6">
        <w:rPr>
          <w:rFonts w:cs="Arial"/>
          <w:sz w:val="22"/>
          <w:szCs w:val="22"/>
        </w:rPr>
        <w:t>).</w:t>
      </w:r>
    </w:p>
    <w:p w14:paraId="27E96199" w14:textId="77777777" w:rsidR="00C64320" w:rsidRPr="004976C6" w:rsidRDefault="005C0613" w:rsidP="0031337E">
      <w:pPr>
        <w:pStyle w:val="A2"/>
        <w:tabs>
          <w:tab w:val="num" w:pos="567"/>
        </w:tabs>
        <w:ind w:left="567" w:hanging="567"/>
        <w:rPr>
          <w:rFonts w:cs="Arial"/>
          <w:sz w:val="22"/>
          <w:szCs w:val="22"/>
        </w:rPr>
      </w:pPr>
      <w:r w:rsidRPr="004976C6">
        <w:rPr>
          <w:rFonts w:cs="Arial"/>
          <w:sz w:val="22"/>
          <w:szCs w:val="22"/>
        </w:rPr>
        <w:t xml:space="preserve">A Tenderer will be required to meet the </w:t>
      </w:r>
      <w:r w:rsidR="00DE08A4" w:rsidRPr="004976C6">
        <w:rPr>
          <w:rFonts w:cs="Arial"/>
          <w:sz w:val="22"/>
          <w:szCs w:val="22"/>
        </w:rPr>
        <w:t xml:space="preserve">minimum </w:t>
      </w:r>
      <w:r w:rsidRPr="004976C6">
        <w:rPr>
          <w:rFonts w:cs="Arial"/>
          <w:sz w:val="22"/>
          <w:szCs w:val="22"/>
        </w:rPr>
        <w:t xml:space="preserve">standards prior to their Tender being evaluated against the award criteria. If a Tender fails to meet the </w:t>
      </w:r>
      <w:r w:rsidR="00DE08A4" w:rsidRPr="004976C6">
        <w:rPr>
          <w:rFonts w:cs="Arial"/>
          <w:sz w:val="22"/>
          <w:szCs w:val="22"/>
        </w:rPr>
        <w:t>minimum</w:t>
      </w:r>
      <w:r w:rsidRPr="004976C6">
        <w:rPr>
          <w:rFonts w:cs="Arial"/>
          <w:sz w:val="22"/>
          <w:szCs w:val="22"/>
        </w:rPr>
        <w:t xml:space="preserve"> standards, their Tender will not be taken forward for evaluation against the award criteria.</w:t>
      </w:r>
    </w:p>
    <w:p w14:paraId="3F51E94C" w14:textId="77777777" w:rsidR="00F23035" w:rsidRPr="004976C6" w:rsidRDefault="00F23035" w:rsidP="00F23035">
      <w:pPr>
        <w:pStyle w:val="A2"/>
        <w:numPr>
          <w:ilvl w:val="0"/>
          <w:numId w:val="0"/>
        </w:numPr>
        <w:ind w:left="567"/>
        <w:rPr>
          <w:rFonts w:cs="Arial"/>
          <w:sz w:val="22"/>
          <w:szCs w:val="22"/>
        </w:rPr>
      </w:pPr>
    </w:p>
    <w:p w14:paraId="446FE3B9" w14:textId="77777777" w:rsidR="005C0613" w:rsidRPr="004976C6" w:rsidRDefault="0032397B" w:rsidP="00F23035">
      <w:pPr>
        <w:pStyle w:val="A1"/>
        <w:rPr>
          <w:rFonts w:cs="Arial"/>
          <w:sz w:val="22"/>
          <w:szCs w:val="22"/>
        </w:rPr>
      </w:pPr>
      <w:r w:rsidRPr="004976C6">
        <w:rPr>
          <w:rFonts w:cs="Arial"/>
          <w:sz w:val="22"/>
          <w:szCs w:val="22"/>
        </w:rPr>
        <w:t>background</w:t>
      </w:r>
    </w:p>
    <w:p w14:paraId="13800541" w14:textId="1785CC84" w:rsidR="0034276C" w:rsidRPr="004976C6" w:rsidRDefault="0034276C" w:rsidP="001B09C6">
      <w:pPr>
        <w:pStyle w:val="A1"/>
        <w:numPr>
          <w:ilvl w:val="0"/>
          <w:numId w:val="0"/>
        </w:numPr>
        <w:ind w:left="590" w:hanging="590"/>
        <w:rPr>
          <w:rFonts w:cs="Arial"/>
          <w:b w:val="0"/>
          <w:caps w:val="0"/>
          <w:sz w:val="22"/>
          <w:szCs w:val="22"/>
          <w:u w:val="none"/>
        </w:rPr>
      </w:pPr>
      <w:r w:rsidRPr="004976C6">
        <w:rPr>
          <w:rFonts w:cs="Arial"/>
          <w:b w:val="0"/>
          <w:sz w:val="22"/>
          <w:szCs w:val="22"/>
          <w:u w:val="none"/>
        </w:rPr>
        <w:t>2.1</w:t>
      </w:r>
      <w:r w:rsidR="001B09C6" w:rsidRPr="004976C6">
        <w:rPr>
          <w:rFonts w:cs="Arial"/>
          <w:b w:val="0"/>
          <w:caps w:val="0"/>
          <w:sz w:val="22"/>
          <w:szCs w:val="22"/>
          <w:u w:val="none"/>
        </w:rPr>
        <w:tab/>
        <w:t>The Royal Borough of Kensington and Chelsea (RBKC) Housing Management is looking to appoint a suitably qualified and experienced</w:t>
      </w:r>
      <w:r w:rsidR="00ED60F1" w:rsidRPr="004976C6">
        <w:rPr>
          <w:rFonts w:cs="Arial"/>
          <w:b w:val="0"/>
          <w:caps w:val="0"/>
          <w:sz w:val="22"/>
          <w:szCs w:val="22"/>
          <w:u w:val="none"/>
        </w:rPr>
        <w:t xml:space="preserve"> contractor to</w:t>
      </w:r>
      <w:r w:rsidR="001B09C6" w:rsidRPr="004976C6">
        <w:rPr>
          <w:rFonts w:cs="Arial"/>
          <w:b w:val="0"/>
          <w:caps w:val="0"/>
          <w:sz w:val="22"/>
          <w:szCs w:val="22"/>
          <w:u w:val="none"/>
        </w:rPr>
        <w:t xml:space="preserve"> </w:t>
      </w:r>
      <w:r w:rsidR="001E322F" w:rsidRPr="004976C6">
        <w:rPr>
          <w:rFonts w:cs="Arial"/>
          <w:b w:val="0"/>
          <w:caps w:val="0"/>
          <w:sz w:val="22"/>
          <w:szCs w:val="22"/>
          <w:u w:val="none"/>
        </w:rPr>
        <w:t>carry out</w:t>
      </w:r>
      <w:r w:rsidR="00ED60F1" w:rsidRPr="004976C6">
        <w:rPr>
          <w:rFonts w:cs="Arial"/>
          <w:b w:val="0"/>
          <w:caps w:val="0"/>
          <w:sz w:val="22"/>
          <w:szCs w:val="22"/>
          <w:u w:val="none"/>
        </w:rPr>
        <w:t xml:space="preserve"> </w:t>
      </w:r>
      <w:r w:rsidR="001E322F" w:rsidRPr="004976C6">
        <w:rPr>
          <w:rFonts w:cs="Arial"/>
          <w:b w:val="0"/>
          <w:caps w:val="0"/>
          <w:sz w:val="22"/>
          <w:szCs w:val="22"/>
          <w:u w:val="none"/>
        </w:rPr>
        <w:t>the</w:t>
      </w:r>
      <w:r w:rsidR="00ED60F1" w:rsidRPr="004976C6">
        <w:rPr>
          <w:rFonts w:cs="Arial"/>
          <w:b w:val="0"/>
          <w:caps w:val="0"/>
          <w:sz w:val="22"/>
          <w:szCs w:val="22"/>
          <w:u w:val="none"/>
        </w:rPr>
        <w:t xml:space="preserve"> </w:t>
      </w:r>
      <w:r w:rsidR="00583D82" w:rsidRPr="00583D82">
        <w:rPr>
          <w:rFonts w:cs="Arial"/>
          <w:b w:val="0"/>
          <w:caps w:val="0"/>
          <w:sz w:val="22"/>
          <w:szCs w:val="22"/>
          <w:u w:val="none"/>
        </w:rPr>
        <w:t>Heating and Domestic hot and cold water, central plant services distribution Replacement Scheme</w:t>
      </w:r>
      <w:r w:rsidR="004053B7">
        <w:rPr>
          <w:rFonts w:cs="Arial"/>
          <w:b w:val="0"/>
          <w:caps w:val="0"/>
          <w:sz w:val="22"/>
          <w:szCs w:val="22"/>
          <w:u w:val="none"/>
        </w:rPr>
        <w:t xml:space="preserve"> at the </w:t>
      </w:r>
      <w:r w:rsidR="004053B7" w:rsidRPr="004053B7">
        <w:rPr>
          <w:rFonts w:cs="Arial"/>
          <w:b w:val="0"/>
          <w:caps w:val="0"/>
          <w:sz w:val="22"/>
          <w:szCs w:val="22"/>
          <w:u w:val="none"/>
        </w:rPr>
        <w:t>Cremorne Estate</w:t>
      </w:r>
      <w:r w:rsidR="001E322F" w:rsidRPr="004976C6">
        <w:rPr>
          <w:rFonts w:cs="Arial"/>
          <w:b w:val="0"/>
          <w:caps w:val="0"/>
          <w:sz w:val="22"/>
          <w:szCs w:val="22"/>
          <w:u w:val="none"/>
        </w:rPr>
        <w:t>, South Kensington, London</w:t>
      </w:r>
      <w:r w:rsidR="001B09C6" w:rsidRPr="004976C6">
        <w:rPr>
          <w:rFonts w:cs="Arial"/>
          <w:b w:val="0"/>
          <w:caps w:val="0"/>
          <w:sz w:val="22"/>
          <w:szCs w:val="22"/>
          <w:u w:val="none"/>
        </w:rPr>
        <w:t>.</w:t>
      </w:r>
    </w:p>
    <w:p w14:paraId="3156484F" w14:textId="77777777" w:rsidR="004E1264" w:rsidRPr="004976C6" w:rsidRDefault="001B09C6" w:rsidP="004976C6">
      <w:pPr>
        <w:tabs>
          <w:tab w:val="num" w:pos="720"/>
        </w:tabs>
        <w:spacing w:line="254" w:lineRule="auto"/>
        <w:ind w:left="590" w:right="495" w:hanging="590"/>
        <w:rPr>
          <w:rFonts w:eastAsia="Arial" w:cs="Arial"/>
          <w:sz w:val="22"/>
          <w:szCs w:val="22"/>
          <w:lang w:eastAsia="en-GB"/>
        </w:rPr>
      </w:pPr>
      <w:r w:rsidRPr="004976C6">
        <w:rPr>
          <w:rFonts w:cs="Arial"/>
          <w:bCs/>
          <w:caps/>
          <w:sz w:val="22"/>
          <w:szCs w:val="22"/>
        </w:rPr>
        <w:t>2.2</w:t>
      </w:r>
      <w:r w:rsidRPr="004976C6">
        <w:rPr>
          <w:rFonts w:cs="Arial"/>
          <w:b/>
          <w:caps/>
          <w:sz w:val="22"/>
          <w:szCs w:val="22"/>
        </w:rPr>
        <w:tab/>
      </w:r>
      <w:r w:rsidR="004E1264" w:rsidRPr="004976C6">
        <w:rPr>
          <w:rFonts w:eastAsia="Arial" w:cs="Arial"/>
          <w:sz w:val="22"/>
          <w:szCs w:val="22"/>
          <w:lang w:eastAsia="en-GB"/>
        </w:rPr>
        <w:t xml:space="preserve">The residential blocks are part of the blocks earmarked to benefit from the Council’s investment programme works due to the deteriorating condition of the blocks.  </w:t>
      </w:r>
    </w:p>
    <w:p w14:paraId="5620D34B" w14:textId="21F8F5F6" w:rsidR="0034276C" w:rsidRPr="004976C6" w:rsidRDefault="007D289A" w:rsidP="000F12B1">
      <w:pPr>
        <w:pStyle w:val="A1"/>
        <w:numPr>
          <w:ilvl w:val="0"/>
          <w:numId w:val="0"/>
        </w:numPr>
        <w:ind w:left="590" w:hanging="590"/>
        <w:rPr>
          <w:rFonts w:cs="Arial"/>
          <w:b w:val="0"/>
          <w:caps w:val="0"/>
          <w:sz w:val="22"/>
          <w:szCs w:val="22"/>
          <w:u w:val="none"/>
        </w:rPr>
      </w:pPr>
      <w:r w:rsidRPr="004976C6">
        <w:rPr>
          <w:rFonts w:cs="Arial"/>
          <w:b w:val="0"/>
          <w:caps w:val="0"/>
          <w:sz w:val="22"/>
          <w:szCs w:val="22"/>
          <w:u w:val="none"/>
        </w:rPr>
        <w:t>2.3</w:t>
      </w:r>
      <w:r w:rsidRPr="004976C6">
        <w:rPr>
          <w:rFonts w:cs="Arial"/>
          <w:b w:val="0"/>
          <w:caps w:val="0"/>
          <w:sz w:val="22"/>
          <w:szCs w:val="22"/>
          <w:u w:val="none"/>
        </w:rPr>
        <w:tab/>
        <w:t xml:space="preserve">The JCT </w:t>
      </w:r>
      <w:r w:rsidR="0032677A">
        <w:rPr>
          <w:rFonts w:cs="Arial"/>
          <w:b w:val="0"/>
          <w:caps w:val="0"/>
          <w:sz w:val="22"/>
          <w:szCs w:val="22"/>
          <w:u w:val="none"/>
        </w:rPr>
        <w:t>design and build</w:t>
      </w:r>
      <w:r w:rsidR="00510A2B" w:rsidRPr="004976C6">
        <w:rPr>
          <w:rFonts w:cs="Arial"/>
          <w:b w:val="0"/>
          <w:caps w:val="0"/>
          <w:sz w:val="22"/>
          <w:szCs w:val="22"/>
          <w:u w:val="none"/>
        </w:rPr>
        <w:t xml:space="preserve"> </w:t>
      </w:r>
      <w:r w:rsidRPr="004976C6">
        <w:rPr>
          <w:rFonts w:cs="Arial"/>
          <w:b w:val="0"/>
          <w:caps w:val="0"/>
          <w:sz w:val="22"/>
          <w:szCs w:val="22"/>
          <w:u w:val="none"/>
        </w:rPr>
        <w:t>2016 with RBKC Amendments will be utilised for this contract.</w:t>
      </w:r>
    </w:p>
    <w:p w14:paraId="4456C0DC" w14:textId="77777777" w:rsidR="000F12B1" w:rsidRPr="004976C6" w:rsidRDefault="000F12B1" w:rsidP="000F12B1">
      <w:pPr>
        <w:pStyle w:val="A1"/>
        <w:numPr>
          <w:ilvl w:val="0"/>
          <w:numId w:val="0"/>
        </w:numPr>
        <w:ind w:left="590" w:hanging="590"/>
        <w:rPr>
          <w:rFonts w:cs="Arial"/>
          <w:b w:val="0"/>
          <w:caps w:val="0"/>
          <w:sz w:val="22"/>
          <w:szCs w:val="22"/>
          <w:u w:val="none"/>
        </w:rPr>
      </w:pPr>
    </w:p>
    <w:p w14:paraId="4F317EE1" w14:textId="77777777" w:rsidR="0032397B" w:rsidRPr="004976C6" w:rsidRDefault="0032397B" w:rsidP="00F23035">
      <w:pPr>
        <w:pStyle w:val="A1"/>
        <w:rPr>
          <w:rFonts w:cs="Arial"/>
          <w:sz w:val="22"/>
          <w:szCs w:val="22"/>
        </w:rPr>
      </w:pPr>
      <w:r w:rsidRPr="004976C6">
        <w:rPr>
          <w:rFonts w:cs="Arial"/>
          <w:sz w:val="22"/>
          <w:szCs w:val="22"/>
        </w:rPr>
        <w:t>Tendering timetable</w:t>
      </w:r>
    </w:p>
    <w:p w14:paraId="38DD581A"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To ensure that the evaluation and award process is </w:t>
      </w:r>
      <w:r w:rsidR="0048493B" w:rsidRPr="004976C6">
        <w:rPr>
          <w:rFonts w:cs="Arial"/>
          <w:sz w:val="22"/>
          <w:szCs w:val="22"/>
        </w:rPr>
        <w:t>completed,</w:t>
      </w:r>
      <w:r w:rsidRPr="004976C6">
        <w:rPr>
          <w:rFonts w:cs="Arial"/>
          <w:sz w:val="22"/>
          <w:szCs w:val="22"/>
        </w:rPr>
        <w:t xml:space="preserve"> and the </w:t>
      </w:r>
      <w:r w:rsidR="00167FD2" w:rsidRPr="004976C6">
        <w:rPr>
          <w:rFonts w:cs="Arial"/>
          <w:sz w:val="22"/>
          <w:szCs w:val="22"/>
        </w:rPr>
        <w:t>Contract</w:t>
      </w:r>
      <w:r w:rsidRPr="004976C6">
        <w:rPr>
          <w:rFonts w:cs="Arial"/>
          <w:sz w:val="22"/>
          <w:szCs w:val="22"/>
        </w:rPr>
        <w:t xml:space="preserve"> executed prior to the Commencement Date the </w:t>
      </w:r>
      <w:r w:rsidR="008449A8" w:rsidRPr="004976C6">
        <w:rPr>
          <w:rFonts w:cs="Arial"/>
          <w:sz w:val="22"/>
          <w:szCs w:val="22"/>
        </w:rPr>
        <w:t>Authority</w:t>
      </w:r>
      <w:r w:rsidRPr="004976C6">
        <w:rPr>
          <w:rFonts w:cs="Arial"/>
          <w:sz w:val="22"/>
          <w:szCs w:val="22"/>
        </w:rPr>
        <w:t xml:space="preserve"> has set the following tendering timetable.  The </w:t>
      </w:r>
      <w:r w:rsidR="008449A8" w:rsidRPr="004976C6">
        <w:rPr>
          <w:rFonts w:cs="Arial"/>
          <w:sz w:val="22"/>
          <w:szCs w:val="22"/>
        </w:rPr>
        <w:t>Authority</w:t>
      </w:r>
      <w:r w:rsidRPr="004976C6">
        <w:rPr>
          <w:rFonts w:cs="Arial"/>
          <w:sz w:val="22"/>
          <w:szCs w:val="22"/>
        </w:rPr>
        <w:t xml:space="preserve"> reserves the right to amend the timetable.</w:t>
      </w:r>
    </w:p>
    <w:p w14:paraId="1E89B989" w14:textId="77777777" w:rsidR="00BF7B40" w:rsidRPr="004976C6" w:rsidRDefault="005C0613" w:rsidP="00F23035">
      <w:pPr>
        <w:pStyle w:val="A2"/>
        <w:numPr>
          <w:ilvl w:val="0"/>
          <w:numId w:val="0"/>
        </w:numPr>
        <w:tabs>
          <w:tab w:val="left" w:pos="7320"/>
          <w:tab w:val="right" w:pos="8910"/>
        </w:tabs>
        <w:spacing w:before="0" w:after="0"/>
        <w:ind w:left="2296" w:hanging="864"/>
        <w:rPr>
          <w:rFonts w:cs="Arial"/>
          <w:b/>
          <w:sz w:val="22"/>
          <w:szCs w:val="22"/>
        </w:rPr>
      </w:pPr>
      <w:r w:rsidRPr="004976C6">
        <w:rPr>
          <w:rFonts w:cs="Arial"/>
          <w:b/>
          <w:sz w:val="22"/>
          <w:szCs w:val="22"/>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627"/>
      </w:tblGrid>
      <w:tr w:rsidR="00BF7B40" w:rsidRPr="004976C6" w14:paraId="662B3E1B" w14:textId="77777777" w:rsidTr="0095632E">
        <w:tc>
          <w:tcPr>
            <w:tcW w:w="6804" w:type="dxa"/>
            <w:tcBorders>
              <w:bottom w:val="single" w:sz="4" w:space="0" w:color="auto"/>
            </w:tcBorders>
            <w:shd w:val="pct20" w:color="auto" w:fill="auto"/>
          </w:tcPr>
          <w:p w14:paraId="249F7950"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p>
        </w:tc>
        <w:tc>
          <w:tcPr>
            <w:tcW w:w="2627" w:type="dxa"/>
            <w:tcBorders>
              <w:bottom w:val="single" w:sz="4" w:space="0" w:color="auto"/>
            </w:tcBorders>
            <w:shd w:val="pct20" w:color="auto" w:fill="auto"/>
          </w:tcPr>
          <w:p w14:paraId="14FDC2EA"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r w:rsidRPr="004976C6">
              <w:rPr>
                <w:rFonts w:cs="Arial"/>
                <w:b/>
                <w:sz w:val="22"/>
                <w:szCs w:val="22"/>
              </w:rPr>
              <w:t>Completed by</w:t>
            </w:r>
          </w:p>
        </w:tc>
      </w:tr>
      <w:tr w:rsidR="00BF7B40" w:rsidRPr="004976C6" w14:paraId="5D8CC302" w14:textId="77777777" w:rsidTr="0095632E">
        <w:tc>
          <w:tcPr>
            <w:tcW w:w="6804" w:type="dxa"/>
          </w:tcPr>
          <w:p w14:paraId="23FA8D5E" w14:textId="77777777" w:rsidR="00BF7B40" w:rsidRPr="004976C6" w:rsidRDefault="004E1264" w:rsidP="00F940A6">
            <w:pPr>
              <w:pStyle w:val="A2"/>
              <w:numPr>
                <w:ilvl w:val="0"/>
                <w:numId w:val="0"/>
              </w:numPr>
              <w:tabs>
                <w:tab w:val="left" w:pos="7320"/>
                <w:tab w:val="right" w:pos="8910"/>
              </w:tabs>
              <w:spacing w:before="0" w:after="0"/>
              <w:rPr>
                <w:rFonts w:cs="Arial"/>
                <w:b/>
                <w:sz w:val="22"/>
                <w:szCs w:val="22"/>
              </w:rPr>
            </w:pPr>
            <w:r w:rsidRPr="004976C6">
              <w:rPr>
                <w:rFonts w:cs="Arial"/>
                <w:sz w:val="22"/>
                <w:szCs w:val="22"/>
              </w:rPr>
              <w:t>Tender Publication</w:t>
            </w:r>
          </w:p>
        </w:tc>
        <w:tc>
          <w:tcPr>
            <w:tcW w:w="2627" w:type="dxa"/>
          </w:tcPr>
          <w:p w14:paraId="5E0E16C7" w14:textId="2DA1E9B9" w:rsidR="00BF7B40" w:rsidRPr="0032677A" w:rsidRDefault="00510A2B" w:rsidP="00FA0BC3">
            <w:pPr>
              <w:pStyle w:val="A2"/>
              <w:numPr>
                <w:ilvl w:val="0"/>
                <w:numId w:val="0"/>
              </w:numPr>
              <w:tabs>
                <w:tab w:val="left" w:pos="7320"/>
                <w:tab w:val="right" w:pos="8910"/>
              </w:tabs>
              <w:spacing w:before="0" w:after="0"/>
              <w:rPr>
                <w:rFonts w:cs="Arial"/>
                <w:sz w:val="22"/>
                <w:szCs w:val="22"/>
                <w:highlight w:val="yellow"/>
              </w:rPr>
            </w:pPr>
            <w:r w:rsidRPr="00A10C4D">
              <w:rPr>
                <w:rFonts w:cs="Arial"/>
                <w:sz w:val="22"/>
                <w:szCs w:val="22"/>
              </w:rPr>
              <w:t>1</w:t>
            </w:r>
            <w:r w:rsidR="007D32F9" w:rsidRPr="00A10C4D">
              <w:rPr>
                <w:rFonts w:cs="Arial"/>
                <w:sz w:val="22"/>
                <w:szCs w:val="22"/>
              </w:rPr>
              <w:t>2</w:t>
            </w:r>
            <w:r w:rsidR="00B3659D" w:rsidRPr="00A10C4D">
              <w:rPr>
                <w:rFonts w:cs="Arial"/>
                <w:sz w:val="22"/>
                <w:szCs w:val="22"/>
              </w:rPr>
              <w:t xml:space="preserve"> </w:t>
            </w:r>
            <w:r w:rsidR="00BA0E90" w:rsidRPr="00A10C4D">
              <w:rPr>
                <w:rFonts w:cs="Arial"/>
                <w:sz w:val="22"/>
                <w:szCs w:val="22"/>
              </w:rPr>
              <w:t>November</w:t>
            </w:r>
            <w:r w:rsidR="004E1264" w:rsidRPr="00A10C4D">
              <w:rPr>
                <w:rFonts w:cs="Arial"/>
                <w:sz w:val="22"/>
                <w:szCs w:val="22"/>
              </w:rPr>
              <w:t xml:space="preserve"> 202</w:t>
            </w:r>
            <w:r w:rsidR="00BA0E90" w:rsidRPr="00A10C4D">
              <w:rPr>
                <w:rFonts w:cs="Arial"/>
                <w:sz w:val="22"/>
                <w:szCs w:val="22"/>
              </w:rPr>
              <w:t>1</w:t>
            </w:r>
          </w:p>
        </w:tc>
      </w:tr>
      <w:tr w:rsidR="00BF7B40" w:rsidRPr="004976C6" w14:paraId="27D521A9" w14:textId="77777777" w:rsidTr="0095632E">
        <w:tc>
          <w:tcPr>
            <w:tcW w:w="6804" w:type="dxa"/>
          </w:tcPr>
          <w:p w14:paraId="7C22011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t>Closing date for submission of Tenderers’ questions</w:t>
            </w:r>
            <w:r w:rsidR="00510A2B" w:rsidRPr="004976C6">
              <w:rPr>
                <w:rFonts w:cs="Arial"/>
                <w:sz w:val="22"/>
                <w:szCs w:val="22"/>
              </w:rPr>
              <w:t>, 12 noon on</w:t>
            </w:r>
          </w:p>
        </w:tc>
        <w:tc>
          <w:tcPr>
            <w:tcW w:w="2627" w:type="dxa"/>
          </w:tcPr>
          <w:p w14:paraId="3F908F45" w14:textId="1A855584" w:rsidR="00BF7B40" w:rsidRPr="00535775" w:rsidRDefault="00AA4DF8" w:rsidP="00F940A6">
            <w:pPr>
              <w:pStyle w:val="A2"/>
              <w:numPr>
                <w:ilvl w:val="0"/>
                <w:numId w:val="0"/>
              </w:numPr>
              <w:tabs>
                <w:tab w:val="left" w:pos="7320"/>
                <w:tab w:val="right" w:pos="8910"/>
              </w:tabs>
              <w:spacing w:before="0" w:after="0"/>
              <w:rPr>
                <w:rFonts w:cs="Arial"/>
                <w:sz w:val="22"/>
                <w:szCs w:val="22"/>
              </w:rPr>
            </w:pPr>
            <w:r w:rsidRPr="00535775">
              <w:rPr>
                <w:rFonts w:cs="Arial"/>
                <w:sz w:val="22"/>
                <w:szCs w:val="22"/>
              </w:rPr>
              <w:t>1</w:t>
            </w:r>
            <w:r w:rsidR="00535775" w:rsidRPr="00535775">
              <w:rPr>
                <w:rFonts w:cs="Arial"/>
                <w:sz w:val="22"/>
                <w:szCs w:val="22"/>
              </w:rPr>
              <w:t>5</w:t>
            </w:r>
            <w:r w:rsidR="0098091B" w:rsidRPr="00535775">
              <w:rPr>
                <w:rFonts w:cs="Arial"/>
                <w:sz w:val="22"/>
                <w:szCs w:val="22"/>
              </w:rPr>
              <w:t xml:space="preserve"> </w:t>
            </w:r>
            <w:r w:rsidR="000B2D11" w:rsidRPr="00535775">
              <w:rPr>
                <w:rFonts w:cs="Arial"/>
                <w:sz w:val="22"/>
                <w:szCs w:val="22"/>
              </w:rPr>
              <w:t>December</w:t>
            </w:r>
            <w:r w:rsidR="0098091B" w:rsidRPr="00535775">
              <w:rPr>
                <w:rFonts w:cs="Arial"/>
                <w:sz w:val="22"/>
                <w:szCs w:val="22"/>
              </w:rPr>
              <w:t xml:space="preserve"> 202</w:t>
            </w:r>
            <w:r w:rsidR="00510A2B" w:rsidRPr="00535775">
              <w:rPr>
                <w:rFonts w:cs="Arial"/>
                <w:sz w:val="22"/>
                <w:szCs w:val="22"/>
              </w:rPr>
              <w:t>1</w:t>
            </w:r>
          </w:p>
        </w:tc>
      </w:tr>
      <w:tr w:rsidR="00BF7B40" w:rsidRPr="004976C6" w14:paraId="36AAC90D" w14:textId="77777777" w:rsidTr="0095632E">
        <w:tc>
          <w:tcPr>
            <w:tcW w:w="6804" w:type="dxa"/>
          </w:tcPr>
          <w:p w14:paraId="367910D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t>Answers to Tenderers’ questions circulated to all Tenderers by</w:t>
            </w:r>
            <w:r w:rsidR="00510A2B" w:rsidRPr="004976C6">
              <w:rPr>
                <w:rFonts w:cs="Arial"/>
                <w:sz w:val="22"/>
                <w:szCs w:val="22"/>
              </w:rPr>
              <w:t xml:space="preserve"> 5pm on</w:t>
            </w:r>
          </w:p>
        </w:tc>
        <w:tc>
          <w:tcPr>
            <w:tcW w:w="2627" w:type="dxa"/>
          </w:tcPr>
          <w:p w14:paraId="5D879D4F" w14:textId="74BD3896" w:rsidR="00BF7B40" w:rsidRPr="0032677A" w:rsidRDefault="00510A2B" w:rsidP="00F940A6">
            <w:pPr>
              <w:pStyle w:val="A2"/>
              <w:numPr>
                <w:ilvl w:val="0"/>
                <w:numId w:val="0"/>
              </w:numPr>
              <w:tabs>
                <w:tab w:val="left" w:pos="7320"/>
                <w:tab w:val="right" w:pos="8910"/>
              </w:tabs>
              <w:spacing w:before="0" w:after="0"/>
              <w:rPr>
                <w:rFonts w:cs="Arial"/>
                <w:sz w:val="22"/>
                <w:szCs w:val="22"/>
                <w:highlight w:val="yellow"/>
              </w:rPr>
            </w:pPr>
            <w:r w:rsidRPr="004839FA">
              <w:rPr>
                <w:rFonts w:cs="Arial"/>
                <w:sz w:val="22"/>
                <w:szCs w:val="22"/>
              </w:rPr>
              <w:t>5</w:t>
            </w:r>
            <w:r w:rsidR="0098091B" w:rsidRPr="004839FA">
              <w:rPr>
                <w:rFonts w:cs="Arial"/>
                <w:sz w:val="22"/>
                <w:szCs w:val="22"/>
              </w:rPr>
              <w:t xml:space="preserve"> </w:t>
            </w:r>
            <w:r w:rsidRPr="004839FA">
              <w:rPr>
                <w:rFonts w:cs="Arial"/>
                <w:sz w:val="22"/>
                <w:szCs w:val="22"/>
              </w:rPr>
              <w:t>January</w:t>
            </w:r>
            <w:r w:rsidR="0098091B" w:rsidRPr="004839FA">
              <w:rPr>
                <w:rFonts w:cs="Arial"/>
                <w:sz w:val="22"/>
                <w:szCs w:val="22"/>
              </w:rPr>
              <w:t xml:space="preserve"> 202</w:t>
            </w:r>
            <w:r w:rsidR="004839FA" w:rsidRPr="004839FA">
              <w:rPr>
                <w:rFonts w:cs="Arial"/>
                <w:sz w:val="22"/>
                <w:szCs w:val="22"/>
              </w:rPr>
              <w:t>2</w:t>
            </w:r>
          </w:p>
        </w:tc>
      </w:tr>
      <w:tr w:rsidR="00BF7B40" w:rsidRPr="004976C6" w14:paraId="57E98544" w14:textId="77777777" w:rsidTr="0095632E">
        <w:tc>
          <w:tcPr>
            <w:tcW w:w="6804" w:type="dxa"/>
          </w:tcPr>
          <w:p w14:paraId="50EFBA09"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r w:rsidRPr="004976C6">
              <w:rPr>
                <w:rFonts w:cs="Arial"/>
                <w:sz w:val="22"/>
                <w:szCs w:val="22"/>
              </w:rPr>
              <w:t xml:space="preserve">Closing date for receipt of Tenders, </w:t>
            </w:r>
            <w:r w:rsidR="00510A2B" w:rsidRPr="004976C6">
              <w:rPr>
                <w:rFonts w:cs="Arial"/>
                <w:sz w:val="22"/>
                <w:szCs w:val="22"/>
              </w:rPr>
              <w:t xml:space="preserve">12 </w:t>
            </w:r>
            <w:r w:rsidRPr="004976C6">
              <w:rPr>
                <w:rFonts w:cs="Arial"/>
                <w:sz w:val="22"/>
                <w:szCs w:val="22"/>
              </w:rPr>
              <w:t xml:space="preserve">noon on:                </w:t>
            </w:r>
          </w:p>
        </w:tc>
        <w:tc>
          <w:tcPr>
            <w:tcW w:w="2627" w:type="dxa"/>
          </w:tcPr>
          <w:p w14:paraId="17C0BB98" w14:textId="06C9188A" w:rsidR="00BF7B40" w:rsidRPr="0032677A" w:rsidRDefault="00510A2B" w:rsidP="00F940A6">
            <w:pPr>
              <w:pStyle w:val="A2"/>
              <w:numPr>
                <w:ilvl w:val="0"/>
                <w:numId w:val="0"/>
              </w:numPr>
              <w:tabs>
                <w:tab w:val="left" w:pos="7320"/>
                <w:tab w:val="right" w:pos="8910"/>
              </w:tabs>
              <w:spacing w:before="0" w:after="0"/>
              <w:rPr>
                <w:rFonts w:cs="Arial"/>
                <w:sz w:val="22"/>
                <w:szCs w:val="22"/>
                <w:highlight w:val="yellow"/>
              </w:rPr>
            </w:pPr>
            <w:r w:rsidRPr="007736D6">
              <w:rPr>
                <w:rFonts w:cs="Arial"/>
                <w:sz w:val="22"/>
                <w:szCs w:val="22"/>
              </w:rPr>
              <w:t>1</w:t>
            </w:r>
            <w:r w:rsidR="007736D6" w:rsidRPr="007736D6">
              <w:rPr>
                <w:rFonts w:cs="Arial"/>
                <w:sz w:val="22"/>
                <w:szCs w:val="22"/>
              </w:rPr>
              <w:t>4</w:t>
            </w:r>
            <w:r w:rsidR="00B3659D" w:rsidRPr="007736D6">
              <w:rPr>
                <w:rFonts w:cs="Arial"/>
                <w:sz w:val="22"/>
                <w:szCs w:val="22"/>
              </w:rPr>
              <w:t xml:space="preserve"> </w:t>
            </w:r>
            <w:r w:rsidR="007736D6" w:rsidRPr="007736D6">
              <w:rPr>
                <w:rFonts w:cs="Arial"/>
                <w:sz w:val="22"/>
                <w:szCs w:val="22"/>
              </w:rPr>
              <w:t>Jan</w:t>
            </w:r>
            <w:r w:rsidRPr="007736D6">
              <w:rPr>
                <w:rFonts w:cs="Arial"/>
                <w:sz w:val="22"/>
                <w:szCs w:val="22"/>
              </w:rPr>
              <w:t>uary</w:t>
            </w:r>
            <w:r w:rsidR="00B3659D" w:rsidRPr="007736D6">
              <w:rPr>
                <w:rFonts w:cs="Arial"/>
                <w:sz w:val="22"/>
                <w:szCs w:val="22"/>
              </w:rPr>
              <w:t xml:space="preserve"> 202</w:t>
            </w:r>
            <w:r w:rsidR="007736D6" w:rsidRPr="007736D6">
              <w:rPr>
                <w:rFonts w:cs="Arial"/>
                <w:sz w:val="22"/>
                <w:szCs w:val="22"/>
              </w:rPr>
              <w:t>2</w:t>
            </w:r>
          </w:p>
        </w:tc>
      </w:tr>
      <w:tr w:rsidR="005A5E87" w:rsidRPr="004976C6" w14:paraId="1BB8A6B3" w14:textId="77777777" w:rsidTr="0095632E">
        <w:tc>
          <w:tcPr>
            <w:tcW w:w="6804" w:type="dxa"/>
          </w:tcPr>
          <w:p w14:paraId="34AA73BF" w14:textId="77777777" w:rsidR="005A5E87" w:rsidRPr="004976C6" w:rsidRDefault="00A81CCD"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Evaluation Completed by</w:t>
            </w:r>
          </w:p>
        </w:tc>
        <w:tc>
          <w:tcPr>
            <w:tcW w:w="2627" w:type="dxa"/>
          </w:tcPr>
          <w:p w14:paraId="0A272B66" w14:textId="6407240E" w:rsidR="005A5E87" w:rsidRPr="0032677A" w:rsidRDefault="0008162B" w:rsidP="00F940A6">
            <w:pPr>
              <w:pStyle w:val="A2"/>
              <w:numPr>
                <w:ilvl w:val="0"/>
                <w:numId w:val="0"/>
              </w:numPr>
              <w:tabs>
                <w:tab w:val="left" w:pos="7320"/>
                <w:tab w:val="right" w:pos="8910"/>
              </w:tabs>
              <w:spacing w:before="0" w:after="0"/>
              <w:rPr>
                <w:rFonts w:cs="Arial"/>
                <w:sz w:val="22"/>
                <w:szCs w:val="22"/>
                <w:highlight w:val="yellow"/>
              </w:rPr>
            </w:pPr>
            <w:r w:rsidRPr="00404E63">
              <w:rPr>
                <w:rFonts w:cs="Arial"/>
                <w:sz w:val="22"/>
                <w:szCs w:val="22"/>
              </w:rPr>
              <w:t>21</w:t>
            </w:r>
            <w:r w:rsidR="0098091B" w:rsidRPr="00404E63">
              <w:rPr>
                <w:rFonts w:cs="Arial"/>
                <w:sz w:val="22"/>
                <w:szCs w:val="22"/>
              </w:rPr>
              <w:t xml:space="preserve"> </w:t>
            </w:r>
            <w:r w:rsidRPr="00404E63">
              <w:rPr>
                <w:rFonts w:cs="Arial"/>
                <w:sz w:val="22"/>
                <w:szCs w:val="22"/>
              </w:rPr>
              <w:t>Jan</w:t>
            </w:r>
            <w:r w:rsidR="00510A2B" w:rsidRPr="00404E63">
              <w:rPr>
                <w:rFonts w:cs="Arial"/>
                <w:sz w:val="22"/>
                <w:szCs w:val="22"/>
              </w:rPr>
              <w:t>uary</w:t>
            </w:r>
            <w:r w:rsidR="0098091B" w:rsidRPr="00404E63">
              <w:rPr>
                <w:rFonts w:cs="Arial"/>
                <w:sz w:val="22"/>
                <w:szCs w:val="22"/>
              </w:rPr>
              <w:t xml:space="preserve"> 202</w:t>
            </w:r>
            <w:r w:rsidR="00404E63" w:rsidRPr="00404E63">
              <w:rPr>
                <w:rFonts w:cs="Arial"/>
                <w:sz w:val="22"/>
                <w:szCs w:val="22"/>
              </w:rPr>
              <w:t>2</w:t>
            </w:r>
          </w:p>
        </w:tc>
      </w:tr>
      <w:tr w:rsidR="00BF7B40" w:rsidRPr="004976C6" w14:paraId="16CD3379" w14:textId="77777777" w:rsidTr="0095632E">
        <w:tc>
          <w:tcPr>
            <w:tcW w:w="6804" w:type="dxa"/>
          </w:tcPr>
          <w:p w14:paraId="15DFCED0" w14:textId="77777777" w:rsidR="00BF7B40" w:rsidRPr="004976C6" w:rsidRDefault="00975734"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Section 20 NoP Leasehold consultation prep </w:t>
            </w:r>
          </w:p>
        </w:tc>
        <w:tc>
          <w:tcPr>
            <w:tcW w:w="2627" w:type="dxa"/>
          </w:tcPr>
          <w:p w14:paraId="460DB45D" w14:textId="29DE9271" w:rsidR="00BF7B40" w:rsidRPr="0091585F" w:rsidRDefault="00424A60" w:rsidP="00975734">
            <w:pPr>
              <w:pStyle w:val="A2"/>
              <w:numPr>
                <w:ilvl w:val="0"/>
                <w:numId w:val="0"/>
              </w:numPr>
              <w:tabs>
                <w:tab w:val="left" w:pos="7320"/>
                <w:tab w:val="right" w:pos="8910"/>
              </w:tabs>
              <w:spacing w:before="0" w:after="0"/>
              <w:rPr>
                <w:rFonts w:cs="Arial"/>
                <w:sz w:val="22"/>
                <w:szCs w:val="22"/>
              </w:rPr>
            </w:pPr>
            <w:r w:rsidRPr="0091585F">
              <w:rPr>
                <w:rFonts w:cs="Arial"/>
                <w:sz w:val="22"/>
                <w:szCs w:val="22"/>
              </w:rPr>
              <w:t>24</w:t>
            </w:r>
            <w:r w:rsidR="00975734" w:rsidRPr="0091585F">
              <w:rPr>
                <w:rFonts w:cs="Arial"/>
                <w:sz w:val="22"/>
                <w:szCs w:val="22"/>
              </w:rPr>
              <w:t xml:space="preserve"> </w:t>
            </w:r>
            <w:r w:rsidRPr="0091585F">
              <w:rPr>
                <w:rFonts w:cs="Arial"/>
                <w:sz w:val="22"/>
                <w:szCs w:val="22"/>
              </w:rPr>
              <w:t>Jan</w:t>
            </w:r>
            <w:r w:rsidR="00975734" w:rsidRPr="0091585F">
              <w:rPr>
                <w:rFonts w:cs="Arial"/>
                <w:sz w:val="22"/>
                <w:szCs w:val="22"/>
              </w:rPr>
              <w:t xml:space="preserve"> – </w:t>
            </w:r>
            <w:r w:rsidR="00AF7C7C" w:rsidRPr="0091585F">
              <w:rPr>
                <w:rFonts w:cs="Arial"/>
                <w:sz w:val="22"/>
                <w:szCs w:val="22"/>
              </w:rPr>
              <w:t>4</w:t>
            </w:r>
            <w:r w:rsidR="00975734" w:rsidRPr="0091585F">
              <w:rPr>
                <w:rFonts w:cs="Arial"/>
                <w:sz w:val="22"/>
                <w:szCs w:val="22"/>
              </w:rPr>
              <w:t xml:space="preserve"> Feb 2</w:t>
            </w:r>
            <w:r w:rsidR="006D316A" w:rsidRPr="0091585F">
              <w:rPr>
                <w:rFonts w:cs="Arial"/>
                <w:sz w:val="22"/>
                <w:szCs w:val="22"/>
              </w:rPr>
              <w:t>2</w:t>
            </w:r>
            <w:r w:rsidR="00975734" w:rsidRPr="0091585F">
              <w:rPr>
                <w:rFonts w:cs="Arial"/>
                <w:sz w:val="22"/>
                <w:szCs w:val="22"/>
              </w:rPr>
              <w:t> </w:t>
            </w:r>
          </w:p>
        </w:tc>
      </w:tr>
      <w:tr w:rsidR="005A5E87" w:rsidRPr="004976C6" w14:paraId="2FF48F8B" w14:textId="77777777" w:rsidTr="0095632E">
        <w:tc>
          <w:tcPr>
            <w:tcW w:w="6804" w:type="dxa"/>
          </w:tcPr>
          <w:p w14:paraId="593C5AB5" w14:textId="77777777" w:rsidR="005A5E87"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lang w:val="en-US"/>
              </w:rPr>
              <w:t>Section 20 Observations</w:t>
            </w:r>
            <w:r w:rsidRPr="004976C6">
              <w:rPr>
                <w:rFonts w:cs="Arial"/>
                <w:sz w:val="22"/>
                <w:szCs w:val="22"/>
              </w:rPr>
              <w:t> </w:t>
            </w:r>
          </w:p>
        </w:tc>
        <w:tc>
          <w:tcPr>
            <w:tcW w:w="2627" w:type="dxa"/>
          </w:tcPr>
          <w:p w14:paraId="7B70C2F8" w14:textId="577AB497" w:rsidR="005A5E87" w:rsidRPr="0091585F" w:rsidRDefault="00AF7C7C" w:rsidP="00F940A6">
            <w:pPr>
              <w:pStyle w:val="A2"/>
              <w:numPr>
                <w:ilvl w:val="0"/>
                <w:numId w:val="0"/>
              </w:numPr>
              <w:tabs>
                <w:tab w:val="left" w:pos="7320"/>
                <w:tab w:val="right" w:pos="8910"/>
              </w:tabs>
              <w:spacing w:before="0" w:after="0"/>
              <w:rPr>
                <w:rFonts w:cs="Arial"/>
                <w:sz w:val="22"/>
                <w:szCs w:val="22"/>
              </w:rPr>
            </w:pPr>
            <w:r w:rsidRPr="0091585F">
              <w:rPr>
                <w:rFonts w:cs="Arial"/>
                <w:sz w:val="22"/>
                <w:szCs w:val="22"/>
              </w:rPr>
              <w:t>7</w:t>
            </w:r>
            <w:r w:rsidR="00975734" w:rsidRPr="0091585F">
              <w:rPr>
                <w:rFonts w:cs="Arial"/>
                <w:sz w:val="22"/>
                <w:szCs w:val="22"/>
              </w:rPr>
              <w:t xml:space="preserve"> Feb – </w:t>
            </w:r>
            <w:r w:rsidR="0094437E" w:rsidRPr="0091585F">
              <w:rPr>
                <w:rFonts w:cs="Arial"/>
                <w:sz w:val="22"/>
                <w:szCs w:val="22"/>
              </w:rPr>
              <w:t>18</w:t>
            </w:r>
            <w:r w:rsidR="00975734" w:rsidRPr="0091585F">
              <w:rPr>
                <w:rFonts w:cs="Arial"/>
                <w:sz w:val="22"/>
                <w:szCs w:val="22"/>
              </w:rPr>
              <w:t xml:space="preserve"> Mar 2</w:t>
            </w:r>
            <w:r w:rsidR="00B4648F" w:rsidRPr="0091585F">
              <w:rPr>
                <w:rFonts w:cs="Arial"/>
                <w:sz w:val="22"/>
                <w:szCs w:val="22"/>
              </w:rPr>
              <w:t>2</w:t>
            </w:r>
          </w:p>
        </w:tc>
      </w:tr>
      <w:tr w:rsidR="00510A2B" w:rsidRPr="004976C6" w14:paraId="2BEDDCB3" w14:textId="77777777" w:rsidTr="0095632E">
        <w:tc>
          <w:tcPr>
            <w:tcW w:w="6804" w:type="dxa"/>
          </w:tcPr>
          <w:p w14:paraId="54338D41" w14:textId="77777777" w:rsidR="00510A2B"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report</w:t>
            </w:r>
          </w:p>
        </w:tc>
        <w:tc>
          <w:tcPr>
            <w:tcW w:w="2627" w:type="dxa"/>
          </w:tcPr>
          <w:p w14:paraId="58BED492" w14:textId="270F0A90" w:rsidR="00510A2B" w:rsidRPr="0091585F" w:rsidRDefault="00843C1C" w:rsidP="00F940A6">
            <w:pPr>
              <w:pStyle w:val="A2"/>
              <w:numPr>
                <w:ilvl w:val="0"/>
                <w:numId w:val="0"/>
              </w:numPr>
              <w:tabs>
                <w:tab w:val="left" w:pos="7320"/>
                <w:tab w:val="right" w:pos="8910"/>
              </w:tabs>
              <w:spacing w:before="0" w:after="0"/>
              <w:rPr>
                <w:rFonts w:cs="Arial"/>
                <w:sz w:val="22"/>
                <w:szCs w:val="22"/>
              </w:rPr>
            </w:pPr>
            <w:r w:rsidRPr="0091585F">
              <w:rPr>
                <w:rFonts w:cs="Arial"/>
                <w:sz w:val="22"/>
                <w:szCs w:val="22"/>
              </w:rPr>
              <w:t>2</w:t>
            </w:r>
            <w:r w:rsidR="00EA1FA8" w:rsidRPr="0091585F">
              <w:rPr>
                <w:rFonts w:cs="Arial"/>
                <w:sz w:val="22"/>
                <w:szCs w:val="22"/>
              </w:rPr>
              <w:t>5</w:t>
            </w:r>
            <w:r w:rsidRPr="0091585F">
              <w:rPr>
                <w:rFonts w:cs="Arial"/>
                <w:sz w:val="22"/>
                <w:szCs w:val="22"/>
              </w:rPr>
              <w:t xml:space="preserve"> March 202</w:t>
            </w:r>
            <w:r w:rsidR="00EA1FA8" w:rsidRPr="0091585F">
              <w:rPr>
                <w:rFonts w:cs="Arial"/>
                <w:sz w:val="22"/>
                <w:szCs w:val="22"/>
              </w:rPr>
              <w:t>2</w:t>
            </w:r>
          </w:p>
        </w:tc>
      </w:tr>
      <w:tr w:rsidR="00510A2B" w:rsidRPr="004976C6" w14:paraId="6F096EB1" w14:textId="77777777" w:rsidTr="0095632E">
        <w:tc>
          <w:tcPr>
            <w:tcW w:w="6804" w:type="dxa"/>
          </w:tcPr>
          <w:p w14:paraId="5F389BF0" w14:textId="77777777" w:rsidR="00510A2B" w:rsidRPr="004976C6" w:rsidRDefault="00843C1C"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approved</w:t>
            </w:r>
          </w:p>
        </w:tc>
        <w:tc>
          <w:tcPr>
            <w:tcW w:w="2627" w:type="dxa"/>
          </w:tcPr>
          <w:p w14:paraId="19C32905" w14:textId="043EFA23" w:rsidR="00510A2B" w:rsidRPr="0091585F" w:rsidRDefault="006E4E87" w:rsidP="00F940A6">
            <w:pPr>
              <w:pStyle w:val="A2"/>
              <w:numPr>
                <w:ilvl w:val="0"/>
                <w:numId w:val="0"/>
              </w:numPr>
              <w:tabs>
                <w:tab w:val="left" w:pos="7320"/>
                <w:tab w:val="right" w:pos="8910"/>
              </w:tabs>
              <w:spacing w:before="0" w:after="0"/>
              <w:rPr>
                <w:rFonts w:cs="Arial"/>
                <w:sz w:val="22"/>
                <w:szCs w:val="22"/>
              </w:rPr>
            </w:pPr>
            <w:r w:rsidRPr="0091585F">
              <w:rPr>
                <w:rFonts w:cs="Arial"/>
                <w:sz w:val="22"/>
                <w:szCs w:val="22"/>
              </w:rPr>
              <w:t>8</w:t>
            </w:r>
            <w:r w:rsidR="00843C1C" w:rsidRPr="0091585F">
              <w:rPr>
                <w:rFonts w:cs="Arial"/>
                <w:sz w:val="22"/>
                <w:szCs w:val="22"/>
              </w:rPr>
              <w:t xml:space="preserve"> April 202</w:t>
            </w:r>
            <w:r w:rsidRPr="0091585F">
              <w:rPr>
                <w:rFonts w:cs="Arial"/>
                <w:sz w:val="22"/>
                <w:szCs w:val="22"/>
              </w:rPr>
              <w:t>2</w:t>
            </w:r>
          </w:p>
        </w:tc>
      </w:tr>
      <w:tr w:rsidR="00975734" w:rsidRPr="004976C6" w14:paraId="724C198F" w14:textId="77777777" w:rsidTr="0095632E">
        <w:tc>
          <w:tcPr>
            <w:tcW w:w="6804" w:type="dxa"/>
          </w:tcPr>
          <w:p w14:paraId="57E88040" w14:textId="77777777" w:rsidR="00975734" w:rsidRPr="004976C6" w:rsidRDefault="00843C1C"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End of Leasehold consultation</w:t>
            </w:r>
          </w:p>
        </w:tc>
        <w:tc>
          <w:tcPr>
            <w:tcW w:w="2627" w:type="dxa"/>
          </w:tcPr>
          <w:p w14:paraId="0D8CEC26" w14:textId="23F62C07" w:rsidR="00975734" w:rsidRPr="0091585F" w:rsidRDefault="00FA523D" w:rsidP="00F940A6">
            <w:pPr>
              <w:pStyle w:val="A2"/>
              <w:numPr>
                <w:ilvl w:val="0"/>
                <w:numId w:val="0"/>
              </w:numPr>
              <w:tabs>
                <w:tab w:val="left" w:pos="7320"/>
                <w:tab w:val="right" w:pos="8910"/>
              </w:tabs>
              <w:spacing w:before="0" w:after="0"/>
              <w:rPr>
                <w:rFonts w:cs="Arial"/>
                <w:sz w:val="22"/>
                <w:szCs w:val="22"/>
              </w:rPr>
            </w:pPr>
            <w:r w:rsidRPr="0091585F">
              <w:rPr>
                <w:rFonts w:cs="Arial"/>
                <w:sz w:val="22"/>
                <w:szCs w:val="22"/>
              </w:rPr>
              <w:t>4</w:t>
            </w:r>
            <w:r w:rsidR="00843C1C" w:rsidRPr="0091585F">
              <w:rPr>
                <w:rFonts w:cs="Arial"/>
                <w:sz w:val="22"/>
                <w:szCs w:val="22"/>
              </w:rPr>
              <w:t xml:space="preserve"> March 202</w:t>
            </w:r>
            <w:r w:rsidRPr="0091585F">
              <w:rPr>
                <w:rFonts w:cs="Arial"/>
                <w:sz w:val="22"/>
                <w:szCs w:val="22"/>
              </w:rPr>
              <w:t>2</w:t>
            </w:r>
          </w:p>
        </w:tc>
      </w:tr>
      <w:tr w:rsidR="00843C1C" w:rsidRPr="004976C6" w14:paraId="0650BD12" w14:textId="77777777" w:rsidTr="0095632E">
        <w:tc>
          <w:tcPr>
            <w:tcW w:w="6804" w:type="dxa"/>
          </w:tcPr>
          <w:p w14:paraId="6C7D8625" w14:textId="77777777" w:rsidR="00843C1C" w:rsidRPr="004976C6" w:rsidRDefault="00843C1C" w:rsidP="00975734">
            <w:pPr>
              <w:pStyle w:val="A2"/>
              <w:numPr>
                <w:ilvl w:val="0"/>
                <w:numId w:val="0"/>
              </w:numPr>
              <w:tabs>
                <w:tab w:val="left" w:pos="990"/>
                <w:tab w:val="left" w:pos="7320"/>
                <w:tab w:val="right" w:pos="8910"/>
              </w:tabs>
              <w:spacing w:before="0" w:after="0"/>
              <w:rPr>
                <w:rFonts w:cs="Arial"/>
                <w:sz w:val="22"/>
                <w:szCs w:val="22"/>
              </w:rPr>
            </w:pPr>
            <w:r w:rsidRPr="004976C6">
              <w:rPr>
                <w:rFonts w:cs="Arial"/>
                <w:sz w:val="22"/>
                <w:szCs w:val="22"/>
              </w:rPr>
              <w:t>Standstill period</w:t>
            </w:r>
          </w:p>
        </w:tc>
        <w:tc>
          <w:tcPr>
            <w:tcW w:w="2627" w:type="dxa"/>
          </w:tcPr>
          <w:p w14:paraId="26903BBE" w14:textId="7F0DF236" w:rsidR="00843C1C" w:rsidRPr="0091585F" w:rsidRDefault="00843C1C" w:rsidP="00975734">
            <w:pPr>
              <w:pStyle w:val="A2"/>
              <w:numPr>
                <w:ilvl w:val="0"/>
                <w:numId w:val="0"/>
              </w:numPr>
              <w:tabs>
                <w:tab w:val="left" w:pos="7320"/>
                <w:tab w:val="right" w:pos="8910"/>
              </w:tabs>
              <w:spacing w:before="0" w:after="0"/>
              <w:rPr>
                <w:rFonts w:cs="Arial"/>
                <w:sz w:val="22"/>
                <w:szCs w:val="22"/>
              </w:rPr>
            </w:pPr>
            <w:r w:rsidRPr="0091585F">
              <w:rPr>
                <w:rFonts w:cs="Arial"/>
                <w:sz w:val="22"/>
                <w:szCs w:val="22"/>
              </w:rPr>
              <w:t>2</w:t>
            </w:r>
            <w:r w:rsidR="00E052A9" w:rsidRPr="0091585F">
              <w:rPr>
                <w:rFonts w:cs="Arial"/>
                <w:sz w:val="22"/>
                <w:szCs w:val="22"/>
              </w:rPr>
              <w:t>5</w:t>
            </w:r>
            <w:r w:rsidRPr="0091585F">
              <w:rPr>
                <w:rFonts w:cs="Arial"/>
                <w:sz w:val="22"/>
                <w:szCs w:val="22"/>
              </w:rPr>
              <w:t xml:space="preserve"> Mar – </w:t>
            </w:r>
            <w:r w:rsidR="0099391D" w:rsidRPr="0091585F">
              <w:rPr>
                <w:rFonts w:cs="Arial"/>
                <w:sz w:val="22"/>
                <w:szCs w:val="22"/>
              </w:rPr>
              <w:t>8</w:t>
            </w:r>
            <w:r w:rsidRPr="0091585F">
              <w:rPr>
                <w:rFonts w:cs="Arial"/>
                <w:sz w:val="22"/>
                <w:szCs w:val="22"/>
              </w:rPr>
              <w:t xml:space="preserve"> Apr 2</w:t>
            </w:r>
            <w:r w:rsidR="0099391D" w:rsidRPr="0091585F">
              <w:rPr>
                <w:rFonts w:cs="Arial"/>
                <w:sz w:val="22"/>
                <w:szCs w:val="22"/>
              </w:rPr>
              <w:t>2</w:t>
            </w:r>
          </w:p>
        </w:tc>
      </w:tr>
      <w:tr w:rsidR="00975734" w:rsidRPr="004976C6" w14:paraId="5F489FF0" w14:textId="77777777" w:rsidTr="0095632E">
        <w:tc>
          <w:tcPr>
            <w:tcW w:w="6804" w:type="dxa"/>
          </w:tcPr>
          <w:p w14:paraId="6272153B" w14:textId="77777777" w:rsidR="00975734" w:rsidRPr="004976C6" w:rsidRDefault="00843C1C" w:rsidP="00975734">
            <w:pPr>
              <w:pStyle w:val="A2"/>
              <w:numPr>
                <w:ilvl w:val="0"/>
                <w:numId w:val="0"/>
              </w:numPr>
              <w:tabs>
                <w:tab w:val="left" w:pos="990"/>
                <w:tab w:val="left" w:pos="7320"/>
                <w:tab w:val="right" w:pos="8910"/>
              </w:tabs>
              <w:spacing w:before="0" w:after="0"/>
              <w:rPr>
                <w:rFonts w:cs="Arial"/>
                <w:b/>
                <w:sz w:val="22"/>
                <w:szCs w:val="22"/>
              </w:rPr>
            </w:pPr>
            <w:r w:rsidRPr="004976C6">
              <w:rPr>
                <w:rFonts w:cs="Arial"/>
                <w:sz w:val="22"/>
                <w:szCs w:val="22"/>
              </w:rPr>
              <w:t>Issue of</w:t>
            </w:r>
            <w:r w:rsidR="00975734" w:rsidRPr="004976C6">
              <w:rPr>
                <w:rFonts w:cs="Arial"/>
                <w:sz w:val="22"/>
                <w:szCs w:val="22"/>
              </w:rPr>
              <w:t xml:space="preserve"> </w:t>
            </w:r>
            <w:r w:rsidRPr="004976C6">
              <w:rPr>
                <w:rFonts w:cs="Arial"/>
                <w:sz w:val="22"/>
                <w:szCs w:val="22"/>
              </w:rPr>
              <w:t>A</w:t>
            </w:r>
            <w:r w:rsidR="00975734" w:rsidRPr="004976C6">
              <w:rPr>
                <w:rFonts w:cs="Arial"/>
                <w:sz w:val="22"/>
                <w:szCs w:val="22"/>
              </w:rPr>
              <w:t xml:space="preserve">ward </w:t>
            </w:r>
            <w:r w:rsidRPr="004976C6">
              <w:rPr>
                <w:rFonts w:cs="Arial"/>
                <w:sz w:val="22"/>
                <w:szCs w:val="22"/>
              </w:rPr>
              <w:t>and Regrets</w:t>
            </w:r>
            <w:r w:rsidR="00975734" w:rsidRPr="004976C6">
              <w:rPr>
                <w:rFonts w:cs="Arial"/>
                <w:sz w:val="22"/>
                <w:szCs w:val="22"/>
              </w:rPr>
              <w:t xml:space="preserve">                                        </w:t>
            </w:r>
          </w:p>
        </w:tc>
        <w:tc>
          <w:tcPr>
            <w:tcW w:w="2627" w:type="dxa"/>
          </w:tcPr>
          <w:p w14:paraId="4DA57364" w14:textId="54B39966" w:rsidR="00975734" w:rsidRPr="0032677A" w:rsidRDefault="00820D59" w:rsidP="00975734">
            <w:pPr>
              <w:pStyle w:val="A2"/>
              <w:numPr>
                <w:ilvl w:val="0"/>
                <w:numId w:val="0"/>
              </w:numPr>
              <w:tabs>
                <w:tab w:val="left" w:pos="7320"/>
                <w:tab w:val="right" w:pos="8910"/>
              </w:tabs>
              <w:spacing w:before="0" w:after="0"/>
              <w:rPr>
                <w:rFonts w:cs="Arial"/>
                <w:sz w:val="22"/>
                <w:szCs w:val="22"/>
                <w:highlight w:val="yellow"/>
              </w:rPr>
            </w:pPr>
            <w:r w:rsidRPr="00820D59">
              <w:rPr>
                <w:rFonts w:cs="Arial"/>
                <w:sz w:val="22"/>
                <w:szCs w:val="22"/>
              </w:rPr>
              <w:t>11</w:t>
            </w:r>
            <w:r w:rsidR="00975734" w:rsidRPr="00820D59">
              <w:rPr>
                <w:rFonts w:cs="Arial"/>
                <w:sz w:val="22"/>
                <w:szCs w:val="22"/>
              </w:rPr>
              <w:t xml:space="preserve"> April 202</w:t>
            </w:r>
            <w:r w:rsidR="0099391D" w:rsidRPr="00820D59">
              <w:rPr>
                <w:rFonts w:cs="Arial"/>
                <w:sz w:val="22"/>
                <w:szCs w:val="22"/>
              </w:rPr>
              <w:t>2</w:t>
            </w:r>
          </w:p>
        </w:tc>
      </w:tr>
      <w:tr w:rsidR="00975734" w:rsidRPr="004976C6" w14:paraId="75DA7CF1" w14:textId="77777777" w:rsidTr="0095632E">
        <w:tc>
          <w:tcPr>
            <w:tcW w:w="6804" w:type="dxa"/>
            <w:tcBorders>
              <w:bottom w:val="single" w:sz="4" w:space="0" w:color="auto"/>
            </w:tcBorders>
          </w:tcPr>
          <w:p w14:paraId="002CA783" w14:textId="77777777" w:rsidR="00975734" w:rsidRPr="004976C6" w:rsidRDefault="00843C1C"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Mobilisation period ends</w:t>
            </w:r>
          </w:p>
        </w:tc>
        <w:tc>
          <w:tcPr>
            <w:tcW w:w="2627" w:type="dxa"/>
            <w:tcBorders>
              <w:bottom w:val="single" w:sz="4" w:space="0" w:color="auto"/>
            </w:tcBorders>
          </w:tcPr>
          <w:p w14:paraId="4C230097" w14:textId="4153D4A6" w:rsidR="00975734" w:rsidRPr="0032677A" w:rsidRDefault="00860A77" w:rsidP="00975734">
            <w:pPr>
              <w:pStyle w:val="A2"/>
              <w:numPr>
                <w:ilvl w:val="0"/>
                <w:numId w:val="0"/>
              </w:numPr>
              <w:tabs>
                <w:tab w:val="left" w:pos="7320"/>
                <w:tab w:val="right" w:pos="8910"/>
              </w:tabs>
              <w:spacing w:before="0" w:after="0"/>
              <w:rPr>
                <w:rFonts w:cs="Arial"/>
                <w:sz w:val="22"/>
                <w:szCs w:val="22"/>
                <w:highlight w:val="yellow"/>
              </w:rPr>
            </w:pPr>
            <w:r w:rsidRPr="00860A77">
              <w:rPr>
                <w:rFonts w:cs="Arial"/>
                <w:sz w:val="22"/>
                <w:szCs w:val="22"/>
              </w:rPr>
              <w:t>6</w:t>
            </w:r>
            <w:r w:rsidR="00843C1C" w:rsidRPr="00860A77">
              <w:rPr>
                <w:rFonts w:cs="Arial"/>
                <w:sz w:val="22"/>
                <w:szCs w:val="22"/>
              </w:rPr>
              <w:t xml:space="preserve"> May 202</w:t>
            </w:r>
            <w:r w:rsidRPr="00860A77">
              <w:rPr>
                <w:rFonts w:cs="Arial"/>
                <w:sz w:val="22"/>
                <w:szCs w:val="22"/>
              </w:rPr>
              <w:t>2</w:t>
            </w:r>
          </w:p>
        </w:tc>
      </w:tr>
      <w:tr w:rsidR="00361EA9" w:rsidRPr="004976C6" w14:paraId="63C3822A" w14:textId="77777777" w:rsidTr="0095632E">
        <w:tc>
          <w:tcPr>
            <w:tcW w:w="6804" w:type="dxa"/>
            <w:tcBorders>
              <w:bottom w:val="single" w:sz="4" w:space="0" w:color="auto"/>
            </w:tcBorders>
          </w:tcPr>
          <w:p w14:paraId="59F81AD7" w14:textId="77777777" w:rsidR="00361EA9" w:rsidRPr="004976C6" w:rsidRDefault="00361EA9"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Contract commencement date</w:t>
            </w:r>
          </w:p>
        </w:tc>
        <w:tc>
          <w:tcPr>
            <w:tcW w:w="2627" w:type="dxa"/>
            <w:tcBorders>
              <w:bottom w:val="single" w:sz="4" w:space="0" w:color="auto"/>
            </w:tcBorders>
          </w:tcPr>
          <w:p w14:paraId="1E2A9C86" w14:textId="14885BE2" w:rsidR="00361EA9" w:rsidRPr="009379A5" w:rsidRDefault="009379A5" w:rsidP="00975734">
            <w:pPr>
              <w:pStyle w:val="A2"/>
              <w:numPr>
                <w:ilvl w:val="0"/>
                <w:numId w:val="0"/>
              </w:numPr>
              <w:tabs>
                <w:tab w:val="left" w:pos="7320"/>
                <w:tab w:val="right" w:pos="8910"/>
              </w:tabs>
              <w:spacing w:before="0" w:after="0"/>
              <w:rPr>
                <w:rFonts w:cs="Arial"/>
                <w:sz w:val="22"/>
                <w:szCs w:val="22"/>
              </w:rPr>
            </w:pPr>
            <w:r w:rsidRPr="009379A5">
              <w:rPr>
                <w:rFonts w:cs="Arial"/>
                <w:sz w:val="22"/>
                <w:szCs w:val="22"/>
              </w:rPr>
              <w:t>9</w:t>
            </w:r>
            <w:r w:rsidR="00361EA9" w:rsidRPr="009379A5">
              <w:rPr>
                <w:rFonts w:cs="Arial"/>
                <w:sz w:val="22"/>
                <w:szCs w:val="22"/>
              </w:rPr>
              <w:t xml:space="preserve"> May 202</w:t>
            </w:r>
            <w:r w:rsidRPr="009379A5">
              <w:rPr>
                <w:rFonts w:cs="Arial"/>
                <w:sz w:val="22"/>
                <w:szCs w:val="22"/>
              </w:rPr>
              <w:t>2</w:t>
            </w:r>
          </w:p>
        </w:tc>
      </w:tr>
    </w:tbl>
    <w:p w14:paraId="5E657C05" w14:textId="77777777" w:rsidR="005C0613" w:rsidRPr="004976C6" w:rsidRDefault="005C0613" w:rsidP="0019079D">
      <w:pPr>
        <w:pStyle w:val="A2"/>
        <w:numPr>
          <w:ilvl w:val="0"/>
          <w:numId w:val="0"/>
        </w:numPr>
        <w:ind w:left="1440"/>
        <w:rPr>
          <w:rFonts w:cs="Arial"/>
          <w:sz w:val="22"/>
          <w:szCs w:val="22"/>
        </w:rPr>
      </w:pPr>
      <w:bookmarkStart w:id="3" w:name="_Toc506726721"/>
    </w:p>
    <w:p w14:paraId="7653A1D5" w14:textId="77777777" w:rsidR="00361EA9" w:rsidRPr="004976C6" w:rsidRDefault="00361EA9" w:rsidP="00361EA9">
      <w:pPr>
        <w:pStyle w:val="A1"/>
        <w:rPr>
          <w:rFonts w:cs="Arial"/>
          <w:sz w:val="22"/>
          <w:szCs w:val="22"/>
        </w:rPr>
      </w:pPr>
      <w:bookmarkStart w:id="4" w:name="_Toc371626599"/>
      <w:bookmarkStart w:id="5" w:name="_Toc394843645"/>
      <w:r w:rsidRPr="004976C6">
        <w:rPr>
          <w:rFonts w:cs="Arial"/>
          <w:sz w:val="22"/>
          <w:szCs w:val="22"/>
        </w:rPr>
        <w:t>Right to Cancel or Vary the Process</w:t>
      </w:r>
      <w:bookmarkEnd w:id="4"/>
      <w:bookmarkEnd w:id="5"/>
    </w:p>
    <w:p w14:paraId="0174564E" w14:textId="77777777" w:rsidR="00361EA9" w:rsidRPr="004976C6" w:rsidRDefault="00361EA9" w:rsidP="00361EA9">
      <w:pPr>
        <w:pStyle w:val="A2"/>
        <w:tabs>
          <w:tab w:val="num" w:pos="567"/>
        </w:tabs>
        <w:ind w:left="567" w:hanging="567"/>
        <w:rPr>
          <w:rFonts w:cs="Arial"/>
          <w:sz w:val="22"/>
          <w:szCs w:val="22"/>
        </w:rPr>
      </w:pPr>
      <w:r w:rsidRPr="004976C6">
        <w:rPr>
          <w:rFonts w:cs="Arial"/>
          <w:sz w:val="22"/>
          <w:szCs w:val="22"/>
        </w:rPr>
        <w:t>The Authority reserves the right:</w:t>
      </w:r>
    </w:p>
    <w:p w14:paraId="671F8D6E" w14:textId="16935C0E" w:rsidR="00361EA9" w:rsidRPr="004976C6" w:rsidRDefault="00361EA9" w:rsidP="00361EA9">
      <w:pPr>
        <w:pStyle w:val="A3"/>
        <w:tabs>
          <w:tab w:val="clear" w:pos="2606"/>
          <w:tab w:val="num" w:pos="1418"/>
        </w:tabs>
        <w:ind w:hanging="2039"/>
        <w:rPr>
          <w:rFonts w:cs="Arial"/>
          <w:sz w:val="22"/>
          <w:szCs w:val="22"/>
        </w:rPr>
      </w:pPr>
      <w:r w:rsidRPr="004976C6">
        <w:rPr>
          <w:rFonts w:cs="Arial"/>
          <w:sz w:val="22"/>
          <w:szCs w:val="22"/>
        </w:rPr>
        <w:t xml:space="preserve">to abandon the tender process at any </w:t>
      </w:r>
      <w:r w:rsidR="00DD2A66" w:rsidRPr="004976C6">
        <w:rPr>
          <w:rFonts w:cs="Arial"/>
          <w:sz w:val="22"/>
          <w:szCs w:val="22"/>
        </w:rPr>
        <w:t>stage.</w:t>
      </w:r>
    </w:p>
    <w:p w14:paraId="40819D6A" w14:textId="4E189391" w:rsidR="00361EA9" w:rsidRPr="004976C6" w:rsidRDefault="00361EA9" w:rsidP="00361EA9">
      <w:pPr>
        <w:pStyle w:val="A3"/>
        <w:tabs>
          <w:tab w:val="clear" w:pos="2606"/>
          <w:tab w:val="num" w:pos="1418"/>
        </w:tabs>
        <w:ind w:hanging="2039"/>
        <w:rPr>
          <w:rFonts w:cs="Arial"/>
          <w:sz w:val="22"/>
          <w:szCs w:val="22"/>
        </w:rPr>
      </w:pPr>
      <w:r w:rsidRPr="004976C6">
        <w:rPr>
          <w:rFonts w:cs="Arial"/>
          <w:sz w:val="22"/>
          <w:szCs w:val="22"/>
        </w:rPr>
        <w:t xml:space="preserve">not to award a </w:t>
      </w:r>
      <w:r w:rsidR="00DD2A66" w:rsidRPr="004976C6">
        <w:rPr>
          <w:rFonts w:cs="Arial"/>
          <w:sz w:val="22"/>
          <w:szCs w:val="22"/>
        </w:rPr>
        <w:t>contract.</w:t>
      </w:r>
    </w:p>
    <w:p w14:paraId="4780B264" w14:textId="77777777" w:rsidR="00361EA9" w:rsidRPr="004976C6" w:rsidRDefault="00361EA9" w:rsidP="00361EA9">
      <w:pPr>
        <w:pStyle w:val="A3"/>
        <w:tabs>
          <w:tab w:val="clear" w:pos="2606"/>
          <w:tab w:val="num" w:pos="1418"/>
        </w:tabs>
        <w:ind w:left="1418" w:hanging="851"/>
        <w:rPr>
          <w:rFonts w:cs="Arial"/>
          <w:sz w:val="22"/>
          <w:szCs w:val="22"/>
        </w:rPr>
      </w:pPr>
      <w:r w:rsidRPr="004976C6">
        <w:rPr>
          <w:rFonts w:cs="Arial"/>
          <w:sz w:val="22"/>
          <w:szCs w:val="22"/>
        </w:rPr>
        <w:t xml:space="preserve">to require a Tenderer to clarify its submission in writing and / or provide additional information (failure to respond adequately may result in a Tenderer not being successful); and / or </w:t>
      </w:r>
    </w:p>
    <w:p w14:paraId="2F4879BA" w14:textId="77777777" w:rsidR="00361EA9" w:rsidRPr="004976C6" w:rsidRDefault="00361EA9" w:rsidP="00361EA9">
      <w:pPr>
        <w:pStyle w:val="A3"/>
        <w:tabs>
          <w:tab w:val="clear" w:pos="2606"/>
          <w:tab w:val="num" w:pos="1418"/>
        </w:tabs>
        <w:ind w:hanging="2039"/>
        <w:rPr>
          <w:rFonts w:cs="Arial"/>
          <w:sz w:val="22"/>
          <w:szCs w:val="22"/>
        </w:rPr>
      </w:pPr>
      <w:r w:rsidRPr="004976C6">
        <w:rPr>
          <w:rFonts w:cs="Arial"/>
          <w:sz w:val="22"/>
          <w:szCs w:val="22"/>
        </w:rPr>
        <w:t>amend these Instructions to Tenderers.</w:t>
      </w:r>
    </w:p>
    <w:p w14:paraId="0A728E6B" w14:textId="77777777" w:rsidR="00361EA9" w:rsidRPr="004976C6" w:rsidRDefault="00361EA9" w:rsidP="0019079D">
      <w:pPr>
        <w:pStyle w:val="A2"/>
        <w:numPr>
          <w:ilvl w:val="0"/>
          <w:numId w:val="0"/>
        </w:numPr>
        <w:ind w:left="1440"/>
        <w:rPr>
          <w:rFonts w:cs="Arial"/>
          <w:sz w:val="22"/>
          <w:szCs w:val="22"/>
        </w:rPr>
      </w:pPr>
    </w:p>
    <w:p w14:paraId="67CE5B09" w14:textId="77777777" w:rsidR="005C0613" w:rsidRPr="004976C6" w:rsidRDefault="005C0613">
      <w:pPr>
        <w:pStyle w:val="A1"/>
        <w:rPr>
          <w:rFonts w:cs="Arial"/>
          <w:sz w:val="22"/>
          <w:szCs w:val="22"/>
        </w:rPr>
      </w:pPr>
      <w:bookmarkStart w:id="6" w:name="_Toc371626600"/>
      <w:bookmarkStart w:id="7" w:name="_Toc394843646"/>
      <w:r w:rsidRPr="004976C6">
        <w:rPr>
          <w:rFonts w:cs="Arial"/>
          <w:sz w:val="22"/>
          <w:szCs w:val="22"/>
        </w:rPr>
        <w:t>Considerations Prior To Submission Of Tender</w:t>
      </w:r>
      <w:bookmarkEnd w:id="3"/>
      <w:bookmarkEnd w:id="6"/>
      <w:bookmarkEnd w:id="7"/>
    </w:p>
    <w:p w14:paraId="72876300" w14:textId="77777777" w:rsidR="005C0613" w:rsidRPr="004976C6" w:rsidRDefault="005C0613" w:rsidP="00F23035">
      <w:pPr>
        <w:pStyle w:val="A2"/>
        <w:tabs>
          <w:tab w:val="num" w:pos="567"/>
        </w:tabs>
        <w:ind w:left="567" w:hanging="567"/>
        <w:rPr>
          <w:rFonts w:cs="Arial"/>
          <w:b/>
          <w:sz w:val="22"/>
          <w:szCs w:val="22"/>
        </w:rPr>
      </w:pPr>
      <w:bookmarkStart w:id="8" w:name="_Toc506726722"/>
      <w:r w:rsidRPr="004976C6">
        <w:rPr>
          <w:rFonts w:cs="Arial"/>
          <w:b/>
          <w:sz w:val="22"/>
          <w:szCs w:val="22"/>
        </w:rPr>
        <w:t>Sufficiency of information</w:t>
      </w:r>
      <w:bookmarkEnd w:id="8"/>
    </w:p>
    <w:p w14:paraId="4EEDE512" w14:textId="77777777" w:rsidR="005C0613" w:rsidRPr="004976C6" w:rsidRDefault="005C0613" w:rsidP="00F23035">
      <w:pPr>
        <w:pStyle w:val="A3"/>
        <w:tabs>
          <w:tab w:val="clear" w:pos="2606"/>
          <w:tab w:val="num" w:pos="1418"/>
        </w:tabs>
        <w:ind w:left="1418" w:hanging="851"/>
        <w:rPr>
          <w:rFonts w:cs="Arial"/>
          <w:sz w:val="22"/>
          <w:szCs w:val="22"/>
        </w:rPr>
      </w:pPr>
      <w:r w:rsidRPr="004976C6">
        <w:rPr>
          <w:rFonts w:cs="Arial"/>
          <w:sz w:val="22"/>
          <w:szCs w:val="22"/>
        </w:rPr>
        <w:t>The Tenderer shall ensure that it is familiar with the content, the extent and nature of its obligations as outlined in the Tender documents and shall in any event be deemed to have done so before submitting its Tender.</w:t>
      </w:r>
    </w:p>
    <w:p w14:paraId="1779B6F0" w14:textId="77777777" w:rsidR="005C0613" w:rsidRPr="004976C6" w:rsidRDefault="005C0613" w:rsidP="00F23035">
      <w:pPr>
        <w:pStyle w:val="A3"/>
        <w:tabs>
          <w:tab w:val="clear" w:pos="2606"/>
          <w:tab w:val="num" w:pos="1418"/>
        </w:tabs>
        <w:ind w:left="1418" w:hanging="851"/>
        <w:rPr>
          <w:rFonts w:cs="Arial"/>
          <w:sz w:val="22"/>
          <w:szCs w:val="22"/>
        </w:rPr>
      </w:pPr>
      <w:r w:rsidRPr="004976C6">
        <w:rPr>
          <w:rFonts w:cs="Arial"/>
          <w:sz w:val="22"/>
          <w:szCs w:val="22"/>
        </w:rPr>
        <w:t xml:space="preserve">The Tenderer will be deemed for all purposes connected with the Tender documents to have carried out all research, investigations and enquiries which can reasonably be carried out and to have satisfied itself as to the nature, extent, volume and character of the </w:t>
      </w:r>
      <w:r w:rsidR="00361EA9" w:rsidRPr="004976C6">
        <w:rPr>
          <w:rFonts w:cs="Arial"/>
          <w:sz w:val="22"/>
          <w:szCs w:val="22"/>
        </w:rPr>
        <w:t>Works</w:t>
      </w:r>
      <w:r w:rsidRPr="004976C6">
        <w:rPr>
          <w:rFonts w:cs="Arial"/>
          <w:sz w:val="22"/>
          <w:szCs w:val="22"/>
        </w:rPr>
        <w:t xml:space="preserve"> (in the context of and as described in the </w:t>
      </w:r>
      <w:r w:rsidR="00747824" w:rsidRPr="004976C6">
        <w:rPr>
          <w:rFonts w:cs="Arial"/>
          <w:sz w:val="22"/>
          <w:szCs w:val="22"/>
        </w:rPr>
        <w:t>S</w:t>
      </w:r>
      <w:r w:rsidR="00361EA9" w:rsidRPr="004976C6">
        <w:rPr>
          <w:rFonts w:cs="Arial"/>
          <w:sz w:val="22"/>
          <w:szCs w:val="22"/>
        </w:rPr>
        <w:t>cope</w:t>
      </w:r>
      <w:r w:rsidR="00747824" w:rsidRPr="004976C6">
        <w:rPr>
          <w:rFonts w:cs="Arial"/>
          <w:sz w:val="22"/>
          <w:szCs w:val="22"/>
        </w:rPr>
        <w:t xml:space="preserve"> </w:t>
      </w:r>
      <w:r w:rsidR="00361EA9" w:rsidRPr="004976C6">
        <w:rPr>
          <w:rFonts w:cs="Arial"/>
          <w:sz w:val="22"/>
          <w:szCs w:val="22"/>
        </w:rPr>
        <w:t xml:space="preserve">of Works and </w:t>
      </w:r>
      <w:r w:rsidRPr="004976C6">
        <w:rPr>
          <w:rFonts w:cs="Arial"/>
          <w:sz w:val="22"/>
          <w:szCs w:val="22"/>
        </w:rPr>
        <w:t>Specification) and the extent of the personnel, equipment, assets, plant and machinery which may be required and any other matter which may affect its Tender.</w:t>
      </w:r>
    </w:p>
    <w:p w14:paraId="336BCF09" w14:textId="77777777" w:rsidR="0043554D" w:rsidRPr="004976C6" w:rsidRDefault="005C0613" w:rsidP="00F23035">
      <w:pPr>
        <w:pStyle w:val="A2"/>
        <w:tabs>
          <w:tab w:val="num" w:pos="567"/>
        </w:tabs>
        <w:ind w:left="567" w:hanging="567"/>
        <w:rPr>
          <w:rFonts w:cs="Arial"/>
          <w:b/>
          <w:sz w:val="22"/>
          <w:szCs w:val="22"/>
        </w:rPr>
      </w:pPr>
      <w:bookmarkStart w:id="9" w:name="_Toc506726723"/>
      <w:r w:rsidRPr="004976C6">
        <w:rPr>
          <w:rFonts w:cs="Arial"/>
          <w:b/>
          <w:sz w:val="22"/>
          <w:szCs w:val="22"/>
        </w:rPr>
        <w:t>Costs and expenses</w:t>
      </w:r>
      <w:bookmarkEnd w:id="9"/>
    </w:p>
    <w:p w14:paraId="49F24870" w14:textId="77777777" w:rsidR="005C0613" w:rsidRPr="004976C6" w:rsidRDefault="005C0613" w:rsidP="00F23035">
      <w:pPr>
        <w:pStyle w:val="A3"/>
        <w:tabs>
          <w:tab w:val="clear" w:pos="2606"/>
          <w:tab w:val="num" w:pos="1418"/>
        </w:tabs>
        <w:ind w:left="1418" w:hanging="851"/>
        <w:rPr>
          <w:rFonts w:cs="Arial"/>
          <w:sz w:val="22"/>
          <w:szCs w:val="22"/>
        </w:rPr>
      </w:pPr>
      <w:r w:rsidRPr="004976C6">
        <w:rPr>
          <w:rFonts w:cs="Arial"/>
          <w:sz w:val="22"/>
          <w:szCs w:val="22"/>
        </w:rPr>
        <w:t>All costs, expenses and liabilities incurred by the Tenderer in connection with preparation and submission of the Tender will be borne by the Tenderer.</w:t>
      </w:r>
    </w:p>
    <w:p w14:paraId="6ED1C50E" w14:textId="77777777" w:rsidR="005C0613" w:rsidRPr="004976C6" w:rsidRDefault="005C0613" w:rsidP="00F23035">
      <w:pPr>
        <w:pStyle w:val="A3"/>
        <w:tabs>
          <w:tab w:val="clear" w:pos="2606"/>
          <w:tab w:val="num" w:pos="1418"/>
        </w:tabs>
        <w:ind w:left="1418" w:hanging="851"/>
        <w:rPr>
          <w:rFonts w:cs="Arial"/>
          <w:sz w:val="22"/>
          <w:szCs w:val="22"/>
        </w:rPr>
      </w:pPr>
      <w:r w:rsidRPr="004976C6">
        <w:rPr>
          <w:rFonts w:cs="Arial"/>
          <w:sz w:val="22"/>
          <w:szCs w:val="22"/>
        </w:rPr>
        <w:t xml:space="preserve">The Tenderer shall have no claim whatsoever against the </w:t>
      </w:r>
      <w:r w:rsidR="008449A8" w:rsidRPr="004976C6">
        <w:rPr>
          <w:rFonts w:cs="Arial"/>
          <w:sz w:val="22"/>
          <w:szCs w:val="22"/>
        </w:rPr>
        <w:t>Authority</w:t>
      </w:r>
      <w:r w:rsidRPr="004976C6">
        <w:rPr>
          <w:rFonts w:cs="Arial"/>
          <w:sz w:val="22"/>
          <w:szCs w:val="22"/>
        </w:rPr>
        <w:t xml:space="preserve"> in respect of such costs and in particular (but without limitation)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shall not make any payments to the successful Tenderer or any other Tenderer save as expressly provided for in the </w:t>
      </w:r>
      <w:r w:rsidR="00167FD2" w:rsidRPr="004976C6">
        <w:rPr>
          <w:rFonts w:cs="Arial"/>
          <w:sz w:val="22"/>
          <w:szCs w:val="22"/>
        </w:rPr>
        <w:t>Contract</w:t>
      </w:r>
      <w:r w:rsidRPr="004976C6">
        <w:rPr>
          <w:rFonts w:cs="Arial"/>
          <w:sz w:val="22"/>
          <w:szCs w:val="22"/>
        </w:rPr>
        <w:t xml:space="preserve"> and (save to the extent set out in the Tender documents) no compensation or remuneration shall otherwise be payable by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to the successful Tenderer in respect of the </w:t>
      </w:r>
      <w:r w:rsidR="00361EA9" w:rsidRPr="004976C6">
        <w:rPr>
          <w:rFonts w:cs="Arial"/>
          <w:sz w:val="22"/>
          <w:szCs w:val="22"/>
        </w:rPr>
        <w:t>Works</w:t>
      </w:r>
      <w:r w:rsidRPr="004976C6">
        <w:rPr>
          <w:rFonts w:cs="Arial"/>
          <w:sz w:val="22"/>
          <w:szCs w:val="22"/>
        </w:rPr>
        <w:t xml:space="preserve"> by reason of the scope of </w:t>
      </w:r>
      <w:r w:rsidR="00361EA9" w:rsidRPr="004976C6">
        <w:rPr>
          <w:rFonts w:cs="Arial"/>
          <w:sz w:val="22"/>
          <w:szCs w:val="22"/>
        </w:rPr>
        <w:t>works</w:t>
      </w:r>
      <w:r w:rsidRPr="004976C6">
        <w:rPr>
          <w:rFonts w:cs="Arial"/>
          <w:sz w:val="22"/>
          <w:szCs w:val="22"/>
        </w:rPr>
        <w:t xml:space="preserve"> being different from that envisaged by the successful Tenderer or otherwise.</w:t>
      </w:r>
    </w:p>
    <w:p w14:paraId="00819829" w14:textId="77777777" w:rsidR="0043554D" w:rsidRPr="004976C6" w:rsidRDefault="005C0613" w:rsidP="00F23035">
      <w:pPr>
        <w:pStyle w:val="A2"/>
        <w:tabs>
          <w:tab w:val="num" w:pos="567"/>
        </w:tabs>
        <w:ind w:left="567" w:hanging="567"/>
        <w:rPr>
          <w:rFonts w:cs="Arial"/>
          <w:b/>
          <w:sz w:val="22"/>
          <w:szCs w:val="22"/>
        </w:rPr>
      </w:pPr>
      <w:bookmarkStart w:id="10" w:name="_Toc506726724"/>
      <w:r w:rsidRPr="004976C6">
        <w:rPr>
          <w:rFonts w:cs="Arial"/>
          <w:b/>
          <w:sz w:val="22"/>
          <w:szCs w:val="22"/>
        </w:rPr>
        <w:t>Further information and enquiries</w:t>
      </w:r>
      <w:bookmarkEnd w:id="10"/>
    </w:p>
    <w:p w14:paraId="06B709EE" w14:textId="77777777" w:rsidR="0013789B" w:rsidRPr="004976C6" w:rsidRDefault="005D48D6" w:rsidP="00F23035">
      <w:pPr>
        <w:pStyle w:val="A3"/>
        <w:tabs>
          <w:tab w:val="clear" w:pos="2606"/>
          <w:tab w:val="num" w:pos="1418"/>
        </w:tabs>
        <w:ind w:left="1418" w:hanging="851"/>
        <w:rPr>
          <w:rFonts w:cs="Arial"/>
          <w:sz w:val="22"/>
          <w:szCs w:val="22"/>
        </w:rPr>
      </w:pPr>
      <w:r w:rsidRPr="004976C6">
        <w:rPr>
          <w:rFonts w:cs="Arial"/>
          <w:sz w:val="22"/>
          <w:szCs w:val="22"/>
        </w:rPr>
        <w:t>Any questions about this procurement should be submitted in writing via the</w:t>
      </w:r>
      <w:r w:rsidR="00361EA9" w:rsidRPr="004976C6">
        <w:rPr>
          <w:rFonts w:cs="Arial"/>
          <w:sz w:val="22"/>
          <w:szCs w:val="22"/>
        </w:rPr>
        <w:t xml:space="preserve"> messaging facility on the</w:t>
      </w:r>
      <w:r w:rsidRPr="004976C6">
        <w:rPr>
          <w:rFonts w:cs="Arial"/>
          <w:sz w:val="22"/>
          <w:szCs w:val="22"/>
        </w:rPr>
        <w:t xml:space="preserve"> </w:t>
      </w:r>
      <w:r w:rsidR="00E0589E" w:rsidRPr="004976C6">
        <w:rPr>
          <w:rFonts w:cs="Arial"/>
          <w:sz w:val="22"/>
          <w:szCs w:val="22"/>
        </w:rPr>
        <w:t>capitalEsourcing Portal.  Tenderers must clearly indicate, when submitting a question, which (if any) part of their question they view as confidential and applicable only to the Tenderer</w:t>
      </w:r>
      <w:r w:rsidR="00114A2A" w:rsidRPr="004976C6">
        <w:rPr>
          <w:rFonts w:cs="Arial"/>
          <w:sz w:val="22"/>
          <w:szCs w:val="22"/>
        </w:rPr>
        <w:t xml:space="preserve"> submitting the question. If the Authority does not agree that the question is confidential and applicable only to the </w:t>
      </w:r>
      <w:r w:rsidR="0048493B" w:rsidRPr="004976C6">
        <w:rPr>
          <w:rFonts w:cs="Arial"/>
          <w:sz w:val="22"/>
          <w:szCs w:val="22"/>
        </w:rPr>
        <w:t>Tenderer, the</w:t>
      </w:r>
      <w:r w:rsidR="00E0589E" w:rsidRPr="004976C6">
        <w:rPr>
          <w:rFonts w:cs="Arial"/>
          <w:sz w:val="22"/>
          <w:szCs w:val="22"/>
        </w:rPr>
        <w:t xml:space="preserve"> Tenderer will be given the right to withdraw the question without it being answered.</w:t>
      </w:r>
      <w:r w:rsidR="0013789B" w:rsidRPr="004976C6">
        <w:rPr>
          <w:rFonts w:cs="Arial"/>
          <w:sz w:val="22"/>
          <w:szCs w:val="22"/>
        </w:rPr>
        <w:t xml:space="preserve">  </w:t>
      </w:r>
    </w:p>
    <w:p w14:paraId="3704A94F" w14:textId="7AAB4D71" w:rsidR="0013789B" w:rsidRPr="004976C6" w:rsidRDefault="0013789B" w:rsidP="00F23035">
      <w:pPr>
        <w:pStyle w:val="A3"/>
        <w:tabs>
          <w:tab w:val="clear" w:pos="2606"/>
          <w:tab w:val="num" w:pos="1418"/>
        </w:tabs>
        <w:ind w:left="1418" w:hanging="851"/>
        <w:rPr>
          <w:rFonts w:cs="Arial"/>
          <w:sz w:val="22"/>
          <w:szCs w:val="22"/>
        </w:rPr>
      </w:pPr>
      <w:r w:rsidRPr="004976C6">
        <w:rPr>
          <w:rFonts w:cs="Arial"/>
          <w:sz w:val="22"/>
          <w:szCs w:val="22"/>
        </w:rPr>
        <w:t>The closing date for clarification</w:t>
      </w:r>
      <w:r w:rsidR="005A5E87" w:rsidRPr="004976C6">
        <w:rPr>
          <w:rFonts w:cs="Arial"/>
          <w:sz w:val="22"/>
          <w:szCs w:val="22"/>
        </w:rPr>
        <w:t xml:space="preserve">s </w:t>
      </w:r>
      <w:r w:rsidRPr="004976C6">
        <w:rPr>
          <w:rFonts w:cs="Arial"/>
          <w:sz w:val="22"/>
          <w:szCs w:val="22"/>
        </w:rPr>
        <w:t xml:space="preserve">to be raised will </w:t>
      </w:r>
      <w:r w:rsidRPr="00F20BDE">
        <w:rPr>
          <w:rFonts w:cs="Arial"/>
          <w:sz w:val="22"/>
          <w:szCs w:val="22"/>
        </w:rPr>
        <w:t xml:space="preserve">be </w:t>
      </w:r>
      <w:r w:rsidR="00361EA9" w:rsidRPr="00F20BDE">
        <w:rPr>
          <w:rFonts w:cs="Arial"/>
          <w:sz w:val="22"/>
          <w:szCs w:val="22"/>
        </w:rPr>
        <w:t>12 noon</w:t>
      </w:r>
      <w:r w:rsidR="000F12B1" w:rsidRPr="00F20BDE">
        <w:rPr>
          <w:rFonts w:cs="Arial"/>
          <w:sz w:val="22"/>
          <w:szCs w:val="22"/>
        </w:rPr>
        <w:t xml:space="preserve"> on </w:t>
      </w:r>
      <w:r w:rsidR="006075A9" w:rsidRPr="00F20BDE">
        <w:rPr>
          <w:rFonts w:cs="Arial"/>
          <w:sz w:val="22"/>
          <w:szCs w:val="22"/>
        </w:rPr>
        <w:t>1</w:t>
      </w:r>
      <w:r w:rsidR="00361EA9" w:rsidRPr="00F20BDE">
        <w:rPr>
          <w:rFonts w:cs="Arial"/>
          <w:sz w:val="22"/>
          <w:szCs w:val="22"/>
        </w:rPr>
        <w:t>5</w:t>
      </w:r>
      <w:r w:rsidR="0098091B" w:rsidRPr="00F20BDE">
        <w:rPr>
          <w:rFonts w:cs="Arial"/>
          <w:sz w:val="22"/>
          <w:szCs w:val="22"/>
        </w:rPr>
        <w:t xml:space="preserve"> </w:t>
      </w:r>
      <w:r w:rsidR="006075A9" w:rsidRPr="00F20BDE">
        <w:rPr>
          <w:rFonts w:cs="Arial"/>
          <w:sz w:val="22"/>
          <w:szCs w:val="22"/>
        </w:rPr>
        <w:t>December</w:t>
      </w:r>
      <w:r w:rsidR="00447201" w:rsidRPr="00F20BDE">
        <w:rPr>
          <w:rFonts w:cs="Arial"/>
          <w:sz w:val="22"/>
          <w:szCs w:val="22"/>
        </w:rPr>
        <w:t xml:space="preserve"> 202</w:t>
      </w:r>
      <w:r w:rsidR="00361EA9" w:rsidRPr="00F20BDE">
        <w:rPr>
          <w:rFonts w:cs="Arial"/>
          <w:sz w:val="22"/>
          <w:szCs w:val="22"/>
        </w:rPr>
        <w:t>1</w:t>
      </w:r>
      <w:r w:rsidR="0001237E" w:rsidRPr="00F20BDE">
        <w:rPr>
          <w:rFonts w:cs="Arial"/>
          <w:sz w:val="22"/>
          <w:szCs w:val="22"/>
        </w:rPr>
        <w:t>.</w:t>
      </w:r>
    </w:p>
    <w:p w14:paraId="48E0035E" w14:textId="54AFEE75" w:rsidR="005C0613" w:rsidRPr="004976C6" w:rsidRDefault="00DE08A4" w:rsidP="00F23035">
      <w:pPr>
        <w:pStyle w:val="A3"/>
        <w:tabs>
          <w:tab w:val="clear" w:pos="2606"/>
          <w:tab w:val="num" w:pos="1418"/>
        </w:tabs>
        <w:ind w:left="1418" w:hanging="851"/>
        <w:rPr>
          <w:rFonts w:cs="Arial"/>
          <w:sz w:val="22"/>
          <w:szCs w:val="22"/>
        </w:rPr>
      </w:pPr>
      <w:r w:rsidRPr="004976C6">
        <w:rPr>
          <w:rFonts w:cs="Arial"/>
          <w:sz w:val="22"/>
          <w:szCs w:val="22"/>
        </w:rPr>
        <w:t xml:space="preserve">During the tender period, a </w:t>
      </w:r>
      <w:r w:rsidR="0013789B" w:rsidRPr="004976C6">
        <w:rPr>
          <w:rFonts w:cs="Arial"/>
          <w:sz w:val="22"/>
          <w:szCs w:val="22"/>
        </w:rPr>
        <w:t xml:space="preserve">Tenderer </w:t>
      </w:r>
      <w:r w:rsidR="00361EA9" w:rsidRPr="004976C6">
        <w:rPr>
          <w:rFonts w:cs="Arial"/>
          <w:sz w:val="22"/>
          <w:szCs w:val="22"/>
        </w:rPr>
        <w:t>can</w:t>
      </w:r>
      <w:r w:rsidR="0013789B" w:rsidRPr="004976C6">
        <w:rPr>
          <w:rFonts w:cs="Arial"/>
          <w:sz w:val="22"/>
          <w:szCs w:val="22"/>
        </w:rPr>
        <w:t xml:space="preserve"> submit clarification questions through the </w:t>
      </w:r>
      <w:r w:rsidR="00482199" w:rsidRPr="004976C6">
        <w:rPr>
          <w:rFonts w:cs="Arial"/>
          <w:sz w:val="22"/>
          <w:szCs w:val="22"/>
        </w:rPr>
        <w:t>message</w:t>
      </w:r>
      <w:r w:rsidR="0013789B" w:rsidRPr="004976C6">
        <w:rPr>
          <w:rFonts w:cs="Arial"/>
          <w:sz w:val="22"/>
          <w:szCs w:val="22"/>
        </w:rPr>
        <w:t xml:space="preserve"> f</w:t>
      </w:r>
      <w:r w:rsidR="00361EA9" w:rsidRPr="004976C6">
        <w:rPr>
          <w:rFonts w:cs="Arial"/>
          <w:sz w:val="22"/>
          <w:szCs w:val="22"/>
        </w:rPr>
        <w:t>acility</w:t>
      </w:r>
      <w:r w:rsidR="0013789B" w:rsidRPr="004976C6">
        <w:rPr>
          <w:rFonts w:cs="Arial"/>
          <w:sz w:val="22"/>
          <w:szCs w:val="22"/>
        </w:rPr>
        <w:t xml:space="preserve"> within the Portal, accessed via the ‘Messages’ </w:t>
      </w:r>
      <w:r w:rsidR="00887B93" w:rsidRPr="004976C6">
        <w:rPr>
          <w:rFonts w:cs="Arial"/>
          <w:sz w:val="22"/>
          <w:szCs w:val="22"/>
        </w:rPr>
        <w:t>link</w:t>
      </w:r>
      <w:r w:rsidR="0013789B" w:rsidRPr="004976C6">
        <w:rPr>
          <w:rFonts w:cs="Arial"/>
          <w:sz w:val="22"/>
          <w:szCs w:val="22"/>
        </w:rPr>
        <w:t xml:space="preserve">.  This should be used for all </w:t>
      </w:r>
      <w:r w:rsidR="00C350DE" w:rsidRPr="004976C6">
        <w:rPr>
          <w:rFonts w:cs="Arial"/>
          <w:sz w:val="22"/>
          <w:szCs w:val="22"/>
        </w:rPr>
        <w:t xml:space="preserve">queries and requests for clarification regarding the </w:t>
      </w:r>
      <w:r w:rsidR="0021084B" w:rsidRPr="004976C6">
        <w:rPr>
          <w:rFonts w:cs="Arial"/>
          <w:sz w:val="22"/>
          <w:szCs w:val="22"/>
        </w:rPr>
        <w:t xml:space="preserve">procurement </w:t>
      </w:r>
      <w:r w:rsidR="00C350DE" w:rsidRPr="004976C6">
        <w:rPr>
          <w:rFonts w:cs="Arial"/>
          <w:sz w:val="22"/>
          <w:szCs w:val="22"/>
        </w:rPr>
        <w:t>as it provides an effective and a</w:t>
      </w:r>
      <w:r w:rsidR="0013789B" w:rsidRPr="004976C6">
        <w:rPr>
          <w:rFonts w:cs="Arial"/>
          <w:sz w:val="22"/>
          <w:szCs w:val="22"/>
        </w:rPr>
        <w:t>u</w:t>
      </w:r>
      <w:r w:rsidR="00C350DE" w:rsidRPr="004976C6">
        <w:rPr>
          <w:rFonts w:cs="Arial"/>
          <w:sz w:val="22"/>
          <w:szCs w:val="22"/>
        </w:rPr>
        <w:t xml:space="preserve">ditable trail.  </w:t>
      </w:r>
      <w:r w:rsidR="0032677A" w:rsidRPr="0032677A">
        <w:rPr>
          <w:rFonts w:cs="Arial"/>
          <w:sz w:val="22"/>
          <w:szCs w:val="22"/>
        </w:rPr>
        <w:t>In addition</w:t>
      </w:r>
      <w:r w:rsidR="0032677A">
        <w:rPr>
          <w:rFonts w:cs="Arial"/>
          <w:sz w:val="22"/>
          <w:szCs w:val="22"/>
        </w:rPr>
        <w:t>,</w:t>
      </w:r>
      <w:r w:rsidR="0032677A" w:rsidRPr="0032677A">
        <w:rPr>
          <w:rFonts w:cs="Arial"/>
          <w:sz w:val="22"/>
          <w:szCs w:val="22"/>
        </w:rPr>
        <w:t xml:space="preserve"> this </w:t>
      </w:r>
      <w:r w:rsidR="0032677A">
        <w:rPr>
          <w:rFonts w:cs="Arial"/>
          <w:sz w:val="22"/>
          <w:szCs w:val="22"/>
        </w:rPr>
        <w:t xml:space="preserve">facility </w:t>
      </w:r>
      <w:r w:rsidR="0032677A" w:rsidRPr="0032677A">
        <w:rPr>
          <w:rFonts w:cs="Arial"/>
          <w:sz w:val="22"/>
          <w:szCs w:val="22"/>
        </w:rPr>
        <w:t xml:space="preserve">should also be used to clarify on any changes, that the tenderer </w:t>
      </w:r>
      <w:r w:rsidR="0032677A">
        <w:rPr>
          <w:rFonts w:cs="Arial"/>
          <w:sz w:val="22"/>
          <w:szCs w:val="22"/>
        </w:rPr>
        <w:t>may</w:t>
      </w:r>
      <w:r w:rsidR="0032677A" w:rsidRPr="0032677A">
        <w:rPr>
          <w:rFonts w:cs="Arial"/>
          <w:sz w:val="22"/>
          <w:szCs w:val="22"/>
        </w:rPr>
        <w:t xml:space="preserve"> plan to make </w:t>
      </w:r>
      <w:r w:rsidR="0032677A">
        <w:rPr>
          <w:rFonts w:cs="Arial"/>
          <w:sz w:val="22"/>
          <w:szCs w:val="22"/>
        </w:rPr>
        <w:t>due to the</w:t>
      </w:r>
      <w:r w:rsidR="0032677A" w:rsidRPr="0032677A">
        <w:rPr>
          <w:rFonts w:cs="Arial"/>
          <w:sz w:val="22"/>
          <w:szCs w:val="22"/>
        </w:rPr>
        <w:t xml:space="preserve"> </w:t>
      </w:r>
      <w:r w:rsidR="0032677A">
        <w:rPr>
          <w:rFonts w:cs="Arial"/>
          <w:sz w:val="22"/>
          <w:szCs w:val="22"/>
        </w:rPr>
        <w:t xml:space="preserve">nature of the </w:t>
      </w:r>
      <w:r w:rsidR="0032677A" w:rsidRPr="0032677A">
        <w:rPr>
          <w:rFonts w:cs="Arial"/>
          <w:sz w:val="22"/>
          <w:szCs w:val="22"/>
        </w:rPr>
        <w:t>design and build</w:t>
      </w:r>
      <w:r w:rsidR="0032677A">
        <w:rPr>
          <w:rFonts w:cs="Arial"/>
          <w:sz w:val="22"/>
          <w:szCs w:val="22"/>
        </w:rPr>
        <w:t xml:space="preserve"> Contract</w:t>
      </w:r>
      <w:r w:rsidR="0032677A" w:rsidRPr="0032677A">
        <w:rPr>
          <w:rFonts w:cs="Arial"/>
          <w:sz w:val="22"/>
          <w:szCs w:val="22"/>
        </w:rPr>
        <w:t>.</w:t>
      </w:r>
      <w:r w:rsidR="0032677A">
        <w:rPr>
          <w:rFonts w:cs="Arial"/>
          <w:sz w:val="22"/>
          <w:szCs w:val="22"/>
        </w:rPr>
        <w:t xml:space="preserve"> </w:t>
      </w:r>
      <w:r w:rsidR="00C350DE" w:rsidRPr="004976C6">
        <w:rPr>
          <w:rFonts w:cs="Arial"/>
          <w:sz w:val="22"/>
          <w:szCs w:val="22"/>
        </w:rPr>
        <w:t xml:space="preserve">A Tenderer’s queries will be secure and cannot be seen by any other Tenderers.  The Authority will publish the questions and the response, in a </w:t>
      </w:r>
      <w:r w:rsidR="00C350DE" w:rsidRPr="00682EBE">
        <w:rPr>
          <w:rFonts w:cs="Arial"/>
          <w:sz w:val="22"/>
          <w:szCs w:val="22"/>
        </w:rPr>
        <w:t>suitably anonymous form</w:t>
      </w:r>
      <w:r w:rsidR="00453CB0" w:rsidRPr="00682EBE">
        <w:rPr>
          <w:rFonts w:cs="Arial"/>
          <w:sz w:val="22"/>
          <w:szCs w:val="22"/>
        </w:rPr>
        <w:t xml:space="preserve"> to all bidders</w:t>
      </w:r>
      <w:r w:rsidR="00C350DE" w:rsidRPr="00682EBE">
        <w:rPr>
          <w:rFonts w:cs="Arial"/>
          <w:sz w:val="22"/>
          <w:szCs w:val="22"/>
        </w:rPr>
        <w:t xml:space="preserve"> via the </w:t>
      </w:r>
      <w:r w:rsidR="00361EA9" w:rsidRPr="00682EBE">
        <w:rPr>
          <w:rFonts w:cs="Arial"/>
          <w:sz w:val="22"/>
          <w:szCs w:val="22"/>
        </w:rPr>
        <w:t>m</w:t>
      </w:r>
      <w:r w:rsidR="00C350DE" w:rsidRPr="00682EBE">
        <w:rPr>
          <w:rFonts w:cs="Arial"/>
          <w:sz w:val="22"/>
          <w:szCs w:val="22"/>
        </w:rPr>
        <w:t>essages tool</w:t>
      </w:r>
      <w:r w:rsidR="00453CB0" w:rsidRPr="00682EBE">
        <w:rPr>
          <w:rFonts w:cs="Arial"/>
          <w:sz w:val="22"/>
          <w:szCs w:val="22"/>
        </w:rPr>
        <w:t>,</w:t>
      </w:r>
      <w:r w:rsidR="00C350DE" w:rsidRPr="00682EBE">
        <w:rPr>
          <w:rFonts w:cs="Arial"/>
          <w:sz w:val="22"/>
          <w:szCs w:val="22"/>
        </w:rPr>
        <w:t xml:space="preserve"> </w:t>
      </w:r>
      <w:r w:rsidR="00361EA9" w:rsidRPr="00682EBE">
        <w:rPr>
          <w:rFonts w:cs="Arial"/>
          <w:sz w:val="22"/>
          <w:szCs w:val="22"/>
        </w:rPr>
        <w:t>ideally before 5pm on the 5 January</w:t>
      </w:r>
      <w:r w:rsidR="00AB3487" w:rsidRPr="00682EBE">
        <w:rPr>
          <w:rFonts w:cs="Arial"/>
          <w:sz w:val="22"/>
          <w:szCs w:val="22"/>
        </w:rPr>
        <w:t xml:space="preserve"> 2022</w:t>
      </w:r>
      <w:r w:rsidR="00453CB0" w:rsidRPr="004976C6">
        <w:rPr>
          <w:rFonts w:cs="Arial"/>
          <w:sz w:val="22"/>
          <w:szCs w:val="22"/>
        </w:rPr>
        <w:t xml:space="preserve"> but ultimately prior to the deadline for t</w:t>
      </w:r>
      <w:r w:rsidR="00C350DE" w:rsidRPr="004976C6">
        <w:rPr>
          <w:rFonts w:cs="Arial"/>
          <w:sz w:val="22"/>
          <w:szCs w:val="22"/>
        </w:rPr>
        <w:t>ender</w:t>
      </w:r>
      <w:r w:rsidR="00453CB0" w:rsidRPr="004976C6">
        <w:rPr>
          <w:rFonts w:cs="Arial"/>
          <w:sz w:val="22"/>
          <w:szCs w:val="22"/>
        </w:rPr>
        <w:t xml:space="preserve"> returns.</w:t>
      </w:r>
    </w:p>
    <w:p w14:paraId="54EE1034" w14:textId="77777777" w:rsidR="000A289A" w:rsidRPr="004976C6" w:rsidRDefault="000A289A" w:rsidP="00F23035">
      <w:pPr>
        <w:pStyle w:val="A3"/>
        <w:tabs>
          <w:tab w:val="clear" w:pos="2606"/>
          <w:tab w:val="num" w:pos="1418"/>
        </w:tabs>
        <w:ind w:left="1418" w:hanging="851"/>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take up one or </w:t>
      </w:r>
      <w:r w:rsidR="00915DC7" w:rsidRPr="004976C6">
        <w:rPr>
          <w:rFonts w:cs="Arial"/>
          <w:sz w:val="22"/>
          <w:szCs w:val="22"/>
        </w:rPr>
        <w:t>all</w:t>
      </w:r>
      <w:r w:rsidRPr="004976C6">
        <w:rPr>
          <w:rFonts w:cs="Arial"/>
          <w:sz w:val="22"/>
          <w:szCs w:val="22"/>
        </w:rPr>
        <w:t xml:space="preserve"> the references </w:t>
      </w:r>
      <w:r w:rsidR="002A6EC4" w:rsidRPr="004976C6">
        <w:rPr>
          <w:rFonts w:cs="Arial"/>
          <w:sz w:val="22"/>
          <w:szCs w:val="22"/>
        </w:rPr>
        <w:t>and</w:t>
      </w:r>
      <w:r w:rsidR="00453CB0" w:rsidRPr="004976C6">
        <w:rPr>
          <w:rFonts w:cs="Arial"/>
          <w:sz w:val="22"/>
          <w:szCs w:val="22"/>
        </w:rPr>
        <w:t xml:space="preserve"> </w:t>
      </w:r>
      <w:r w:rsidR="002A6EC4" w:rsidRPr="004976C6">
        <w:rPr>
          <w:rFonts w:cs="Arial"/>
          <w:sz w:val="22"/>
          <w:szCs w:val="22"/>
        </w:rPr>
        <w:t>/</w:t>
      </w:r>
      <w:r w:rsidR="00453CB0" w:rsidRPr="004976C6">
        <w:rPr>
          <w:rFonts w:cs="Arial"/>
          <w:sz w:val="22"/>
          <w:szCs w:val="22"/>
        </w:rPr>
        <w:t xml:space="preserve"> </w:t>
      </w:r>
      <w:r w:rsidR="002A6EC4" w:rsidRPr="004976C6">
        <w:rPr>
          <w:rFonts w:cs="Arial"/>
          <w:sz w:val="22"/>
          <w:szCs w:val="22"/>
        </w:rPr>
        <w:t xml:space="preserve">or visit one or more of the reference sites </w:t>
      </w:r>
      <w:r w:rsidRPr="004976C6">
        <w:rPr>
          <w:rFonts w:cs="Arial"/>
          <w:sz w:val="22"/>
          <w:szCs w:val="22"/>
        </w:rPr>
        <w:t>cited by Tenderers</w:t>
      </w:r>
      <w:r w:rsidR="002A6EC4" w:rsidRPr="004976C6">
        <w:rPr>
          <w:rFonts w:cs="Arial"/>
          <w:sz w:val="22"/>
          <w:szCs w:val="22"/>
        </w:rPr>
        <w:t>.</w:t>
      </w:r>
    </w:p>
    <w:p w14:paraId="4BF079AD" w14:textId="3B3B6506" w:rsidR="005B63AA" w:rsidRPr="004976C6" w:rsidRDefault="005C0613" w:rsidP="0048493B">
      <w:pPr>
        <w:pStyle w:val="A3"/>
        <w:tabs>
          <w:tab w:val="clear" w:pos="2606"/>
          <w:tab w:val="num" w:pos="1418"/>
        </w:tabs>
        <w:ind w:left="1418" w:hanging="851"/>
        <w:rPr>
          <w:rFonts w:cs="Arial"/>
          <w:sz w:val="22"/>
          <w:szCs w:val="22"/>
        </w:rPr>
      </w:pPr>
      <w:r w:rsidRPr="004976C6">
        <w:rPr>
          <w:rFonts w:cs="Arial"/>
          <w:sz w:val="22"/>
          <w:szCs w:val="22"/>
        </w:rPr>
        <w:t>Tender</w:t>
      </w:r>
      <w:r w:rsidR="00114A2A" w:rsidRPr="004976C6">
        <w:rPr>
          <w:rFonts w:cs="Arial"/>
          <w:sz w:val="22"/>
          <w:szCs w:val="22"/>
        </w:rPr>
        <w:t>er</w:t>
      </w:r>
      <w:r w:rsidRPr="004976C6">
        <w:rPr>
          <w:rFonts w:cs="Arial"/>
          <w:sz w:val="22"/>
          <w:szCs w:val="22"/>
        </w:rPr>
        <w:t xml:space="preserve">s </w:t>
      </w:r>
      <w:r w:rsidR="009C2ED1" w:rsidRPr="004976C6">
        <w:rPr>
          <w:rFonts w:cs="Arial"/>
          <w:sz w:val="22"/>
          <w:szCs w:val="22"/>
        </w:rPr>
        <w:t xml:space="preserve">are reminded </w:t>
      </w:r>
      <w:r w:rsidR="002A6EC4" w:rsidRPr="004976C6">
        <w:rPr>
          <w:rFonts w:cs="Arial"/>
          <w:sz w:val="22"/>
          <w:szCs w:val="22"/>
        </w:rPr>
        <w:t xml:space="preserve">that this is </w:t>
      </w:r>
      <w:r w:rsidR="00447201" w:rsidRPr="004976C6">
        <w:rPr>
          <w:rFonts w:cs="Arial"/>
          <w:sz w:val="22"/>
          <w:szCs w:val="22"/>
        </w:rPr>
        <w:t>an</w:t>
      </w:r>
      <w:r w:rsidR="002A6EC4" w:rsidRPr="004976C6">
        <w:rPr>
          <w:rFonts w:cs="Arial"/>
          <w:sz w:val="22"/>
          <w:szCs w:val="22"/>
        </w:rPr>
        <w:t xml:space="preserve"> </w:t>
      </w:r>
      <w:r w:rsidR="00DE08A4" w:rsidRPr="004976C6">
        <w:rPr>
          <w:rFonts w:cs="Arial"/>
          <w:sz w:val="22"/>
          <w:szCs w:val="22"/>
        </w:rPr>
        <w:t xml:space="preserve">Open </w:t>
      </w:r>
      <w:r w:rsidR="0032677A">
        <w:rPr>
          <w:rFonts w:cs="Arial"/>
          <w:sz w:val="22"/>
          <w:szCs w:val="22"/>
        </w:rPr>
        <w:t xml:space="preserve">Competition </w:t>
      </w:r>
      <w:r w:rsidR="0032677A" w:rsidRPr="004976C6">
        <w:rPr>
          <w:rFonts w:cs="Arial"/>
          <w:sz w:val="22"/>
          <w:szCs w:val="22"/>
        </w:rPr>
        <w:t>Procedure,</w:t>
      </w:r>
      <w:r w:rsidR="002A6EC4" w:rsidRPr="004976C6">
        <w:rPr>
          <w:rFonts w:cs="Arial"/>
          <w:sz w:val="22"/>
          <w:szCs w:val="22"/>
        </w:rPr>
        <w:t xml:space="preserve"> and </w:t>
      </w:r>
      <w:r w:rsidR="009C2ED1" w:rsidRPr="004976C6">
        <w:rPr>
          <w:rFonts w:cs="Arial"/>
          <w:sz w:val="22"/>
          <w:szCs w:val="22"/>
        </w:rPr>
        <w:t>that Tenders must be</w:t>
      </w:r>
      <w:r w:rsidRPr="004976C6">
        <w:rPr>
          <w:rFonts w:cs="Arial"/>
          <w:sz w:val="22"/>
          <w:szCs w:val="22"/>
        </w:rPr>
        <w:t xml:space="preserve"> capable of acceptance</w:t>
      </w:r>
      <w:r w:rsidR="00453CB0" w:rsidRPr="004976C6">
        <w:rPr>
          <w:rFonts w:cs="Arial"/>
          <w:sz w:val="22"/>
          <w:szCs w:val="22"/>
        </w:rPr>
        <w:t>,</w:t>
      </w:r>
      <w:r w:rsidRPr="004976C6">
        <w:rPr>
          <w:rFonts w:cs="Arial"/>
          <w:sz w:val="22"/>
          <w:szCs w:val="22"/>
        </w:rPr>
        <w:t xml:space="preserve"> </w:t>
      </w:r>
      <w:r w:rsidR="00915DC7" w:rsidRPr="004976C6">
        <w:rPr>
          <w:rFonts w:cs="Arial"/>
          <w:sz w:val="22"/>
          <w:szCs w:val="22"/>
        </w:rPr>
        <w:t>and</w:t>
      </w:r>
      <w:r w:rsidR="009C2ED1" w:rsidRPr="004976C6">
        <w:rPr>
          <w:rFonts w:cs="Arial"/>
          <w:sz w:val="22"/>
          <w:szCs w:val="22"/>
        </w:rPr>
        <w:t xml:space="preserve"> that neg</w:t>
      </w:r>
      <w:r w:rsidR="00E51A41" w:rsidRPr="004976C6">
        <w:rPr>
          <w:rFonts w:cs="Arial"/>
          <w:sz w:val="22"/>
          <w:szCs w:val="22"/>
        </w:rPr>
        <w:t>oti</w:t>
      </w:r>
      <w:r w:rsidR="009C2ED1" w:rsidRPr="004976C6">
        <w:rPr>
          <w:rFonts w:cs="Arial"/>
          <w:sz w:val="22"/>
          <w:szCs w:val="22"/>
        </w:rPr>
        <w:t>ation is not permitted</w:t>
      </w:r>
      <w:r w:rsidR="002A6EC4" w:rsidRPr="004976C6">
        <w:rPr>
          <w:rFonts w:cs="Arial"/>
          <w:sz w:val="22"/>
          <w:szCs w:val="22"/>
        </w:rPr>
        <w:t>.</w:t>
      </w:r>
    </w:p>
    <w:p w14:paraId="6378B311" w14:textId="77777777" w:rsidR="002A6EC4" w:rsidRPr="004976C6" w:rsidRDefault="002A6EC4" w:rsidP="00F23035">
      <w:pPr>
        <w:pStyle w:val="A2"/>
        <w:tabs>
          <w:tab w:val="num" w:pos="567"/>
        </w:tabs>
        <w:ind w:left="567" w:hanging="567"/>
        <w:rPr>
          <w:rFonts w:cs="Arial"/>
          <w:b/>
          <w:sz w:val="22"/>
          <w:szCs w:val="22"/>
        </w:rPr>
      </w:pPr>
      <w:bookmarkStart w:id="11" w:name="_Toc214682464"/>
      <w:bookmarkStart w:id="12" w:name="_Toc214682380"/>
      <w:bookmarkStart w:id="13" w:name="_Toc213484221"/>
      <w:bookmarkStart w:id="14" w:name="_Toc349142834"/>
      <w:bookmarkStart w:id="15" w:name="_Toc226187030"/>
      <w:r w:rsidRPr="004976C6">
        <w:rPr>
          <w:rFonts w:cs="Arial"/>
          <w:b/>
          <w:sz w:val="22"/>
          <w:szCs w:val="22"/>
        </w:rPr>
        <w:t>Site Inspections</w:t>
      </w:r>
    </w:p>
    <w:p w14:paraId="287A8F7C" w14:textId="77777777" w:rsidR="00817D39" w:rsidRPr="004976C6" w:rsidRDefault="002072A4" w:rsidP="002072A4">
      <w:pPr>
        <w:pStyle w:val="A3"/>
        <w:tabs>
          <w:tab w:val="clear" w:pos="2606"/>
          <w:tab w:val="num" w:pos="1418"/>
        </w:tabs>
        <w:ind w:left="1418" w:hanging="851"/>
        <w:rPr>
          <w:rFonts w:cs="Arial"/>
          <w:b/>
          <w:sz w:val="22"/>
          <w:szCs w:val="22"/>
        </w:rPr>
      </w:pPr>
      <w:r w:rsidRPr="004976C6">
        <w:rPr>
          <w:rFonts w:cs="Arial"/>
          <w:sz w:val="22"/>
          <w:szCs w:val="22"/>
        </w:rPr>
        <w:t>Due to the current Covid-19 pandemic, the Council is arranging suitable dates and time</w:t>
      </w:r>
      <w:r w:rsidR="00817D39" w:rsidRPr="004976C6">
        <w:rPr>
          <w:rFonts w:cs="Arial"/>
          <w:sz w:val="22"/>
          <w:szCs w:val="22"/>
        </w:rPr>
        <w:t>s</w:t>
      </w:r>
      <w:r w:rsidRPr="004976C6">
        <w:rPr>
          <w:rFonts w:cs="Arial"/>
          <w:sz w:val="22"/>
          <w:szCs w:val="22"/>
        </w:rPr>
        <w:t xml:space="preserve"> for bidders to visit </w:t>
      </w:r>
      <w:r w:rsidR="00A91ECE" w:rsidRPr="004976C6">
        <w:rPr>
          <w:rFonts w:cs="Arial"/>
          <w:sz w:val="22"/>
          <w:szCs w:val="22"/>
        </w:rPr>
        <w:t>sites for</w:t>
      </w:r>
      <w:r w:rsidRPr="004976C6">
        <w:rPr>
          <w:rFonts w:cs="Arial"/>
          <w:sz w:val="22"/>
          <w:szCs w:val="22"/>
        </w:rPr>
        <w:t xml:space="preserve"> inspection.</w:t>
      </w:r>
      <w:r w:rsidR="00A91ECE" w:rsidRPr="004976C6">
        <w:rPr>
          <w:rFonts w:cs="Arial"/>
          <w:sz w:val="22"/>
          <w:szCs w:val="22"/>
        </w:rPr>
        <w:t xml:space="preserve"> Once con</w:t>
      </w:r>
      <w:r w:rsidR="00453CB0" w:rsidRPr="004976C6">
        <w:rPr>
          <w:rFonts w:cs="Arial"/>
          <w:sz w:val="22"/>
          <w:szCs w:val="22"/>
        </w:rPr>
        <w:t>firmed</w:t>
      </w:r>
      <w:r w:rsidR="00A91ECE" w:rsidRPr="004976C6">
        <w:rPr>
          <w:rFonts w:cs="Arial"/>
          <w:sz w:val="22"/>
          <w:szCs w:val="22"/>
        </w:rPr>
        <w:t xml:space="preserve"> arrangements have been made, the dates and time</w:t>
      </w:r>
      <w:r w:rsidR="00817D39" w:rsidRPr="004976C6">
        <w:rPr>
          <w:rFonts w:cs="Arial"/>
          <w:sz w:val="22"/>
          <w:szCs w:val="22"/>
        </w:rPr>
        <w:t>s</w:t>
      </w:r>
      <w:r w:rsidR="00A91ECE" w:rsidRPr="004976C6">
        <w:rPr>
          <w:rFonts w:cs="Arial"/>
          <w:sz w:val="22"/>
          <w:szCs w:val="22"/>
        </w:rPr>
        <w:t xml:space="preserve"> will be communicated to bidders via the portal. </w:t>
      </w:r>
      <w:r w:rsidRPr="004976C6">
        <w:rPr>
          <w:rFonts w:cs="Arial"/>
          <w:sz w:val="22"/>
          <w:szCs w:val="22"/>
        </w:rPr>
        <w:t xml:space="preserve"> Tenderers wishing to visit the site(s) are encouraged to comply with the </w:t>
      </w:r>
      <w:r w:rsidR="00817D39" w:rsidRPr="004976C6">
        <w:rPr>
          <w:rFonts w:cs="Arial"/>
          <w:sz w:val="22"/>
          <w:szCs w:val="22"/>
        </w:rPr>
        <w:t xml:space="preserve">current </w:t>
      </w:r>
      <w:r w:rsidRPr="004976C6">
        <w:rPr>
          <w:rFonts w:cs="Arial"/>
          <w:sz w:val="22"/>
          <w:szCs w:val="22"/>
        </w:rPr>
        <w:t xml:space="preserve">Government guidelines </w:t>
      </w:r>
      <w:r w:rsidR="00453CB0" w:rsidRPr="004976C6">
        <w:rPr>
          <w:rFonts w:cs="Arial"/>
          <w:sz w:val="22"/>
          <w:szCs w:val="22"/>
        </w:rPr>
        <w:t>for the wearing of face coverings and</w:t>
      </w:r>
      <w:r w:rsidRPr="004976C6">
        <w:rPr>
          <w:rFonts w:cs="Arial"/>
          <w:sz w:val="22"/>
          <w:szCs w:val="22"/>
        </w:rPr>
        <w:t xml:space="preserve"> social distancing.</w:t>
      </w:r>
    </w:p>
    <w:p w14:paraId="00DF48A4" w14:textId="77777777" w:rsidR="00817D39" w:rsidRPr="004976C6" w:rsidRDefault="00817D39" w:rsidP="00817D39">
      <w:pPr>
        <w:pStyle w:val="A3"/>
        <w:tabs>
          <w:tab w:val="clear" w:pos="2606"/>
          <w:tab w:val="num" w:pos="1418"/>
        </w:tabs>
        <w:ind w:left="1418" w:hanging="851"/>
        <w:rPr>
          <w:rFonts w:cs="Arial"/>
          <w:sz w:val="22"/>
          <w:szCs w:val="22"/>
        </w:rPr>
      </w:pPr>
      <w:r w:rsidRPr="004976C6">
        <w:rPr>
          <w:rFonts w:cs="Arial"/>
          <w:sz w:val="22"/>
          <w:szCs w:val="22"/>
        </w:rPr>
        <w:t>All site visits are to be made by appointment and are available for Monday / Tuesday / Wednesday only with times at 9am (option 1) or 1pm (option 2) ONLY.</w:t>
      </w:r>
    </w:p>
    <w:p w14:paraId="10F25EB9" w14:textId="77777777" w:rsidR="001706C3" w:rsidRPr="004976C6" w:rsidRDefault="00817D39" w:rsidP="00817D39">
      <w:pPr>
        <w:pStyle w:val="A3"/>
        <w:tabs>
          <w:tab w:val="clear" w:pos="2606"/>
          <w:tab w:val="num" w:pos="1418"/>
        </w:tabs>
        <w:ind w:left="1418" w:hanging="851"/>
        <w:rPr>
          <w:rFonts w:cs="Arial"/>
          <w:sz w:val="22"/>
          <w:szCs w:val="22"/>
        </w:rPr>
      </w:pPr>
      <w:r w:rsidRPr="004976C6">
        <w:rPr>
          <w:rFonts w:cs="Arial"/>
          <w:sz w:val="22"/>
          <w:szCs w:val="22"/>
        </w:rPr>
        <w:t xml:space="preserve">Please e-mail Richard Stevenson at </w:t>
      </w:r>
      <w:hyperlink r:id="rId15" w:history="1">
        <w:r w:rsidRPr="004976C6">
          <w:rPr>
            <w:rStyle w:val="Hyperlink"/>
            <w:rFonts w:cs="Arial"/>
            <w:sz w:val="22"/>
            <w:szCs w:val="22"/>
          </w:rPr>
          <w:t>Richard.Stevenson@rbkc.gov.uk</w:t>
        </w:r>
      </w:hyperlink>
      <w:r w:rsidRPr="004976C6">
        <w:rPr>
          <w:rFonts w:cs="Arial"/>
          <w:sz w:val="22"/>
          <w:szCs w:val="22"/>
        </w:rPr>
        <w:t xml:space="preserve"> for an appointment stating option one or two.</w:t>
      </w:r>
      <w:r w:rsidR="002072A4" w:rsidRPr="004976C6">
        <w:rPr>
          <w:rFonts w:cs="Arial"/>
          <w:sz w:val="22"/>
          <w:szCs w:val="22"/>
        </w:rPr>
        <w:t xml:space="preserve"> </w:t>
      </w:r>
    </w:p>
    <w:p w14:paraId="3D2899F4" w14:textId="77777777" w:rsidR="0043554D" w:rsidRPr="004976C6" w:rsidRDefault="00114A2A" w:rsidP="00F23035">
      <w:pPr>
        <w:pStyle w:val="A2"/>
        <w:tabs>
          <w:tab w:val="num" w:pos="567"/>
        </w:tabs>
        <w:ind w:left="567" w:hanging="567"/>
        <w:rPr>
          <w:rFonts w:cs="Arial"/>
          <w:b/>
          <w:sz w:val="22"/>
          <w:szCs w:val="22"/>
        </w:rPr>
      </w:pPr>
      <w:r w:rsidRPr="004976C6">
        <w:rPr>
          <w:rFonts w:cs="Arial"/>
          <w:b/>
          <w:sz w:val="22"/>
          <w:szCs w:val="22"/>
        </w:rPr>
        <w:t>Bidding Organisations</w:t>
      </w:r>
      <w:bookmarkEnd w:id="11"/>
      <w:bookmarkEnd w:id="12"/>
      <w:bookmarkEnd w:id="13"/>
      <w:r w:rsidRPr="004976C6">
        <w:rPr>
          <w:rFonts w:cs="Arial"/>
          <w:b/>
          <w:sz w:val="22"/>
          <w:szCs w:val="22"/>
        </w:rPr>
        <w:t xml:space="preserve"> and </w:t>
      </w:r>
      <w:bookmarkEnd w:id="14"/>
      <w:bookmarkEnd w:id="15"/>
      <w:r w:rsidRPr="004976C6">
        <w:rPr>
          <w:rFonts w:cs="Arial"/>
          <w:b/>
          <w:sz w:val="22"/>
          <w:szCs w:val="22"/>
        </w:rPr>
        <w:t>Groups</w:t>
      </w:r>
    </w:p>
    <w:p w14:paraId="59A6F434" w14:textId="77777777" w:rsidR="00114A2A" w:rsidRPr="004976C6" w:rsidRDefault="00114A2A" w:rsidP="00F23035">
      <w:pPr>
        <w:pStyle w:val="A3"/>
        <w:tabs>
          <w:tab w:val="clear" w:pos="2606"/>
          <w:tab w:val="num" w:pos="1418"/>
        </w:tabs>
        <w:ind w:hanging="2039"/>
        <w:rPr>
          <w:rFonts w:cs="Arial"/>
          <w:sz w:val="22"/>
          <w:szCs w:val="22"/>
        </w:rPr>
      </w:pPr>
      <w:r w:rsidRPr="004976C6">
        <w:rPr>
          <w:rFonts w:cs="Arial"/>
          <w:sz w:val="22"/>
          <w:szCs w:val="22"/>
        </w:rPr>
        <w:t xml:space="preserve">The following definitions apply in the Tender </w:t>
      </w:r>
      <w:r w:rsidR="00453CB0" w:rsidRPr="004976C6">
        <w:rPr>
          <w:rFonts w:cs="Arial"/>
          <w:sz w:val="22"/>
          <w:szCs w:val="22"/>
        </w:rPr>
        <w:t>documents: -</w:t>
      </w:r>
    </w:p>
    <w:p w14:paraId="74F346DB" w14:textId="77777777" w:rsidR="00114A2A" w:rsidRPr="004976C6" w:rsidRDefault="00F23035" w:rsidP="00F23035">
      <w:pPr>
        <w:pStyle w:val="A3"/>
        <w:numPr>
          <w:ilvl w:val="0"/>
          <w:numId w:val="0"/>
        </w:numPr>
        <w:tabs>
          <w:tab w:val="num" w:pos="1418"/>
        </w:tabs>
        <w:ind w:left="1418" w:hanging="865"/>
        <w:rPr>
          <w:rFonts w:cs="Arial"/>
          <w:sz w:val="22"/>
          <w:szCs w:val="22"/>
        </w:rPr>
      </w:pPr>
      <w:r w:rsidRPr="004976C6">
        <w:rPr>
          <w:rFonts w:cs="Arial"/>
          <w:sz w:val="22"/>
          <w:szCs w:val="22"/>
        </w:rPr>
        <w:tab/>
      </w:r>
      <w:r w:rsidR="00114A2A" w:rsidRPr="004976C6">
        <w:rPr>
          <w:rFonts w:cs="Arial"/>
          <w:sz w:val="22"/>
          <w:szCs w:val="22"/>
        </w:rPr>
        <w:t xml:space="preserve">‘Lead Tenderer’ means where a Tenderer intends to act jointly in submitting a Tender </w:t>
      </w:r>
      <w:r w:rsidR="005F5252" w:rsidRPr="004976C6">
        <w:rPr>
          <w:rFonts w:cs="Arial"/>
          <w:sz w:val="22"/>
          <w:szCs w:val="22"/>
        </w:rPr>
        <w:t xml:space="preserve">and </w:t>
      </w:r>
      <w:r w:rsidR="00114A2A" w:rsidRPr="004976C6">
        <w:rPr>
          <w:rFonts w:cs="Arial"/>
          <w:sz w:val="22"/>
          <w:szCs w:val="22"/>
        </w:rPr>
        <w:t xml:space="preserve">the participating organisations </w:t>
      </w:r>
      <w:r w:rsidR="005F5252" w:rsidRPr="004976C6">
        <w:rPr>
          <w:rFonts w:cs="Arial"/>
          <w:sz w:val="22"/>
          <w:szCs w:val="22"/>
        </w:rPr>
        <w:t>identified</w:t>
      </w:r>
      <w:r w:rsidR="00114A2A" w:rsidRPr="004976C6">
        <w:rPr>
          <w:rFonts w:cs="Arial"/>
          <w:sz w:val="22"/>
          <w:szCs w:val="22"/>
        </w:rPr>
        <w:t xml:space="preserve"> a Lead Tenderer.; and</w:t>
      </w:r>
    </w:p>
    <w:p w14:paraId="33F222D7" w14:textId="77777777" w:rsidR="00114A2A" w:rsidRPr="004976C6" w:rsidRDefault="00F23035" w:rsidP="00F23035">
      <w:pPr>
        <w:pStyle w:val="A3"/>
        <w:numPr>
          <w:ilvl w:val="0"/>
          <w:numId w:val="0"/>
        </w:numPr>
        <w:tabs>
          <w:tab w:val="num" w:pos="1418"/>
        </w:tabs>
        <w:ind w:left="2592" w:hanging="2039"/>
        <w:rPr>
          <w:rFonts w:cs="Arial"/>
          <w:sz w:val="22"/>
          <w:szCs w:val="22"/>
        </w:rPr>
      </w:pPr>
      <w:r w:rsidRPr="004976C6">
        <w:rPr>
          <w:rFonts w:cs="Arial"/>
          <w:sz w:val="22"/>
          <w:szCs w:val="22"/>
        </w:rPr>
        <w:tab/>
      </w:r>
      <w:r w:rsidR="00114A2A" w:rsidRPr="004976C6">
        <w:rPr>
          <w:rFonts w:cs="Arial"/>
          <w:sz w:val="22"/>
          <w:szCs w:val="22"/>
        </w:rPr>
        <w:t>‘Group’ means a consortium of economic operators; and</w:t>
      </w:r>
    </w:p>
    <w:p w14:paraId="6B2F5F81" w14:textId="77777777" w:rsidR="00114A2A" w:rsidRPr="004976C6" w:rsidRDefault="00F23035" w:rsidP="00F23035">
      <w:pPr>
        <w:pStyle w:val="A3"/>
        <w:numPr>
          <w:ilvl w:val="0"/>
          <w:numId w:val="0"/>
        </w:numPr>
        <w:tabs>
          <w:tab w:val="num" w:pos="1418"/>
        </w:tabs>
        <w:ind w:left="1418" w:hanging="865"/>
        <w:rPr>
          <w:rFonts w:cs="Arial"/>
          <w:sz w:val="22"/>
          <w:szCs w:val="22"/>
        </w:rPr>
      </w:pPr>
      <w:r w:rsidRPr="004976C6">
        <w:rPr>
          <w:rFonts w:cs="Arial"/>
          <w:sz w:val="22"/>
          <w:szCs w:val="22"/>
        </w:rPr>
        <w:tab/>
      </w:r>
      <w:r w:rsidR="00114A2A" w:rsidRPr="004976C6">
        <w:rPr>
          <w:rFonts w:cs="Arial"/>
          <w:sz w:val="22"/>
          <w:szCs w:val="22"/>
        </w:rPr>
        <w:t>‘Prime Contractor’ means a Lead Tenderer of a Group which in</w:t>
      </w:r>
      <w:r w:rsidRPr="004976C6">
        <w:rPr>
          <w:rFonts w:cs="Arial"/>
          <w:sz w:val="22"/>
          <w:szCs w:val="22"/>
        </w:rPr>
        <w:t xml:space="preserve">tends that only the Lead </w:t>
      </w:r>
      <w:r w:rsidR="00114A2A" w:rsidRPr="004976C6">
        <w:rPr>
          <w:rFonts w:cs="Arial"/>
          <w:sz w:val="22"/>
          <w:szCs w:val="22"/>
        </w:rPr>
        <w:t>Tenderer will enter a Contract with the Authority and the other members of the Group will participate as Significant Sub-contractors; and</w:t>
      </w:r>
    </w:p>
    <w:p w14:paraId="136FCA0F" w14:textId="77777777" w:rsidR="00114A2A" w:rsidRPr="004976C6" w:rsidRDefault="00F23035" w:rsidP="00F23035">
      <w:pPr>
        <w:pStyle w:val="A3"/>
        <w:numPr>
          <w:ilvl w:val="0"/>
          <w:numId w:val="0"/>
        </w:numPr>
        <w:tabs>
          <w:tab w:val="num" w:pos="1418"/>
        </w:tabs>
        <w:ind w:left="1418" w:hanging="865"/>
        <w:rPr>
          <w:rFonts w:cs="Arial"/>
          <w:sz w:val="22"/>
          <w:szCs w:val="22"/>
        </w:rPr>
      </w:pPr>
      <w:r w:rsidRPr="004976C6">
        <w:rPr>
          <w:rFonts w:cs="Arial"/>
          <w:sz w:val="22"/>
          <w:szCs w:val="22"/>
        </w:rPr>
        <w:tab/>
      </w:r>
      <w:r w:rsidR="00114A2A" w:rsidRPr="004976C6">
        <w:rPr>
          <w:rFonts w:cs="Arial"/>
          <w:sz w:val="22"/>
          <w:szCs w:val="22"/>
        </w:rPr>
        <w:t>‘Significant Sub-contractor’ means a member(s) of a Group that would not enter the Contract with the Authority but would rather participate as a sub-contractor(s) to the Prime Contractor.</w:t>
      </w:r>
    </w:p>
    <w:p w14:paraId="42A74E08" w14:textId="77777777" w:rsidR="00114A2A" w:rsidRPr="004976C6" w:rsidRDefault="00114A2A" w:rsidP="00F23035">
      <w:pPr>
        <w:pStyle w:val="A3"/>
        <w:tabs>
          <w:tab w:val="clear" w:pos="2606"/>
          <w:tab w:val="num" w:pos="1418"/>
        </w:tabs>
        <w:ind w:left="1418" w:hanging="851"/>
        <w:rPr>
          <w:rFonts w:cs="Arial"/>
          <w:sz w:val="22"/>
          <w:szCs w:val="22"/>
        </w:rPr>
      </w:pPr>
      <w:r w:rsidRPr="004976C6">
        <w:rPr>
          <w:rFonts w:cs="Arial"/>
          <w:sz w:val="22"/>
          <w:szCs w:val="22"/>
        </w:rPr>
        <w:t>Tenderers MUST be clear in their submissions as to whether they are following a Group approach and whether they will be participating by way of a Prime Contractor</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Significant Sub-contracting arrangement or other. Tenderers should also be aware that if they are evaluated as a Group, the Authority may not permit the Group members or, if a subcontracting arrangement, any Significant Sub-contractor, to change at a later stage without revisiting the selection assessment process. Tenderers must therefore give careful thought as to the relationship of the various relevant organisations put forward in their Tender.</w:t>
      </w:r>
    </w:p>
    <w:p w14:paraId="276965AB" w14:textId="77777777" w:rsidR="005F5252" w:rsidRPr="004976C6" w:rsidRDefault="005F5252" w:rsidP="00F23035">
      <w:pPr>
        <w:pStyle w:val="A3"/>
        <w:tabs>
          <w:tab w:val="clear" w:pos="2606"/>
          <w:tab w:val="num" w:pos="1418"/>
        </w:tabs>
        <w:ind w:left="1418" w:hanging="851"/>
        <w:rPr>
          <w:rFonts w:cs="Arial"/>
          <w:sz w:val="22"/>
          <w:szCs w:val="22"/>
        </w:rPr>
      </w:pPr>
      <w:r w:rsidRPr="004976C6">
        <w:rPr>
          <w:rFonts w:cs="Arial"/>
          <w:sz w:val="22"/>
          <w:szCs w:val="22"/>
        </w:rPr>
        <w:t>The Lead Tenderer will be responsible for the overall preparation and submission of the Tender on behalf of all members of a Group and MUST make clear the responsibilities</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roles of Group members.</w:t>
      </w:r>
    </w:p>
    <w:p w14:paraId="116E2605" w14:textId="081ECF27" w:rsidR="00114A2A" w:rsidRPr="004976C6" w:rsidRDefault="00114A2A" w:rsidP="00F23035">
      <w:pPr>
        <w:pStyle w:val="A3"/>
        <w:tabs>
          <w:tab w:val="clear" w:pos="2606"/>
          <w:tab w:val="num" w:pos="1418"/>
        </w:tabs>
        <w:ind w:left="1418" w:hanging="851"/>
        <w:rPr>
          <w:rFonts w:cs="Arial"/>
          <w:sz w:val="22"/>
          <w:szCs w:val="22"/>
        </w:rPr>
      </w:pPr>
      <w:r w:rsidRPr="004976C6">
        <w:rPr>
          <w:rFonts w:cs="Arial"/>
          <w:sz w:val="22"/>
          <w:szCs w:val="22"/>
        </w:rPr>
        <w:t xml:space="preserve">The Authority recognises that Groups and sub-contracting arrangements may be subject to future change (for example, agreement with a contractor may not be finalised at Tender stage).  Tenderers should therefore respond in the light of such arrangements as are currently envisaged.  </w:t>
      </w:r>
      <w:r w:rsidR="00D876EA" w:rsidRPr="004976C6">
        <w:rPr>
          <w:rFonts w:cs="Arial"/>
          <w:sz w:val="22"/>
          <w:szCs w:val="22"/>
        </w:rPr>
        <w:t>If</w:t>
      </w:r>
      <w:r w:rsidRPr="004976C6">
        <w:rPr>
          <w:rFonts w:cs="Arial"/>
          <w:sz w:val="22"/>
          <w:szCs w:val="22"/>
        </w:rPr>
        <w:t xml:space="preserve"> a Tenderer proposes a change in the membership of its Group</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Significant Sub-contractors following the submission of its Tender, the Lead Tenderer must immediately inform the Authority of such change (both additional members and departing members). </w:t>
      </w:r>
      <w:r w:rsidR="0093276B" w:rsidRPr="004976C6">
        <w:rPr>
          <w:rFonts w:cs="Arial"/>
          <w:sz w:val="22"/>
          <w:szCs w:val="22"/>
        </w:rPr>
        <w:t>The Authority reserves the right to refuse to consider or consent to changes in the Group or Significant Sub-contractors and</w:t>
      </w:r>
      <w:r w:rsidR="00453CB0" w:rsidRPr="004976C6">
        <w:rPr>
          <w:rFonts w:cs="Arial"/>
          <w:sz w:val="22"/>
          <w:szCs w:val="22"/>
        </w:rPr>
        <w:t xml:space="preserve"> </w:t>
      </w:r>
      <w:r w:rsidR="0093276B" w:rsidRPr="004976C6">
        <w:rPr>
          <w:rFonts w:cs="Arial"/>
          <w:sz w:val="22"/>
          <w:szCs w:val="22"/>
        </w:rPr>
        <w:t>/</w:t>
      </w:r>
      <w:r w:rsidR="00453CB0" w:rsidRPr="004976C6">
        <w:rPr>
          <w:rFonts w:cs="Arial"/>
          <w:sz w:val="22"/>
          <w:szCs w:val="22"/>
        </w:rPr>
        <w:t xml:space="preserve"> </w:t>
      </w:r>
      <w:r w:rsidR="0093276B" w:rsidRPr="004976C6">
        <w:rPr>
          <w:rFonts w:cs="Arial"/>
          <w:sz w:val="22"/>
          <w:szCs w:val="22"/>
        </w:rPr>
        <w:t xml:space="preserve">or to deselect any Tenderers whose proposed change means that they </w:t>
      </w:r>
      <w:r w:rsidR="00194C18" w:rsidRPr="004976C6">
        <w:rPr>
          <w:rFonts w:cs="Arial"/>
          <w:sz w:val="22"/>
          <w:szCs w:val="22"/>
        </w:rPr>
        <w:t>or their partners</w:t>
      </w:r>
      <w:r w:rsidR="00453CB0" w:rsidRPr="004976C6">
        <w:rPr>
          <w:rFonts w:cs="Arial"/>
          <w:sz w:val="22"/>
          <w:szCs w:val="22"/>
        </w:rPr>
        <w:t xml:space="preserve"> </w:t>
      </w:r>
      <w:r w:rsidR="00194C18" w:rsidRPr="004976C6">
        <w:rPr>
          <w:rFonts w:cs="Arial"/>
          <w:sz w:val="22"/>
          <w:szCs w:val="22"/>
        </w:rPr>
        <w:t>/</w:t>
      </w:r>
      <w:r w:rsidR="00453CB0" w:rsidRPr="004976C6">
        <w:rPr>
          <w:rFonts w:cs="Arial"/>
          <w:sz w:val="22"/>
          <w:szCs w:val="22"/>
        </w:rPr>
        <w:t xml:space="preserve"> </w:t>
      </w:r>
      <w:r w:rsidR="00194C18" w:rsidRPr="004976C6">
        <w:rPr>
          <w:rFonts w:cs="Arial"/>
          <w:sz w:val="22"/>
          <w:szCs w:val="22"/>
        </w:rPr>
        <w:t xml:space="preserve">Subcontractors </w:t>
      </w:r>
      <w:r w:rsidR="0093276B" w:rsidRPr="004976C6">
        <w:rPr>
          <w:rFonts w:cs="Arial"/>
          <w:sz w:val="22"/>
          <w:szCs w:val="22"/>
        </w:rPr>
        <w:t>no longer meet the Authority’s</w:t>
      </w:r>
      <w:r w:rsidR="00194C18" w:rsidRPr="004976C6">
        <w:rPr>
          <w:rFonts w:cs="Arial"/>
          <w:sz w:val="22"/>
          <w:szCs w:val="22"/>
        </w:rPr>
        <w:t xml:space="preserve"> minimum </w:t>
      </w:r>
      <w:r w:rsidR="0032677A" w:rsidRPr="004976C6">
        <w:rPr>
          <w:rFonts w:cs="Arial"/>
          <w:sz w:val="22"/>
          <w:szCs w:val="22"/>
        </w:rPr>
        <w:t>requirements or</w:t>
      </w:r>
      <w:r w:rsidR="00194C18" w:rsidRPr="004976C6">
        <w:rPr>
          <w:rFonts w:cs="Arial"/>
          <w:sz w:val="22"/>
          <w:szCs w:val="22"/>
        </w:rPr>
        <w:t xml:space="preserve"> are subject to mandatory or discretionary grounds for exclusion</w:t>
      </w:r>
      <w:r w:rsidR="001D2F28" w:rsidRPr="004976C6">
        <w:rPr>
          <w:rFonts w:cs="Arial"/>
          <w:sz w:val="22"/>
          <w:szCs w:val="22"/>
        </w:rPr>
        <w:t>.</w:t>
      </w:r>
      <w:r w:rsidR="0093276B" w:rsidRPr="004976C6">
        <w:rPr>
          <w:rFonts w:cs="Arial"/>
          <w:sz w:val="22"/>
          <w:szCs w:val="22"/>
        </w:rPr>
        <w:t xml:space="preserve"> </w:t>
      </w:r>
      <w:r w:rsidRPr="004976C6">
        <w:rPr>
          <w:rFonts w:cs="Arial"/>
          <w:sz w:val="22"/>
          <w:szCs w:val="22"/>
        </w:rPr>
        <w:t xml:space="preserve">By </w:t>
      </w:r>
      <w:r w:rsidR="0093276B" w:rsidRPr="004976C6">
        <w:rPr>
          <w:rFonts w:cs="Arial"/>
          <w:sz w:val="22"/>
          <w:szCs w:val="22"/>
        </w:rPr>
        <w:t>submitting a Tender</w:t>
      </w:r>
      <w:r w:rsidRPr="004976C6">
        <w:rPr>
          <w:rFonts w:cs="Arial"/>
          <w:sz w:val="22"/>
          <w:szCs w:val="22"/>
        </w:rPr>
        <w:t xml:space="preserve"> all other Tenderers shall be deemed to have consented to such future changes in the other Tenderer’s Group or Significant Sub-contractors. </w:t>
      </w:r>
    </w:p>
    <w:p w14:paraId="49B53993" w14:textId="4F6EB085" w:rsidR="005F5252" w:rsidRPr="004976C6" w:rsidRDefault="005F5252" w:rsidP="00F23035">
      <w:pPr>
        <w:pStyle w:val="A3"/>
        <w:tabs>
          <w:tab w:val="clear" w:pos="2606"/>
          <w:tab w:val="num" w:pos="1418"/>
        </w:tabs>
        <w:ind w:left="1418" w:hanging="851"/>
        <w:rPr>
          <w:rFonts w:cs="Arial"/>
          <w:sz w:val="22"/>
          <w:szCs w:val="22"/>
        </w:rPr>
      </w:pPr>
      <w:r w:rsidRPr="004976C6">
        <w:rPr>
          <w:rFonts w:cs="Arial"/>
          <w:sz w:val="22"/>
          <w:szCs w:val="22"/>
        </w:rPr>
        <w:t xml:space="preserve">It is likely that a Group will be required to form a legal entity before </w:t>
      </w:r>
      <w:r w:rsidR="00BD348F" w:rsidRPr="004976C6">
        <w:rPr>
          <w:rFonts w:cs="Arial"/>
          <w:sz w:val="22"/>
          <w:szCs w:val="22"/>
        </w:rPr>
        <w:t>entering</w:t>
      </w:r>
      <w:r w:rsidRPr="004976C6">
        <w:rPr>
          <w:rFonts w:cs="Arial"/>
          <w:sz w:val="22"/>
          <w:szCs w:val="22"/>
        </w:rPr>
        <w:t xml:space="preserve"> the Contract (and to do so within a timeframe prescribed by the Authority) and a Group could be rejected from this procurement for failing to do so. The Authority does not require a Group to have formed the legal entity which would enter the Contract</w:t>
      </w:r>
      <w:r w:rsidR="00887B93" w:rsidRPr="004976C6">
        <w:rPr>
          <w:rFonts w:cs="Arial"/>
          <w:sz w:val="22"/>
          <w:szCs w:val="22"/>
        </w:rPr>
        <w:t>,</w:t>
      </w:r>
      <w:r w:rsidRPr="004976C6">
        <w:rPr>
          <w:rFonts w:cs="Arial"/>
          <w:sz w:val="22"/>
          <w:szCs w:val="22"/>
        </w:rPr>
        <w:t xml:space="preserve"> at this stage.</w:t>
      </w:r>
    </w:p>
    <w:p w14:paraId="486E993D" w14:textId="77777777" w:rsidR="00114A2A" w:rsidRPr="004976C6" w:rsidRDefault="00114A2A" w:rsidP="00F23035">
      <w:pPr>
        <w:pStyle w:val="A3"/>
        <w:tabs>
          <w:tab w:val="clear" w:pos="2606"/>
          <w:tab w:val="num" w:pos="1418"/>
        </w:tabs>
        <w:ind w:left="1418" w:hanging="851"/>
        <w:rPr>
          <w:rFonts w:cs="Arial"/>
          <w:sz w:val="22"/>
          <w:szCs w:val="22"/>
        </w:rPr>
      </w:pPr>
      <w:r w:rsidRPr="004976C6">
        <w:rPr>
          <w:rFonts w:cs="Arial"/>
          <w:sz w:val="22"/>
          <w:szCs w:val="22"/>
        </w:rPr>
        <w:t>If a special purpose ve</w:t>
      </w:r>
      <w:r w:rsidR="00296DF5" w:rsidRPr="004976C6">
        <w:rPr>
          <w:rFonts w:cs="Arial"/>
          <w:sz w:val="22"/>
          <w:szCs w:val="22"/>
        </w:rPr>
        <w:t>hicle (SPV) is to be formed by a</w:t>
      </w:r>
      <w:r w:rsidRPr="004976C6">
        <w:rPr>
          <w:rFonts w:cs="Arial"/>
          <w:sz w:val="22"/>
          <w:szCs w:val="22"/>
        </w:rPr>
        <w:t xml:space="preserve"> Group, </w:t>
      </w:r>
      <w:r w:rsidR="00C91872" w:rsidRPr="004976C6">
        <w:rPr>
          <w:rFonts w:cs="Arial"/>
          <w:sz w:val="22"/>
          <w:szCs w:val="22"/>
        </w:rPr>
        <w:t>the Contract</w:t>
      </w:r>
      <w:r w:rsidRPr="004976C6">
        <w:rPr>
          <w:rFonts w:cs="Arial"/>
          <w:sz w:val="22"/>
          <w:szCs w:val="22"/>
        </w:rPr>
        <w:t xml:space="preserve"> must be supported by guarantees from </w:t>
      </w:r>
      <w:r w:rsidR="00C91872" w:rsidRPr="004976C6">
        <w:rPr>
          <w:rFonts w:cs="Arial"/>
          <w:sz w:val="22"/>
          <w:szCs w:val="22"/>
        </w:rPr>
        <w:t>any</w:t>
      </w:r>
      <w:r w:rsidRPr="004976C6">
        <w:rPr>
          <w:rFonts w:cs="Arial"/>
          <w:sz w:val="22"/>
          <w:szCs w:val="22"/>
        </w:rPr>
        <w:t xml:space="preserve"> parent companies</w:t>
      </w:r>
      <w:r w:rsidR="00C91872" w:rsidRPr="004976C6">
        <w:rPr>
          <w:rFonts w:cs="Arial"/>
          <w:sz w:val="22"/>
          <w:szCs w:val="22"/>
        </w:rPr>
        <w:t xml:space="preserve"> of members of a Group</w:t>
      </w:r>
      <w:r w:rsidRPr="004976C6">
        <w:rPr>
          <w:rFonts w:cs="Arial"/>
          <w:sz w:val="22"/>
          <w:szCs w:val="22"/>
        </w:rPr>
        <w:t>. The Authority reserves the right to seek clarification regarding the relationships between members of a Group and</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or Significant Sub-contractors and or a </w:t>
      </w:r>
      <w:r w:rsidR="00453CB0" w:rsidRPr="004976C6">
        <w:rPr>
          <w:rFonts w:cs="Arial"/>
          <w:sz w:val="22"/>
          <w:szCs w:val="22"/>
        </w:rPr>
        <w:t>Prime Contractor / Significant Sub-contractor</w:t>
      </w:r>
      <w:r w:rsidRPr="004976C6">
        <w:rPr>
          <w:rFonts w:cs="Arial"/>
          <w:sz w:val="22"/>
          <w:szCs w:val="22"/>
        </w:rPr>
        <w:t xml:space="preserve"> as part of </w:t>
      </w:r>
      <w:r w:rsidR="00C91872" w:rsidRPr="004976C6">
        <w:rPr>
          <w:rFonts w:cs="Arial"/>
          <w:sz w:val="22"/>
          <w:szCs w:val="22"/>
        </w:rPr>
        <w:t>the Tender</w:t>
      </w:r>
      <w:r w:rsidRPr="004976C6">
        <w:rPr>
          <w:rFonts w:cs="Arial"/>
          <w:sz w:val="22"/>
          <w:szCs w:val="22"/>
        </w:rPr>
        <w:t xml:space="preserve"> process.</w:t>
      </w:r>
    </w:p>
    <w:p w14:paraId="55F99505" w14:textId="77777777" w:rsidR="00670798" w:rsidRPr="004976C6" w:rsidRDefault="00670798" w:rsidP="005F29BC">
      <w:pPr>
        <w:pStyle w:val="A3"/>
        <w:numPr>
          <w:ilvl w:val="0"/>
          <w:numId w:val="0"/>
        </w:numPr>
        <w:rPr>
          <w:rFonts w:cs="Arial"/>
          <w:sz w:val="22"/>
          <w:szCs w:val="22"/>
        </w:rPr>
      </w:pPr>
    </w:p>
    <w:p w14:paraId="62D6D52E" w14:textId="77777777" w:rsidR="005C0613" w:rsidRPr="004976C6" w:rsidRDefault="005C0613">
      <w:pPr>
        <w:pStyle w:val="A1"/>
        <w:rPr>
          <w:rFonts w:cs="Arial"/>
          <w:sz w:val="22"/>
          <w:szCs w:val="22"/>
        </w:rPr>
      </w:pPr>
      <w:bookmarkStart w:id="16" w:name="_Toc506726726"/>
      <w:bookmarkStart w:id="17" w:name="_Toc371626601"/>
      <w:bookmarkStart w:id="18" w:name="_Toc394843647"/>
      <w:r w:rsidRPr="004976C6">
        <w:rPr>
          <w:rFonts w:cs="Arial"/>
          <w:sz w:val="22"/>
          <w:szCs w:val="22"/>
        </w:rPr>
        <w:t xml:space="preserve">RESPONSE </w:t>
      </w:r>
      <w:r w:rsidR="00E97821" w:rsidRPr="004976C6">
        <w:rPr>
          <w:rFonts w:cs="Arial"/>
          <w:sz w:val="22"/>
          <w:szCs w:val="22"/>
        </w:rPr>
        <w:t xml:space="preserve">ENVELOPES </w:t>
      </w:r>
      <w:r w:rsidRPr="004976C6">
        <w:rPr>
          <w:rFonts w:cs="Arial"/>
          <w:sz w:val="22"/>
          <w:szCs w:val="22"/>
        </w:rPr>
        <w:t>AND The Tender</w:t>
      </w:r>
      <w:bookmarkEnd w:id="16"/>
      <w:bookmarkEnd w:id="17"/>
      <w:bookmarkEnd w:id="18"/>
    </w:p>
    <w:p w14:paraId="66BD22EB"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With</w:t>
      </w:r>
      <w:r w:rsidR="006C62E9" w:rsidRPr="004976C6">
        <w:rPr>
          <w:rFonts w:cs="Arial"/>
          <w:sz w:val="22"/>
          <w:szCs w:val="22"/>
        </w:rPr>
        <w:t xml:space="preserve">in the </w:t>
      </w:r>
      <w:r w:rsidR="005A5E87" w:rsidRPr="004976C6">
        <w:rPr>
          <w:rFonts w:cs="Arial"/>
          <w:sz w:val="22"/>
          <w:szCs w:val="22"/>
        </w:rPr>
        <w:t>I</w:t>
      </w:r>
      <w:r w:rsidR="006C62E9" w:rsidRPr="004976C6">
        <w:rPr>
          <w:rFonts w:cs="Arial"/>
          <w:sz w:val="22"/>
          <w:szCs w:val="22"/>
        </w:rPr>
        <w:t>nvitation to Tender on capitalEsourcing there are three electr</w:t>
      </w:r>
      <w:r w:rsidR="00665225" w:rsidRPr="004976C6">
        <w:rPr>
          <w:rFonts w:cs="Arial"/>
          <w:sz w:val="22"/>
          <w:szCs w:val="22"/>
        </w:rPr>
        <w:t>onic</w:t>
      </w:r>
      <w:r w:rsidRPr="004976C6">
        <w:rPr>
          <w:rFonts w:cs="Arial"/>
          <w:sz w:val="22"/>
          <w:szCs w:val="22"/>
        </w:rPr>
        <w:t xml:space="preserve"> </w:t>
      </w:r>
      <w:r w:rsidR="00665225" w:rsidRPr="004976C6">
        <w:rPr>
          <w:rFonts w:cs="Arial"/>
          <w:sz w:val="22"/>
          <w:szCs w:val="22"/>
        </w:rPr>
        <w:t xml:space="preserve">‘Response Envelopes’ for the Tenderer to complete and submit as part of its Tender. </w:t>
      </w:r>
    </w:p>
    <w:p w14:paraId="00F19014" w14:textId="77777777" w:rsidR="005C0613" w:rsidRPr="004976C6" w:rsidRDefault="00E4282F" w:rsidP="00E4282F">
      <w:pPr>
        <w:pStyle w:val="A2"/>
        <w:tabs>
          <w:tab w:val="num" w:pos="567"/>
        </w:tabs>
        <w:ind w:left="567" w:hanging="567"/>
        <w:rPr>
          <w:rFonts w:cs="Arial"/>
          <w:sz w:val="22"/>
          <w:szCs w:val="22"/>
        </w:rPr>
      </w:pPr>
      <w:r w:rsidRPr="004976C6">
        <w:rPr>
          <w:rFonts w:cs="Arial"/>
          <w:sz w:val="22"/>
          <w:szCs w:val="22"/>
        </w:rPr>
        <w:t xml:space="preserve">The </w:t>
      </w:r>
      <w:r w:rsidRPr="004976C6">
        <w:rPr>
          <w:rFonts w:cs="Arial"/>
          <w:b/>
          <w:sz w:val="22"/>
          <w:szCs w:val="22"/>
        </w:rPr>
        <w:t>Qualification Envelope</w:t>
      </w:r>
      <w:r w:rsidRPr="004976C6">
        <w:rPr>
          <w:rFonts w:cs="Arial"/>
          <w:sz w:val="22"/>
          <w:szCs w:val="22"/>
        </w:rPr>
        <w:t xml:space="preserve"> – containing the following documents: Form of Tender; Bona Fide Tendering and Anti-Collusion Certificate; Schedule of Confidential Information;</w:t>
      </w:r>
      <w:r w:rsidR="004E2048" w:rsidRPr="004976C6">
        <w:rPr>
          <w:rFonts w:cs="Arial"/>
          <w:sz w:val="22"/>
          <w:szCs w:val="22"/>
        </w:rPr>
        <w:t xml:space="preserve"> Provision of Staffing Information Deed of Undertaking and Agreement (only relevant if TUPE applies);</w:t>
      </w:r>
      <w:r w:rsidRPr="004976C6">
        <w:rPr>
          <w:rFonts w:cs="Arial"/>
          <w:sz w:val="22"/>
          <w:szCs w:val="22"/>
        </w:rPr>
        <w:t xml:space="preserve"> Collateral Warranty (only relevant if the contract or part of the contract is going to be sub-contracted by the winning bidder).</w:t>
      </w:r>
    </w:p>
    <w:p w14:paraId="4E3108A9" w14:textId="77777777" w:rsidR="00A33BE0" w:rsidRPr="004976C6" w:rsidRDefault="00ED61CC" w:rsidP="00861BFE">
      <w:pPr>
        <w:pStyle w:val="A3"/>
        <w:tabs>
          <w:tab w:val="clear" w:pos="2606"/>
          <w:tab w:val="num" w:pos="1418"/>
        </w:tabs>
        <w:ind w:left="1418" w:hanging="851"/>
        <w:rPr>
          <w:rFonts w:cs="Arial"/>
          <w:sz w:val="22"/>
          <w:szCs w:val="22"/>
        </w:rPr>
      </w:pPr>
      <w:r w:rsidRPr="004976C6">
        <w:rPr>
          <w:rFonts w:cs="Arial"/>
          <w:sz w:val="22"/>
          <w:szCs w:val="22"/>
        </w:rPr>
        <w:t>The Form of Tender, Anti-Collusion Certificate and Provision of Staffing Information Deed of Undertaking and Agreement</w:t>
      </w:r>
      <w:r w:rsidR="00003D25" w:rsidRPr="004976C6">
        <w:rPr>
          <w:rFonts w:cs="Arial"/>
          <w:sz w:val="22"/>
          <w:szCs w:val="22"/>
        </w:rPr>
        <w:t xml:space="preserve"> (where relevant)</w:t>
      </w:r>
      <w:r w:rsidRPr="004976C6">
        <w:rPr>
          <w:rFonts w:cs="Arial"/>
          <w:sz w:val="22"/>
          <w:szCs w:val="22"/>
        </w:rPr>
        <w:t xml:space="preserve"> must be signed by the Tenderer</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Lead Tenderer and all members of a Group (and where relevant all Significant Sub-contractors</w:t>
      </w:r>
      <w:r w:rsidR="005A5E87" w:rsidRPr="004976C6">
        <w:rPr>
          <w:rFonts w:cs="Arial"/>
          <w:sz w:val="22"/>
          <w:szCs w:val="22"/>
        </w:rPr>
        <w:t>)</w:t>
      </w:r>
      <w:r w:rsidR="00A33BE0" w:rsidRPr="004976C6">
        <w:rPr>
          <w:rFonts w:cs="Arial"/>
          <w:sz w:val="22"/>
          <w:szCs w:val="22"/>
        </w:rPr>
        <w:t>:</w:t>
      </w:r>
    </w:p>
    <w:p w14:paraId="4A261A7B" w14:textId="3A1098EC"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 xml:space="preserve">here the Tenderer is a partnership, by two duly authorised </w:t>
      </w:r>
      <w:r w:rsidR="00DD2A66" w:rsidRPr="004976C6">
        <w:rPr>
          <w:rFonts w:cs="Arial"/>
          <w:sz w:val="22"/>
          <w:szCs w:val="22"/>
        </w:rPr>
        <w:t>partners.</w:t>
      </w:r>
    </w:p>
    <w:p w14:paraId="32D2B2E2" w14:textId="635AC0F8" w:rsidR="00A33BE0" w:rsidRPr="004976C6" w:rsidRDefault="005A5E87" w:rsidP="00861BFE">
      <w:pPr>
        <w:pStyle w:val="A4"/>
        <w:tabs>
          <w:tab w:val="clear" w:pos="4046"/>
          <w:tab w:val="num" w:pos="2410"/>
        </w:tabs>
        <w:ind w:left="2410" w:hanging="992"/>
        <w:rPr>
          <w:rFonts w:cs="Arial"/>
          <w:sz w:val="22"/>
          <w:szCs w:val="22"/>
        </w:rPr>
      </w:pPr>
      <w:r w:rsidRPr="004976C6">
        <w:rPr>
          <w:rFonts w:cs="Arial"/>
          <w:sz w:val="22"/>
          <w:szCs w:val="22"/>
        </w:rPr>
        <w:t>w</w:t>
      </w:r>
      <w:r w:rsidR="00A33BE0" w:rsidRPr="004976C6">
        <w:rPr>
          <w:rFonts w:cs="Arial"/>
          <w:sz w:val="22"/>
          <w:szCs w:val="22"/>
        </w:rPr>
        <w:t xml:space="preserve">here the Tenderer is a company, by two directors or by a director and the secretary of the company or by a director and a witness who attests the signature, such persons being duly authorised for the </w:t>
      </w:r>
      <w:r w:rsidR="00DD2A66" w:rsidRPr="004976C6">
        <w:rPr>
          <w:rFonts w:cs="Arial"/>
          <w:sz w:val="22"/>
          <w:szCs w:val="22"/>
        </w:rPr>
        <w:t>purpose.</w:t>
      </w:r>
    </w:p>
    <w:p w14:paraId="5825458B" w14:textId="28606EED"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 xml:space="preserve">here the Tenderer is an individual by that </w:t>
      </w:r>
      <w:r w:rsidR="00DD2A66" w:rsidRPr="004976C6">
        <w:rPr>
          <w:rFonts w:cs="Arial"/>
          <w:sz w:val="22"/>
          <w:szCs w:val="22"/>
        </w:rPr>
        <w:t>individual.</w:t>
      </w:r>
    </w:p>
    <w:p w14:paraId="28E9BD3D" w14:textId="77777777"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here the Tenderer is a trust by two duly authorised persons.</w:t>
      </w:r>
    </w:p>
    <w:p w14:paraId="2A0D9B89" w14:textId="77777777" w:rsidR="00A33BE0" w:rsidRPr="004976C6" w:rsidRDefault="00917D01" w:rsidP="00861BFE">
      <w:pPr>
        <w:pStyle w:val="A3"/>
        <w:tabs>
          <w:tab w:val="clear" w:pos="2606"/>
          <w:tab w:val="num" w:pos="1418"/>
        </w:tabs>
        <w:ind w:left="1418" w:hanging="851"/>
        <w:rPr>
          <w:rFonts w:cs="Arial"/>
          <w:sz w:val="22"/>
          <w:szCs w:val="22"/>
        </w:rPr>
      </w:pPr>
      <w:r w:rsidRPr="004976C6">
        <w:rPr>
          <w:rFonts w:cs="Arial"/>
          <w:sz w:val="22"/>
          <w:szCs w:val="22"/>
        </w:rPr>
        <w:t>The Tenderer shall produce forthwith upon request by the Authority</w:t>
      </w:r>
      <w:r w:rsidR="00A33BE0" w:rsidRPr="004976C6">
        <w:rPr>
          <w:rFonts w:cs="Arial"/>
          <w:sz w:val="22"/>
          <w:szCs w:val="22"/>
        </w:rPr>
        <w:t xml:space="preserve"> documentary evidence of any authorisation referred to in paragraphs 5.2.</w:t>
      </w:r>
    </w:p>
    <w:p w14:paraId="6714B075" w14:textId="77777777" w:rsidR="0043554D" w:rsidRPr="004976C6" w:rsidRDefault="00A33BE0" w:rsidP="00861BFE">
      <w:pPr>
        <w:pStyle w:val="A3"/>
        <w:tabs>
          <w:tab w:val="clear" w:pos="2606"/>
          <w:tab w:val="num" w:pos="1418"/>
        </w:tabs>
        <w:ind w:left="1418" w:hanging="851"/>
        <w:rPr>
          <w:rFonts w:cs="Arial"/>
          <w:sz w:val="22"/>
          <w:szCs w:val="22"/>
        </w:rPr>
      </w:pPr>
      <w:r w:rsidRPr="004976C6">
        <w:rPr>
          <w:rFonts w:cs="Arial"/>
          <w:sz w:val="22"/>
          <w:szCs w:val="22"/>
        </w:rPr>
        <w:t xml:space="preserve">If relevant the Schedule of Confidential Information should be completed (please refer to paragraph </w:t>
      </w:r>
      <w:r w:rsidR="007E4713" w:rsidRPr="004976C6">
        <w:rPr>
          <w:rFonts w:cs="Arial"/>
          <w:sz w:val="22"/>
          <w:szCs w:val="22"/>
        </w:rPr>
        <w:t>15.2 below)</w:t>
      </w:r>
      <w:r w:rsidRPr="004976C6">
        <w:rPr>
          <w:rFonts w:cs="Arial"/>
          <w:sz w:val="22"/>
          <w:szCs w:val="22"/>
        </w:rPr>
        <w:t xml:space="preserve"> </w:t>
      </w:r>
    </w:p>
    <w:p w14:paraId="1FC2629B" w14:textId="77777777" w:rsidR="00522BB8" w:rsidRPr="004976C6" w:rsidRDefault="00861BFE" w:rsidP="00861BFE">
      <w:pPr>
        <w:pStyle w:val="A3"/>
        <w:tabs>
          <w:tab w:val="clear" w:pos="2606"/>
          <w:tab w:val="num" w:pos="1418"/>
        </w:tabs>
        <w:ind w:left="1418" w:hanging="851"/>
        <w:rPr>
          <w:rFonts w:cs="Arial"/>
          <w:b/>
          <w:sz w:val="22"/>
          <w:szCs w:val="22"/>
        </w:rPr>
      </w:pPr>
      <w:bookmarkStart w:id="19" w:name="_Toc506726728"/>
      <w:r w:rsidRPr="004976C6">
        <w:rPr>
          <w:rFonts w:cs="Arial"/>
          <w:b/>
          <w:sz w:val="22"/>
          <w:szCs w:val="22"/>
        </w:rPr>
        <w:t>Collateral Warranty</w:t>
      </w:r>
    </w:p>
    <w:p w14:paraId="7F4D8F93" w14:textId="77777777" w:rsidR="0043554D" w:rsidRPr="004976C6" w:rsidRDefault="00474B5E" w:rsidP="00861BFE">
      <w:pPr>
        <w:pStyle w:val="A3"/>
        <w:numPr>
          <w:ilvl w:val="0"/>
          <w:numId w:val="0"/>
        </w:numPr>
        <w:ind w:left="1418"/>
        <w:rPr>
          <w:rFonts w:cs="Arial"/>
          <w:sz w:val="22"/>
          <w:szCs w:val="22"/>
        </w:rPr>
      </w:pPr>
      <w:r w:rsidRPr="004976C6">
        <w:rPr>
          <w:rFonts w:cs="Arial"/>
          <w:sz w:val="22"/>
          <w:szCs w:val="22"/>
        </w:rPr>
        <w:t xml:space="preserve">If the Tenderer is appointing a Significant Sub-contractor(s) the </w:t>
      </w:r>
      <w:r w:rsidR="00861BFE" w:rsidRPr="004976C6">
        <w:rPr>
          <w:rFonts w:cs="Arial"/>
          <w:sz w:val="22"/>
          <w:szCs w:val="22"/>
        </w:rPr>
        <w:t xml:space="preserve">Collateral Warranty </w:t>
      </w:r>
      <w:r w:rsidRPr="004976C6">
        <w:rPr>
          <w:rFonts w:cs="Arial"/>
          <w:sz w:val="22"/>
          <w:szCs w:val="22"/>
        </w:rPr>
        <w:t>must be duly executed by the Significant Sub-contractor(s).</w:t>
      </w:r>
    </w:p>
    <w:p w14:paraId="5D89EE3D" w14:textId="77777777" w:rsidR="00D477EA" w:rsidRPr="004976C6" w:rsidRDefault="00917D01" w:rsidP="00861BFE">
      <w:pPr>
        <w:pStyle w:val="A3"/>
        <w:tabs>
          <w:tab w:val="clear" w:pos="2606"/>
          <w:tab w:val="num" w:pos="1418"/>
        </w:tabs>
        <w:ind w:left="1418" w:hanging="851"/>
        <w:rPr>
          <w:rFonts w:cs="Arial"/>
          <w:sz w:val="22"/>
          <w:szCs w:val="22"/>
        </w:rPr>
      </w:pPr>
      <w:r w:rsidRPr="004976C6">
        <w:rPr>
          <w:rFonts w:cs="Arial"/>
          <w:sz w:val="22"/>
          <w:szCs w:val="22"/>
        </w:rPr>
        <w:t xml:space="preserve">The Qualification Envelope also contains the minimum standards that </w:t>
      </w:r>
      <w:r w:rsidR="00482199" w:rsidRPr="004976C6">
        <w:rPr>
          <w:rFonts w:cs="Arial"/>
          <w:sz w:val="22"/>
          <w:szCs w:val="22"/>
        </w:rPr>
        <w:t>y</w:t>
      </w:r>
      <w:r w:rsidRPr="004976C6">
        <w:rPr>
          <w:rFonts w:cs="Arial"/>
          <w:sz w:val="22"/>
          <w:szCs w:val="22"/>
        </w:rPr>
        <w:t xml:space="preserve">ou must have for </w:t>
      </w:r>
      <w:r w:rsidR="00482199" w:rsidRPr="004976C6">
        <w:rPr>
          <w:rFonts w:cs="Arial"/>
          <w:sz w:val="22"/>
          <w:szCs w:val="22"/>
        </w:rPr>
        <w:t>y</w:t>
      </w:r>
      <w:r w:rsidRPr="004976C6">
        <w:rPr>
          <w:rFonts w:cs="Arial"/>
          <w:sz w:val="22"/>
          <w:szCs w:val="22"/>
        </w:rPr>
        <w:t>our Tender to be evaluated, in terms of:</w:t>
      </w:r>
    </w:p>
    <w:p w14:paraId="0F859379" w14:textId="77777777" w:rsidR="006756B6" w:rsidRPr="004976C6" w:rsidRDefault="006756B6" w:rsidP="006756B6">
      <w:pPr>
        <w:pStyle w:val="A4"/>
        <w:numPr>
          <w:ilvl w:val="0"/>
          <w:numId w:val="0"/>
        </w:numPr>
        <w:ind w:left="4046"/>
        <w:rPr>
          <w:rFonts w:cs="Arial"/>
          <w:sz w:val="22"/>
          <w:szCs w:val="22"/>
        </w:rPr>
      </w:pPr>
    </w:p>
    <w:p w14:paraId="12773F5C" w14:textId="77777777" w:rsidR="00B0097A" w:rsidRPr="004976C6" w:rsidRDefault="00B0097A"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suitability to pursue the professional activity</w:t>
      </w:r>
    </w:p>
    <w:p w14:paraId="03C65AF5"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economic and financial standing</w:t>
      </w:r>
    </w:p>
    <w:p w14:paraId="6B9C14C2"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technical and professional ability</w:t>
      </w:r>
    </w:p>
    <w:p w14:paraId="5DD559AD"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insurance held and</w:t>
      </w:r>
    </w:p>
    <w:p w14:paraId="5CDE1DC9"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project-specific requirements</w:t>
      </w:r>
    </w:p>
    <w:p w14:paraId="50297CFD" w14:textId="77777777" w:rsidR="006756B6" w:rsidRPr="004976C6" w:rsidRDefault="006756B6" w:rsidP="006756B6">
      <w:pPr>
        <w:pStyle w:val="A4"/>
        <w:numPr>
          <w:ilvl w:val="0"/>
          <w:numId w:val="0"/>
        </w:numPr>
        <w:ind w:left="4046"/>
        <w:rPr>
          <w:rFonts w:cs="Arial"/>
          <w:sz w:val="22"/>
          <w:szCs w:val="22"/>
        </w:rPr>
      </w:pPr>
    </w:p>
    <w:p w14:paraId="62ACCF00" w14:textId="77777777" w:rsidR="00B83D4B" w:rsidRPr="004976C6" w:rsidRDefault="00B83D4B" w:rsidP="00861BFE">
      <w:pPr>
        <w:pStyle w:val="A2"/>
        <w:tabs>
          <w:tab w:val="num" w:pos="567"/>
        </w:tabs>
        <w:ind w:left="567" w:hanging="567"/>
        <w:rPr>
          <w:rFonts w:cs="Arial"/>
          <w:sz w:val="22"/>
          <w:szCs w:val="22"/>
        </w:rPr>
      </w:pPr>
      <w:r w:rsidRPr="004976C6">
        <w:rPr>
          <w:rFonts w:cs="Arial"/>
          <w:b/>
          <w:bCs/>
          <w:sz w:val="22"/>
          <w:szCs w:val="22"/>
        </w:rPr>
        <w:t>The Technical Envelope</w:t>
      </w:r>
      <w:r w:rsidRPr="004976C6">
        <w:rPr>
          <w:rFonts w:cs="Arial"/>
          <w:sz w:val="22"/>
          <w:szCs w:val="22"/>
        </w:rPr>
        <w:t xml:space="preserve"> – comprising the Tenderer’s Response to the Award Criteria.</w:t>
      </w:r>
    </w:p>
    <w:p w14:paraId="1A8E0BB8" w14:textId="77777777" w:rsidR="00B83D4B" w:rsidRPr="004976C6" w:rsidRDefault="00917D01" w:rsidP="00861BFE">
      <w:pPr>
        <w:pStyle w:val="A3"/>
        <w:tabs>
          <w:tab w:val="clear" w:pos="2606"/>
          <w:tab w:val="num" w:pos="1418"/>
        </w:tabs>
        <w:ind w:left="1418" w:hanging="851"/>
        <w:rPr>
          <w:rFonts w:cs="Arial"/>
          <w:sz w:val="22"/>
          <w:szCs w:val="22"/>
        </w:rPr>
      </w:pPr>
      <w:r w:rsidRPr="004976C6">
        <w:rPr>
          <w:rFonts w:cs="Arial"/>
          <w:sz w:val="22"/>
          <w:szCs w:val="22"/>
        </w:rPr>
        <w:t xml:space="preserve">By the Deadline for receipt of Tenders, the Tenderer shall submit responses to all sections of </w:t>
      </w:r>
      <w:r w:rsidR="00B83D4B" w:rsidRPr="004976C6">
        <w:rPr>
          <w:rFonts w:cs="Arial"/>
          <w:sz w:val="22"/>
          <w:szCs w:val="22"/>
        </w:rPr>
        <w:t xml:space="preserve">the </w:t>
      </w:r>
      <w:r w:rsidRPr="004976C6">
        <w:rPr>
          <w:rFonts w:cs="Arial"/>
          <w:sz w:val="22"/>
          <w:szCs w:val="22"/>
        </w:rPr>
        <w:t>‘Technical Envelope’</w:t>
      </w:r>
      <w:r w:rsidR="006756B6" w:rsidRPr="004976C6">
        <w:rPr>
          <w:rFonts w:cs="Arial"/>
          <w:sz w:val="22"/>
          <w:szCs w:val="22"/>
        </w:rPr>
        <w:t xml:space="preserve"> in the space provided on the Portal.</w:t>
      </w:r>
    </w:p>
    <w:p w14:paraId="566447B7" w14:textId="77777777" w:rsidR="005C0613" w:rsidRPr="004976C6" w:rsidRDefault="00B83D4B" w:rsidP="00861BFE">
      <w:pPr>
        <w:pStyle w:val="A2"/>
        <w:tabs>
          <w:tab w:val="num" w:pos="567"/>
        </w:tabs>
        <w:ind w:left="567" w:hanging="567"/>
        <w:rPr>
          <w:rFonts w:cs="Arial"/>
          <w:b/>
          <w:bCs/>
          <w:sz w:val="22"/>
          <w:szCs w:val="22"/>
        </w:rPr>
      </w:pPr>
      <w:bookmarkStart w:id="20" w:name="_Toc506726729"/>
      <w:bookmarkEnd w:id="19"/>
      <w:r w:rsidRPr="004976C6">
        <w:rPr>
          <w:rFonts w:cs="Arial"/>
          <w:b/>
          <w:bCs/>
          <w:sz w:val="22"/>
          <w:szCs w:val="22"/>
        </w:rPr>
        <w:t xml:space="preserve">The </w:t>
      </w:r>
      <w:bookmarkEnd w:id="20"/>
      <w:r w:rsidRPr="004976C6">
        <w:rPr>
          <w:rFonts w:cs="Arial"/>
          <w:b/>
          <w:bCs/>
          <w:sz w:val="22"/>
          <w:szCs w:val="22"/>
        </w:rPr>
        <w:t>Commercial Envelope</w:t>
      </w:r>
      <w:r w:rsidR="005C0613" w:rsidRPr="004976C6">
        <w:rPr>
          <w:rFonts w:cs="Arial"/>
          <w:b/>
          <w:bCs/>
          <w:sz w:val="22"/>
          <w:szCs w:val="22"/>
        </w:rPr>
        <w:t xml:space="preserve"> </w:t>
      </w:r>
    </w:p>
    <w:p w14:paraId="60202852"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The Tenderer shall complete all sections of the </w:t>
      </w:r>
      <w:r w:rsidR="00B83D4B" w:rsidRPr="004976C6">
        <w:rPr>
          <w:rFonts w:cs="Arial"/>
          <w:sz w:val="22"/>
          <w:szCs w:val="22"/>
        </w:rPr>
        <w:t>Commercial Envelope</w:t>
      </w:r>
      <w:r w:rsidRPr="004976C6">
        <w:rPr>
          <w:rFonts w:cs="Arial"/>
          <w:sz w:val="22"/>
          <w:szCs w:val="22"/>
        </w:rPr>
        <w:t xml:space="preserve">. </w:t>
      </w:r>
    </w:p>
    <w:p w14:paraId="4CB7C0C2"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All prices and rates requested in the </w:t>
      </w:r>
      <w:r w:rsidR="00B83D4B" w:rsidRPr="004976C6">
        <w:rPr>
          <w:rFonts w:cs="Arial"/>
          <w:sz w:val="22"/>
          <w:szCs w:val="22"/>
        </w:rPr>
        <w:t>Commercial Envelope</w:t>
      </w:r>
      <w:r w:rsidRPr="004976C6">
        <w:rPr>
          <w:rFonts w:cs="Arial"/>
          <w:sz w:val="22"/>
          <w:szCs w:val="22"/>
        </w:rPr>
        <w:t xml:space="preserve"> shall be inclusive of all disbursements and any other costs or expenses necessary for the proper performance of the Service</w:t>
      </w:r>
      <w:r w:rsidR="00B115F3" w:rsidRPr="004976C6">
        <w:rPr>
          <w:rFonts w:cs="Arial"/>
          <w:sz w:val="22"/>
          <w:szCs w:val="22"/>
        </w:rPr>
        <w:t>s</w:t>
      </w:r>
      <w:r w:rsidRPr="004976C6">
        <w:rPr>
          <w:rFonts w:cs="Arial"/>
          <w:sz w:val="22"/>
          <w:szCs w:val="22"/>
        </w:rPr>
        <w:t xml:space="preserve"> and include for all </w:t>
      </w:r>
      <w:r w:rsidR="00397434" w:rsidRPr="004976C6">
        <w:rPr>
          <w:rFonts w:cs="Arial"/>
          <w:sz w:val="22"/>
          <w:szCs w:val="22"/>
        </w:rPr>
        <w:t xml:space="preserve">Provider </w:t>
      </w:r>
      <w:r w:rsidRPr="004976C6">
        <w:rPr>
          <w:rFonts w:cs="Arial"/>
          <w:sz w:val="22"/>
          <w:szCs w:val="22"/>
        </w:rPr>
        <w:t xml:space="preserve">risks under the </w:t>
      </w:r>
      <w:r w:rsidR="000D33CC" w:rsidRPr="004976C6">
        <w:rPr>
          <w:rFonts w:cs="Arial"/>
          <w:sz w:val="22"/>
          <w:szCs w:val="22"/>
        </w:rPr>
        <w:t>Conditions of Contract.</w:t>
      </w:r>
      <w:r w:rsidRPr="004976C6">
        <w:rPr>
          <w:rFonts w:cs="Arial"/>
          <w:sz w:val="22"/>
          <w:szCs w:val="22"/>
        </w:rPr>
        <w:t xml:space="preserve">  All prices and rates shall be exclusive of Value Added Tax.  The </w:t>
      </w:r>
      <w:r w:rsidR="00B115F3" w:rsidRPr="004976C6">
        <w:rPr>
          <w:rFonts w:cs="Arial"/>
          <w:sz w:val="22"/>
          <w:szCs w:val="22"/>
        </w:rPr>
        <w:t>Authority</w:t>
      </w:r>
      <w:r w:rsidR="006756B6" w:rsidRPr="004976C6">
        <w:rPr>
          <w:rFonts w:cs="Arial"/>
          <w:sz w:val="22"/>
          <w:szCs w:val="22"/>
        </w:rPr>
        <w:t xml:space="preserve"> </w:t>
      </w:r>
      <w:r w:rsidR="00D36111" w:rsidRPr="004976C6">
        <w:rPr>
          <w:rFonts w:cs="Arial"/>
          <w:sz w:val="22"/>
          <w:szCs w:val="22"/>
        </w:rPr>
        <w:t>/</w:t>
      </w:r>
      <w:r w:rsidR="006756B6" w:rsidRPr="004976C6">
        <w:rPr>
          <w:rFonts w:cs="Arial"/>
          <w:sz w:val="22"/>
          <w:szCs w:val="22"/>
        </w:rPr>
        <w:t xml:space="preserve"> </w:t>
      </w:r>
      <w:r w:rsidR="00D36111" w:rsidRPr="004976C6">
        <w:rPr>
          <w:rFonts w:cs="Arial"/>
          <w:sz w:val="22"/>
          <w:szCs w:val="22"/>
        </w:rPr>
        <w:t>Participating Authorities</w:t>
      </w:r>
      <w:r w:rsidRPr="004976C6">
        <w:rPr>
          <w:rFonts w:cs="Arial"/>
          <w:sz w:val="22"/>
          <w:szCs w:val="22"/>
        </w:rPr>
        <w:t xml:space="preserve"> shall not pay any sum or sums other than those set out in the Pricing Document.</w:t>
      </w:r>
    </w:p>
    <w:p w14:paraId="406AACB1" w14:textId="77777777" w:rsidR="005C0613" w:rsidRPr="004976C6" w:rsidRDefault="005C0613" w:rsidP="00861BFE">
      <w:pPr>
        <w:pStyle w:val="A2"/>
        <w:tabs>
          <w:tab w:val="num" w:pos="567"/>
        </w:tabs>
        <w:ind w:left="567" w:hanging="567"/>
        <w:rPr>
          <w:rFonts w:cs="Arial"/>
          <w:b/>
          <w:sz w:val="22"/>
          <w:szCs w:val="22"/>
        </w:rPr>
      </w:pPr>
      <w:bookmarkStart w:id="21" w:name="_Toc506726733"/>
      <w:r w:rsidRPr="004976C6">
        <w:rPr>
          <w:rFonts w:cs="Arial"/>
          <w:b/>
          <w:sz w:val="22"/>
          <w:szCs w:val="22"/>
        </w:rPr>
        <w:t>Generally</w:t>
      </w:r>
    </w:p>
    <w:p w14:paraId="576FD073" w14:textId="59F2E7B6"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The Tenderer shall include in its Tender</w:t>
      </w:r>
      <w:r w:rsidR="00027831" w:rsidRPr="004976C6">
        <w:rPr>
          <w:rFonts w:cs="Arial"/>
          <w:sz w:val="22"/>
          <w:szCs w:val="22"/>
        </w:rPr>
        <w:t>,</w:t>
      </w:r>
      <w:r w:rsidRPr="004976C6">
        <w:rPr>
          <w:rFonts w:cs="Arial"/>
          <w:sz w:val="22"/>
          <w:szCs w:val="22"/>
        </w:rPr>
        <w:t xml:space="preserve"> details of all information or assumptions that it has </w:t>
      </w:r>
      <w:r w:rsidR="006756B6" w:rsidRPr="004976C6">
        <w:rPr>
          <w:rFonts w:cs="Arial"/>
          <w:sz w:val="22"/>
          <w:szCs w:val="22"/>
        </w:rPr>
        <w:t>considered</w:t>
      </w:r>
      <w:r w:rsidRPr="004976C6">
        <w:rPr>
          <w:rFonts w:cs="Arial"/>
          <w:sz w:val="22"/>
          <w:szCs w:val="22"/>
        </w:rPr>
        <w:t xml:space="preserve"> in relation to the submission of its Tender which must in any event be in accordance with the requirements, </w:t>
      </w:r>
      <w:r w:rsidR="00D876EA" w:rsidRPr="004976C6">
        <w:rPr>
          <w:rFonts w:cs="Arial"/>
          <w:sz w:val="22"/>
          <w:szCs w:val="22"/>
        </w:rPr>
        <w:t>conditions,</w:t>
      </w:r>
      <w:r w:rsidRPr="004976C6">
        <w:rPr>
          <w:rFonts w:cs="Arial"/>
          <w:sz w:val="22"/>
          <w:szCs w:val="22"/>
        </w:rPr>
        <w:t xml:space="preserve"> and stipulations of these Instructions to Tenderers.</w:t>
      </w:r>
    </w:p>
    <w:p w14:paraId="779CB6EC"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In addition, the Tenderer shall give further written or verbal details and information as may reasonably be requested by the </w:t>
      </w:r>
      <w:r w:rsidR="008449A8" w:rsidRPr="004976C6">
        <w:rPr>
          <w:rFonts w:cs="Arial"/>
          <w:sz w:val="22"/>
          <w:szCs w:val="22"/>
        </w:rPr>
        <w:t>Authority</w:t>
      </w:r>
      <w:r w:rsidRPr="004976C6">
        <w:rPr>
          <w:rFonts w:cs="Arial"/>
          <w:sz w:val="22"/>
          <w:szCs w:val="22"/>
        </w:rPr>
        <w:t>.</w:t>
      </w:r>
    </w:p>
    <w:p w14:paraId="52227232"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Tenderers are required to complete all sections of the </w:t>
      </w:r>
      <w:r w:rsidR="00B83D4B" w:rsidRPr="004976C6">
        <w:rPr>
          <w:rFonts w:cs="Arial"/>
          <w:sz w:val="22"/>
          <w:szCs w:val="22"/>
        </w:rPr>
        <w:t>Qualification</w:t>
      </w:r>
      <w:r w:rsidR="001C08A6" w:rsidRPr="004976C6">
        <w:rPr>
          <w:rFonts w:cs="Arial"/>
          <w:sz w:val="22"/>
          <w:szCs w:val="22"/>
        </w:rPr>
        <w:t xml:space="preserve"> Envelope, Technical Envelope and Commercial Envelope. </w:t>
      </w:r>
    </w:p>
    <w:p w14:paraId="0E83C8C0" w14:textId="77777777" w:rsidR="005C0613" w:rsidRPr="004976C6" w:rsidRDefault="005C0613" w:rsidP="00861BFE">
      <w:pPr>
        <w:pStyle w:val="A2"/>
        <w:tabs>
          <w:tab w:val="num" w:pos="567"/>
        </w:tabs>
        <w:ind w:left="567" w:hanging="567"/>
        <w:rPr>
          <w:rFonts w:cs="Arial"/>
          <w:b/>
          <w:sz w:val="22"/>
          <w:szCs w:val="22"/>
        </w:rPr>
      </w:pPr>
      <w:r w:rsidRPr="004976C6">
        <w:rPr>
          <w:rFonts w:cs="Arial"/>
          <w:b/>
          <w:sz w:val="22"/>
          <w:szCs w:val="22"/>
        </w:rPr>
        <w:t>Conditions of Contract</w:t>
      </w:r>
    </w:p>
    <w:p w14:paraId="70B92665" w14:textId="4162334B"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Included as part of the Tender documents is the </w:t>
      </w:r>
      <w:r w:rsidR="006756B6" w:rsidRPr="004976C6">
        <w:rPr>
          <w:rFonts w:cs="Arial"/>
          <w:sz w:val="22"/>
          <w:szCs w:val="22"/>
        </w:rPr>
        <w:t>F</w:t>
      </w:r>
      <w:r w:rsidRPr="004976C6">
        <w:rPr>
          <w:rFonts w:cs="Arial"/>
          <w:sz w:val="22"/>
          <w:szCs w:val="22"/>
        </w:rPr>
        <w:t xml:space="preserve">orm of </w:t>
      </w:r>
      <w:r w:rsidR="00167FD2" w:rsidRPr="004976C6">
        <w:rPr>
          <w:rFonts w:cs="Arial"/>
          <w:sz w:val="22"/>
          <w:szCs w:val="22"/>
        </w:rPr>
        <w:t>Contract</w:t>
      </w:r>
      <w:r w:rsidRPr="004976C6">
        <w:rPr>
          <w:rFonts w:cs="Arial"/>
          <w:sz w:val="22"/>
          <w:szCs w:val="22"/>
        </w:rPr>
        <w:t xml:space="preserve"> to be entered into between the </w:t>
      </w:r>
      <w:r w:rsidR="008449A8" w:rsidRPr="004976C6">
        <w:rPr>
          <w:rFonts w:cs="Arial"/>
          <w:sz w:val="22"/>
          <w:szCs w:val="22"/>
        </w:rPr>
        <w:t>Authority</w:t>
      </w:r>
      <w:r w:rsidRPr="004976C6">
        <w:rPr>
          <w:rFonts w:cs="Arial"/>
          <w:sz w:val="22"/>
          <w:szCs w:val="22"/>
        </w:rPr>
        <w:t xml:space="preserve"> and the successful Tenderer. Mark-ups of </w:t>
      </w:r>
      <w:r w:rsidR="00167FD2" w:rsidRPr="004976C6">
        <w:rPr>
          <w:rFonts w:cs="Arial"/>
          <w:sz w:val="22"/>
          <w:szCs w:val="22"/>
        </w:rPr>
        <w:t>Contract</w:t>
      </w:r>
      <w:r w:rsidRPr="004976C6">
        <w:rPr>
          <w:rFonts w:cs="Arial"/>
          <w:sz w:val="22"/>
          <w:szCs w:val="22"/>
        </w:rPr>
        <w:t xml:space="preserve"> are not invited</w:t>
      </w:r>
      <w:r w:rsidR="00A64698" w:rsidRPr="004976C6">
        <w:rPr>
          <w:rFonts w:cs="Arial"/>
          <w:sz w:val="22"/>
          <w:szCs w:val="22"/>
        </w:rPr>
        <w:t>. If</w:t>
      </w:r>
      <w:r w:rsidRPr="004976C6">
        <w:rPr>
          <w:rFonts w:cs="Arial"/>
          <w:sz w:val="22"/>
          <w:szCs w:val="22"/>
        </w:rPr>
        <w:t xml:space="preserve"> any Tenderer does submit any mark-ups or includes in its Tender any statements which indicate that the Tenderer does not accept any or </w:t>
      </w:r>
      <w:r w:rsidR="00D876EA" w:rsidRPr="004976C6">
        <w:rPr>
          <w:rFonts w:cs="Arial"/>
          <w:sz w:val="22"/>
          <w:szCs w:val="22"/>
        </w:rPr>
        <w:t>all</w:t>
      </w:r>
      <w:r w:rsidRPr="004976C6">
        <w:rPr>
          <w:rFonts w:cs="Arial"/>
          <w:sz w:val="22"/>
          <w:szCs w:val="22"/>
        </w:rPr>
        <w:t xml:space="preserve"> the terms of the </w:t>
      </w:r>
      <w:r w:rsidR="005A5E87" w:rsidRPr="004976C6">
        <w:rPr>
          <w:rFonts w:cs="Arial"/>
          <w:sz w:val="22"/>
          <w:szCs w:val="22"/>
        </w:rPr>
        <w:t>Contract</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may reject that Tender.</w:t>
      </w:r>
    </w:p>
    <w:p w14:paraId="0A02D6D3" w14:textId="77777777" w:rsidR="005C0613" w:rsidRPr="004976C6" w:rsidRDefault="005C0613" w:rsidP="00637979">
      <w:pPr>
        <w:pStyle w:val="A2"/>
        <w:numPr>
          <w:ilvl w:val="0"/>
          <w:numId w:val="0"/>
        </w:numPr>
        <w:ind w:left="1440"/>
        <w:rPr>
          <w:rFonts w:cs="Arial"/>
          <w:b/>
          <w:sz w:val="22"/>
          <w:szCs w:val="22"/>
        </w:rPr>
      </w:pPr>
    </w:p>
    <w:p w14:paraId="29F7FFF2" w14:textId="77777777" w:rsidR="005C0613" w:rsidRPr="004976C6" w:rsidRDefault="005C0613">
      <w:pPr>
        <w:pStyle w:val="A1"/>
        <w:rPr>
          <w:rFonts w:cs="Arial"/>
          <w:sz w:val="22"/>
          <w:szCs w:val="22"/>
        </w:rPr>
      </w:pPr>
      <w:bookmarkStart w:id="22" w:name="_Toc506726734"/>
      <w:bookmarkStart w:id="23" w:name="_Toc371626602"/>
      <w:bookmarkStart w:id="24" w:name="_Toc394843648"/>
      <w:bookmarkEnd w:id="21"/>
      <w:r w:rsidRPr="004976C6">
        <w:rPr>
          <w:rFonts w:cs="Arial"/>
          <w:sz w:val="22"/>
          <w:szCs w:val="22"/>
        </w:rPr>
        <w:t>Return Of Tenders</w:t>
      </w:r>
      <w:bookmarkEnd w:id="22"/>
      <w:bookmarkEnd w:id="23"/>
      <w:bookmarkEnd w:id="24"/>
    </w:p>
    <w:p w14:paraId="2A22AF99" w14:textId="77777777" w:rsidR="005C0613" w:rsidRPr="004976C6" w:rsidRDefault="009A2486" w:rsidP="00861BFE">
      <w:pPr>
        <w:pStyle w:val="A2"/>
        <w:tabs>
          <w:tab w:val="num" w:pos="567"/>
        </w:tabs>
        <w:ind w:left="567" w:hanging="567"/>
        <w:rPr>
          <w:rFonts w:cs="Arial"/>
          <w:sz w:val="22"/>
          <w:szCs w:val="22"/>
        </w:rPr>
      </w:pPr>
      <w:r w:rsidRPr="004976C6">
        <w:rPr>
          <w:rFonts w:cs="Arial"/>
          <w:sz w:val="22"/>
          <w:szCs w:val="22"/>
        </w:rPr>
        <w:t xml:space="preserve">Tenderers are required to submit their completed Response Envelopes through the capitalEsourcing Portal.  Use of this system does not require the purchase of high specification </w:t>
      </w:r>
      <w:r w:rsidR="00D36111" w:rsidRPr="004976C6">
        <w:rPr>
          <w:rFonts w:cs="Arial"/>
          <w:sz w:val="22"/>
          <w:szCs w:val="22"/>
        </w:rPr>
        <w:t xml:space="preserve">IT </w:t>
      </w:r>
      <w:r w:rsidR="00F54F2C" w:rsidRPr="004976C6">
        <w:rPr>
          <w:rFonts w:cs="Arial"/>
          <w:sz w:val="22"/>
          <w:szCs w:val="22"/>
        </w:rPr>
        <w:t xml:space="preserve">equipment or connections, or </w:t>
      </w:r>
      <w:r w:rsidR="006756B6" w:rsidRPr="004976C6">
        <w:rPr>
          <w:rFonts w:cs="Arial"/>
          <w:sz w:val="22"/>
          <w:szCs w:val="22"/>
        </w:rPr>
        <w:t>high-level</w:t>
      </w:r>
      <w:r w:rsidR="00F54F2C" w:rsidRPr="004976C6">
        <w:rPr>
          <w:rFonts w:cs="Arial"/>
          <w:sz w:val="22"/>
          <w:szCs w:val="22"/>
        </w:rPr>
        <w:t xml:space="preserve"> personal </w:t>
      </w:r>
      <w:r w:rsidR="00D36111" w:rsidRPr="004976C6">
        <w:rPr>
          <w:rFonts w:cs="Arial"/>
          <w:sz w:val="22"/>
          <w:szCs w:val="22"/>
        </w:rPr>
        <w:t xml:space="preserve">IT </w:t>
      </w:r>
      <w:r w:rsidRPr="004976C6">
        <w:rPr>
          <w:rFonts w:cs="Arial"/>
          <w:sz w:val="22"/>
          <w:szCs w:val="22"/>
        </w:rPr>
        <w:t>skills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capabilities.  Tenderers are advised to complete their Response Envelopes in advance of the Deadline to allow time to request guidance where it is required.  It is the responsibility of Tenderers to ensure they are familiar</w:t>
      </w:r>
      <w:r w:rsidR="00F54F2C" w:rsidRPr="004976C6">
        <w:rPr>
          <w:rFonts w:cs="Arial"/>
          <w:sz w:val="22"/>
          <w:szCs w:val="22"/>
        </w:rPr>
        <w:t xml:space="preserve"> with the system and allow suffi</w:t>
      </w:r>
      <w:r w:rsidRPr="004976C6">
        <w:rPr>
          <w:rFonts w:cs="Arial"/>
          <w:sz w:val="22"/>
          <w:szCs w:val="22"/>
        </w:rPr>
        <w:t>c</w:t>
      </w:r>
      <w:r w:rsidR="00F54F2C" w:rsidRPr="004976C6">
        <w:rPr>
          <w:rFonts w:cs="Arial"/>
          <w:sz w:val="22"/>
          <w:szCs w:val="22"/>
        </w:rPr>
        <w:t>i</w:t>
      </w:r>
      <w:r w:rsidRPr="004976C6">
        <w:rPr>
          <w:rFonts w:cs="Arial"/>
          <w:sz w:val="22"/>
          <w:szCs w:val="22"/>
        </w:rPr>
        <w:t>ent time for finalising their completed Response Envelopes.</w:t>
      </w:r>
    </w:p>
    <w:p w14:paraId="0FB73B67" w14:textId="77777777" w:rsidR="00621B86" w:rsidRPr="004976C6" w:rsidRDefault="00760237" w:rsidP="00861BFE">
      <w:pPr>
        <w:pStyle w:val="A2"/>
        <w:tabs>
          <w:tab w:val="num" w:pos="567"/>
        </w:tabs>
        <w:ind w:left="567" w:hanging="567"/>
        <w:rPr>
          <w:rFonts w:cs="Arial"/>
          <w:sz w:val="22"/>
          <w:szCs w:val="22"/>
        </w:rPr>
      </w:pPr>
      <w:r w:rsidRPr="004976C6">
        <w:rPr>
          <w:rFonts w:cs="Arial"/>
          <w:sz w:val="22"/>
          <w:szCs w:val="22"/>
        </w:rPr>
        <w:t xml:space="preserve">The Authority is not responsible for inaccurate or incomplete contact information input into the Portal by Tenderers.  It is the responsibility of a Tenderer to ensure that the </w:t>
      </w:r>
      <w:r w:rsidR="005A5E87" w:rsidRPr="004976C6">
        <w:rPr>
          <w:rFonts w:cs="Arial"/>
          <w:sz w:val="22"/>
          <w:szCs w:val="22"/>
        </w:rPr>
        <w:t>cont</w:t>
      </w:r>
      <w:r w:rsidRPr="004976C6">
        <w:rPr>
          <w:rFonts w:cs="Arial"/>
          <w:sz w:val="22"/>
          <w:szCs w:val="22"/>
        </w:rPr>
        <w:t>act information they have entered for their organisation on the Portal is accurate and kept up to date.  Important notification messages relevant to this procuremen</w:t>
      </w:r>
      <w:r w:rsidR="00F54F2C" w:rsidRPr="004976C6">
        <w:rPr>
          <w:rFonts w:cs="Arial"/>
          <w:sz w:val="22"/>
          <w:szCs w:val="22"/>
        </w:rPr>
        <w:t xml:space="preserve">t may </w:t>
      </w:r>
      <w:r w:rsidR="00474B5E" w:rsidRPr="004976C6">
        <w:rPr>
          <w:rFonts w:cs="Arial"/>
          <w:sz w:val="22"/>
          <w:szCs w:val="22"/>
        </w:rPr>
        <w:t xml:space="preserve">not </w:t>
      </w:r>
      <w:r w:rsidR="00F54F2C" w:rsidRPr="004976C6">
        <w:rPr>
          <w:rFonts w:cs="Arial"/>
          <w:sz w:val="22"/>
          <w:szCs w:val="22"/>
        </w:rPr>
        <w:t>be received by a Tenderer</w:t>
      </w:r>
      <w:r w:rsidRPr="004976C6">
        <w:rPr>
          <w:rFonts w:cs="Arial"/>
          <w:sz w:val="22"/>
          <w:szCs w:val="22"/>
        </w:rPr>
        <w:t xml:space="preserve"> should the contact information be inaccurate.  If at any stage a Tenderer needs to update the contact information held for their organisation this can be achieved by submitting it via the Portal.  The Authority is under no obligation to respond</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 xml:space="preserve">follow up on ‘out of the office’ responses received from a Tenderer and so Tenderers will need to make appropriate arrangements to deal with absences.  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6" w:history="1">
        <w:r w:rsidRPr="004976C6">
          <w:rPr>
            <w:rFonts w:cs="Arial"/>
            <w:sz w:val="22"/>
            <w:szCs w:val="22"/>
          </w:rPr>
          <w:t>help@capitalesourcing.com</w:t>
        </w:r>
      </w:hyperlink>
      <w:r w:rsidR="00861BFE" w:rsidRPr="004976C6">
        <w:rPr>
          <w:rFonts w:cs="Arial"/>
          <w:sz w:val="22"/>
          <w:szCs w:val="22"/>
        </w:rPr>
        <w:t xml:space="preserve">.  </w:t>
      </w:r>
      <w:r w:rsidRPr="004976C6">
        <w:rPr>
          <w:rFonts w:cs="Arial"/>
          <w:sz w:val="22"/>
          <w:szCs w:val="22"/>
        </w:rPr>
        <w:t>This email address should only be used where there are technical issues with the Portal.  Otherwis</w:t>
      </w:r>
      <w:r w:rsidR="00621B86" w:rsidRPr="004976C6">
        <w:rPr>
          <w:rFonts w:cs="Arial"/>
          <w:sz w:val="22"/>
          <w:szCs w:val="22"/>
        </w:rPr>
        <w:t>e</w:t>
      </w:r>
      <w:r w:rsidRPr="004976C6">
        <w:rPr>
          <w:rFonts w:cs="Arial"/>
          <w:sz w:val="22"/>
          <w:szCs w:val="22"/>
        </w:rPr>
        <w:t xml:space="preserve">, </w:t>
      </w:r>
      <w:r w:rsidR="00752355" w:rsidRPr="004976C6">
        <w:rPr>
          <w:rFonts w:cs="Arial"/>
          <w:sz w:val="22"/>
          <w:szCs w:val="22"/>
        </w:rPr>
        <w:t xml:space="preserve">all </w:t>
      </w:r>
      <w:r w:rsidRPr="004976C6">
        <w:rPr>
          <w:rFonts w:cs="Arial"/>
          <w:sz w:val="22"/>
          <w:szCs w:val="22"/>
        </w:rPr>
        <w:t xml:space="preserve">questions </w:t>
      </w:r>
      <w:r w:rsidR="00621B86" w:rsidRPr="004976C6">
        <w:rPr>
          <w:rFonts w:cs="Arial"/>
          <w:sz w:val="22"/>
          <w:szCs w:val="22"/>
        </w:rPr>
        <w:t xml:space="preserve">and queries relating to this procurement should be submitted via the </w:t>
      </w:r>
      <w:r w:rsidR="006756B6" w:rsidRPr="004976C6">
        <w:rPr>
          <w:rFonts w:cs="Arial"/>
          <w:sz w:val="22"/>
          <w:szCs w:val="22"/>
        </w:rPr>
        <w:t xml:space="preserve">messaging facilities on the </w:t>
      </w:r>
      <w:r w:rsidR="00621B86" w:rsidRPr="004976C6">
        <w:rPr>
          <w:rFonts w:cs="Arial"/>
          <w:sz w:val="22"/>
          <w:szCs w:val="22"/>
        </w:rPr>
        <w:t>Portal.</w:t>
      </w:r>
    </w:p>
    <w:p w14:paraId="036EA873" w14:textId="77777777" w:rsidR="00621B86" w:rsidRPr="004976C6" w:rsidRDefault="004D3673" w:rsidP="00861BFE">
      <w:pPr>
        <w:pStyle w:val="A2"/>
        <w:tabs>
          <w:tab w:val="num" w:pos="567"/>
        </w:tabs>
        <w:ind w:left="567" w:hanging="567"/>
        <w:rPr>
          <w:rFonts w:cs="Arial"/>
          <w:sz w:val="22"/>
          <w:szCs w:val="22"/>
        </w:rPr>
      </w:pPr>
      <w:r w:rsidRPr="004976C6">
        <w:rPr>
          <w:rFonts w:cs="Arial"/>
          <w:sz w:val="22"/>
          <w:szCs w:val="22"/>
        </w:rPr>
        <w:t>All aspects (documents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attachments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 xml:space="preserve">responses) of completed Responses Envelopes must be submitted electronically via the Portal.  Once the completed Response Envelopes have been submitted a pop-up box will appear notifying the Tenderer.  </w:t>
      </w:r>
      <w:r w:rsidRPr="004976C6">
        <w:rPr>
          <w:rFonts w:cs="Arial"/>
          <w:b/>
          <w:sz w:val="22"/>
          <w:szCs w:val="22"/>
        </w:rPr>
        <w:t xml:space="preserve">The </w:t>
      </w:r>
      <w:r w:rsidR="00752355" w:rsidRPr="004976C6">
        <w:rPr>
          <w:rFonts w:cs="Arial"/>
          <w:b/>
          <w:sz w:val="22"/>
          <w:szCs w:val="22"/>
        </w:rPr>
        <w:t xml:space="preserve">Tenderer </w:t>
      </w:r>
      <w:r w:rsidRPr="004976C6">
        <w:rPr>
          <w:rFonts w:cs="Arial"/>
          <w:b/>
          <w:sz w:val="22"/>
          <w:szCs w:val="22"/>
        </w:rPr>
        <w:t>is not permitted to return by email any part of the completed Response Envelopes.  Any attempt to email any part of the completed Response Envelopes may result in the Tender being disqualified.</w:t>
      </w:r>
    </w:p>
    <w:p w14:paraId="474108F0" w14:textId="77777777"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duly completed Response Envelopes must be submitted via the Portal by the </w:t>
      </w:r>
      <w:r w:rsidR="00752355" w:rsidRPr="004976C6">
        <w:rPr>
          <w:rFonts w:cs="Arial"/>
          <w:sz w:val="22"/>
          <w:szCs w:val="22"/>
        </w:rPr>
        <w:t>Deadline</w:t>
      </w:r>
      <w:r w:rsidRPr="004976C6">
        <w:rPr>
          <w:rFonts w:cs="Arial"/>
          <w:sz w:val="22"/>
          <w:szCs w:val="22"/>
        </w:rPr>
        <w:t>.  Tenderers are advised to allow plenty of time to submit their completed Response Envelopes onto the Portal as this wil</w:t>
      </w:r>
      <w:r w:rsidR="00370398" w:rsidRPr="004976C6">
        <w:rPr>
          <w:rFonts w:cs="Arial"/>
          <w:sz w:val="22"/>
          <w:szCs w:val="22"/>
        </w:rPr>
        <w:t>l</w:t>
      </w:r>
      <w:r w:rsidRPr="004976C6">
        <w:rPr>
          <w:rFonts w:cs="Arial"/>
          <w:sz w:val="22"/>
          <w:szCs w:val="22"/>
        </w:rPr>
        <w:t xml:space="preserve"> take some time to complete and the Authority reserves the right to disqualify and not evaluate any completed Response Envelopes submitted after the Deadline.</w:t>
      </w:r>
    </w:p>
    <w:p w14:paraId="2500ABC4" w14:textId="577348E0"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Forms of Tender must remain valid and open for acceptance by the Authority for a period of </w:t>
      </w:r>
      <w:r w:rsidR="00366CE5">
        <w:rPr>
          <w:rFonts w:cs="Arial"/>
          <w:sz w:val="22"/>
          <w:szCs w:val="22"/>
        </w:rPr>
        <w:t>one hundred and eighty days</w:t>
      </w:r>
      <w:r w:rsidR="003B3115">
        <w:rPr>
          <w:rFonts w:cs="Arial"/>
          <w:sz w:val="22"/>
          <w:szCs w:val="22"/>
        </w:rPr>
        <w:t xml:space="preserve"> (6 months)</w:t>
      </w:r>
      <w:r w:rsidRPr="004976C6">
        <w:rPr>
          <w:rFonts w:cs="Arial"/>
          <w:sz w:val="22"/>
          <w:szCs w:val="22"/>
        </w:rPr>
        <w:t>.</w:t>
      </w:r>
    </w:p>
    <w:p w14:paraId="25CA4A1B" w14:textId="77777777" w:rsidR="005C0613" w:rsidRPr="004976C6" w:rsidRDefault="005C0613">
      <w:pPr>
        <w:pStyle w:val="A1"/>
        <w:rPr>
          <w:rFonts w:cs="Arial"/>
          <w:sz w:val="22"/>
          <w:szCs w:val="22"/>
        </w:rPr>
      </w:pPr>
      <w:bookmarkStart w:id="25" w:name="_Toc506726735"/>
      <w:bookmarkStart w:id="26" w:name="_Toc371626603"/>
      <w:bookmarkStart w:id="27" w:name="_Toc394843649"/>
      <w:r w:rsidRPr="004976C6">
        <w:rPr>
          <w:rFonts w:cs="Arial"/>
          <w:sz w:val="22"/>
          <w:szCs w:val="22"/>
        </w:rPr>
        <w:t>Rejection Of Tenders</w:t>
      </w:r>
      <w:bookmarkEnd w:id="25"/>
      <w:bookmarkEnd w:id="26"/>
      <w:bookmarkEnd w:id="27"/>
    </w:p>
    <w:p w14:paraId="5C89C7B9"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reserves the right to reject any Tender submitted by a Tenderer in respect of which the Tenderer:</w:t>
      </w:r>
    </w:p>
    <w:p w14:paraId="2CBFDCD9" w14:textId="6B31CA2F"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discloses to any </w:t>
      </w:r>
      <w:r w:rsidR="006756B6" w:rsidRPr="004976C6">
        <w:rPr>
          <w:rFonts w:cs="Arial"/>
          <w:sz w:val="22"/>
          <w:szCs w:val="22"/>
        </w:rPr>
        <w:t>third-party</w:t>
      </w:r>
      <w:r w:rsidRPr="004976C6">
        <w:rPr>
          <w:rFonts w:cs="Arial"/>
          <w:sz w:val="22"/>
          <w:szCs w:val="22"/>
        </w:rPr>
        <w:t xml:space="preserve"> prices shown in its Tender except where such disclosure is made in confidence </w:t>
      </w:r>
      <w:r w:rsidR="00D876EA" w:rsidRPr="004976C6">
        <w:rPr>
          <w:rFonts w:cs="Arial"/>
          <w:sz w:val="22"/>
          <w:szCs w:val="22"/>
        </w:rPr>
        <w:t>to</w:t>
      </w:r>
      <w:r w:rsidRPr="004976C6">
        <w:rPr>
          <w:rFonts w:cs="Arial"/>
          <w:sz w:val="22"/>
          <w:szCs w:val="22"/>
        </w:rPr>
        <w:t xml:space="preserve"> obtain quotations necessary for the purposes of financing or insurance; and/or</w:t>
      </w:r>
    </w:p>
    <w:p w14:paraId="57884619"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enters into any agreement with any other person that such other person shall refrain from submitting a Tender or shall limit or restrict the prices to be shown by any other tenderer in its Tender; and/or</w:t>
      </w:r>
    </w:p>
    <w:p w14:paraId="21F6220C"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fixes prices in its Tender in accordance with any arrangement with any person or by reference to any other Tender; and/or</w:t>
      </w:r>
    </w:p>
    <w:p w14:paraId="7A84EE96"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has submitted a price for the provision of the Service</w:t>
      </w:r>
      <w:r w:rsidR="00B115F3" w:rsidRPr="004976C6">
        <w:rPr>
          <w:rFonts w:cs="Arial"/>
          <w:sz w:val="22"/>
          <w:szCs w:val="22"/>
        </w:rPr>
        <w:t>s</w:t>
      </w:r>
      <w:r w:rsidRPr="004976C6">
        <w:rPr>
          <w:rFonts w:cs="Arial"/>
          <w:sz w:val="22"/>
          <w:szCs w:val="22"/>
        </w:rPr>
        <w:t xml:space="preserve"> which is abnormally low;</w:t>
      </w:r>
      <w:r w:rsidR="000A289A" w:rsidRPr="004976C6">
        <w:rPr>
          <w:rFonts w:cs="Arial"/>
          <w:sz w:val="22"/>
          <w:szCs w:val="22"/>
        </w:rPr>
        <w:t xml:space="preserve"> and/or</w:t>
      </w:r>
    </w:p>
    <w:p w14:paraId="58C1F497" w14:textId="0D2CC8A8"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offers or agrees to pay or give or does pay or give any sum of money, </w:t>
      </w:r>
      <w:r w:rsidR="00D876EA" w:rsidRPr="004976C6">
        <w:rPr>
          <w:rFonts w:cs="Arial"/>
          <w:sz w:val="22"/>
          <w:szCs w:val="22"/>
        </w:rPr>
        <w:t>inducement,</w:t>
      </w:r>
      <w:r w:rsidRPr="004976C6">
        <w:rPr>
          <w:rFonts w:cs="Arial"/>
          <w:sz w:val="22"/>
          <w:szCs w:val="22"/>
        </w:rPr>
        <w:t xml:space="preserve"> or valuable consideration directly or indirectly to any person for doing or having done or causing or having caused to be done in relation to any other tenderer or any other person's proposed Tender any act or omission;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3D127B0"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in connection with the award of the </w:t>
      </w:r>
      <w:r w:rsidR="00167FD2" w:rsidRPr="004976C6">
        <w:rPr>
          <w:rFonts w:cs="Arial"/>
          <w:sz w:val="22"/>
          <w:szCs w:val="22"/>
        </w:rPr>
        <w:t>Contract</w:t>
      </w:r>
      <w:r w:rsidRPr="004976C6">
        <w:rPr>
          <w:rFonts w:cs="Arial"/>
          <w:sz w:val="22"/>
          <w:szCs w:val="22"/>
        </w:rPr>
        <w:t xml:space="preserve"> commits an offence under the Bribery Act 2010 or gives any fee or reward the receipt of which is an offence under Section 117(2) of the Local Government Act 1972;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9EC54D2" w14:textId="77777777" w:rsidR="000A289A" w:rsidRPr="004976C6" w:rsidRDefault="000A289A" w:rsidP="00861BFE">
      <w:pPr>
        <w:pStyle w:val="A3"/>
        <w:tabs>
          <w:tab w:val="clear" w:pos="2606"/>
          <w:tab w:val="num" w:pos="1418"/>
        </w:tabs>
        <w:ind w:left="1418" w:hanging="851"/>
        <w:rPr>
          <w:rFonts w:cs="Arial"/>
          <w:sz w:val="22"/>
          <w:szCs w:val="22"/>
        </w:rPr>
      </w:pPr>
      <w:r w:rsidRPr="004976C6">
        <w:rPr>
          <w:rFonts w:cs="Arial"/>
          <w:sz w:val="22"/>
          <w:szCs w:val="22"/>
        </w:rPr>
        <w:t>or any employee or agent of it has in relation to this procurement committed any act which is an offence under the Enterprise Act 2002;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A7EB382"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has directly or indirectly canvassed any member or official of the </w:t>
      </w:r>
      <w:r w:rsidR="008449A8" w:rsidRPr="004976C6">
        <w:rPr>
          <w:rFonts w:cs="Arial"/>
          <w:sz w:val="22"/>
          <w:szCs w:val="22"/>
        </w:rPr>
        <w:t>Authority</w:t>
      </w:r>
      <w:r w:rsidRPr="004976C6">
        <w:rPr>
          <w:rFonts w:cs="Arial"/>
          <w:sz w:val="22"/>
          <w:szCs w:val="22"/>
        </w:rPr>
        <w:t xml:space="preserve"> concerning award of the </w:t>
      </w:r>
      <w:r w:rsidR="00167FD2" w:rsidRPr="004976C6">
        <w:rPr>
          <w:rFonts w:cs="Arial"/>
          <w:sz w:val="22"/>
          <w:szCs w:val="22"/>
        </w:rPr>
        <w:t>Contract</w:t>
      </w:r>
      <w:r w:rsidRPr="004976C6">
        <w:rPr>
          <w:rFonts w:cs="Arial"/>
          <w:sz w:val="22"/>
          <w:szCs w:val="22"/>
        </w:rPr>
        <w:t xml:space="preserve"> or who has directly or indirectly obtained or attempted to obtain information from any such member or official concerning any other tenderer or Tender submitted by any other tenderer;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9B97D69"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has done anything improper to influence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7C0CF04B"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has failed to use the English language;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76B7492" w14:textId="02EA8299" w:rsidR="00861BFE"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has failed to return the Response </w:t>
      </w:r>
      <w:r w:rsidR="00F54F2C" w:rsidRPr="004976C6">
        <w:rPr>
          <w:rFonts w:cs="Arial"/>
          <w:sz w:val="22"/>
          <w:szCs w:val="22"/>
        </w:rPr>
        <w:t xml:space="preserve">Envelopes </w:t>
      </w:r>
      <w:r w:rsidRPr="004976C6">
        <w:rPr>
          <w:rFonts w:cs="Arial"/>
          <w:sz w:val="22"/>
          <w:szCs w:val="22"/>
        </w:rPr>
        <w:t xml:space="preserve">fully completed and </w:t>
      </w:r>
      <w:r w:rsidR="00DD2A66" w:rsidRPr="004976C6">
        <w:rPr>
          <w:rFonts w:cs="Arial"/>
          <w:sz w:val="22"/>
          <w:szCs w:val="22"/>
        </w:rPr>
        <w:t xml:space="preserve">signed; </w:t>
      </w:r>
      <w:r w:rsidR="00D876EA" w:rsidRPr="004976C6">
        <w:rPr>
          <w:rFonts w:cs="Arial"/>
          <w:sz w:val="22"/>
          <w:szCs w:val="22"/>
        </w:rPr>
        <w:t>however,</w:t>
      </w:r>
      <w:r w:rsidR="00FA34A3" w:rsidRPr="004976C6">
        <w:rPr>
          <w:rFonts w:cs="Arial"/>
          <w:sz w:val="22"/>
          <w:szCs w:val="22"/>
        </w:rPr>
        <w:t xml:space="preserve"> the Authority</w:t>
      </w:r>
      <w:r w:rsidR="00003D25" w:rsidRPr="004976C6">
        <w:rPr>
          <w:rFonts w:cs="Arial"/>
          <w:sz w:val="22"/>
          <w:szCs w:val="22"/>
        </w:rPr>
        <w:t xml:space="preserve"> may request </w:t>
      </w:r>
      <w:r w:rsidR="00FA34A3" w:rsidRPr="004976C6">
        <w:rPr>
          <w:rFonts w:cs="Arial"/>
          <w:sz w:val="22"/>
          <w:szCs w:val="22"/>
        </w:rPr>
        <w:t xml:space="preserve">Tenderers whose information or documents appear to be incomplete or erroneous or where specific documents are missing to submit, </w:t>
      </w:r>
      <w:r w:rsidR="00FA34A3" w:rsidRPr="004976C6">
        <w:rPr>
          <w:rFonts w:cs="Arial"/>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1063BA51"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also reserves the right to reject a Tender:</w:t>
      </w:r>
    </w:p>
    <w:p w14:paraId="5CEF6E85" w14:textId="236F7799"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from a Tenderer if another Tenderer has to the knowledge of the first named Tenderer named that first named Tenderer as a sub-</w:t>
      </w:r>
      <w:r w:rsidR="00D876EA" w:rsidRPr="004976C6">
        <w:rPr>
          <w:rFonts w:cs="Arial"/>
          <w:sz w:val="22"/>
          <w:szCs w:val="22"/>
        </w:rPr>
        <w:t>contractor.</w:t>
      </w:r>
    </w:p>
    <w:p w14:paraId="686FCDE3" w14:textId="2C9E3F90"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from a Tenderer if that Tenderer has named as sub-contractor another person who to the knowledge of the first named Tenderer has submitted or intends to submit a </w:t>
      </w:r>
      <w:r w:rsidR="00D876EA" w:rsidRPr="004976C6">
        <w:rPr>
          <w:rFonts w:cs="Arial"/>
          <w:sz w:val="22"/>
          <w:szCs w:val="22"/>
        </w:rPr>
        <w:t>Tender.</w:t>
      </w:r>
    </w:p>
    <w:p w14:paraId="243A7B0C" w14:textId="6FD66068"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from a group company of another </w:t>
      </w:r>
      <w:r w:rsidR="00D876EA" w:rsidRPr="004976C6">
        <w:rPr>
          <w:rFonts w:cs="Arial"/>
          <w:sz w:val="22"/>
          <w:szCs w:val="22"/>
        </w:rPr>
        <w:t>Tenderer.</w:t>
      </w:r>
    </w:p>
    <w:p w14:paraId="728F3F51"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from a person who is a member of a partnership or consortium which has submitted or intends to submit a Tender; or</w:t>
      </w:r>
    </w:p>
    <w:p w14:paraId="7C7CFCF6" w14:textId="77777777" w:rsidR="005C0613" w:rsidRPr="004976C6" w:rsidRDefault="005C0613" w:rsidP="00861BFE">
      <w:pPr>
        <w:pStyle w:val="A3"/>
        <w:tabs>
          <w:tab w:val="clear" w:pos="2606"/>
          <w:tab w:val="num" w:pos="1418"/>
        </w:tabs>
        <w:ind w:left="1418" w:hanging="851"/>
        <w:rPr>
          <w:rFonts w:cs="Arial"/>
          <w:sz w:val="22"/>
          <w:szCs w:val="22"/>
        </w:rPr>
      </w:pPr>
      <w:r w:rsidRPr="004976C6">
        <w:rPr>
          <w:rFonts w:cs="Arial"/>
          <w:sz w:val="22"/>
          <w:szCs w:val="22"/>
        </w:rPr>
        <w:t xml:space="preserve">from a Tenderer where the </w:t>
      </w:r>
      <w:r w:rsidR="008449A8" w:rsidRPr="004976C6">
        <w:rPr>
          <w:rFonts w:cs="Arial"/>
          <w:sz w:val="22"/>
          <w:szCs w:val="22"/>
        </w:rPr>
        <w:t>Authority</w:t>
      </w:r>
      <w:r w:rsidRPr="004976C6">
        <w:rPr>
          <w:rFonts w:cs="Arial"/>
          <w:sz w:val="22"/>
          <w:szCs w:val="22"/>
        </w:rPr>
        <w:t xml:space="preserve"> believes that there has been any form of co</w:t>
      </w:r>
      <w:r w:rsidRPr="004976C6">
        <w:rPr>
          <w:rFonts w:cs="Arial"/>
          <w:sz w:val="22"/>
          <w:szCs w:val="22"/>
        </w:rPr>
        <w:noBreakHyphen/>
        <w:t>operation or collusion with another Tenderer.</w:t>
      </w:r>
    </w:p>
    <w:p w14:paraId="620150FE"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For the avoidance of doubt any non</w:t>
      </w:r>
      <w:r w:rsidRPr="004976C6">
        <w:rPr>
          <w:rFonts w:cs="Arial"/>
          <w:sz w:val="22"/>
          <w:szCs w:val="22"/>
        </w:rPr>
        <w:noBreakHyphen/>
        <w:t xml:space="preserve">acceptance or rejection in accordance with paragraphs 7.1 and 7.2 above shall be without prejudice to any other civil remedies available to the </w:t>
      </w:r>
      <w:r w:rsidR="008449A8" w:rsidRPr="004976C6">
        <w:rPr>
          <w:rFonts w:cs="Arial"/>
          <w:sz w:val="22"/>
          <w:szCs w:val="22"/>
        </w:rPr>
        <w:t>Authority</w:t>
      </w:r>
      <w:r w:rsidRPr="004976C6">
        <w:rPr>
          <w:rFonts w:cs="Arial"/>
          <w:sz w:val="22"/>
          <w:szCs w:val="22"/>
        </w:rPr>
        <w:t xml:space="preserve"> or any criminal liability that such conduct by a </w:t>
      </w:r>
      <w:r w:rsidR="00143016" w:rsidRPr="004976C6">
        <w:rPr>
          <w:rFonts w:cs="Arial"/>
          <w:sz w:val="22"/>
          <w:szCs w:val="22"/>
        </w:rPr>
        <w:t>T</w:t>
      </w:r>
      <w:r w:rsidRPr="004976C6">
        <w:rPr>
          <w:rFonts w:cs="Arial"/>
          <w:sz w:val="22"/>
          <w:szCs w:val="22"/>
        </w:rPr>
        <w:t>enderer may attract.</w:t>
      </w:r>
    </w:p>
    <w:p w14:paraId="678D0234" w14:textId="66881A6E" w:rsidR="005C0613" w:rsidRPr="004976C6" w:rsidRDefault="00D876EA">
      <w:pPr>
        <w:pStyle w:val="A1"/>
        <w:rPr>
          <w:rFonts w:cs="Arial"/>
          <w:sz w:val="22"/>
          <w:szCs w:val="22"/>
        </w:rPr>
      </w:pPr>
      <w:bookmarkStart w:id="28" w:name="_Toc506726736"/>
      <w:bookmarkStart w:id="29" w:name="_Toc371626604"/>
      <w:bookmarkStart w:id="30" w:name="_Toc394843650"/>
      <w:r w:rsidRPr="004976C6">
        <w:rPr>
          <w:rFonts w:cs="Arial"/>
          <w:sz w:val="22"/>
          <w:szCs w:val="22"/>
        </w:rPr>
        <w:t>NON-CONSIDERATION</w:t>
      </w:r>
      <w:r w:rsidR="005C0613" w:rsidRPr="004976C6">
        <w:rPr>
          <w:rFonts w:cs="Arial"/>
          <w:sz w:val="22"/>
          <w:szCs w:val="22"/>
        </w:rPr>
        <w:t xml:space="preserve"> Of Tender</w:t>
      </w:r>
      <w:bookmarkEnd w:id="28"/>
      <w:bookmarkEnd w:id="29"/>
      <w:bookmarkEnd w:id="30"/>
    </w:p>
    <w:p w14:paraId="279A6E3E"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may in its absolute discretion refrain from considering any Tender if:</w:t>
      </w:r>
    </w:p>
    <w:p w14:paraId="6A8402D5"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it is not in accordance with these Instructions to Tenderers and all other instructions issued by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56D9C10"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the Tenderer does not submit a Tender for the provision of the whole of the Service</w:t>
      </w:r>
      <w:r w:rsidR="00B115F3" w:rsidRPr="004976C6">
        <w:rPr>
          <w:rFonts w:cs="Arial"/>
          <w:sz w:val="22"/>
          <w:szCs w:val="22"/>
        </w:rPr>
        <w:t>s</w:t>
      </w:r>
      <w:r w:rsidRPr="004976C6">
        <w:rPr>
          <w:rFonts w:cs="Arial"/>
          <w:sz w:val="22"/>
          <w:szCs w:val="22"/>
        </w:rPr>
        <w:t>.</w:t>
      </w:r>
    </w:p>
    <w:p w14:paraId="3909073A" w14:textId="77777777" w:rsidR="005C0613" w:rsidRPr="004976C6" w:rsidRDefault="005C0613">
      <w:pPr>
        <w:pStyle w:val="A1"/>
        <w:rPr>
          <w:rFonts w:cs="Arial"/>
          <w:sz w:val="22"/>
          <w:szCs w:val="22"/>
        </w:rPr>
      </w:pPr>
      <w:bookmarkStart w:id="31" w:name="_Toc506726737"/>
      <w:bookmarkStart w:id="32" w:name="_Toc371626605"/>
      <w:bookmarkStart w:id="33" w:name="_Toc394843651"/>
      <w:r w:rsidRPr="004976C6">
        <w:rPr>
          <w:rFonts w:cs="Arial"/>
          <w:sz w:val="22"/>
          <w:szCs w:val="22"/>
        </w:rPr>
        <w:t>Tender Evaluation And Award Procedure</w:t>
      </w:r>
      <w:bookmarkEnd w:id="31"/>
      <w:bookmarkEnd w:id="32"/>
      <w:bookmarkEnd w:id="33"/>
    </w:p>
    <w:p w14:paraId="2A6707C0"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Each Tender must achieve a minimum level of acceptability as defined by the compliance standards set out in Table 1 in Appendix One. The </w:t>
      </w:r>
      <w:r w:rsidR="008449A8" w:rsidRPr="004976C6">
        <w:rPr>
          <w:rFonts w:cs="Arial"/>
          <w:sz w:val="22"/>
          <w:szCs w:val="22"/>
        </w:rPr>
        <w:t>Authority</w:t>
      </w:r>
      <w:r w:rsidRPr="004976C6">
        <w:rPr>
          <w:rFonts w:cs="Arial"/>
          <w:sz w:val="22"/>
          <w:szCs w:val="22"/>
        </w:rPr>
        <w:t xml:space="preserve"> reserves the right to reject without further discussion any Tender which does not meet the compliance standards.</w:t>
      </w:r>
    </w:p>
    <w:p w14:paraId="4DA115C2" w14:textId="0C3E19ED"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intends to award the </w:t>
      </w:r>
      <w:r w:rsidR="00167FD2" w:rsidRPr="004976C6">
        <w:rPr>
          <w:rFonts w:cs="Arial"/>
          <w:sz w:val="22"/>
          <w:szCs w:val="22"/>
        </w:rPr>
        <w:t>Contract</w:t>
      </w:r>
      <w:r w:rsidRPr="004976C6">
        <w:rPr>
          <w:rFonts w:cs="Arial"/>
          <w:sz w:val="22"/>
          <w:szCs w:val="22"/>
        </w:rPr>
        <w:t xml:space="preserve"> </w:t>
      </w:r>
      <w:r w:rsidR="00D876EA" w:rsidRPr="004976C6">
        <w:rPr>
          <w:rFonts w:cs="Arial"/>
          <w:sz w:val="22"/>
          <w:szCs w:val="22"/>
        </w:rPr>
        <w:t>based on</w:t>
      </w:r>
      <w:r w:rsidRPr="004976C6">
        <w:rPr>
          <w:rFonts w:cs="Arial"/>
          <w:sz w:val="22"/>
          <w:szCs w:val="22"/>
        </w:rPr>
        <w:t xml:space="preserve"> the Tender that represents the most economically advantageous </w:t>
      </w:r>
      <w:r w:rsidR="00143016" w:rsidRPr="004976C6">
        <w:rPr>
          <w:rFonts w:cs="Arial"/>
          <w:sz w:val="22"/>
          <w:szCs w:val="22"/>
        </w:rPr>
        <w:t xml:space="preserve">offer to the </w:t>
      </w:r>
      <w:r w:rsidR="008449A8" w:rsidRPr="004976C6">
        <w:rPr>
          <w:rFonts w:cs="Arial"/>
          <w:sz w:val="22"/>
          <w:szCs w:val="22"/>
        </w:rPr>
        <w:t>Authority</w:t>
      </w:r>
      <w:r w:rsidRPr="004976C6">
        <w:rPr>
          <w:rFonts w:cs="Arial"/>
          <w:sz w:val="22"/>
          <w:szCs w:val="22"/>
        </w:rPr>
        <w:t>. Tenders shall be evaluated in accordance with the evaluation methodology set out in Appendix One.</w:t>
      </w:r>
    </w:p>
    <w:p w14:paraId="37CC987B" w14:textId="77777777" w:rsidR="005C0613" w:rsidRPr="004976C6" w:rsidRDefault="005C0613" w:rsidP="00FD0B1B">
      <w:pPr>
        <w:pStyle w:val="A2"/>
        <w:tabs>
          <w:tab w:val="num" w:pos="567"/>
        </w:tabs>
        <w:ind w:left="567" w:hanging="567"/>
        <w:rPr>
          <w:rFonts w:cs="Arial"/>
          <w:b/>
          <w:sz w:val="22"/>
          <w:szCs w:val="22"/>
        </w:rPr>
      </w:pPr>
      <w:r w:rsidRPr="004976C6">
        <w:rPr>
          <w:rFonts w:cs="Arial"/>
          <w:b/>
          <w:sz w:val="22"/>
          <w:szCs w:val="22"/>
        </w:rPr>
        <w:t>Criteria for Award</w:t>
      </w:r>
    </w:p>
    <w:p w14:paraId="3F027AD4" w14:textId="77777777" w:rsidR="005C0613" w:rsidRPr="004976C6" w:rsidRDefault="005C0613" w:rsidP="00FD0B1B">
      <w:pPr>
        <w:pStyle w:val="A2"/>
        <w:numPr>
          <w:ilvl w:val="0"/>
          <w:numId w:val="0"/>
        </w:numPr>
        <w:ind w:firstLine="567"/>
        <w:rPr>
          <w:rFonts w:cs="Arial"/>
          <w:sz w:val="22"/>
          <w:szCs w:val="22"/>
        </w:rPr>
      </w:pPr>
      <w:r w:rsidRPr="004976C6">
        <w:rPr>
          <w:rFonts w:cs="Arial"/>
          <w:sz w:val="22"/>
          <w:szCs w:val="22"/>
        </w:rPr>
        <w:t>As set out in Appendix One the following main criteria are weighted:</w:t>
      </w:r>
    </w:p>
    <w:p w14:paraId="5D2EF02E"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Quality – </w:t>
      </w:r>
      <w:r w:rsidR="006379A1" w:rsidRPr="004976C6">
        <w:rPr>
          <w:rFonts w:cs="Arial"/>
          <w:sz w:val="22"/>
          <w:szCs w:val="22"/>
        </w:rPr>
        <w:t>60</w:t>
      </w:r>
      <w:r w:rsidR="00167FD2" w:rsidRPr="004976C6">
        <w:rPr>
          <w:rFonts w:cs="Arial"/>
          <w:sz w:val="22"/>
          <w:szCs w:val="22"/>
        </w:rPr>
        <w:t xml:space="preserve">% </w:t>
      </w:r>
      <w:r w:rsidR="001434BD" w:rsidRPr="004976C6">
        <w:rPr>
          <w:rFonts w:cs="Arial"/>
          <w:sz w:val="22"/>
          <w:szCs w:val="22"/>
        </w:rPr>
        <w:t>(Questions in Technical Envelope on the Portal)</w:t>
      </w:r>
    </w:p>
    <w:p w14:paraId="6CC0F464"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Price – </w:t>
      </w:r>
      <w:r w:rsidR="006379A1" w:rsidRPr="004976C6">
        <w:rPr>
          <w:rFonts w:cs="Arial"/>
          <w:sz w:val="22"/>
          <w:szCs w:val="22"/>
        </w:rPr>
        <w:t>40</w:t>
      </w:r>
      <w:r w:rsidR="006A6485" w:rsidRPr="004976C6">
        <w:rPr>
          <w:rFonts w:cs="Arial"/>
          <w:sz w:val="22"/>
          <w:szCs w:val="22"/>
        </w:rPr>
        <w:t>% (</w:t>
      </w:r>
      <w:r w:rsidR="001434BD" w:rsidRPr="004976C6">
        <w:rPr>
          <w:rFonts w:cs="Arial"/>
          <w:sz w:val="22"/>
          <w:szCs w:val="22"/>
        </w:rPr>
        <w:t>Questions in Commercial Envelope on the Portal)</w:t>
      </w:r>
    </w:p>
    <w:p w14:paraId="416C9EC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award criteria (including any sub-criteria), weightings (including any sub-weightings), and detailed scoring mechanism for both price and quality are set out in full in Appendix One to these Instructions to Tenderers.</w:t>
      </w:r>
    </w:p>
    <w:p w14:paraId="7F15360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shall not be bound to award the </w:t>
      </w:r>
      <w:r w:rsidR="00167FD2" w:rsidRPr="004976C6">
        <w:rPr>
          <w:rFonts w:cs="Arial"/>
          <w:sz w:val="22"/>
          <w:szCs w:val="22"/>
        </w:rPr>
        <w:t>Contract</w:t>
      </w:r>
      <w:r w:rsidRPr="004976C6">
        <w:rPr>
          <w:rFonts w:cs="Arial"/>
          <w:sz w:val="22"/>
          <w:szCs w:val="22"/>
        </w:rPr>
        <w:t xml:space="preserve"> to the Tenderer with the lowest price structure.</w:t>
      </w:r>
    </w:p>
    <w:p w14:paraId="6BC77C2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to itself the right in its absolute discretion:</w:t>
      </w:r>
    </w:p>
    <w:p w14:paraId="5EF369BE"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to award the </w:t>
      </w:r>
      <w:r w:rsidR="00167FD2" w:rsidRPr="004976C6">
        <w:rPr>
          <w:rFonts w:cs="Arial"/>
          <w:sz w:val="22"/>
          <w:szCs w:val="22"/>
        </w:rPr>
        <w:t>Contract</w:t>
      </w:r>
      <w:r w:rsidRPr="004976C6">
        <w:rPr>
          <w:rFonts w:cs="Arial"/>
          <w:sz w:val="22"/>
          <w:szCs w:val="22"/>
        </w:rPr>
        <w:t xml:space="preserve"> to </w:t>
      </w:r>
      <w:r w:rsidR="00353228" w:rsidRPr="004976C6">
        <w:rPr>
          <w:rFonts w:cs="Arial"/>
          <w:sz w:val="22"/>
          <w:szCs w:val="22"/>
        </w:rPr>
        <w:t xml:space="preserve">the </w:t>
      </w:r>
      <w:r w:rsidRPr="004976C6">
        <w:rPr>
          <w:rFonts w:cs="Arial"/>
          <w:sz w:val="22"/>
          <w:szCs w:val="22"/>
        </w:rPr>
        <w:t>Tenderer</w:t>
      </w:r>
      <w:r w:rsidR="00353228" w:rsidRPr="004976C6">
        <w:rPr>
          <w:rFonts w:cs="Arial"/>
          <w:sz w:val="22"/>
          <w:szCs w:val="22"/>
        </w:rPr>
        <w:t xml:space="preserve"> who submits the most economically advantageous tender in accordance with the criteria set out in Appendix 1</w:t>
      </w:r>
      <w:r w:rsidRPr="004976C6">
        <w:rPr>
          <w:rFonts w:cs="Arial"/>
          <w:sz w:val="22"/>
          <w:szCs w:val="22"/>
        </w:rPr>
        <w:t>;</w:t>
      </w:r>
      <w:r w:rsidR="00353228" w:rsidRPr="004976C6">
        <w:rPr>
          <w:rFonts w:cs="Arial"/>
          <w:sz w:val="22"/>
          <w:szCs w:val="22"/>
        </w:rPr>
        <w:t xml:space="preserve"> or</w:t>
      </w:r>
    </w:p>
    <w:p w14:paraId="3B2C7C0F"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not to award the </w:t>
      </w:r>
      <w:r w:rsidR="00167FD2" w:rsidRPr="004976C6">
        <w:rPr>
          <w:rFonts w:cs="Arial"/>
          <w:sz w:val="22"/>
          <w:szCs w:val="22"/>
        </w:rPr>
        <w:t>Contract</w:t>
      </w:r>
      <w:r w:rsidRPr="004976C6">
        <w:rPr>
          <w:rFonts w:cs="Arial"/>
          <w:sz w:val="22"/>
          <w:szCs w:val="22"/>
        </w:rPr>
        <w:t>.</w:t>
      </w:r>
    </w:p>
    <w:p w14:paraId="34A023B7" w14:textId="77777777" w:rsidR="00C60129" w:rsidRPr="004976C6" w:rsidRDefault="00895DD2" w:rsidP="00FD0B1B">
      <w:pPr>
        <w:pStyle w:val="A2"/>
        <w:tabs>
          <w:tab w:val="num" w:pos="567"/>
        </w:tabs>
        <w:ind w:left="567" w:hanging="567"/>
        <w:rPr>
          <w:rFonts w:cs="Arial"/>
          <w:sz w:val="22"/>
          <w:szCs w:val="22"/>
        </w:rPr>
      </w:pPr>
      <w:r w:rsidRPr="004976C6">
        <w:rPr>
          <w:rFonts w:cs="Arial"/>
          <w:sz w:val="22"/>
          <w:szCs w:val="22"/>
        </w:rPr>
        <w:t>Where information or documentation to be submitted by Tenderers is or appears to be incomplete or erroneous, or where specific documents are missing, t</w:t>
      </w:r>
      <w:r w:rsidR="005C0613" w:rsidRPr="004976C6">
        <w:rPr>
          <w:rFonts w:cs="Arial"/>
          <w:sz w:val="22"/>
          <w:szCs w:val="22"/>
        </w:rPr>
        <w:t xml:space="preserve">he </w:t>
      </w:r>
      <w:r w:rsidR="00B115F3" w:rsidRPr="004976C6">
        <w:rPr>
          <w:rFonts w:cs="Arial"/>
          <w:sz w:val="22"/>
          <w:szCs w:val="22"/>
        </w:rPr>
        <w:t>Authority</w:t>
      </w:r>
      <w:r w:rsidR="005C0613" w:rsidRPr="004976C6">
        <w:rPr>
          <w:rFonts w:cs="Arial"/>
          <w:sz w:val="22"/>
          <w:szCs w:val="22"/>
        </w:rPr>
        <w:t xml:space="preserve"> reserves the right </w:t>
      </w:r>
      <w:r w:rsidRPr="004976C6">
        <w:rPr>
          <w:rFonts w:cs="Arial"/>
          <w:sz w:val="22"/>
          <w:szCs w:val="22"/>
        </w:rPr>
        <w:t xml:space="preserve">at its absolute discretion </w:t>
      </w:r>
      <w:r w:rsidR="005C0613" w:rsidRPr="004976C6">
        <w:rPr>
          <w:rFonts w:cs="Arial"/>
          <w:sz w:val="22"/>
          <w:szCs w:val="22"/>
        </w:rPr>
        <w:t xml:space="preserve">to </w:t>
      </w:r>
      <w:r w:rsidRPr="004976C6">
        <w:rPr>
          <w:rFonts w:cs="Arial"/>
          <w:sz w:val="22"/>
          <w:szCs w:val="22"/>
        </w:rPr>
        <w:t xml:space="preserve">request Tenderers to submit, supplement, clarify or complete the relevant information or documentation within a time limit to be given. </w:t>
      </w:r>
    </w:p>
    <w:p w14:paraId="7E86FC44" w14:textId="77777777" w:rsidR="005C0613" w:rsidRPr="004976C6" w:rsidRDefault="005C0613">
      <w:pPr>
        <w:pStyle w:val="A1"/>
        <w:rPr>
          <w:rFonts w:cs="Arial"/>
          <w:sz w:val="22"/>
          <w:szCs w:val="22"/>
        </w:rPr>
      </w:pPr>
      <w:bookmarkStart w:id="34" w:name="_Toc506726738"/>
      <w:bookmarkStart w:id="35" w:name="_Toc371626606"/>
      <w:bookmarkStart w:id="36" w:name="_Toc394843652"/>
      <w:r w:rsidRPr="004976C6">
        <w:rPr>
          <w:rFonts w:cs="Arial"/>
          <w:sz w:val="22"/>
          <w:szCs w:val="22"/>
        </w:rPr>
        <w:t>Acceptance Of Tender</w:t>
      </w:r>
      <w:bookmarkEnd w:id="34"/>
      <w:bookmarkEnd w:id="35"/>
      <w:bookmarkEnd w:id="36"/>
    </w:p>
    <w:p w14:paraId="1B88C646"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Any acceptance by the </w:t>
      </w:r>
      <w:r w:rsidR="00B115F3" w:rsidRPr="004976C6">
        <w:rPr>
          <w:rFonts w:cs="Arial"/>
          <w:sz w:val="22"/>
          <w:szCs w:val="22"/>
        </w:rPr>
        <w:t>Authority</w:t>
      </w:r>
      <w:r w:rsidRPr="004976C6">
        <w:rPr>
          <w:rFonts w:cs="Arial"/>
          <w:sz w:val="22"/>
          <w:szCs w:val="22"/>
        </w:rPr>
        <w:t xml:space="preserve"> of a Tender shall be notified to the successful Tenderer in writing by the </w:t>
      </w:r>
      <w:r w:rsidR="008449A8" w:rsidRPr="004976C6">
        <w:rPr>
          <w:rFonts w:cs="Arial"/>
          <w:sz w:val="22"/>
          <w:szCs w:val="22"/>
        </w:rPr>
        <w:t>Authority</w:t>
      </w:r>
      <w:r w:rsidR="00353228" w:rsidRPr="004976C6">
        <w:rPr>
          <w:rFonts w:cs="Arial"/>
          <w:sz w:val="22"/>
          <w:szCs w:val="22"/>
        </w:rPr>
        <w:t xml:space="preserve"> </w:t>
      </w:r>
      <w:r w:rsidRPr="004976C6">
        <w:rPr>
          <w:rFonts w:cs="Arial"/>
          <w:sz w:val="22"/>
          <w:szCs w:val="22"/>
        </w:rPr>
        <w:t xml:space="preserve">(the “Acceptance Letter”).  Until the execution of the formal </w:t>
      </w:r>
      <w:r w:rsidR="00884F5D" w:rsidRPr="004976C6">
        <w:rPr>
          <w:rFonts w:cs="Arial"/>
          <w:sz w:val="22"/>
          <w:szCs w:val="22"/>
        </w:rPr>
        <w:t>Contract</w:t>
      </w:r>
      <w:r w:rsidR="006379A1" w:rsidRPr="004976C6">
        <w:rPr>
          <w:rFonts w:cs="Arial"/>
          <w:sz w:val="22"/>
          <w:szCs w:val="22"/>
        </w:rPr>
        <w:t xml:space="preserve"> referred to in paragraph 12</w:t>
      </w:r>
      <w:r w:rsidRPr="004976C6">
        <w:rPr>
          <w:rFonts w:cs="Arial"/>
          <w:sz w:val="22"/>
          <w:szCs w:val="22"/>
        </w:rPr>
        <w:t xml:space="preserve">.1 below, a successful Tender (including any agreed amendments in writing), together with the </w:t>
      </w:r>
      <w:r w:rsidR="008449A8" w:rsidRPr="004976C6">
        <w:rPr>
          <w:rFonts w:cs="Arial"/>
          <w:sz w:val="22"/>
          <w:szCs w:val="22"/>
        </w:rPr>
        <w:t>Authority</w:t>
      </w:r>
      <w:r w:rsidRPr="004976C6">
        <w:rPr>
          <w:rFonts w:cs="Arial"/>
          <w:sz w:val="22"/>
          <w:szCs w:val="22"/>
        </w:rPr>
        <w:t xml:space="preserve">'s Acceptance Letter, shall form a binding agreement between the </w:t>
      </w:r>
      <w:r w:rsidR="008449A8" w:rsidRPr="004976C6">
        <w:rPr>
          <w:rFonts w:cs="Arial"/>
          <w:sz w:val="22"/>
          <w:szCs w:val="22"/>
        </w:rPr>
        <w:t>Authority</w:t>
      </w:r>
      <w:r w:rsidRPr="004976C6">
        <w:rPr>
          <w:rFonts w:cs="Arial"/>
          <w:sz w:val="22"/>
          <w:szCs w:val="22"/>
        </w:rPr>
        <w:t xml:space="preserve"> and the successful Tenderer on the terms set out in the </w:t>
      </w:r>
      <w:r w:rsidR="00884F5D" w:rsidRPr="004976C6">
        <w:rPr>
          <w:rFonts w:cs="Arial"/>
          <w:sz w:val="22"/>
          <w:szCs w:val="22"/>
        </w:rPr>
        <w:t>Contract</w:t>
      </w:r>
      <w:r w:rsidRPr="004976C6">
        <w:rPr>
          <w:rFonts w:cs="Arial"/>
          <w:sz w:val="22"/>
          <w:szCs w:val="22"/>
        </w:rPr>
        <w:t xml:space="preserve"> Documents. </w:t>
      </w:r>
    </w:p>
    <w:p w14:paraId="692B31C9" w14:textId="4D2AB3E6" w:rsidR="005C0613" w:rsidRPr="004976C6" w:rsidRDefault="005C0613" w:rsidP="00FD0B1B">
      <w:pPr>
        <w:pStyle w:val="A2"/>
        <w:tabs>
          <w:tab w:val="num" w:pos="567"/>
        </w:tabs>
        <w:ind w:left="567" w:hanging="567"/>
        <w:rPr>
          <w:rFonts w:cs="Arial"/>
          <w:sz w:val="22"/>
          <w:szCs w:val="22"/>
        </w:rPr>
      </w:pPr>
      <w:r w:rsidRPr="00242CD9">
        <w:rPr>
          <w:rFonts w:cs="Arial"/>
          <w:sz w:val="22"/>
          <w:szCs w:val="22"/>
        </w:rPr>
        <w:t>The successful Tenderer will be required to commence the provision of the Service</w:t>
      </w:r>
      <w:r w:rsidR="00B115F3" w:rsidRPr="00242CD9">
        <w:rPr>
          <w:rFonts w:cs="Arial"/>
          <w:sz w:val="22"/>
          <w:szCs w:val="22"/>
        </w:rPr>
        <w:t>s</w:t>
      </w:r>
      <w:r w:rsidRPr="00242CD9">
        <w:rPr>
          <w:rFonts w:cs="Arial"/>
          <w:sz w:val="22"/>
          <w:szCs w:val="22"/>
        </w:rPr>
        <w:t xml:space="preserve"> on </w:t>
      </w:r>
      <w:r w:rsidR="005B63AA" w:rsidRPr="00242CD9">
        <w:rPr>
          <w:rFonts w:cs="Arial"/>
          <w:sz w:val="22"/>
          <w:szCs w:val="22"/>
        </w:rPr>
        <w:t xml:space="preserve">or around </w:t>
      </w:r>
      <w:r w:rsidR="00242CD9" w:rsidRPr="00242CD9">
        <w:rPr>
          <w:rFonts w:cs="Arial"/>
          <w:sz w:val="22"/>
          <w:szCs w:val="22"/>
        </w:rPr>
        <w:t>9</w:t>
      </w:r>
      <w:r w:rsidR="005B63AA" w:rsidRPr="00242CD9">
        <w:rPr>
          <w:rFonts w:cs="Arial"/>
          <w:sz w:val="22"/>
          <w:szCs w:val="22"/>
        </w:rPr>
        <w:t xml:space="preserve"> </w:t>
      </w:r>
      <w:r w:rsidR="006A6485" w:rsidRPr="00242CD9">
        <w:rPr>
          <w:rFonts w:cs="Arial"/>
          <w:sz w:val="22"/>
          <w:szCs w:val="22"/>
        </w:rPr>
        <w:t>May</w:t>
      </w:r>
      <w:r w:rsidR="005F29BC" w:rsidRPr="00242CD9">
        <w:rPr>
          <w:rFonts w:cs="Arial"/>
          <w:sz w:val="22"/>
          <w:szCs w:val="22"/>
        </w:rPr>
        <w:t xml:space="preserve"> </w:t>
      </w:r>
      <w:r w:rsidR="006379A1" w:rsidRPr="00242CD9">
        <w:rPr>
          <w:rFonts w:cs="Arial"/>
          <w:sz w:val="22"/>
          <w:szCs w:val="22"/>
        </w:rPr>
        <w:t>202</w:t>
      </w:r>
      <w:r w:rsidR="00242CD9" w:rsidRPr="00242CD9">
        <w:rPr>
          <w:rFonts w:cs="Arial"/>
          <w:sz w:val="22"/>
          <w:szCs w:val="22"/>
        </w:rPr>
        <w:t>2</w:t>
      </w:r>
      <w:r w:rsidRPr="004976C6">
        <w:rPr>
          <w:rFonts w:cs="Arial"/>
          <w:sz w:val="22"/>
          <w:szCs w:val="22"/>
        </w:rPr>
        <w:t xml:space="preserve"> (or such other date to be advised) being the Commencement Date.</w:t>
      </w:r>
    </w:p>
    <w:p w14:paraId="3921DB5D" w14:textId="77777777" w:rsidR="005C0613" w:rsidRPr="004976C6" w:rsidRDefault="005C0613">
      <w:pPr>
        <w:pStyle w:val="A1"/>
        <w:rPr>
          <w:rFonts w:cs="Arial"/>
          <w:sz w:val="22"/>
          <w:szCs w:val="22"/>
        </w:rPr>
      </w:pPr>
      <w:bookmarkStart w:id="37" w:name="_Toc506726739"/>
      <w:bookmarkStart w:id="38" w:name="_Toc371626607"/>
      <w:bookmarkStart w:id="39" w:name="_Toc394843653"/>
      <w:r w:rsidRPr="004976C6">
        <w:rPr>
          <w:rFonts w:cs="Arial"/>
          <w:sz w:val="22"/>
          <w:szCs w:val="22"/>
        </w:rPr>
        <w:t xml:space="preserve">The </w:t>
      </w:r>
      <w:bookmarkEnd w:id="37"/>
      <w:r w:rsidR="00167FD2" w:rsidRPr="004976C6">
        <w:rPr>
          <w:rFonts w:cs="Arial"/>
          <w:sz w:val="22"/>
          <w:szCs w:val="22"/>
        </w:rPr>
        <w:t>Contract</w:t>
      </w:r>
      <w:bookmarkEnd w:id="38"/>
      <w:bookmarkEnd w:id="39"/>
    </w:p>
    <w:p w14:paraId="62E9557A"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a formal </w:t>
      </w:r>
      <w:r w:rsidR="00167FD2" w:rsidRPr="004976C6">
        <w:rPr>
          <w:rFonts w:cs="Arial"/>
          <w:sz w:val="22"/>
          <w:szCs w:val="22"/>
        </w:rPr>
        <w:t>Contract</w:t>
      </w:r>
      <w:r w:rsidRPr="004976C6">
        <w:rPr>
          <w:rFonts w:cs="Arial"/>
          <w:sz w:val="22"/>
          <w:szCs w:val="22"/>
        </w:rPr>
        <w:t xml:space="preserve"> which embodies the terms of all the Tender documents.  The </w:t>
      </w:r>
      <w:r w:rsidR="00167FD2" w:rsidRPr="004976C6">
        <w:rPr>
          <w:rFonts w:cs="Arial"/>
          <w:sz w:val="22"/>
          <w:szCs w:val="22"/>
        </w:rPr>
        <w:t>Contract</w:t>
      </w:r>
      <w:r w:rsidRPr="004976C6">
        <w:rPr>
          <w:rFonts w:cs="Arial"/>
          <w:sz w:val="22"/>
          <w:szCs w:val="22"/>
        </w:rPr>
        <w:t xml:space="preserve"> will be executed as a deed</w:t>
      </w:r>
      <w:r w:rsidR="00353228" w:rsidRPr="004976C6">
        <w:rPr>
          <w:rFonts w:cs="Arial"/>
          <w:sz w:val="22"/>
          <w:szCs w:val="22"/>
        </w:rPr>
        <w:t>, except where the value is less than £100,000</w:t>
      </w:r>
      <w:r w:rsidR="00CD011B" w:rsidRPr="004976C6">
        <w:rPr>
          <w:rFonts w:cs="Arial"/>
          <w:sz w:val="22"/>
          <w:szCs w:val="22"/>
        </w:rPr>
        <w:t xml:space="preserve"> where the contract </w:t>
      </w:r>
      <w:r w:rsidR="003C7025" w:rsidRPr="004976C6">
        <w:rPr>
          <w:rFonts w:cs="Arial"/>
          <w:sz w:val="22"/>
          <w:szCs w:val="22"/>
        </w:rPr>
        <w:t>may, at the Counci</w:t>
      </w:r>
      <w:r w:rsidR="00CD011B" w:rsidRPr="004976C6">
        <w:rPr>
          <w:rFonts w:cs="Arial"/>
          <w:sz w:val="22"/>
          <w:szCs w:val="22"/>
        </w:rPr>
        <w:t>l</w:t>
      </w:r>
      <w:r w:rsidR="003C7025" w:rsidRPr="004976C6">
        <w:rPr>
          <w:rFonts w:cs="Arial"/>
          <w:sz w:val="22"/>
          <w:szCs w:val="22"/>
        </w:rPr>
        <w:t xml:space="preserve">’s discretion, </w:t>
      </w:r>
      <w:r w:rsidR="00CD011B" w:rsidRPr="004976C6">
        <w:rPr>
          <w:rFonts w:cs="Arial"/>
          <w:sz w:val="22"/>
          <w:szCs w:val="22"/>
        </w:rPr>
        <w:t>be signed under hand</w:t>
      </w:r>
      <w:r w:rsidR="00167FD2" w:rsidRPr="004976C6">
        <w:rPr>
          <w:rFonts w:cs="Arial"/>
          <w:sz w:val="22"/>
          <w:szCs w:val="22"/>
        </w:rPr>
        <w:t>.</w:t>
      </w:r>
    </w:p>
    <w:p w14:paraId="2C81093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the </w:t>
      </w:r>
      <w:r w:rsidR="00167FD2" w:rsidRPr="004976C6">
        <w:rPr>
          <w:rFonts w:cs="Arial"/>
          <w:sz w:val="22"/>
          <w:szCs w:val="22"/>
        </w:rPr>
        <w:t>Contract</w:t>
      </w:r>
      <w:r w:rsidRPr="004976C6">
        <w:rPr>
          <w:rFonts w:cs="Arial"/>
          <w:sz w:val="22"/>
          <w:szCs w:val="22"/>
        </w:rPr>
        <w:t xml:space="preserve"> promptly and shall not commence the provision of the </w:t>
      </w:r>
      <w:r w:rsidR="006A6485" w:rsidRPr="004976C6">
        <w:rPr>
          <w:rFonts w:cs="Arial"/>
          <w:sz w:val="22"/>
          <w:szCs w:val="22"/>
        </w:rPr>
        <w:t>Works</w:t>
      </w:r>
      <w:r w:rsidRPr="004976C6">
        <w:rPr>
          <w:rFonts w:cs="Arial"/>
          <w:sz w:val="22"/>
          <w:szCs w:val="22"/>
        </w:rPr>
        <w:t xml:space="preserve"> nor be entitled to any remuneration whatsoever until it has done so unless otherwise expressly agreed at its discretion by the </w:t>
      </w:r>
      <w:r w:rsidR="008449A8" w:rsidRPr="004976C6">
        <w:rPr>
          <w:rFonts w:cs="Arial"/>
          <w:sz w:val="22"/>
          <w:szCs w:val="22"/>
        </w:rPr>
        <w:t>Authority</w:t>
      </w:r>
      <w:r w:rsidRPr="004976C6">
        <w:rPr>
          <w:rFonts w:cs="Arial"/>
          <w:sz w:val="22"/>
          <w:szCs w:val="22"/>
        </w:rPr>
        <w:t>.</w:t>
      </w:r>
    </w:p>
    <w:p w14:paraId="6D4BE317" w14:textId="4453C849"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shall be liable for any loss or damage incurred by the </w:t>
      </w:r>
      <w:r w:rsidR="008449A8" w:rsidRPr="004976C6">
        <w:rPr>
          <w:rFonts w:cs="Arial"/>
          <w:sz w:val="22"/>
          <w:szCs w:val="22"/>
        </w:rPr>
        <w:t>Authority</w:t>
      </w:r>
      <w:r w:rsidRPr="004976C6">
        <w:rPr>
          <w:rFonts w:cs="Arial"/>
          <w:sz w:val="22"/>
          <w:szCs w:val="22"/>
        </w:rPr>
        <w:t xml:space="preserve"> if the </w:t>
      </w:r>
      <w:r w:rsidR="006A6485" w:rsidRPr="004976C6">
        <w:rPr>
          <w:rFonts w:cs="Arial"/>
          <w:sz w:val="22"/>
          <w:szCs w:val="22"/>
        </w:rPr>
        <w:t>Works</w:t>
      </w:r>
      <w:r w:rsidRPr="004976C6">
        <w:rPr>
          <w:rFonts w:cs="Arial"/>
          <w:sz w:val="22"/>
          <w:szCs w:val="22"/>
        </w:rPr>
        <w:t xml:space="preserve"> cannot commence on the Commencement Date </w:t>
      </w:r>
      <w:r w:rsidR="00D876EA" w:rsidRPr="004976C6">
        <w:rPr>
          <w:rFonts w:cs="Arial"/>
          <w:sz w:val="22"/>
          <w:szCs w:val="22"/>
        </w:rPr>
        <w:t>because of</w:t>
      </w:r>
      <w:r w:rsidRPr="004976C6">
        <w:rPr>
          <w:rFonts w:cs="Arial"/>
          <w:sz w:val="22"/>
          <w:szCs w:val="22"/>
        </w:rPr>
        <w:t xml:space="preserve"> the successful Tenderer’s failure to execute the </w:t>
      </w:r>
      <w:r w:rsidR="00937E71" w:rsidRPr="004976C6">
        <w:rPr>
          <w:rFonts w:cs="Arial"/>
          <w:sz w:val="22"/>
          <w:szCs w:val="22"/>
        </w:rPr>
        <w:t>Contract</w:t>
      </w:r>
      <w:r w:rsidRPr="004976C6">
        <w:rPr>
          <w:rFonts w:cs="Arial"/>
          <w:sz w:val="22"/>
          <w:szCs w:val="22"/>
        </w:rPr>
        <w:t xml:space="preserve"> properly.</w:t>
      </w:r>
    </w:p>
    <w:p w14:paraId="1353CE36" w14:textId="77777777" w:rsidR="005C0613" w:rsidRPr="004976C6" w:rsidRDefault="005C0613" w:rsidP="00FD0B1B">
      <w:pPr>
        <w:pStyle w:val="A1"/>
        <w:rPr>
          <w:rFonts w:cs="Arial"/>
          <w:sz w:val="22"/>
          <w:szCs w:val="22"/>
        </w:rPr>
      </w:pPr>
      <w:bookmarkStart w:id="40" w:name="_Toc506726740"/>
      <w:bookmarkStart w:id="41" w:name="_Toc371626608"/>
      <w:bookmarkStart w:id="42" w:name="_Toc394843654"/>
      <w:r w:rsidRPr="004976C6">
        <w:rPr>
          <w:rFonts w:cs="Arial"/>
          <w:sz w:val="22"/>
          <w:szCs w:val="22"/>
        </w:rPr>
        <w:t>Confidentiality And Ownership Of Documents</w:t>
      </w:r>
      <w:bookmarkEnd w:id="40"/>
      <w:bookmarkEnd w:id="41"/>
      <w:bookmarkEnd w:id="42"/>
    </w:p>
    <w:p w14:paraId="111AB3FA"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Tender documents and all other documentation issued by the </w:t>
      </w:r>
      <w:r w:rsidR="008449A8" w:rsidRPr="004976C6">
        <w:rPr>
          <w:rFonts w:cs="Arial"/>
          <w:sz w:val="22"/>
          <w:szCs w:val="22"/>
        </w:rPr>
        <w:t>Authority</w:t>
      </w:r>
      <w:r w:rsidRPr="004976C6">
        <w:rPr>
          <w:rFonts w:cs="Arial"/>
          <w:sz w:val="22"/>
          <w:szCs w:val="22"/>
        </w:rPr>
        <w:t xml:space="preserve"> relating to the </w:t>
      </w:r>
      <w:r w:rsidR="00167FD2" w:rsidRPr="004976C6">
        <w:rPr>
          <w:rFonts w:cs="Arial"/>
          <w:sz w:val="22"/>
          <w:szCs w:val="22"/>
        </w:rPr>
        <w:t>Contract</w:t>
      </w:r>
      <w:r w:rsidRPr="004976C6">
        <w:rPr>
          <w:rFonts w:cs="Arial"/>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4976C6">
        <w:rPr>
          <w:rFonts w:cs="Arial"/>
          <w:sz w:val="22"/>
          <w:szCs w:val="22"/>
        </w:rPr>
        <w:t>Authority</w:t>
      </w:r>
      <w:r w:rsidRPr="004976C6">
        <w:rPr>
          <w:rFonts w:cs="Arial"/>
          <w:sz w:val="22"/>
          <w:szCs w:val="22"/>
        </w:rPr>
        <w:t xml:space="preserve"> save where such information has been disclosed for the purposes of obtaining quotations from proposed insurers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 sub</w:t>
      </w:r>
      <w:r w:rsidRPr="004976C6">
        <w:rPr>
          <w:rFonts w:cs="Arial"/>
          <w:sz w:val="22"/>
          <w:szCs w:val="22"/>
        </w:rPr>
        <w:noBreakHyphen/>
        <w:t>contractors and other information required to be submitted with the Tender.</w:t>
      </w:r>
    </w:p>
    <w:p w14:paraId="487746C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copyright in all the documents that constitute the </w:t>
      </w:r>
      <w:r w:rsidR="00167FD2" w:rsidRPr="004976C6">
        <w:rPr>
          <w:rFonts w:cs="Arial"/>
          <w:sz w:val="22"/>
          <w:szCs w:val="22"/>
        </w:rPr>
        <w:t>Contract</w:t>
      </w:r>
      <w:r w:rsidRPr="004976C6">
        <w:rPr>
          <w:rFonts w:cs="Arial"/>
          <w:sz w:val="22"/>
          <w:szCs w:val="22"/>
        </w:rPr>
        <w:t xml:space="preserve"> shall vest in the </w:t>
      </w:r>
      <w:r w:rsidR="008449A8" w:rsidRPr="004976C6">
        <w:rPr>
          <w:rFonts w:cs="Arial"/>
          <w:sz w:val="22"/>
          <w:szCs w:val="22"/>
        </w:rPr>
        <w:t>Authority</w:t>
      </w:r>
      <w:r w:rsidRPr="004976C6">
        <w:rPr>
          <w:rFonts w:cs="Arial"/>
          <w:sz w:val="22"/>
          <w:szCs w:val="22"/>
        </w:rPr>
        <w:t xml:space="preserve"> and all such documents and all copies thereof are and shall remain the property of the </w:t>
      </w:r>
      <w:r w:rsidR="008449A8" w:rsidRPr="004976C6">
        <w:rPr>
          <w:rFonts w:cs="Arial"/>
          <w:sz w:val="22"/>
          <w:szCs w:val="22"/>
        </w:rPr>
        <w:t>Authority</w:t>
      </w:r>
      <w:r w:rsidRPr="004976C6">
        <w:rPr>
          <w:rFonts w:cs="Arial"/>
          <w:sz w:val="22"/>
          <w:szCs w:val="22"/>
        </w:rPr>
        <w:t xml:space="preserve"> and must be returned to the </w:t>
      </w:r>
      <w:r w:rsidR="008449A8" w:rsidRPr="004976C6">
        <w:rPr>
          <w:rFonts w:cs="Arial"/>
          <w:sz w:val="22"/>
          <w:szCs w:val="22"/>
        </w:rPr>
        <w:t>Authority</w:t>
      </w:r>
      <w:r w:rsidRPr="004976C6">
        <w:rPr>
          <w:rFonts w:cs="Arial"/>
          <w:sz w:val="22"/>
          <w:szCs w:val="22"/>
        </w:rPr>
        <w:t xml:space="preserve"> upon demand.</w:t>
      </w:r>
    </w:p>
    <w:p w14:paraId="22E3FD2B" w14:textId="2E7DE5CB"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may disclose detailed information relating to any Tender to the </w:t>
      </w:r>
      <w:r w:rsidR="008449A8" w:rsidRPr="004976C6">
        <w:rPr>
          <w:rFonts w:cs="Arial"/>
          <w:sz w:val="22"/>
          <w:szCs w:val="22"/>
        </w:rPr>
        <w:t>Authority</w:t>
      </w:r>
      <w:r w:rsidRPr="004976C6">
        <w:rPr>
          <w:rFonts w:cs="Arial"/>
          <w:sz w:val="22"/>
          <w:szCs w:val="22"/>
        </w:rPr>
        <w:t xml:space="preserve">’s members, directors, officers, employees, agents or advisers and they may make the Tender documents available for private inspection by the </w:t>
      </w:r>
      <w:r w:rsidR="008449A8" w:rsidRPr="004976C6">
        <w:rPr>
          <w:rFonts w:cs="Arial"/>
          <w:sz w:val="22"/>
          <w:szCs w:val="22"/>
        </w:rPr>
        <w:t>Authority</w:t>
      </w:r>
      <w:r w:rsidRPr="004976C6">
        <w:rPr>
          <w:rFonts w:cs="Arial"/>
          <w:sz w:val="22"/>
          <w:szCs w:val="22"/>
        </w:rPr>
        <w:t xml:space="preserve">’s members, directors, officers, employees, </w:t>
      </w:r>
      <w:r w:rsidR="00D876EA" w:rsidRPr="004976C6">
        <w:rPr>
          <w:rFonts w:cs="Arial"/>
          <w:sz w:val="22"/>
          <w:szCs w:val="22"/>
        </w:rPr>
        <w:t>agents,</w:t>
      </w:r>
      <w:r w:rsidRPr="004976C6">
        <w:rPr>
          <w:rFonts w:cs="Arial"/>
          <w:sz w:val="22"/>
          <w:szCs w:val="22"/>
        </w:rPr>
        <w:t xml:space="preserve"> or advisers.</w:t>
      </w:r>
    </w:p>
    <w:p w14:paraId="1F74142B" w14:textId="77777777" w:rsidR="005C0613" w:rsidRPr="004976C6" w:rsidRDefault="005C0613">
      <w:pPr>
        <w:pStyle w:val="A1"/>
        <w:rPr>
          <w:rFonts w:cs="Arial"/>
          <w:sz w:val="22"/>
          <w:szCs w:val="22"/>
        </w:rPr>
      </w:pPr>
      <w:bookmarkStart w:id="43" w:name="_Toc506726741"/>
      <w:bookmarkStart w:id="44" w:name="_Toc371626609"/>
      <w:bookmarkStart w:id="45" w:name="_Toc394843655"/>
      <w:r w:rsidRPr="004976C6">
        <w:rPr>
          <w:rFonts w:cs="Arial"/>
          <w:sz w:val="22"/>
          <w:szCs w:val="22"/>
        </w:rPr>
        <w:t>Sub</w:t>
      </w:r>
      <w:r w:rsidRPr="004976C6">
        <w:rPr>
          <w:rFonts w:cs="Arial"/>
          <w:sz w:val="22"/>
          <w:szCs w:val="22"/>
        </w:rPr>
        <w:noBreakHyphen/>
        <w:t>Contracting</w:t>
      </w:r>
      <w:bookmarkEnd w:id="43"/>
      <w:bookmarkEnd w:id="44"/>
      <w:bookmarkEnd w:id="45"/>
    </w:p>
    <w:p w14:paraId="43367C47"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must be able to satisfy the </w:t>
      </w:r>
      <w:r w:rsidR="008449A8" w:rsidRPr="004976C6">
        <w:rPr>
          <w:rFonts w:cs="Arial"/>
          <w:sz w:val="22"/>
          <w:szCs w:val="22"/>
        </w:rPr>
        <w:t>Authority</w:t>
      </w:r>
      <w:r w:rsidRPr="004976C6">
        <w:rPr>
          <w:rFonts w:cs="Arial"/>
          <w:sz w:val="22"/>
          <w:szCs w:val="22"/>
        </w:rPr>
        <w:t xml:space="preserve"> as to their ability to perform the Service</w:t>
      </w:r>
      <w:r w:rsidR="00B115F3" w:rsidRPr="004976C6">
        <w:rPr>
          <w:rFonts w:cs="Arial"/>
          <w:sz w:val="22"/>
          <w:szCs w:val="22"/>
        </w:rPr>
        <w:t>s</w:t>
      </w:r>
      <w:r w:rsidRPr="004976C6">
        <w:rPr>
          <w:rFonts w:cs="Arial"/>
          <w:sz w:val="22"/>
          <w:szCs w:val="22"/>
        </w:rPr>
        <w:t xml:space="preserve"> in accordance with the </w:t>
      </w:r>
      <w:r w:rsidR="00992D83" w:rsidRPr="004976C6">
        <w:rPr>
          <w:rFonts w:cs="Arial"/>
          <w:sz w:val="22"/>
          <w:szCs w:val="22"/>
        </w:rPr>
        <w:t>Contract</w:t>
      </w:r>
      <w:r w:rsidR="00167FD2" w:rsidRPr="004976C6">
        <w:rPr>
          <w:rFonts w:cs="Arial"/>
          <w:sz w:val="22"/>
          <w:szCs w:val="22"/>
        </w:rPr>
        <w:t>.</w:t>
      </w:r>
      <w:r w:rsidRPr="004976C6">
        <w:rPr>
          <w:rFonts w:cs="Arial"/>
          <w:sz w:val="22"/>
          <w:szCs w:val="22"/>
        </w:rPr>
        <w:t xml:space="preserve">  </w:t>
      </w:r>
      <w:r w:rsidR="006A6485" w:rsidRPr="004976C6">
        <w:rPr>
          <w:rFonts w:cs="Arial"/>
          <w:sz w:val="22"/>
          <w:szCs w:val="22"/>
        </w:rPr>
        <w:t>Nevertheless,</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will consider proposals from the Tenderer for part of the Service</w:t>
      </w:r>
      <w:r w:rsidR="00B115F3" w:rsidRPr="004976C6">
        <w:rPr>
          <w:rFonts w:cs="Arial"/>
          <w:sz w:val="22"/>
          <w:szCs w:val="22"/>
        </w:rPr>
        <w:t>s</w:t>
      </w:r>
      <w:r w:rsidRPr="004976C6">
        <w:rPr>
          <w:rFonts w:cs="Arial"/>
          <w:sz w:val="22"/>
          <w:szCs w:val="22"/>
        </w:rPr>
        <w:t xml:space="preserve"> to be performed by sub</w:t>
      </w:r>
      <w:r w:rsidRPr="004976C6">
        <w:rPr>
          <w:rFonts w:cs="Arial"/>
          <w:sz w:val="22"/>
          <w:szCs w:val="22"/>
        </w:rPr>
        <w:noBreakHyphen/>
        <w:t>contractors provided that:</w:t>
      </w:r>
    </w:p>
    <w:p w14:paraId="1C4A94A6"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the proposed part of the </w:t>
      </w:r>
      <w:r w:rsidR="006A6485" w:rsidRPr="004976C6">
        <w:rPr>
          <w:rFonts w:cs="Arial"/>
          <w:sz w:val="22"/>
          <w:szCs w:val="22"/>
        </w:rPr>
        <w:t>Works</w:t>
      </w:r>
      <w:r w:rsidRPr="004976C6">
        <w:rPr>
          <w:rFonts w:cs="Arial"/>
          <w:sz w:val="22"/>
          <w:szCs w:val="22"/>
        </w:rPr>
        <w:t xml:space="preserve"> and the sub</w:t>
      </w:r>
      <w:r w:rsidRPr="004976C6">
        <w:rPr>
          <w:rFonts w:cs="Arial"/>
          <w:sz w:val="22"/>
          <w:szCs w:val="22"/>
        </w:rPr>
        <w:noBreakHyphen/>
        <w:t xml:space="preserve">contractors are approved by the </w:t>
      </w:r>
      <w:r w:rsidR="008449A8" w:rsidRPr="004976C6">
        <w:rPr>
          <w:rFonts w:cs="Arial"/>
          <w:sz w:val="22"/>
          <w:szCs w:val="22"/>
        </w:rPr>
        <w:t>Authority</w:t>
      </w:r>
      <w:r w:rsidRPr="004976C6">
        <w:rPr>
          <w:rFonts w:cs="Arial"/>
          <w:sz w:val="22"/>
          <w:szCs w:val="22"/>
        </w:rPr>
        <w:t xml:space="preserve"> which may include the prior approval of the terms of the sub</w:t>
      </w:r>
      <w:r w:rsidRPr="004976C6">
        <w:rPr>
          <w:rFonts w:cs="Arial"/>
          <w:sz w:val="22"/>
          <w:szCs w:val="22"/>
        </w:rPr>
        <w:noBreakHyphen/>
        <w:t>contractor's appointment or contractual arrangements to be entered into between the Tenderer and any such sub</w:t>
      </w:r>
      <w:r w:rsidRPr="004976C6">
        <w:rPr>
          <w:rFonts w:cs="Arial"/>
          <w:sz w:val="22"/>
          <w:szCs w:val="22"/>
        </w:rPr>
        <w:noBreakHyphen/>
        <w:t>contractor; and</w:t>
      </w:r>
    </w:p>
    <w:p w14:paraId="74356A82" w14:textId="77777777"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upon request by the </w:t>
      </w:r>
      <w:r w:rsidR="008449A8" w:rsidRPr="004976C6">
        <w:rPr>
          <w:rFonts w:cs="Arial"/>
          <w:sz w:val="22"/>
          <w:szCs w:val="22"/>
        </w:rPr>
        <w:t>Authority</w:t>
      </w:r>
      <w:r w:rsidRPr="004976C6">
        <w:rPr>
          <w:rFonts w:cs="Arial"/>
          <w:sz w:val="22"/>
          <w:szCs w:val="22"/>
        </w:rPr>
        <w:t xml:space="preserve">, the Tenderer procures a collateral warranty (in a form approved by the </w:t>
      </w:r>
      <w:r w:rsidR="008449A8" w:rsidRPr="004976C6">
        <w:rPr>
          <w:rFonts w:cs="Arial"/>
          <w:sz w:val="22"/>
          <w:szCs w:val="22"/>
        </w:rPr>
        <w:t>Authority</w:t>
      </w:r>
      <w:r w:rsidRPr="004976C6">
        <w:rPr>
          <w:rFonts w:cs="Arial"/>
          <w:sz w:val="22"/>
          <w:szCs w:val="22"/>
        </w:rPr>
        <w:t>) from the proposed sub</w:t>
      </w:r>
      <w:r w:rsidRPr="004976C6">
        <w:rPr>
          <w:rFonts w:cs="Arial"/>
          <w:sz w:val="22"/>
          <w:szCs w:val="22"/>
        </w:rPr>
        <w:noBreakHyphen/>
        <w:t xml:space="preserve">contractors to the </w:t>
      </w:r>
      <w:r w:rsidR="008449A8" w:rsidRPr="004976C6">
        <w:rPr>
          <w:rFonts w:cs="Arial"/>
          <w:sz w:val="22"/>
          <w:szCs w:val="22"/>
        </w:rPr>
        <w:t>Authority</w:t>
      </w:r>
      <w:r w:rsidRPr="004976C6">
        <w:rPr>
          <w:rFonts w:cs="Arial"/>
          <w:sz w:val="22"/>
          <w:szCs w:val="22"/>
        </w:rPr>
        <w:t xml:space="preserve"> in respect of the performance of the relevant part of the Service</w:t>
      </w:r>
      <w:r w:rsidR="00B115F3" w:rsidRPr="004976C6">
        <w:rPr>
          <w:rFonts w:cs="Arial"/>
          <w:sz w:val="22"/>
          <w:szCs w:val="22"/>
        </w:rPr>
        <w:t>s</w:t>
      </w:r>
      <w:r w:rsidRPr="004976C6">
        <w:rPr>
          <w:rFonts w:cs="Arial"/>
          <w:sz w:val="22"/>
          <w:szCs w:val="22"/>
        </w:rPr>
        <w:t xml:space="preserve">. </w:t>
      </w:r>
    </w:p>
    <w:p w14:paraId="404404F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also refer to the </w:t>
      </w:r>
      <w:r w:rsidR="00167FD2" w:rsidRPr="004976C6">
        <w:rPr>
          <w:rFonts w:cs="Arial"/>
          <w:sz w:val="22"/>
          <w:szCs w:val="22"/>
        </w:rPr>
        <w:t>Conditions</w:t>
      </w:r>
      <w:r w:rsidRPr="004976C6">
        <w:rPr>
          <w:rFonts w:cs="Arial"/>
          <w:sz w:val="22"/>
          <w:szCs w:val="22"/>
        </w:rPr>
        <w:t xml:space="preserve"> of </w:t>
      </w:r>
      <w:r w:rsidR="00167FD2" w:rsidRPr="004976C6">
        <w:rPr>
          <w:rFonts w:cs="Arial"/>
          <w:sz w:val="22"/>
          <w:szCs w:val="22"/>
        </w:rPr>
        <w:t>Contract</w:t>
      </w:r>
      <w:r w:rsidRPr="004976C6">
        <w:rPr>
          <w:rFonts w:cs="Arial"/>
          <w:sz w:val="22"/>
          <w:szCs w:val="22"/>
        </w:rPr>
        <w:t xml:space="preserve"> as they relate to sub-contracting.</w:t>
      </w:r>
    </w:p>
    <w:p w14:paraId="0C808993" w14:textId="77777777" w:rsidR="005C0613" w:rsidRPr="004976C6" w:rsidRDefault="005C0613" w:rsidP="00FD0B1B">
      <w:pPr>
        <w:pStyle w:val="A1"/>
        <w:ind w:hanging="590"/>
        <w:rPr>
          <w:rFonts w:cs="Arial"/>
          <w:sz w:val="22"/>
          <w:szCs w:val="22"/>
        </w:rPr>
      </w:pPr>
      <w:bookmarkStart w:id="46" w:name="_Toc104610730"/>
      <w:bookmarkStart w:id="47" w:name="_Toc371626611"/>
      <w:bookmarkStart w:id="48" w:name="_Toc394843657"/>
      <w:bookmarkStart w:id="49" w:name="_Toc506726743"/>
      <w:r w:rsidRPr="004976C6">
        <w:rPr>
          <w:rFonts w:cs="Arial"/>
          <w:sz w:val="22"/>
          <w:szCs w:val="22"/>
        </w:rPr>
        <w:t>Freedom of Information Act 2000</w:t>
      </w:r>
      <w:bookmarkEnd w:id="46"/>
      <w:bookmarkEnd w:id="47"/>
      <w:bookmarkEnd w:id="48"/>
    </w:p>
    <w:p w14:paraId="3A2A8533"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Freedom of Information Act 2000 (“FOIA”) and the Environmental Information Regulations 2004 (“EIR”) make provision for the disclosure of information held by public authorities or by persons providing services for them.  The L</w:t>
      </w:r>
      <w:r w:rsidR="00737AFF" w:rsidRPr="004976C6">
        <w:rPr>
          <w:rFonts w:cs="Arial"/>
          <w:sz w:val="22"/>
          <w:szCs w:val="22"/>
        </w:rPr>
        <w:t>aw</w:t>
      </w:r>
      <w:r w:rsidRPr="004976C6">
        <w:rPr>
          <w:rFonts w:cs="Arial"/>
          <w:sz w:val="22"/>
          <w:szCs w:val="22"/>
        </w:rPr>
        <w:t xml:space="preserve"> provides that anyone can ask the </w:t>
      </w:r>
      <w:r w:rsidR="008449A8" w:rsidRPr="004976C6">
        <w:rPr>
          <w:rFonts w:cs="Arial"/>
          <w:sz w:val="22"/>
          <w:szCs w:val="22"/>
        </w:rPr>
        <w:t>Authority</w:t>
      </w:r>
      <w:r w:rsidRPr="004976C6">
        <w:rPr>
          <w:rFonts w:cs="Arial"/>
          <w:sz w:val="22"/>
          <w:szCs w:val="22"/>
        </w:rPr>
        <w:t xml:space="preserve"> for any information and, unless an exemption applies, the information must be supplied.  This means that all the information that a Tenderer provides to the </w:t>
      </w:r>
      <w:r w:rsidR="008449A8" w:rsidRPr="004976C6">
        <w:rPr>
          <w:rFonts w:cs="Arial"/>
          <w:sz w:val="22"/>
          <w:szCs w:val="22"/>
        </w:rPr>
        <w:t>Authority</w:t>
      </w:r>
      <w:r w:rsidRPr="004976C6">
        <w:rPr>
          <w:rFonts w:cs="Arial"/>
          <w:sz w:val="22"/>
          <w:szCs w:val="22"/>
        </w:rPr>
        <w:t xml:space="preserve"> under this tendering process will be subject to the FOIA/EIR disclosure provisions.</w:t>
      </w:r>
    </w:p>
    <w:p w14:paraId="0C44C33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a Tenderer believes that any of the information contained in its Tender, or otherwise supplied to the </w:t>
      </w:r>
      <w:r w:rsidR="008449A8" w:rsidRPr="004976C6">
        <w:rPr>
          <w:rFonts w:cs="Arial"/>
          <w:sz w:val="22"/>
          <w:szCs w:val="22"/>
        </w:rPr>
        <w:t>Authority</w:t>
      </w:r>
      <w:r w:rsidRPr="004976C6">
        <w:rPr>
          <w:rFonts w:cs="Arial"/>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  </w:t>
      </w:r>
    </w:p>
    <w:p w14:paraId="45026FC5"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appreciate that the simple marking of information with words such as “commercial in confidence” only has the effect of identifying to the </w:t>
      </w:r>
      <w:r w:rsidR="008449A8" w:rsidRPr="004976C6">
        <w:rPr>
          <w:rFonts w:cs="Arial"/>
          <w:sz w:val="22"/>
          <w:szCs w:val="22"/>
        </w:rPr>
        <w:t>Authority</w:t>
      </w:r>
      <w:r w:rsidRPr="004976C6">
        <w:rPr>
          <w:rFonts w:cs="Arial"/>
          <w:sz w:val="22"/>
          <w:szCs w:val="22"/>
        </w:rPr>
        <w:t xml:space="preserve"> that an exemption could potentially apply under the FOIA/EIR.  The issue will not simply be whether information is marked as confidential but whether, for example, a duty of confidence in fact applies in law to that piece of information or whether release “would be likely to prejudice” your company’s interests.   </w:t>
      </w:r>
    </w:p>
    <w:p w14:paraId="0986C165" w14:textId="4A951C40"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are advised to read the Code of Practice </w:t>
      </w:r>
      <w:r w:rsidR="00BD348F" w:rsidRPr="004976C6">
        <w:rPr>
          <w:rFonts w:cs="Arial"/>
          <w:sz w:val="22"/>
          <w:szCs w:val="22"/>
        </w:rPr>
        <w:t>Issued</w:t>
      </w:r>
      <w:r w:rsidRPr="004976C6">
        <w:rPr>
          <w:rFonts w:cs="Arial"/>
          <w:sz w:val="22"/>
          <w:szCs w:val="22"/>
        </w:rPr>
        <w:t xml:space="preserve"> by the Department for Constitutional Affairs under Section 45 of the FOIA, which gives guidance to public authorities on the handling of requests for information the disclosure of which may affect the interests of third parties.  The code can be accessed on the internet at</w:t>
      </w:r>
      <w:r w:rsidR="00C60129" w:rsidRPr="004976C6">
        <w:rPr>
          <w:rFonts w:cs="Arial"/>
          <w:sz w:val="22"/>
          <w:szCs w:val="22"/>
        </w:rPr>
        <w:t xml:space="preserve"> the Ministry of Justice website.</w:t>
      </w:r>
    </w:p>
    <w:p w14:paraId="11B5F797" w14:textId="322570DD"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the </w:t>
      </w:r>
      <w:r w:rsidR="008449A8" w:rsidRPr="004976C6">
        <w:rPr>
          <w:rFonts w:cs="Arial"/>
          <w:sz w:val="22"/>
          <w:szCs w:val="22"/>
        </w:rPr>
        <w:t>Authority</w:t>
      </w:r>
      <w:r w:rsidRPr="004976C6">
        <w:rPr>
          <w:rFonts w:cs="Arial"/>
          <w:sz w:val="22"/>
          <w:szCs w:val="22"/>
        </w:rPr>
        <w:t xml:space="preserve"> receives a request under the FOIA/EIR which involves information listed in the FOIA/EIR Schedule in your Tender, then the </w:t>
      </w:r>
      <w:r w:rsidR="008449A8" w:rsidRPr="004976C6">
        <w:rPr>
          <w:rFonts w:cs="Arial"/>
          <w:sz w:val="22"/>
          <w:szCs w:val="22"/>
        </w:rPr>
        <w:t>Authority</w:t>
      </w:r>
      <w:r w:rsidRPr="004976C6">
        <w:rPr>
          <w:rFonts w:cs="Arial"/>
          <w:sz w:val="22"/>
          <w:szCs w:val="22"/>
        </w:rPr>
        <w:t xml:space="preserve"> will use its reasonable endeavours to consult you prior to making a final determination as to how to deal with the request.  However, the </w:t>
      </w:r>
      <w:r w:rsidR="008449A8" w:rsidRPr="004976C6">
        <w:rPr>
          <w:rFonts w:cs="Arial"/>
          <w:sz w:val="22"/>
          <w:szCs w:val="22"/>
        </w:rPr>
        <w:t>Authority</w:t>
      </w:r>
      <w:r w:rsidRPr="004976C6">
        <w:rPr>
          <w:rFonts w:cs="Arial"/>
          <w:sz w:val="22"/>
          <w:szCs w:val="22"/>
        </w:rPr>
        <w:t xml:space="preserve"> has a very limited time in which to decide </w:t>
      </w:r>
      <w:r w:rsidR="00D876EA" w:rsidRPr="004976C6">
        <w:rPr>
          <w:rFonts w:cs="Arial"/>
          <w:sz w:val="22"/>
          <w:szCs w:val="22"/>
        </w:rPr>
        <w:t>whether</w:t>
      </w:r>
      <w:r w:rsidRPr="004976C6">
        <w:rPr>
          <w:rFonts w:cs="Arial"/>
          <w:sz w:val="22"/>
          <w:szCs w:val="22"/>
        </w:rPr>
        <w:t xml:space="preserve"> information can be released, so it is imperative that you ensure that the </w:t>
      </w:r>
      <w:r w:rsidR="008449A8" w:rsidRPr="004976C6">
        <w:rPr>
          <w:rFonts w:cs="Arial"/>
          <w:sz w:val="22"/>
          <w:szCs w:val="22"/>
        </w:rPr>
        <w:t>Authority</w:t>
      </w:r>
      <w:r w:rsidRPr="004976C6">
        <w:rPr>
          <w:rFonts w:cs="Arial"/>
          <w:sz w:val="22"/>
          <w:szCs w:val="22"/>
        </w:rPr>
        <w:t xml:space="preserve"> has up-to-date contact details and that the contact is able to respond to a request quickly. </w:t>
      </w:r>
    </w:p>
    <w:p w14:paraId="0CE822A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bear in mind that the listing by them of information in an FOIA/EIR Schedule cannot provide an automatic guarantee that the </w:t>
      </w:r>
      <w:r w:rsidR="008449A8" w:rsidRPr="004976C6">
        <w:rPr>
          <w:rFonts w:cs="Arial"/>
          <w:sz w:val="22"/>
          <w:szCs w:val="22"/>
        </w:rPr>
        <w:t>Authority</w:t>
      </w:r>
      <w:r w:rsidRPr="004976C6">
        <w:rPr>
          <w:rFonts w:cs="Arial"/>
          <w:sz w:val="22"/>
          <w:szCs w:val="22"/>
        </w:rPr>
        <w:t xml:space="preserve"> will not disclose such information (or the fact that it holds it) since the </w:t>
      </w:r>
      <w:r w:rsidR="008449A8" w:rsidRPr="004976C6">
        <w:rPr>
          <w:rFonts w:cs="Arial"/>
          <w:sz w:val="22"/>
          <w:szCs w:val="22"/>
        </w:rPr>
        <w:t>Authority</w:t>
      </w:r>
      <w:r w:rsidRPr="004976C6">
        <w:rPr>
          <w:rFonts w:cs="Arial"/>
          <w:sz w:val="22"/>
          <w:szCs w:val="22"/>
        </w:rPr>
        <w:t xml:space="preserve"> cannot fetter the application of the FOIA/EIR. </w:t>
      </w:r>
    </w:p>
    <w:p w14:paraId="4086A02F" w14:textId="77777777" w:rsidR="005C0613" w:rsidRPr="004976C6" w:rsidRDefault="005C0613" w:rsidP="00FD0B1B">
      <w:pPr>
        <w:pStyle w:val="A1"/>
        <w:ind w:hanging="590"/>
        <w:rPr>
          <w:rFonts w:cs="Arial"/>
          <w:sz w:val="22"/>
          <w:szCs w:val="22"/>
        </w:rPr>
      </w:pPr>
      <w:bookmarkStart w:id="50" w:name="_Toc371626612"/>
      <w:bookmarkStart w:id="51" w:name="_Toc394843658"/>
      <w:r w:rsidRPr="004976C6">
        <w:rPr>
          <w:rFonts w:cs="Arial"/>
          <w:sz w:val="22"/>
          <w:szCs w:val="22"/>
        </w:rPr>
        <w:t>Tenderer's Warranties</w:t>
      </w:r>
      <w:bookmarkEnd w:id="49"/>
      <w:bookmarkEnd w:id="50"/>
      <w:bookmarkEnd w:id="51"/>
    </w:p>
    <w:p w14:paraId="07BC0F68"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In submitting a </w:t>
      </w:r>
      <w:r w:rsidR="009D014F" w:rsidRPr="004976C6">
        <w:rPr>
          <w:rFonts w:cs="Arial"/>
          <w:sz w:val="22"/>
          <w:szCs w:val="22"/>
        </w:rPr>
        <w:t>Tender,</w:t>
      </w:r>
      <w:r w:rsidRPr="004976C6">
        <w:rPr>
          <w:rFonts w:cs="Arial"/>
          <w:sz w:val="22"/>
          <w:szCs w:val="22"/>
        </w:rPr>
        <w:t xml:space="preserve"> the Tenderer warrants, represents and undertakes to the </w:t>
      </w:r>
      <w:r w:rsidR="008449A8" w:rsidRPr="004976C6">
        <w:rPr>
          <w:rFonts w:cs="Arial"/>
          <w:sz w:val="22"/>
          <w:szCs w:val="22"/>
        </w:rPr>
        <w:t>Authority</w:t>
      </w:r>
      <w:r w:rsidRPr="004976C6">
        <w:rPr>
          <w:rFonts w:cs="Arial"/>
          <w:sz w:val="22"/>
          <w:szCs w:val="22"/>
        </w:rPr>
        <w:t xml:space="preserve"> that:</w:t>
      </w:r>
    </w:p>
    <w:p w14:paraId="54A7C493" w14:textId="07AB69D5"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it has not done any of the acts or matters referred to in </w:t>
      </w:r>
      <w:r w:rsidR="00FF64E8" w:rsidRPr="004976C6">
        <w:rPr>
          <w:rFonts w:cs="Arial"/>
          <w:sz w:val="22"/>
          <w:szCs w:val="22"/>
        </w:rPr>
        <w:t xml:space="preserve">paragraph </w:t>
      </w:r>
      <w:r w:rsidR="006042B8" w:rsidRPr="004976C6">
        <w:rPr>
          <w:rFonts w:cs="Arial"/>
          <w:sz w:val="22"/>
          <w:szCs w:val="22"/>
        </w:rPr>
        <w:t>8</w:t>
      </w:r>
      <w:r w:rsidRPr="004976C6">
        <w:rPr>
          <w:rFonts w:cs="Arial"/>
          <w:sz w:val="22"/>
          <w:szCs w:val="22"/>
        </w:rPr>
        <w:t xml:space="preserve"> above and has complied in all respects with these Instructions to </w:t>
      </w:r>
      <w:r w:rsidR="00D876EA" w:rsidRPr="004976C6">
        <w:rPr>
          <w:rFonts w:cs="Arial"/>
          <w:sz w:val="22"/>
          <w:szCs w:val="22"/>
        </w:rPr>
        <w:t>Tenderers.</w:t>
      </w:r>
    </w:p>
    <w:p w14:paraId="432D134B" w14:textId="24D99ECC"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all information, representations and other matters of fact communicated (whether in writing or otherwise) to the </w:t>
      </w:r>
      <w:r w:rsidR="008449A8" w:rsidRPr="004976C6">
        <w:rPr>
          <w:rFonts w:cs="Arial"/>
          <w:sz w:val="22"/>
          <w:szCs w:val="22"/>
        </w:rPr>
        <w:t>Authority</w:t>
      </w:r>
      <w:r w:rsidRPr="004976C6">
        <w:rPr>
          <w:rFonts w:cs="Arial"/>
          <w:sz w:val="22"/>
          <w:szCs w:val="22"/>
        </w:rPr>
        <w:t xml:space="preserve"> by the Tenderer or its staff in connection with or arising out of the Tender are </w:t>
      </w:r>
      <w:r w:rsidR="00143016" w:rsidRPr="004976C6">
        <w:rPr>
          <w:rFonts w:cs="Arial"/>
          <w:sz w:val="22"/>
          <w:szCs w:val="22"/>
        </w:rPr>
        <w:t xml:space="preserve">at the date of the Tender </w:t>
      </w:r>
      <w:r w:rsidRPr="004976C6">
        <w:rPr>
          <w:rFonts w:cs="Arial"/>
          <w:sz w:val="22"/>
          <w:szCs w:val="22"/>
        </w:rPr>
        <w:t xml:space="preserve">true, </w:t>
      </w:r>
      <w:r w:rsidR="00D876EA" w:rsidRPr="004976C6">
        <w:rPr>
          <w:rFonts w:cs="Arial"/>
          <w:sz w:val="22"/>
          <w:szCs w:val="22"/>
        </w:rPr>
        <w:t>complete,</w:t>
      </w:r>
      <w:r w:rsidRPr="004976C6">
        <w:rPr>
          <w:rFonts w:cs="Arial"/>
          <w:sz w:val="22"/>
          <w:szCs w:val="22"/>
        </w:rPr>
        <w:t xml:space="preserve"> and accurate in all respects</w:t>
      </w:r>
      <w:r w:rsidR="00143016" w:rsidRPr="004976C6">
        <w:rPr>
          <w:rFonts w:cs="Arial"/>
          <w:sz w:val="22"/>
          <w:szCs w:val="22"/>
        </w:rPr>
        <w:t xml:space="preserve"> and that it will promptly notify the </w:t>
      </w:r>
      <w:r w:rsidR="008449A8" w:rsidRPr="004976C6">
        <w:rPr>
          <w:rFonts w:cs="Arial"/>
          <w:sz w:val="22"/>
          <w:szCs w:val="22"/>
        </w:rPr>
        <w:t>Authority</w:t>
      </w:r>
      <w:r w:rsidR="00143016" w:rsidRPr="004976C6">
        <w:rPr>
          <w:rFonts w:cs="Arial"/>
          <w:sz w:val="22"/>
          <w:szCs w:val="22"/>
        </w:rPr>
        <w:t xml:space="preserve"> in writing of any changes which affect such information, </w:t>
      </w:r>
      <w:r w:rsidR="00D876EA" w:rsidRPr="004976C6">
        <w:rPr>
          <w:rFonts w:cs="Arial"/>
          <w:sz w:val="22"/>
          <w:szCs w:val="22"/>
        </w:rPr>
        <w:t>representations,</w:t>
      </w:r>
      <w:r w:rsidR="00143016" w:rsidRPr="004976C6">
        <w:rPr>
          <w:rFonts w:cs="Arial"/>
          <w:sz w:val="22"/>
          <w:szCs w:val="22"/>
        </w:rPr>
        <w:t xml:space="preserve"> or other matters of </w:t>
      </w:r>
      <w:r w:rsidR="00D876EA" w:rsidRPr="004976C6">
        <w:rPr>
          <w:rFonts w:cs="Arial"/>
          <w:sz w:val="22"/>
          <w:szCs w:val="22"/>
        </w:rPr>
        <w:t>fact.</w:t>
      </w:r>
    </w:p>
    <w:p w14:paraId="334A008F" w14:textId="141DDD90"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it has carried out its own investigations and research, has satisfied itself in respect of all matters relating to the Tender documents and that it has not submitted the Tender and has not </w:t>
      </w:r>
      <w:r w:rsidR="00D876EA" w:rsidRPr="004976C6">
        <w:rPr>
          <w:rFonts w:cs="Arial"/>
          <w:sz w:val="22"/>
          <w:szCs w:val="22"/>
        </w:rPr>
        <w:t>entered</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in reliance upon any information, </w:t>
      </w:r>
      <w:r w:rsidR="00D876EA" w:rsidRPr="004976C6">
        <w:rPr>
          <w:rFonts w:cs="Arial"/>
          <w:sz w:val="22"/>
          <w:szCs w:val="22"/>
        </w:rPr>
        <w:t>representations,</w:t>
      </w:r>
      <w:r w:rsidRPr="004976C6">
        <w:rPr>
          <w:rFonts w:cs="Arial"/>
          <w:sz w:val="22"/>
          <w:szCs w:val="22"/>
        </w:rPr>
        <w:t xml:space="preserve"> or assumptions (whether made orally, in writing or otherwise) which may have been made by the </w:t>
      </w:r>
      <w:r w:rsidR="00D876EA" w:rsidRPr="004976C6">
        <w:rPr>
          <w:rFonts w:cs="Arial"/>
          <w:sz w:val="22"/>
          <w:szCs w:val="22"/>
        </w:rPr>
        <w:t>Authority.</w:t>
      </w:r>
    </w:p>
    <w:p w14:paraId="39043F66" w14:textId="3BDA9BB1"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it has full power and </w:t>
      </w:r>
      <w:r w:rsidR="00167FD2" w:rsidRPr="004976C6">
        <w:rPr>
          <w:rFonts w:cs="Arial"/>
          <w:sz w:val="22"/>
          <w:szCs w:val="22"/>
        </w:rPr>
        <w:t>authority</w:t>
      </w:r>
      <w:r w:rsidRPr="004976C6">
        <w:rPr>
          <w:rFonts w:cs="Arial"/>
          <w:sz w:val="22"/>
          <w:szCs w:val="22"/>
        </w:rPr>
        <w:t xml:space="preserve"> to </w:t>
      </w:r>
      <w:r w:rsidR="00D876EA" w:rsidRPr="004976C6">
        <w:rPr>
          <w:rFonts w:cs="Arial"/>
          <w:sz w:val="22"/>
          <w:szCs w:val="22"/>
        </w:rPr>
        <w:t>enter</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and carry out the </w:t>
      </w:r>
      <w:r w:rsidR="009D014F" w:rsidRPr="004976C6">
        <w:rPr>
          <w:rFonts w:cs="Arial"/>
          <w:sz w:val="22"/>
          <w:szCs w:val="22"/>
        </w:rPr>
        <w:t>Works</w:t>
      </w:r>
      <w:r w:rsidRPr="004976C6">
        <w:rPr>
          <w:rFonts w:cs="Arial"/>
          <w:sz w:val="22"/>
          <w:szCs w:val="22"/>
        </w:rPr>
        <w:t xml:space="preserve"> and will if requested produce evidence of such to the </w:t>
      </w:r>
      <w:r w:rsidR="00D876EA" w:rsidRPr="004976C6">
        <w:rPr>
          <w:rFonts w:cs="Arial"/>
          <w:sz w:val="22"/>
          <w:szCs w:val="22"/>
        </w:rPr>
        <w:t>Authority.</w:t>
      </w:r>
    </w:p>
    <w:p w14:paraId="7300F089" w14:textId="4E855D62" w:rsidR="005C0613" w:rsidRPr="004976C6" w:rsidRDefault="005C0613" w:rsidP="00FD0B1B">
      <w:pPr>
        <w:pStyle w:val="A3"/>
        <w:tabs>
          <w:tab w:val="clear" w:pos="2606"/>
          <w:tab w:val="num" w:pos="1418"/>
        </w:tabs>
        <w:ind w:left="1418" w:hanging="851"/>
        <w:rPr>
          <w:rFonts w:cs="Arial"/>
          <w:sz w:val="22"/>
          <w:szCs w:val="22"/>
        </w:rPr>
      </w:pPr>
      <w:r w:rsidRPr="004976C6">
        <w:rPr>
          <w:rFonts w:cs="Arial"/>
          <w:sz w:val="22"/>
          <w:szCs w:val="22"/>
        </w:rPr>
        <w:t xml:space="preserve">it is of sound financial </w:t>
      </w:r>
      <w:r w:rsidR="00D876EA" w:rsidRPr="004976C6">
        <w:rPr>
          <w:rFonts w:cs="Arial"/>
          <w:sz w:val="22"/>
          <w:szCs w:val="22"/>
        </w:rPr>
        <w:t>standing,</w:t>
      </w:r>
      <w:r w:rsidRPr="004976C6">
        <w:rPr>
          <w:rFonts w:cs="Arial"/>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4976C6">
        <w:rPr>
          <w:rFonts w:cs="Arial"/>
          <w:sz w:val="22"/>
          <w:szCs w:val="22"/>
        </w:rPr>
        <w:t>Authority</w:t>
      </w:r>
      <w:r w:rsidRPr="004976C6">
        <w:rPr>
          <w:rFonts w:cs="Arial"/>
          <w:sz w:val="22"/>
          <w:szCs w:val="22"/>
        </w:rPr>
        <w:t xml:space="preserve"> that may adversely affect such financial standing in the future; and</w:t>
      </w:r>
    </w:p>
    <w:p w14:paraId="0618B8BA" w14:textId="43B7E547" w:rsidR="00F169AD" w:rsidRPr="004976C6" w:rsidRDefault="005C0613" w:rsidP="00482199">
      <w:pPr>
        <w:pStyle w:val="A3"/>
        <w:tabs>
          <w:tab w:val="clear" w:pos="2606"/>
          <w:tab w:val="num" w:pos="1418"/>
        </w:tabs>
        <w:ind w:left="1418" w:hanging="851"/>
        <w:rPr>
          <w:rFonts w:cs="Arial"/>
          <w:sz w:val="22"/>
          <w:szCs w:val="22"/>
        </w:rPr>
      </w:pPr>
      <w:r w:rsidRPr="004976C6">
        <w:rPr>
          <w:rFonts w:cs="Arial"/>
          <w:sz w:val="22"/>
          <w:szCs w:val="22"/>
        </w:rPr>
        <w:t xml:space="preserve">it </w:t>
      </w:r>
      <w:r w:rsidR="00E05A75" w:rsidRPr="004976C6">
        <w:rPr>
          <w:rFonts w:cs="Arial"/>
          <w:sz w:val="22"/>
          <w:szCs w:val="22"/>
        </w:rPr>
        <w:t>has</w:t>
      </w:r>
      <w:r w:rsidR="00E05A75">
        <w:rPr>
          <w:rFonts w:cs="Arial"/>
          <w:sz w:val="22"/>
          <w:szCs w:val="22"/>
        </w:rPr>
        <w:t xml:space="preserve"> and</w:t>
      </w:r>
      <w:r w:rsidRPr="004976C6">
        <w:rPr>
          <w:rFonts w:cs="Arial"/>
          <w:sz w:val="22"/>
          <w:szCs w:val="22"/>
        </w:rPr>
        <w:t xml:space="preserve"> has </w:t>
      </w:r>
      <w:r w:rsidR="00D876EA" w:rsidRPr="004976C6">
        <w:rPr>
          <w:rFonts w:cs="Arial"/>
          <w:sz w:val="22"/>
          <w:szCs w:val="22"/>
        </w:rPr>
        <w:t>decided</w:t>
      </w:r>
      <w:r w:rsidRPr="004976C6">
        <w:rPr>
          <w:rFonts w:cs="Arial"/>
          <w:sz w:val="22"/>
          <w:szCs w:val="22"/>
        </w:rPr>
        <w:t xml:space="preserve"> to ensure that it will continue to have, sufficient working capital, skilled staff, equipment, </w:t>
      </w:r>
      <w:r w:rsidR="00D876EA" w:rsidRPr="004976C6">
        <w:rPr>
          <w:rFonts w:cs="Arial"/>
          <w:sz w:val="22"/>
          <w:szCs w:val="22"/>
        </w:rPr>
        <w:t>machinery,</w:t>
      </w:r>
      <w:r w:rsidRPr="004976C6">
        <w:rPr>
          <w:rFonts w:cs="Arial"/>
          <w:sz w:val="22"/>
          <w:szCs w:val="22"/>
        </w:rPr>
        <w:t xml:space="preserve"> and other resources available to carry out the Service</w:t>
      </w:r>
      <w:r w:rsidR="00737AFF" w:rsidRPr="004976C6">
        <w:rPr>
          <w:rFonts w:cs="Arial"/>
          <w:sz w:val="22"/>
          <w:szCs w:val="22"/>
        </w:rPr>
        <w:t>s</w:t>
      </w:r>
      <w:r w:rsidRPr="004976C6">
        <w:rPr>
          <w:rFonts w:cs="Arial"/>
          <w:sz w:val="22"/>
          <w:szCs w:val="22"/>
        </w:rPr>
        <w:t xml:space="preserve"> in accordance with the Contract </w:t>
      </w:r>
      <w:r w:rsidR="00167FD2" w:rsidRPr="004976C6">
        <w:rPr>
          <w:rFonts w:cs="Arial"/>
          <w:sz w:val="22"/>
          <w:szCs w:val="22"/>
        </w:rPr>
        <w:t xml:space="preserve">and for the </w:t>
      </w:r>
      <w:r w:rsidR="00942A78" w:rsidRPr="004976C6">
        <w:rPr>
          <w:rFonts w:cs="Arial"/>
          <w:sz w:val="22"/>
          <w:szCs w:val="22"/>
        </w:rPr>
        <w:t>Contract Period</w:t>
      </w:r>
      <w:r w:rsidRPr="004976C6">
        <w:rPr>
          <w:rFonts w:cs="Arial"/>
          <w:sz w:val="22"/>
          <w:szCs w:val="22"/>
        </w:rPr>
        <w:t>.</w:t>
      </w:r>
    </w:p>
    <w:p w14:paraId="7D735BE8" w14:textId="77777777" w:rsidR="005C0613" w:rsidRPr="004976C6" w:rsidRDefault="005C0613" w:rsidP="00FD0B1B">
      <w:pPr>
        <w:pStyle w:val="A1"/>
        <w:ind w:hanging="590"/>
        <w:rPr>
          <w:rFonts w:cs="Arial"/>
          <w:sz w:val="22"/>
          <w:szCs w:val="22"/>
        </w:rPr>
      </w:pPr>
      <w:bookmarkStart w:id="52" w:name="_Toc506726744"/>
      <w:bookmarkStart w:id="53" w:name="_Toc371626613"/>
      <w:bookmarkStart w:id="54" w:name="_Toc394843659"/>
      <w:r w:rsidRPr="004976C6">
        <w:rPr>
          <w:rFonts w:cs="Arial"/>
          <w:sz w:val="22"/>
          <w:szCs w:val="22"/>
        </w:rPr>
        <w:t>Announcements</w:t>
      </w:r>
      <w:bookmarkEnd w:id="52"/>
      <w:bookmarkEnd w:id="53"/>
      <w:bookmarkEnd w:id="54"/>
    </w:p>
    <w:p w14:paraId="4D99D728" w14:textId="77777777" w:rsidR="005C0613" w:rsidRPr="004976C6" w:rsidRDefault="005C0613" w:rsidP="00FD0B1B">
      <w:pPr>
        <w:pStyle w:val="A2"/>
        <w:tabs>
          <w:tab w:val="num" w:pos="567"/>
        </w:tabs>
        <w:ind w:left="567" w:hanging="567"/>
        <w:rPr>
          <w:rFonts w:cs="Arial"/>
          <w:sz w:val="22"/>
          <w:szCs w:val="22"/>
        </w:rPr>
        <w:sectPr w:rsidR="005C0613" w:rsidRPr="004976C6" w:rsidSect="005A5E87">
          <w:footerReference w:type="default" r:id="rId17"/>
          <w:headerReference w:type="first" r:id="rId18"/>
          <w:footerReference w:type="first" r:id="rId19"/>
          <w:type w:val="continuous"/>
          <w:pgSz w:w="11906" w:h="16838" w:code="9"/>
          <w:pgMar w:top="1296" w:right="1008" w:bottom="1296" w:left="1008" w:header="720" w:footer="720" w:gutter="0"/>
          <w:pgNumType w:start="1"/>
          <w:cols w:space="720"/>
          <w:titlePg/>
          <w:docGrid w:linePitch="326"/>
        </w:sect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4976C6">
        <w:rPr>
          <w:rFonts w:cs="Arial"/>
          <w:sz w:val="22"/>
          <w:szCs w:val="22"/>
        </w:rPr>
        <w:t>statutory provisions</w:t>
      </w:r>
      <w:r w:rsidRPr="004976C6">
        <w:rPr>
          <w:rFonts w:cs="Arial"/>
          <w:sz w:val="22"/>
          <w:szCs w:val="22"/>
        </w:rPr>
        <w:t xml:space="preserve"> with which the </w:t>
      </w:r>
      <w:r w:rsidR="008449A8" w:rsidRPr="004976C6">
        <w:rPr>
          <w:rFonts w:cs="Arial"/>
          <w:sz w:val="22"/>
          <w:szCs w:val="22"/>
        </w:rPr>
        <w:t>Authority</w:t>
      </w:r>
      <w:bookmarkStart w:id="55" w:name="_Toc140904659"/>
      <w:r w:rsidR="00787B2B" w:rsidRPr="004976C6">
        <w:rPr>
          <w:rFonts w:cs="Arial"/>
          <w:sz w:val="22"/>
          <w:szCs w:val="22"/>
        </w:rPr>
        <w:t xml:space="preserve"> must comply.</w:t>
      </w:r>
    </w:p>
    <w:p w14:paraId="21DFE762" w14:textId="767CE2CB" w:rsidR="005C0613" w:rsidRPr="004976C6" w:rsidRDefault="005C0613">
      <w:pPr>
        <w:pStyle w:val="B1"/>
        <w:tabs>
          <w:tab w:val="clear" w:pos="576"/>
        </w:tabs>
        <w:ind w:left="0" w:firstLine="0"/>
        <w:rPr>
          <w:rFonts w:ascii="Arial" w:hAnsi="Arial" w:cs="Arial"/>
          <w:smallCaps w:val="0"/>
          <w:szCs w:val="22"/>
        </w:rPr>
      </w:pPr>
      <w:r w:rsidRPr="004976C6">
        <w:rPr>
          <w:rFonts w:ascii="Arial" w:hAnsi="Arial" w:cs="Arial"/>
          <w:szCs w:val="22"/>
        </w:rPr>
        <w:t>A</w:t>
      </w:r>
      <w:r w:rsidR="00463962" w:rsidRPr="004976C6">
        <w:rPr>
          <w:rFonts w:ascii="Arial" w:hAnsi="Arial" w:cs="Arial"/>
          <w:szCs w:val="22"/>
        </w:rPr>
        <w:t>PPENDIX</w:t>
      </w:r>
      <w:r w:rsidRPr="004976C6">
        <w:rPr>
          <w:rFonts w:ascii="Arial" w:hAnsi="Arial" w:cs="Arial"/>
          <w:szCs w:val="22"/>
        </w:rPr>
        <w:t xml:space="preserve"> </w:t>
      </w:r>
      <w:r w:rsidR="000B791D">
        <w:rPr>
          <w:rFonts w:ascii="Arial" w:hAnsi="Arial" w:cs="Arial"/>
          <w:szCs w:val="22"/>
        </w:rPr>
        <w:t>A</w:t>
      </w:r>
      <w:r w:rsidRPr="004976C6">
        <w:rPr>
          <w:rFonts w:ascii="Arial" w:hAnsi="Arial" w:cs="Arial"/>
          <w:smallCaps w:val="0"/>
          <w:szCs w:val="22"/>
        </w:rPr>
        <w:t>: T</w:t>
      </w:r>
      <w:r w:rsidR="00463962" w:rsidRPr="004976C6">
        <w:rPr>
          <w:rFonts w:ascii="Arial" w:hAnsi="Arial" w:cs="Arial"/>
          <w:smallCaps w:val="0"/>
          <w:szCs w:val="22"/>
        </w:rPr>
        <w:t>ENDER</w:t>
      </w:r>
      <w:r w:rsidRPr="004976C6">
        <w:rPr>
          <w:rFonts w:ascii="Arial" w:hAnsi="Arial" w:cs="Arial"/>
          <w:smallCaps w:val="0"/>
          <w:szCs w:val="22"/>
        </w:rPr>
        <w:t xml:space="preserve"> E</w:t>
      </w:r>
      <w:r w:rsidR="00463962" w:rsidRPr="004976C6">
        <w:rPr>
          <w:rFonts w:ascii="Arial" w:hAnsi="Arial" w:cs="Arial"/>
          <w:smallCaps w:val="0"/>
          <w:szCs w:val="22"/>
        </w:rPr>
        <w:t>VALUATION</w:t>
      </w:r>
      <w:r w:rsidRPr="004976C6">
        <w:rPr>
          <w:rFonts w:ascii="Arial" w:hAnsi="Arial" w:cs="Arial"/>
          <w:smallCaps w:val="0"/>
          <w:szCs w:val="22"/>
        </w:rPr>
        <w:t xml:space="preserve"> </w:t>
      </w:r>
      <w:r w:rsidR="00463962" w:rsidRPr="004976C6">
        <w:rPr>
          <w:rFonts w:ascii="Arial" w:hAnsi="Arial" w:cs="Arial"/>
          <w:smallCaps w:val="0"/>
          <w:szCs w:val="22"/>
        </w:rPr>
        <w:t>AND</w:t>
      </w:r>
      <w:r w:rsidRPr="004976C6">
        <w:rPr>
          <w:rFonts w:ascii="Arial" w:hAnsi="Arial" w:cs="Arial"/>
          <w:smallCaps w:val="0"/>
          <w:szCs w:val="22"/>
        </w:rPr>
        <w:t xml:space="preserve"> A</w:t>
      </w:r>
      <w:r w:rsidR="00463962" w:rsidRPr="004976C6">
        <w:rPr>
          <w:rFonts w:ascii="Arial" w:hAnsi="Arial" w:cs="Arial"/>
          <w:smallCaps w:val="0"/>
          <w:szCs w:val="22"/>
        </w:rPr>
        <w:t>WARD</w:t>
      </w:r>
      <w:r w:rsidRPr="004976C6">
        <w:rPr>
          <w:rFonts w:ascii="Arial" w:hAnsi="Arial" w:cs="Arial"/>
          <w:smallCaps w:val="0"/>
          <w:szCs w:val="22"/>
        </w:rPr>
        <w:t xml:space="preserve"> C</w:t>
      </w:r>
      <w:r w:rsidR="00463962" w:rsidRPr="004976C6">
        <w:rPr>
          <w:rFonts w:ascii="Arial" w:hAnsi="Arial" w:cs="Arial"/>
          <w:smallCaps w:val="0"/>
          <w:szCs w:val="22"/>
        </w:rPr>
        <w:t>RITERIA</w:t>
      </w:r>
      <w:bookmarkEnd w:id="55"/>
      <w:r w:rsidRPr="004976C6">
        <w:rPr>
          <w:rFonts w:ascii="Arial" w:hAnsi="Arial" w:cs="Arial"/>
          <w:smallCaps w:val="0"/>
          <w:szCs w:val="22"/>
        </w:rPr>
        <w:t xml:space="preserve"> </w:t>
      </w:r>
    </w:p>
    <w:p w14:paraId="25BC69E1" w14:textId="77777777" w:rsidR="005C0613" w:rsidRPr="004976C6" w:rsidRDefault="005C0613" w:rsidP="00992D83">
      <w:pPr>
        <w:keepNext/>
        <w:spacing w:before="240" w:after="240"/>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will award the </w:t>
      </w:r>
      <w:r w:rsidR="00992D83" w:rsidRPr="004976C6">
        <w:rPr>
          <w:rFonts w:cs="Arial"/>
          <w:color w:val="000000"/>
          <w:sz w:val="22"/>
          <w:szCs w:val="22"/>
        </w:rPr>
        <w:t>Contract</w:t>
      </w:r>
      <w:r w:rsidRPr="004976C6">
        <w:rPr>
          <w:rFonts w:cs="Arial"/>
          <w:sz w:val="22"/>
          <w:szCs w:val="22"/>
        </w:rPr>
        <w:t xml:space="preserve"> to the most economically advantageous Tender based on a combination of price and quality. This section is provided in the interests of transparency and fair competition and sets out and explains how that evaluation will be carried out.</w:t>
      </w:r>
    </w:p>
    <w:p w14:paraId="483696F5" w14:textId="77777777" w:rsidR="0043554D" w:rsidRPr="004976C6" w:rsidRDefault="00917D01" w:rsidP="00107ABE">
      <w:pPr>
        <w:pStyle w:val="A1"/>
        <w:numPr>
          <w:ilvl w:val="0"/>
          <w:numId w:val="13"/>
        </w:numPr>
        <w:rPr>
          <w:rFonts w:cs="Arial"/>
          <w:b w:val="0"/>
          <w:sz w:val="22"/>
          <w:szCs w:val="22"/>
        </w:rPr>
      </w:pPr>
      <w:r w:rsidRPr="004976C6">
        <w:rPr>
          <w:rFonts w:cs="Arial"/>
          <w:sz w:val="22"/>
          <w:szCs w:val="22"/>
        </w:rPr>
        <w:t>Stage 1 – Compliance – Qualification Envelope</w:t>
      </w:r>
    </w:p>
    <w:p w14:paraId="714A1403" w14:textId="77777777" w:rsidR="0043554D" w:rsidRPr="004976C6" w:rsidRDefault="00917D01" w:rsidP="00107ABE">
      <w:pPr>
        <w:numPr>
          <w:ilvl w:val="1"/>
          <w:numId w:val="6"/>
        </w:numPr>
        <w:ind w:left="567" w:hanging="567"/>
        <w:rPr>
          <w:rFonts w:cs="Arial"/>
          <w:color w:val="000000"/>
          <w:sz w:val="22"/>
          <w:szCs w:val="22"/>
        </w:rPr>
      </w:pPr>
      <w:r w:rsidRPr="004976C6">
        <w:rPr>
          <w:rFonts w:cs="Arial"/>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41EE9D38" w14:textId="77777777" w:rsidR="005C0613" w:rsidRPr="004976C6" w:rsidRDefault="005C0613" w:rsidP="00AC4F5C">
      <w:pPr>
        <w:rPr>
          <w:rFonts w:cs="Arial"/>
          <w:sz w:val="22"/>
          <w:szCs w:val="22"/>
        </w:rPr>
      </w:pPr>
    </w:p>
    <w:p w14:paraId="7A1236FF" w14:textId="77777777" w:rsidR="005C0613" w:rsidRPr="004976C6" w:rsidRDefault="005C0613" w:rsidP="00AC4F5C">
      <w:pPr>
        <w:rPr>
          <w:rFonts w:cs="Arial"/>
          <w:b/>
          <w:sz w:val="22"/>
          <w:szCs w:val="22"/>
        </w:rPr>
      </w:pPr>
      <w:r w:rsidRPr="004976C6">
        <w:rPr>
          <w:rFonts w:cs="Arial"/>
          <w:b/>
          <w:sz w:val="22"/>
          <w:szCs w:val="22"/>
        </w:rPr>
        <w:t>Table 1</w:t>
      </w:r>
    </w:p>
    <w:p w14:paraId="27D4C3AF" w14:textId="77777777" w:rsidR="005C0613" w:rsidRPr="004976C6" w:rsidRDefault="005C0613" w:rsidP="00992D83">
      <w:pPr>
        <w:rPr>
          <w:rFonts w:cs="Arial"/>
          <w:sz w:val="22"/>
          <w:szCs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4976C6" w14:paraId="4E1B7126" w14:textId="77777777" w:rsidTr="005A5E87">
        <w:trPr>
          <w:trHeight w:val="985"/>
        </w:trPr>
        <w:tc>
          <w:tcPr>
            <w:tcW w:w="2113" w:type="dxa"/>
            <w:tcBorders>
              <w:top w:val="single" w:sz="8" w:space="0" w:color="000000"/>
              <w:left w:val="single" w:sz="8" w:space="0" w:color="000000"/>
              <w:bottom w:val="single" w:sz="8" w:space="0" w:color="000000"/>
            </w:tcBorders>
          </w:tcPr>
          <w:p w14:paraId="2863CB8B" w14:textId="77777777" w:rsidR="005C0613" w:rsidRPr="004976C6" w:rsidRDefault="005C0613" w:rsidP="005A5E87">
            <w:pPr>
              <w:snapToGrid w:val="0"/>
              <w:spacing w:before="240" w:after="240"/>
              <w:rPr>
                <w:rFonts w:cs="Arial"/>
                <w:sz w:val="22"/>
                <w:szCs w:val="22"/>
              </w:rPr>
            </w:pPr>
            <w:r w:rsidRPr="004976C6">
              <w:rPr>
                <w:rFonts w:cs="Arial"/>
                <w:sz w:val="22"/>
                <w:szCs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17846B77" w14:textId="77777777" w:rsidR="005C0613" w:rsidRPr="004976C6" w:rsidRDefault="005C0613" w:rsidP="005A5E87">
            <w:pPr>
              <w:snapToGrid w:val="0"/>
              <w:spacing w:before="240" w:after="240"/>
              <w:rPr>
                <w:rFonts w:cs="Arial"/>
                <w:sz w:val="22"/>
                <w:szCs w:val="22"/>
              </w:rPr>
            </w:pPr>
            <w:r w:rsidRPr="004976C6">
              <w:rPr>
                <w:rFonts w:cs="Arial"/>
                <w:sz w:val="22"/>
                <w:szCs w:val="22"/>
              </w:rPr>
              <w:t>Rationale</w:t>
            </w:r>
          </w:p>
        </w:tc>
      </w:tr>
      <w:tr w:rsidR="005C0613" w:rsidRPr="004976C6" w14:paraId="5B7A23AF" w14:textId="77777777" w:rsidTr="005A5E87">
        <w:trPr>
          <w:trHeight w:val="1628"/>
        </w:trPr>
        <w:tc>
          <w:tcPr>
            <w:tcW w:w="2113" w:type="dxa"/>
            <w:tcBorders>
              <w:top w:val="single" w:sz="8" w:space="0" w:color="000000"/>
              <w:left w:val="single" w:sz="8" w:space="0" w:color="000000"/>
              <w:bottom w:val="single" w:sz="8" w:space="0" w:color="000000"/>
            </w:tcBorders>
          </w:tcPr>
          <w:p w14:paraId="0DD08C22" w14:textId="77777777" w:rsidR="005C0613" w:rsidRPr="004976C6" w:rsidRDefault="00BF6679" w:rsidP="00510E25">
            <w:pPr>
              <w:snapToGrid w:val="0"/>
              <w:spacing w:before="240" w:after="240"/>
              <w:rPr>
                <w:rFonts w:cs="Arial"/>
                <w:sz w:val="22"/>
                <w:szCs w:val="22"/>
              </w:rPr>
            </w:pPr>
            <w:r w:rsidRPr="004976C6">
              <w:rPr>
                <w:rFonts w:cs="Arial"/>
                <w:sz w:val="22"/>
                <w:szCs w:val="22"/>
              </w:rPr>
              <w:t>Compliant</w:t>
            </w:r>
            <w:r w:rsidR="00510E25" w:rsidRPr="004976C6">
              <w:rPr>
                <w:rFonts w:cs="Arial"/>
                <w:sz w:val="22"/>
                <w:szCs w:val="22"/>
              </w:rPr>
              <w:t xml:space="preserve"> </w:t>
            </w:r>
            <w:r w:rsidR="005C0613" w:rsidRPr="004976C6">
              <w:rPr>
                <w:rFonts w:cs="Arial"/>
                <w:sz w:val="22"/>
                <w:szCs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149CB937" w14:textId="77777777" w:rsidR="005C0613" w:rsidRPr="004976C6" w:rsidRDefault="005C0613" w:rsidP="00992D83">
            <w:pPr>
              <w:snapToGrid w:val="0"/>
              <w:spacing w:before="240" w:after="240"/>
              <w:rPr>
                <w:rFonts w:cs="Arial"/>
                <w:sz w:val="22"/>
                <w:szCs w:val="22"/>
              </w:rPr>
            </w:pPr>
            <w:r w:rsidRPr="004976C6">
              <w:rPr>
                <w:rFonts w:cs="Arial"/>
                <w:sz w:val="22"/>
                <w:szCs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4976C6" w14:paraId="4202CC62" w14:textId="77777777" w:rsidTr="005A5E87">
        <w:trPr>
          <w:trHeight w:val="1307"/>
        </w:trPr>
        <w:tc>
          <w:tcPr>
            <w:tcW w:w="2113" w:type="dxa"/>
            <w:tcBorders>
              <w:top w:val="single" w:sz="8" w:space="0" w:color="000000"/>
              <w:left w:val="single" w:sz="8" w:space="0" w:color="000000"/>
              <w:bottom w:val="single" w:sz="8" w:space="0" w:color="000000"/>
            </w:tcBorders>
          </w:tcPr>
          <w:p w14:paraId="77B7CCF5" w14:textId="77777777" w:rsidR="005C0613" w:rsidRPr="004976C6" w:rsidRDefault="005C0613" w:rsidP="00992D83">
            <w:pPr>
              <w:snapToGrid w:val="0"/>
              <w:spacing w:before="240" w:after="240"/>
              <w:rPr>
                <w:rFonts w:cs="Arial"/>
                <w:sz w:val="22"/>
                <w:szCs w:val="22"/>
              </w:rPr>
            </w:pPr>
            <w:r w:rsidRPr="004976C6">
              <w:rPr>
                <w:rFonts w:cs="Arial"/>
                <w:sz w:val="22"/>
                <w:szCs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13ED1C8" w14:textId="77777777" w:rsidR="005C0613" w:rsidRPr="004976C6" w:rsidRDefault="005C0613" w:rsidP="00F31FEB">
            <w:pPr>
              <w:snapToGrid w:val="0"/>
              <w:spacing w:before="240" w:after="240"/>
              <w:rPr>
                <w:rFonts w:cs="Arial"/>
                <w:sz w:val="22"/>
                <w:szCs w:val="22"/>
              </w:rPr>
            </w:pPr>
            <w:r w:rsidRPr="004976C6">
              <w:rPr>
                <w:rFonts w:cs="Arial"/>
                <w:sz w:val="22"/>
                <w:szCs w:val="22"/>
              </w:rPr>
              <w:t xml:space="preserve">Each Tender shall be checked to ensure that there is no legal impediment to the </w:t>
            </w:r>
            <w:r w:rsidR="008449A8" w:rsidRPr="004976C6">
              <w:rPr>
                <w:rFonts w:cs="Arial"/>
                <w:sz w:val="22"/>
                <w:szCs w:val="22"/>
              </w:rPr>
              <w:t>Authority</w:t>
            </w:r>
            <w:r w:rsidRPr="004976C6">
              <w:rPr>
                <w:rFonts w:cs="Arial"/>
                <w:sz w:val="22"/>
                <w:szCs w:val="22"/>
              </w:rPr>
              <w:t xml:space="preserve"> entering a contract with the successful Tenderer in the </w:t>
            </w:r>
            <w:r w:rsidR="008449A8" w:rsidRPr="004976C6">
              <w:rPr>
                <w:rFonts w:cs="Arial"/>
                <w:sz w:val="22"/>
                <w:szCs w:val="22"/>
              </w:rPr>
              <w:t>Authority</w:t>
            </w:r>
            <w:r w:rsidRPr="004976C6">
              <w:rPr>
                <w:rFonts w:cs="Arial"/>
                <w:sz w:val="22"/>
                <w:szCs w:val="22"/>
              </w:rPr>
              <w:t>’s form.</w:t>
            </w:r>
          </w:p>
        </w:tc>
      </w:tr>
      <w:tr w:rsidR="005C0613" w:rsidRPr="004976C6" w14:paraId="46C913F5" w14:textId="77777777" w:rsidTr="005A5E87">
        <w:trPr>
          <w:trHeight w:val="1307"/>
        </w:trPr>
        <w:tc>
          <w:tcPr>
            <w:tcW w:w="2113" w:type="dxa"/>
            <w:tcBorders>
              <w:top w:val="single" w:sz="8" w:space="0" w:color="000000"/>
              <w:left w:val="single" w:sz="8" w:space="0" w:color="000000"/>
              <w:bottom w:val="single" w:sz="8" w:space="0" w:color="000000"/>
            </w:tcBorders>
          </w:tcPr>
          <w:p w14:paraId="0067A692" w14:textId="77777777" w:rsidR="005C0613" w:rsidRPr="004976C6" w:rsidRDefault="005C0613" w:rsidP="00992D83">
            <w:pPr>
              <w:snapToGrid w:val="0"/>
              <w:spacing w:before="240" w:after="240"/>
              <w:rPr>
                <w:rFonts w:cs="Arial"/>
                <w:sz w:val="22"/>
                <w:szCs w:val="22"/>
              </w:rPr>
            </w:pPr>
            <w:r w:rsidRPr="004976C6">
              <w:rPr>
                <w:rFonts w:cs="Arial"/>
                <w:sz w:val="22"/>
                <w:szCs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236DCFC9" w14:textId="77777777" w:rsidR="005C0613" w:rsidRPr="004976C6" w:rsidRDefault="005C0613" w:rsidP="00DB72AD">
            <w:pPr>
              <w:snapToGrid w:val="0"/>
              <w:spacing w:before="240" w:after="240"/>
              <w:rPr>
                <w:rFonts w:cs="Arial"/>
                <w:sz w:val="22"/>
                <w:szCs w:val="22"/>
              </w:rPr>
            </w:pPr>
            <w:r w:rsidRPr="004976C6">
              <w:rPr>
                <w:rFonts w:cs="Arial"/>
                <w:sz w:val="22"/>
                <w:szCs w:val="22"/>
              </w:rPr>
              <w:t xml:space="preserve">Each Tender shall be assessed as to whether the Tenderer has confirmed that it is able to provide the </w:t>
            </w:r>
            <w:r w:rsidR="009D014F" w:rsidRPr="004976C6">
              <w:rPr>
                <w:rFonts w:cs="Arial"/>
                <w:sz w:val="22"/>
                <w:szCs w:val="22"/>
              </w:rPr>
              <w:t>Works</w:t>
            </w:r>
            <w:r w:rsidRPr="004976C6">
              <w:rPr>
                <w:rFonts w:cs="Arial"/>
                <w:sz w:val="22"/>
                <w:szCs w:val="22"/>
              </w:rPr>
              <w:t xml:space="preserve"> as detailed within the </w:t>
            </w:r>
            <w:r w:rsidR="00397434" w:rsidRPr="004976C6">
              <w:rPr>
                <w:rFonts w:cs="Arial"/>
                <w:sz w:val="22"/>
                <w:szCs w:val="22"/>
              </w:rPr>
              <w:t>S</w:t>
            </w:r>
            <w:r w:rsidR="009D014F" w:rsidRPr="004976C6">
              <w:rPr>
                <w:rFonts w:cs="Arial"/>
                <w:sz w:val="22"/>
                <w:szCs w:val="22"/>
              </w:rPr>
              <w:t>cope of Works and</w:t>
            </w:r>
            <w:r w:rsidR="00397434" w:rsidRPr="004976C6">
              <w:rPr>
                <w:rFonts w:cs="Arial"/>
                <w:sz w:val="22"/>
                <w:szCs w:val="22"/>
              </w:rPr>
              <w:t xml:space="preserve"> </w:t>
            </w:r>
            <w:r w:rsidRPr="004976C6">
              <w:rPr>
                <w:rFonts w:cs="Arial"/>
                <w:sz w:val="22"/>
                <w:szCs w:val="22"/>
              </w:rPr>
              <w:t>Specification.</w:t>
            </w:r>
          </w:p>
        </w:tc>
      </w:tr>
      <w:tr w:rsidR="00003D25" w:rsidRPr="004976C6" w14:paraId="030C5184" w14:textId="77777777" w:rsidTr="005A5E87">
        <w:trPr>
          <w:trHeight w:val="1307"/>
        </w:trPr>
        <w:tc>
          <w:tcPr>
            <w:tcW w:w="2113" w:type="dxa"/>
            <w:tcBorders>
              <w:top w:val="single" w:sz="8" w:space="0" w:color="000000"/>
              <w:left w:val="single" w:sz="8" w:space="0" w:color="000000"/>
              <w:bottom w:val="single" w:sz="8" w:space="0" w:color="000000"/>
            </w:tcBorders>
          </w:tcPr>
          <w:p w14:paraId="2B0F803D" w14:textId="77777777" w:rsidR="00003D25" w:rsidRPr="004976C6" w:rsidRDefault="00003D25" w:rsidP="00003D25">
            <w:pPr>
              <w:snapToGrid w:val="0"/>
              <w:spacing w:before="240" w:after="240"/>
              <w:rPr>
                <w:rFonts w:cs="Arial"/>
                <w:color w:val="000000"/>
                <w:sz w:val="22"/>
                <w:szCs w:val="22"/>
              </w:rPr>
            </w:pPr>
            <w:r w:rsidRPr="004976C6">
              <w:rPr>
                <w:rFonts w:cs="Arial"/>
                <w:color w:val="000000"/>
                <w:sz w:val="22"/>
                <w:szCs w:val="22"/>
              </w:rPr>
              <w:t>Minimum Standards</w:t>
            </w:r>
          </w:p>
          <w:p w14:paraId="0CB75CA9" w14:textId="77777777" w:rsidR="00003D25" w:rsidRPr="004976C6" w:rsidRDefault="00003D25" w:rsidP="00992D83">
            <w:pPr>
              <w:snapToGrid w:val="0"/>
              <w:spacing w:before="240" w:after="240"/>
              <w:rPr>
                <w:rFonts w:cs="Arial"/>
                <w:sz w:val="22"/>
                <w:szCs w:val="22"/>
              </w:rPr>
            </w:pPr>
          </w:p>
        </w:tc>
        <w:tc>
          <w:tcPr>
            <w:tcW w:w="7191" w:type="dxa"/>
            <w:tcBorders>
              <w:top w:val="single" w:sz="8" w:space="0" w:color="000000"/>
              <w:left w:val="single" w:sz="8" w:space="0" w:color="000000"/>
              <w:bottom w:val="single" w:sz="8" w:space="0" w:color="000000"/>
              <w:right w:val="single" w:sz="8" w:space="0" w:color="000000"/>
            </w:tcBorders>
          </w:tcPr>
          <w:p w14:paraId="716A7138" w14:textId="77777777" w:rsidR="0043554D" w:rsidRPr="004976C6" w:rsidRDefault="0043554D" w:rsidP="009D014F">
            <w:pPr>
              <w:snapToGrid w:val="0"/>
              <w:spacing w:before="240" w:after="240"/>
              <w:jc w:val="left"/>
              <w:rPr>
                <w:rFonts w:cs="Arial"/>
                <w:color w:val="000000"/>
                <w:sz w:val="22"/>
                <w:szCs w:val="22"/>
              </w:rPr>
            </w:pPr>
          </w:p>
          <w:p w14:paraId="1B866988" w14:textId="77777777" w:rsidR="0043554D" w:rsidRPr="004976C6" w:rsidRDefault="00003D25" w:rsidP="00107ABE">
            <w:pPr>
              <w:pStyle w:val="SP2"/>
              <w:numPr>
                <w:ilvl w:val="0"/>
                <w:numId w:val="10"/>
              </w:numPr>
              <w:rPr>
                <w:rFonts w:ascii="Arial" w:hAnsi="Arial" w:cs="Arial"/>
                <w:szCs w:val="22"/>
              </w:rPr>
            </w:pPr>
            <w:r w:rsidRPr="004976C6">
              <w:rPr>
                <w:rFonts w:ascii="Arial" w:hAnsi="Arial" w:cs="Arial"/>
                <w:szCs w:val="22"/>
              </w:rPr>
              <w:t>Satisfaction of the Authority’s Minimum Standard for Economic and Financial Standing (see below)</w:t>
            </w:r>
          </w:p>
          <w:p w14:paraId="0E8B475F" w14:textId="77777777" w:rsidR="0043554D" w:rsidRPr="004976C6" w:rsidRDefault="00003D25" w:rsidP="00107ABE">
            <w:pPr>
              <w:numPr>
                <w:ilvl w:val="0"/>
                <w:numId w:val="10"/>
              </w:numPr>
              <w:snapToGrid w:val="0"/>
              <w:spacing w:before="240" w:after="240"/>
              <w:rPr>
                <w:rFonts w:cs="Arial"/>
                <w:color w:val="000000"/>
                <w:sz w:val="22"/>
                <w:szCs w:val="22"/>
              </w:rPr>
            </w:pPr>
            <w:r w:rsidRPr="004976C6">
              <w:rPr>
                <w:rFonts w:cs="Arial"/>
                <w:color w:val="000000"/>
                <w:sz w:val="22"/>
                <w:szCs w:val="22"/>
              </w:rPr>
              <w:t xml:space="preserve">Insurance levels;  </w:t>
            </w:r>
            <w:r w:rsidR="00752ADF" w:rsidRPr="004976C6">
              <w:rPr>
                <w:rFonts w:cs="Arial"/>
                <w:color w:val="000000"/>
                <w:sz w:val="22"/>
                <w:szCs w:val="22"/>
              </w:rPr>
              <w:fldChar w:fldCharType="begin">
                <w:ffData>
                  <w:name w:val="Text25"/>
                  <w:enabled/>
                  <w:calcOnExit w:val="0"/>
                  <w:textInput>
                    <w:default w:val="Public liability; Employer's liabity; Professional liabity; Guarantees, etc"/>
                  </w:textInput>
                </w:ffData>
              </w:fldChar>
            </w:r>
            <w:bookmarkStart w:id="56" w:name="Text25"/>
            <w:r w:rsidRPr="004976C6">
              <w:rPr>
                <w:rFonts w:cs="Arial"/>
                <w:color w:val="000000"/>
                <w:sz w:val="22"/>
                <w:szCs w:val="22"/>
              </w:rPr>
              <w:instrText xml:space="preserve"> FORMTEXT </w:instrText>
            </w:r>
            <w:r w:rsidR="00752ADF" w:rsidRPr="004976C6">
              <w:rPr>
                <w:rFonts w:cs="Arial"/>
                <w:color w:val="000000"/>
                <w:sz w:val="22"/>
                <w:szCs w:val="22"/>
              </w:rPr>
            </w:r>
            <w:r w:rsidR="00752ADF" w:rsidRPr="004976C6">
              <w:rPr>
                <w:rFonts w:cs="Arial"/>
                <w:color w:val="000000"/>
                <w:sz w:val="22"/>
                <w:szCs w:val="22"/>
              </w:rPr>
              <w:fldChar w:fldCharType="separate"/>
            </w:r>
            <w:r w:rsidRPr="004976C6">
              <w:rPr>
                <w:rFonts w:cs="Arial"/>
                <w:noProof/>
                <w:color w:val="000000"/>
                <w:sz w:val="22"/>
                <w:szCs w:val="22"/>
              </w:rPr>
              <w:t>Public liability; Employer's liabi</w:t>
            </w:r>
            <w:r w:rsidR="001D2F28" w:rsidRPr="004976C6">
              <w:rPr>
                <w:rFonts w:cs="Arial"/>
                <w:noProof/>
                <w:color w:val="000000"/>
                <w:sz w:val="22"/>
                <w:szCs w:val="22"/>
              </w:rPr>
              <w:t>li</w:t>
            </w:r>
            <w:r w:rsidRPr="004976C6">
              <w:rPr>
                <w:rFonts w:cs="Arial"/>
                <w:noProof/>
                <w:color w:val="000000"/>
                <w:sz w:val="22"/>
                <w:szCs w:val="22"/>
              </w:rPr>
              <w:t>ty; Professional liabi</w:t>
            </w:r>
            <w:r w:rsidR="001D2F28" w:rsidRPr="004976C6">
              <w:rPr>
                <w:rFonts w:cs="Arial"/>
                <w:noProof/>
                <w:color w:val="000000"/>
                <w:sz w:val="22"/>
                <w:szCs w:val="22"/>
              </w:rPr>
              <w:t>li</w:t>
            </w:r>
            <w:r w:rsidRPr="004976C6">
              <w:rPr>
                <w:rFonts w:cs="Arial"/>
                <w:noProof/>
                <w:color w:val="000000"/>
                <w:sz w:val="22"/>
                <w:szCs w:val="22"/>
              </w:rPr>
              <w:t>ty; Guarantees, etc</w:t>
            </w:r>
            <w:r w:rsidR="00752ADF" w:rsidRPr="004976C6">
              <w:rPr>
                <w:rFonts w:cs="Arial"/>
                <w:color w:val="000000"/>
                <w:sz w:val="22"/>
                <w:szCs w:val="22"/>
              </w:rPr>
              <w:fldChar w:fldCharType="end"/>
            </w:r>
            <w:bookmarkEnd w:id="56"/>
          </w:p>
          <w:p w14:paraId="103DCD7F" w14:textId="77777777" w:rsidR="0043554D" w:rsidRPr="004976C6" w:rsidRDefault="00752ADF" w:rsidP="00107ABE">
            <w:pPr>
              <w:numPr>
                <w:ilvl w:val="0"/>
                <w:numId w:val="10"/>
              </w:numPr>
              <w:snapToGrid w:val="0"/>
              <w:spacing w:before="240" w:after="240"/>
              <w:rPr>
                <w:rFonts w:cs="Arial"/>
                <w:color w:val="000000"/>
                <w:sz w:val="22"/>
                <w:szCs w:val="22"/>
              </w:rPr>
            </w:pPr>
            <w:r w:rsidRPr="004976C6">
              <w:rPr>
                <w:rFonts w:cs="Arial"/>
                <w:color w:val="000000"/>
                <w:sz w:val="22"/>
                <w:szCs w:val="22"/>
              </w:rPr>
              <w:fldChar w:fldCharType="begin">
                <w:ffData>
                  <w:name w:val="Text26"/>
                  <w:enabled/>
                  <w:calcOnExit w:val="0"/>
                  <w:textInput>
                    <w:default w:val="Experience and technical capacity"/>
                  </w:textInput>
                </w:ffData>
              </w:fldChar>
            </w:r>
            <w:bookmarkStart w:id="57" w:name="Text26"/>
            <w:r w:rsidR="00003D25" w:rsidRPr="004976C6">
              <w:rPr>
                <w:rFonts w:cs="Arial"/>
                <w:color w:val="000000"/>
                <w:sz w:val="22"/>
                <w:szCs w:val="22"/>
              </w:rPr>
              <w:instrText xml:space="preserve"> FORMTEXT </w:instrText>
            </w:r>
            <w:r w:rsidRPr="004976C6">
              <w:rPr>
                <w:rFonts w:cs="Arial"/>
                <w:color w:val="000000"/>
                <w:sz w:val="22"/>
                <w:szCs w:val="22"/>
              </w:rPr>
            </w:r>
            <w:r w:rsidRPr="004976C6">
              <w:rPr>
                <w:rFonts w:cs="Arial"/>
                <w:color w:val="000000"/>
                <w:sz w:val="22"/>
                <w:szCs w:val="22"/>
              </w:rPr>
              <w:fldChar w:fldCharType="separate"/>
            </w:r>
            <w:r w:rsidR="00003D25" w:rsidRPr="004976C6">
              <w:rPr>
                <w:rFonts w:cs="Arial"/>
                <w:noProof/>
                <w:color w:val="000000"/>
                <w:sz w:val="22"/>
                <w:szCs w:val="22"/>
              </w:rPr>
              <w:t>Experience and technical capacity</w:t>
            </w:r>
            <w:r w:rsidRPr="004976C6">
              <w:rPr>
                <w:rFonts w:cs="Arial"/>
                <w:color w:val="000000"/>
                <w:sz w:val="22"/>
                <w:szCs w:val="22"/>
              </w:rPr>
              <w:fldChar w:fldCharType="end"/>
            </w:r>
            <w:bookmarkEnd w:id="57"/>
            <w:r w:rsidR="00003D25" w:rsidRPr="004976C6">
              <w:rPr>
                <w:rFonts w:cs="Arial"/>
                <w:color w:val="000000"/>
                <w:sz w:val="22"/>
                <w:szCs w:val="22"/>
              </w:rPr>
              <w:t>;</w:t>
            </w:r>
          </w:p>
          <w:p w14:paraId="2E014DA4" w14:textId="77777777" w:rsidR="0043554D" w:rsidRPr="004976C6" w:rsidRDefault="00752ADF" w:rsidP="00107ABE">
            <w:pPr>
              <w:numPr>
                <w:ilvl w:val="0"/>
                <w:numId w:val="10"/>
              </w:numPr>
              <w:snapToGrid w:val="0"/>
              <w:spacing w:before="240" w:after="240"/>
              <w:rPr>
                <w:rFonts w:cs="Arial"/>
                <w:sz w:val="22"/>
                <w:szCs w:val="22"/>
              </w:rPr>
            </w:pPr>
            <w:r w:rsidRPr="004976C6">
              <w:rPr>
                <w:rFonts w:cs="Arial"/>
                <w:color w:val="000000"/>
                <w:sz w:val="22"/>
                <w:szCs w:val="22"/>
              </w:rPr>
              <w:fldChar w:fldCharType="begin">
                <w:ffData>
                  <w:name w:val="Text27"/>
                  <w:enabled/>
                  <w:calcOnExit w:val="0"/>
                  <w:textInput>
                    <w:default w:val="other standards to be agreed, if relevant."/>
                  </w:textInput>
                </w:ffData>
              </w:fldChar>
            </w:r>
            <w:bookmarkStart w:id="58" w:name="Text27"/>
            <w:r w:rsidR="00003D25" w:rsidRPr="004976C6">
              <w:rPr>
                <w:rFonts w:cs="Arial"/>
                <w:color w:val="000000"/>
                <w:sz w:val="22"/>
                <w:szCs w:val="22"/>
              </w:rPr>
              <w:instrText xml:space="preserve"> FORMTEXT </w:instrText>
            </w:r>
            <w:r w:rsidRPr="004976C6">
              <w:rPr>
                <w:rFonts w:cs="Arial"/>
                <w:color w:val="000000"/>
                <w:sz w:val="22"/>
                <w:szCs w:val="22"/>
              </w:rPr>
            </w:r>
            <w:r w:rsidRPr="004976C6">
              <w:rPr>
                <w:rFonts w:cs="Arial"/>
                <w:color w:val="000000"/>
                <w:sz w:val="22"/>
                <w:szCs w:val="22"/>
              </w:rPr>
              <w:fldChar w:fldCharType="separate"/>
            </w:r>
            <w:r w:rsidR="00003D25" w:rsidRPr="004976C6">
              <w:rPr>
                <w:rFonts w:cs="Arial"/>
                <w:noProof/>
                <w:color w:val="000000"/>
                <w:sz w:val="22"/>
                <w:szCs w:val="22"/>
              </w:rPr>
              <w:t>other standards to be agreed, if relevant.</w:t>
            </w:r>
            <w:r w:rsidRPr="004976C6">
              <w:rPr>
                <w:rFonts w:cs="Arial"/>
                <w:color w:val="000000"/>
                <w:sz w:val="22"/>
                <w:szCs w:val="22"/>
              </w:rPr>
              <w:fldChar w:fldCharType="end"/>
            </w:r>
            <w:bookmarkEnd w:id="58"/>
          </w:p>
        </w:tc>
      </w:tr>
    </w:tbl>
    <w:p w14:paraId="0A9FECA1" w14:textId="77777777" w:rsidR="005C0613" w:rsidRPr="004976C6" w:rsidRDefault="005C0613" w:rsidP="005A5E87">
      <w:pPr>
        <w:autoSpaceDE w:val="0"/>
        <w:jc w:val="left"/>
        <w:rPr>
          <w:rFonts w:cs="Arial"/>
          <w:sz w:val="22"/>
          <w:szCs w:val="22"/>
        </w:rPr>
      </w:pPr>
    </w:p>
    <w:p w14:paraId="34458E65" w14:textId="77777777" w:rsidR="00787B2B" w:rsidRPr="004976C6" w:rsidRDefault="00787B2B" w:rsidP="005A5E87">
      <w:pPr>
        <w:autoSpaceDE w:val="0"/>
        <w:jc w:val="left"/>
        <w:rPr>
          <w:rFonts w:cs="Arial"/>
          <w:sz w:val="22"/>
          <w:szCs w:val="22"/>
        </w:rPr>
      </w:pPr>
    </w:p>
    <w:p w14:paraId="6B74821C" w14:textId="77777777" w:rsidR="002216B3" w:rsidRPr="004976C6" w:rsidRDefault="002216B3" w:rsidP="00787B2B">
      <w:pPr>
        <w:pStyle w:val="SP2"/>
        <w:numPr>
          <w:ilvl w:val="0"/>
          <w:numId w:val="0"/>
        </w:numPr>
        <w:ind w:firstLine="567"/>
        <w:rPr>
          <w:rFonts w:ascii="Arial" w:hAnsi="Arial" w:cs="Arial"/>
          <w:b/>
          <w:i/>
          <w:szCs w:val="22"/>
        </w:rPr>
      </w:pPr>
      <w:r w:rsidRPr="004976C6">
        <w:rPr>
          <w:rFonts w:ascii="Arial" w:hAnsi="Arial" w:cs="Arial"/>
          <w:b/>
          <w:i/>
          <w:szCs w:val="22"/>
        </w:rPr>
        <w:t xml:space="preserve">The Authority’s Minimum Standard for Economic and Financial Standing </w:t>
      </w:r>
    </w:p>
    <w:p w14:paraId="6FB05D6C"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Whenever possible, the Authority will use CreditSafe to obtain financial reports and accounts appertaining to Candidates and use it to verify Candidates’ fulfilment of the pass</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fail test for economic and financial standing. However, if the reports obtainable from CreditSafe do not appear to satisfy the pass</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fail test, Candidates can submit additional evidence to support their application. If no reports and accounts are available through CreditSafe, Candidates will be asked to provide one of the responses set out in the ITT under Economic</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Financial Standing [EFS Accounts]. Candidates will be given a reasonable time in which to respond.</w:t>
      </w:r>
    </w:p>
    <w:p w14:paraId="5BFCFA62" w14:textId="77777777" w:rsidR="002216B3" w:rsidRPr="004976C6" w:rsidRDefault="002216B3" w:rsidP="002216B3">
      <w:pPr>
        <w:rPr>
          <w:rFonts w:cs="Arial"/>
          <w:color w:val="000000"/>
          <w:sz w:val="22"/>
          <w:szCs w:val="22"/>
        </w:rPr>
      </w:pPr>
    </w:p>
    <w:p w14:paraId="131E6F13"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All Candidates must pass the test for economic and financial standing set out in the ITT:</w:t>
      </w:r>
    </w:p>
    <w:p w14:paraId="1197EDD8" w14:textId="77777777" w:rsidR="002216B3" w:rsidRPr="004976C6" w:rsidRDefault="002216B3" w:rsidP="002216B3">
      <w:pPr>
        <w:ind w:left="720"/>
        <w:rPr>
          <w:rFonts w:cs="Arial"/>
          <w:color w:val="000000"/>
          <w:sz w:val="22"/>
          <w:szCs w:val="22"/>
        </w:rPr>
      </w:pPr>
    </w:p>
    <w:p w14:paraId="0C8C24F4" w14:textId="77777777" w:rsidR="002216B3" w:rsidRPr="004976C6" w:rsidRDefault="002216B3" w:rsidP="002216B3">
      <w:pPr>
        <w:ind w:left="720"/>
        <w:rPr>
          <w:rFonts w:cs="Arial"/>
          <w:i/>
          <w:color w:val="000000"/>
          <w:sz w:val="22"/>
          <w:szCs w:val="22"/>
        </w:rPr>
      </w:pPr>
      <w:r w:rsidRPr="004976C6">
        <w:rPr>
          <w:rFonts w:cs="Arial"/>
          <w:i/>
          <w:color w:val="000000"/>
          <w:sz w:val="22"/>
          <w:szCs w:val="22"/>
        </w:rPr>
        <w:t xml:space="preserve">Candidates must demonstrate that they are financially sound and have sufficient economic resources to perform the contract. </w:t>
      </w:r>
    </w:p>
    <w:p w14:paraId="777261EE" w14:textId="77777777" w:rsidR="002216B3" w:rsidRPr="004976C6" w:rsidRDefault="002216B3" w:rsidP="002216B3">
      <w:pPr>
        <w:ind w:left="426"/>
        <w:rPr>
          <w:rFonts w:cs="Arial"/>
          <w:color w:val="000000"/>
          <w:sz w:val="22"/>
          <w:szCs w:val="22"/>
        </w:rPr>
      </w:pPr>
    </w:p>
    <w:p w14:paraId="7A23D7A0"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C14122E" w14:textId="77777777" w:rsidR="002216B3" w:rsidRPr="004976C6" w:rsidRDefault="002216B3" w:rsidP="002216B3">
      <w:pPr>
        <w:ind w:left="567"/>
        <w:rPr>
          <w:rFonts w:cs="Arial"/>
          <w:color w:val="000000"/>
          <w:sz w:val="22"/>
          <w:szCs w:val="22"/>
        </w:rPr>
      </w:pPr>
    </w:p>
    <w:p w14:paraId="390A4EB2"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are referred to paragraphs 1.12 and 1.13 below in relation to the ability to rely on the capacity of others.  These requirements are explained in more detail below. For the purposes of this Step, a Significant Sub-contractor is a subcontractor who accounts for more than 20% of the Turnover Threshold. </w:t>
      </w:r>
    </w:p>
    <w:p w14:paraId="5B79D04A" w14:textId="77777777" w:rsidR="002216B3" w:rsidRPr="004976C6" w:rsidRDefault="002216B3" w:rsidP="00787B2B">
      <w:pPr>
        <w:pStyle w:val="A2"/>
        <w:numPr>
          <w:ilvl w:val="0"/>
          <w:numId w:val="0"/>
        </w:numPr>
        <w:ind w:firstLine="567"/>
        <w:rPr>
          <w:rFonts w:cs="Arial"/>
          <w:b/>
          <w:w w:val="0"/>
          <w:sz w:val="22"/>
          <w:szCs w:val="22"/>
        </w:rPr>
      </w:pPr>
      <w:r w:rsidRPr="004976C6">
        <w:rPr>
          <w:rFonts w:cs="Arial"/>
          <w:b/>
          <w:w w:val="0"/>
          <w:sz w:val="22"/>
          <w:szCs w:val="22"/>
        </w:rPr>
        <w:t xml:space="preserve">Turnover Threshold </w:t>
      </w:r>
      <w:r w:rsidR="006633D8" w:rsidRPr="004976C6">
        <w:rPr>
          <w:rFonts w:cs="Arial"/>
          <w:b/>
          <w:w w:val="0"/>
          <w:sz w:val="22"/>
          <w:szCs w:val="22"/>
        </w:rPr>
        <w:t xml:space="preserve">/ </w:t>
      </w:r>
      <w:r w:rsidR="0032719E" w:rsidRPr="004976C6">
        <w:rPr>
          <w:rFonts w:cs="Arial"/>
          <w:b/>
          <w:w w:val="0"/>
          <w:sz w:val="22"/>
          <w:szCs w:val="22"/>
        </w:rPr>
        <w:t>CreditSafe</w:t>
      </w:r>
      <w:r w:rsidR="006633D8" w:rsidRPr="004976C6">
        <w:rPr>
          <w:rFonts w:cs="Arial"/>
          <w:b/>
          <w:w w:val="0"/>
          <w:sz w:val="22"/>
          <w:szCs w:val="22"/>
        </w:rPr>
        <w:t xml:space="preserve"> Score</w:t>
      </w:r>
    </w:p>
    <w:p w14:paraId="6B38879D" w14:textId="754DE302" w:rsidR="002216B3" w:rsidRPr="004976C6" w:rsidRDefault="002216B3" w:rsidP="00107ABE">
      <w:pPr>
        <w:numPr>
          <w:ilvl w:val="1"/>
          <w:numId w:val="6"/>
        </w:numPr>
        <w:ind w:left="567" w:hanging="567"/>
        <w:rPr>
          <w:rFonts w:cs="Arial"/>
          <w:color w:val="000000"/>
          <w:sz w:val="22"/>
          <w:szCs w:val="22"/>
        </w:rPr>
      </w:pPr>
      <w:bookmarkStart w:id="59" w:name="_Hlk41658556"/>
      <w:r w:rsidRPr="004976C6">
        <w:rPr>
          <w:rFonts w:cs="Arial"/>
          <w:color w:val="000000"/>
          <w:sz w:val="22"/>
          <w:szCs w:val="22"/>
        </w:rPr>
        <w:t>The Candidate must have a mean average turnover in t</w:t>
      </w:r>
      <w:r w:rsidR="007D4F6C" w:rsidRPr="004976C6">
        <w:rPr>
          <w:rFonts w:cs="Arial"/>
          <w:color w:val="000000"/>
          <w:sz w:val="22"/>
          <w:szCs w:val="22"/>
        </w:rPr>
        <w:t xml:space="preserve">he past two years </w:t>
      </w:r>
      <w:r w:rsidR="00D876EA" w:rsidRPr="004976C6">
        <w:rPr>
          <w:rFonts w:cs="Arial"/>
          <w:color w:val="000000"/>
          <w:sz w:val="22"/>
          <w:szCs w:val="22"/>
        </w:rPr>
        <w:t>more than</w:t>
      </w:r>
      <w:r w:rsidR="007D4F6C" w:rsidRPr="004976C6">
        <w:rPr>
          <w:rFonts w:cs="Arial"/>
          <w:color w:val="000000"/>
          <w:sz w:val="22"/>
          <w:szCs w:val="22"/>
        </w:rPr>
        <w:t xml:space="preserve"> </w:t>
      </w:r>
      <w:r w:rsidRPr="004976C6">
        <w:rPr>
          <w:rFonts w:cs="Arial"/>
          <w:color w:val="000000"/>
          <w:sz w:val="22"/>
          <w:szCs w:val="22"/>
        </w:rPr>
        <w:t>£</w:t>
      </w:r>
      <w:r w:rsidR="00DD2A66">
        <w:rPr>
          <w:rFonts w:cs="Arial"/>
          <w:color w:val="000000"/>
          <w:sz w:val="22"/>
          <w:szCs w:val="22"/>
        </w:rPr>
        <w:t>7</w:t>
      </w:r>
      <w:r w:rsidR="007D4F6C" w:rsidRPr="004976C6">
        <w:rPr>
          <w:rFonts w:cs="Arial"/>
          <w:color w:val="000000"/>
          <w:sz w:val="22"/>
          <w:szCs w:val="22"/>
        </w:rPr>
        <w:t>,</w:t>
      </w:r>
      <w:r w:rsidR="009D014F" w:rsidRPr="004976C6">
        <w:rPr>
          <w:rFonts w:cs="Arial"/>
          <w:color w:val="000000"/>
          <w:sz w:val="22"/>
          <w:szCs w:val="22"/>
        </w:rPr>
        <w:t>00</w:t>
      </w:r>
      <w:r w:rsidR="007D4F6C" w:rsidRPr="004976C6">
        <w:rPr>
          <w:rFonts w:cs="Arial"/>
          <w:color w:val="000000"/>
          <w:sz w:val="22"/>
          <w:szCs w:val="22"/>
        </w:rPr>
        <w:t>0,000</w:t>
      </w:r>
      <w:r w:rsidRPr="004976C6">
        <w:rPr>
          <w:rFonts w:cs="Arial"/>
          <w:color w:val="000000"/>
          <w:sz w:val="22"/>
          <w:szCs w:val="22"/>
        </w:rPr>
        <w:t xml:space="preserve"> (the ‘Turnover Threshold’) based on accounts available from CreditSafe or information supplied by the Candidate </w:t>
      </w:r>
      <w:r w:rsidR="00676C60" w:rsidRPr="004976C6">
        <w:rPr>
          <w:rFonts w:cs="Arial"/>
          <w:color w:val="000000"/>
          <w:sz w:val="22"/>
          <w:szCs w:val="22"/>
        </w:rPr>
        <w:t>in its ITT Response.  The estim</w:t>
      </w:r>
      <w:r w:rsidR="009D014F" w:rsidRPr="004976C6">
        <w:rPr>
          <w:rFonts w:cs="Arial"/>
          <w:color w:val="000000"/>
          <w:sz w:val="22"/>
          <w:szCs w:val="22"/>
        </w:rPr>
        <w:t>a</w:t>
      </w:r>
      <w:r w:rsidR="00676C60" w:rsidRPr="004976C6">
        <w:rPr>
          <w:rFonts w:cs="Arial"/>
          <w:color w:val="000000"/>
          <w:sz w:val="22"/>
          <w:szCs w:val="22"/>
        </w:rPr>
        <w:t>ted</w:t>
      </w:r>
      <w:r w:rsidRPr="004976C6">
        <w:rPr>
          <w:rFonts w:cs="Arial"/>
          <w:color w:val="000000"/>
          <w:sz w:val="22"/>
          <w:szCs w:val="22"/>
        </w:rPr>
        <w:t xml:space="preserve"> value of th</w:t>
      </w:r>
      <w:r w:rsidR="008D50B6" w:rsidRPr="004976C6">
        <w:rPr>
          <w:rFonts w:cs="Arial"/>
          <w:color w:val="000000"/>
          <w:sz w:val="22"/>
          <w:szCs w:val="22"/>
        </w:rPr>
        <w:t xml:space="preserve">e Contract is </w:t>
      </w:r>
      <w:r w:rsidR="00676C60" w:rsidRPr="004976C6">
        <w:rPr>
          <w:rFonts w:cs="Arial"/>
          <w:color w:val="000000"/>
          <w:sz w:val="22"/>
          <w:szCs w:val="22"/>
        </w:rPr>
        <w:t>£</w:t>
      </w:r>
      <w:r w:rsidR="00DD2A66">
        <w:rPr>
          <w:rFonts w:cs="Arial"/>
          <w:color w:val="000000"/>
          <w:sz w:val="22"/>
          <w:szCs w:val="22"/>
        </w:rPr>
        <w:t>3</w:t>
      </w:r>
      <w:r w:rsidR="009D014F" w:rsidRPr="004976C6">
        <w:rPr>
          <w:rFonts w:cs="Arial"/>
          <w:color w:val="000000"/>
          <w:sz w:val="22"/>
          <w:szCs w:val="22"/>
        </w:rPr>
        <w:t>,</w:t>
      </w:r>
      <w:r w:rsidR="00DD2A66">
        <w:rPr>
          <w:rFonts w:cs="Arial"/>
          <w:color w:val="000000"/>
          <w:sz w:val="22"/>
          <w:szCs w:val="22"/>
        </w:rPr>
        <w:t>5</w:t>
      </w:r>
      <w:r w:rsidR="009D014F" w:rsidRPr="004976C6">
        <w:rPr>
          <w:rFonts w:cs="Arial"/>
          <w:color w:val="000000"/>
          <w:sz w:val="22"/>
          <w:szCs w:val="22"/>
        </w:rPr>
        <w:t>0</w:t>
      </w:r>
      <w:r w:rsidR="0098091B" w:rsidRPr="004976C6">
        <w:rPr>
          <w:rFonts w:cs="Arial"/>
          <w:color w:val="000000"/>
          <w:sz w:val="22"/>
          <w:szCs w:val="22"/>
        </w:rPr>
        <w:t>0,000</w:t>
      </w:r>
      <w:r w:rsidRPr="004976C6">
        <w:rPr>
          <w:rFonts w:cs="Arial"/>
          <w:color w:val="000000"/>
          <w:sz w:val="22"/>
          <w:szCs w:val="22"/>
        </w:rPr>
        <w:t>.</w:t>
      </w:r>
    </w:p>
    <w:p w14:paraId="72B77EFA" w14:textId="77777777" w:rsidR="006633D8" w:rsidRPr="004976C6" w:rsidRDefault="006633D8" w:rsidP="006633D8">
      <w:pPr>
        <w:ind w:left="567"/>
        <w:rPr>
          <w:rFonts w:cs="Arial"/>
          <w:color w:val="000000"/>
          <w:sz w:val="22"/>
          <w:szCs w:val="22"/>
        </w:rPr>
      </w:pPr>
    </w:p>
    <w:p w14:paraId="048F4139" w14:textId="77777777" w:rsidR="006633D8" w:rsidRPr="004976C6" w:rsidRDefault="006633D8" w:rsidP="00107ABE">
      <w:pPr>
        <w:numPr>
          <w:ilvl w:val="1"/>
          <w:numId w:val="6"/>
        </w:numPr>
        <w:ind w:left="567" w:hanging="567"/>
        <w:rPr>
          <w:rFonts w:cs="Arial"/>
          <w:color w:val="000000"/>
          <w:sz w:val="22"/>
          <w:szCs w:val="22"/>
        </w:rPr>
      </w:pPr>
      <w:r w:rsidRPr="004976C6">
        <w:rPr>
          <w:rFonts w:cs="Arial"/>
          <w:color w:val="000000"/>
          <w:sz w:val="22"/>
          <w:szCs w:val="22"/>
        </w:rPr>
        <w:t xml:space="preserve">The candidate must have a minimum CreditSafe score of </w:t>
      </w:r>
      <w:r w:rsidR="00853B01" w:rsidRPr="004976C6">
        <w:rPr>
          <w:rFonts w:cs="Arial"/>
          <w:color w:val="000000"/>
          <w:sz w:val="22"/>
          <w:szCs w:val="22"/>
        </w:rPr>
        <w:t>35</w:t>
      </w:r>
      <w:r w:rsidRPr="004976C6">
        <w:rPr>
          <w:rFonts w:cs="Arial"/>
          <w:color w:val="000000"/>
          <w:sz w:val="22"/>
          <w:szCs w:val="22"/>
        </w:rPr>
        <w:t>.</w:t>
      </w:r>
    </w:p>
    <w:bookmarkEnd w:id="59"/>
    <w:p w14:paraId="06C5D9B0" w14:textId="77777777" w:rsidR="002216B3" w:rsidRPr="004976C6" w:rsidRDefault="002216B3" w:rsidP="002216B3">
      <w:pPr>
        <w:ind w:left="426"/>
        <w:rPr>
          <w:rFonts w:cs="Arial"/>
          <w:color w:val="000000"/>
          <w:sz w:val="22"/>
          <w:szCs w:val="22"/>
        </w:rPr>
      </w:pPr>
    </w:p>
    <w:p w14:paraId="6F3CEE54"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The Turnover Threshold has been set at a level that ensures that the Contract will not excessively dominate the existing business of the winning bidder.  </w:t>
      </w:r>
    </w:p>
    <w:p w14:paraId="0F9011F7" w14:textId="77777777" w:rsidR="002216B3" w:rsidRPr="004976C6" w:rsidRDefault="002216B3" w:rsidP="002216B3">
      <w:pPr>
        <w:rPr>
          <w:rFonts w:cs="Arial"/>
          <w:color w:val="000000"/>
          <w:sz w:val="22"/>
          <w:szCs w:val="22"/>
        </w:rPr>
      </w:pPr>
    </w:p>
    <w:p w14:paraId="250DF78A" w14:textId="60788E4B"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are directed to the information in paragraph 1.9 below regarding who </w:t>
      </w:r>
      <w:r w:rsidR="00D876EA" w:rsidRPr="004976C6">
        <w:rPr>
          <w:rFonts w:cs="Arial"/>
          <w:color w:val="000000"/>
          <w:sz w:val="22"/>
          <w:szCs w:val="22"/>
        </w:rPr>
        <w:t>must</w:t>
      </w:r>
      <w:r w:rsidRPr="004976C6">
        <w:rPr>
          <w:rFonts w:cs="Arial"/>
          <w:color w:val="000000"/>
          <w:sz w:val="22"/>
          <w:szCs w:val="22"/>
        </w:rPr>
        <w:t xml:space="preserve"> satisfy the requirement in paragraph 1.3 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23DE3590" w14:textId="77777777" w:rsidR="002216B3" w:rsidRPr="004976C6" w:rsidRDefault="002216B3" w:rsidP="002216B3">
      <w:pPr>
        <w:rPr>
          <w:rFonts w:cs="Arial"/>
          <w:color w:val="000000"/>
          <w:sz w:val="22"/>
          <w:szCs w:val="22"/>
        </w:rPr>
      </w:pPr>
    </w:p>
    <w:p w14:paraId="1EB99348"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For the avoidance of doubt, where a Candidate is constituted by way of:</w:t>
      </w:r>
    </w:p>
    <w:p w14:paraId="5053ECF3" w14:textId="058FCE23" w:rsidR="002216B3" w:rsidRPr="004976C6" w:rsidRDefault="002216B3" w:rsidP="00107ABE">
      <w:pPr>
        <w:pStyle w:val="SP2"/>
        <w:numPr>
          <w:ilvl w:val="0"/>
          <w:numId w:val="12"/>
        </w:numPr>
        <w:ind w:left="1418" w:hanging="709"/>
        <w:rPr>
          <w:rFonts w:ascii="Arial" w:hAnsi="Arial" w:cs="Arial"/>
          <w:szCs w:val="22"/>
        </w:rPr>
      </w:pPr>
      <w:r w:rsidRPr="004976C6">
        <w:rPr>
          <w:rFonts w:ascii="Arial" w:hAnsi="Arial" w:cs="Arial"/>
          <w:szCs w:val="22"/>
        </w:rPr>
        <w:t xml:space="preserve">a single </w:t>
      </w:r>
      <w:r w:rsidR="00D876EA" w:rsidRPr="004976C6">
        <w:rPr>
          <w:rFonts w:ascii="Arial" w:hAnsi="Arial" w:cs="Arial"/>
          <w:szCs w:val="22"/>
        </w:rPr>
        <w:t>organisation:</w:t>
      </w:r>
      <w:r w:rsidRPr="004976C6">
        <w:rPr>
          <w:rFonts w:ascii="Arial" w:hAnsi="Arial" w:cs="Arial"/>
          <w:szCs w:val="22"/>
        </w:rPr>
        <w:t xml:space="preserve"> the single organisation must pass the Turnover </w:t>
      </w:r>
      <w:r w:rsidR="00D876EA" w:rsidRPr="004976C6">
        <w:rPr>
          <w:rFonts w:ascii="Arial" w:hAnsi="Arial" w:cs="Arial"/>
          <w:szCs w:val="22"/>
        </w:rPr>
        <w:t>Threshold.</w:t>
      </w:r>
    </w:p>
    <w:p w14:paraId="3EB5FE2B" w14:textId="49DEB778"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w:t>
      </w:r>
      <w:r w:rsidR="00D876EA" w:rsidRPr="004976C6">
        <w:rPr>
          <w:rFonts w:ascii="Arial" w:hAnsi="Arial" w:cs="Arial"/>
          <w:szCs w:val="22"/>
        </w:rPr>
        <w:t>Group:</w:t>
      </w:r>
      <w:r w:rsidRPr="004976C6">
        <w:rPr>
          <w:rFonts w:ascii="Arial" w:hAnsi="Arial" w:cs="Arial"/>
          <w:szCs w:val="22"/>
        </w:rPr>
        <w:t xml:space="preserve"> </w:t>
      </w:r>
      <w:r w:rsidR="009D2F9D" w:rsidRPr="004976C6">
        <w:rPr>
          <w:rFonts w:ascii="Arial" w:hAnsi="Arial" w:cs="Arial"/>
          <w:szCs w:val="22"/>
        </w:rPr>
        <w:t>The</w:t>
      </w:r>
      <w:r w:rsidRPr="004976C6">
        <w:rPr>
          <w:rFonts w:ascii="Arial" w:hAnsi="Arial" w:cs="Arial"/>
          <w:szCs w:val="22"/>
        </w:rPr>
        <w:t xml:space="preserve"> 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to deliver the Contract and the totals will then be added together. It is this combined figure that will be used to determine if the Group passes the Turnover Threshold; or</w:t>
      </w:r>
    </w:p>
    <w:p w14:paraId="66E493EE" w14:textId="546CFE04"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Prime Contractor with Significant Sub-contractors; the Prime Contractor with any Significant Sub-contractor(s) must pass the Turnover Threshold. </w:t>
      </w:r>
      <w:r w:rsidR="00D876EA" w:rsidRPr="004976C6">
        <w:rPr>
          <w:rFonts w:ascii="Arial" w:hAnsi="Arial" w:cs="Arial"/>
          <w:szCs w:val="22"/>
        </w:rPr>
        <w:t>To</w:t>
      </w:r>
      <w:r w:rsidRPr="004976C6">
        <w:rPr>
          <w:rFonts w:ascii="Arial" w:hAnsi="Arial" w:cs="Arial"/>
          <w:szCs w:val="22"/>
        </w:rPr>
        <w:t xml:space="preserve">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the completed attachment to ITT Question [EFS Consortium Equity) and the totals will then be added together. It is this combined figure that will be used to determine if the Prime Contractor with any Significant Sub-contractors passes the Turnover Threshold.</w:t>
      </w:r>
    </w:p>
    <w:p w14:paraId="6A0C0945" w14:textId="261B3CA6" w:rsidR="002216B3" w:rsidRPr="004976C6" w:rsidRDefault="00D876EA" w:rsidP="00107ABE">
      <w:pPr>
        <w:numPr>
          <w:ilvl w:val="1"/>
          <w:numId w:val="6"/>
        </w:numPr>
        <w:ind w:left="567" w:hanging="567"/>
        <w:rPr>
          <w:rFonts w:cs="Arial"/>
          <w:color w:val="000000"/>
          <w:sz w:val="22"/>
          <w:szCs w:val="22"/>
        </w:rPr>
      </w:pPr>
      <w:r w:rsidRPr="004976C6">
        <w:rPr>
          <w:rFonts w:cs="Arial"/>
          <w:color w:val="000000"/>
          <w:sz w:val="22"/>
          <w:szCs w:val="22"/>
        </w:rPr>
        <w:t>To</w:t>
      </w:r>
      <w:r w:rsidR="002216B3" w:rsidRPr="004976C6">
        <w:rPr>
          <w:rFonts w:cs="Arial"/>
          <w:color w:val="000000"/>
          <w:sz w:val="22"/>
          <w:szCs w:val="22"/>
        </w:rPr>
        <w:t xml:space="preserve">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w:t>
      </w:r>
      <w:r w:rsidRPr="004976C6">
        <w:rPr>
          <w:rFonts w:cs="Arial"/>
          <w:color w:val="000000"/>
          <w:sz w:val="22"/>
          <w:szCs w:val="22"/>
        </w:rPr>
        <w:t>to</w:t>
      </w:r>
      <w:r w:rsidR="002216B3" w:rsidRPr="004976C6">
        <w:rPr>
          <w:rFonts w:cs="Arial"/>
          <w:color w:val="000000"/>
          <w:sz w:val="22"/>
          <w:szCs w:val="22"/>
        </w:rPr>
        <w:t xml:space="preserve"> carry out the tests above.  </w:t>
      </w:r>
    </w:p>
    <w:p w14:paraId="6ACC86E9" w14:textId="77777777" w:rsidR="002216B3" w:rsidRPr="004976C6" w:rsidRDefault="002216B3" w:rsidP="00787B2B">
      <w:pPr>
        <w:pStyle w:val="A2"/>
        <w:numPr>
          <w:ilvl w:val="0"/>
          <w:numId w:val="0"/>
        </w:numPr>
        <w:ind w:firstLine="567"/>
        <w:rPr>
          <w:rFonts w:cs="Arial"/>
          <w:b/>
          <w:w w:val="0"/>
          <w:sz w:val="22"/>
          <w:szCs w:val="22"/>
        </w:rPr>
      </w:pPr>
      <w:r w:rsidRPr="004976C6">
        <w:rPr>
          <w:rFonts w:cs="Arial"/>
          <w:b/>
          <w:w w:val="0"/>
          <w:sz w:val="22"/>
          <w:szCs w:val="22"/>
        </w:rPr>
        <w:t>Financial Risk Assessment</w:t>
      </w:r>
    </w:p>
    <w:p w14:paraId="43609999" w14:textId="77777777" w:rsidR="002216B3" w:rsidRPr="004976C6" w:rsidRDefault="002216B3" w:rsidP="00107ABE">
      <w:pPr>
        <w:numPr>
          <w:ilvl w:val="1"/>
          <w:numId w:val="6"/>
        </w:numPr>
        <w:ind w:left="567" w:hanging="567"/>
        <w:rPr>
          <w:rFonts w:cs="Arial"/>
          <w:color w:val="000000"/>
          <w:sz w:val="22"/>
          <w:szCs w:val="22"/>
        </w:rPr>
      </w:pPr>
      <w:bookmarkStart w:id="60" w:name="_Ref307825977"/>
      <w:r w:rsidRPr="004976C6">
        <w:rPr>
          <w:rFonts w:cs="Arial"/>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r w:rsidR="00676C60" w:rsidRPr="004976C6">
        <w:rPr>
          <w:rFonts w:cs="Arial"/>
          <w:b/>
          <w:color w:val="000000"/>
          <w:sz w:val="22"/>
          <w:szCs w:val="22"/>
        </w:rPr>
        <w:t xml:space="preserve"> (Not Applicable)</w:t>
      </w:r>
    </w:p>
    <w:p w14:paraId="6BF14D48" w14:textId="77777777" w:rsidR="002216B3" w:rsidRPr="004976C6" w:rsidRDefault="002216B3" w:rsidP="00676C60">
      <w:pPr>
        <w:pStyle w:val="SP4"/>
        <w:numPr>
          <w:ilvl w:val="0"/>
          <w:numId w:val="0"/>
        </w:numPr>
        <w:ind w:left="2088"/>
        <w:rPr>
          <w:rFonts w:ascii="Arial" w:hAnsi="Arial" w:cs="Arial"/>
          <w:szCs w:val="22"/>
          <w:highlight w:val="yellow"/>
        </w:rPr>
      </w:pPr>
    </w:p>
    <w:p w14:paraId="232EC708"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For the avoidance of doubt where a Candidate is constituted by way </w:t>
      </w:r>
      <w:r w:rsidR="009D014F" w:rsidRPr="004976C6">
        <w:rPr>
          <w:rFonts w:cs="Arial"/>
          <w:color w:val="000000"/>
          <w:sz w:val="22"/>
          <w:szCs w:val="22"/>
        </w:rPr>
        <w:t>of:</w:t>
      </w:r>
    </w:p>
    <w:p w14:paraId="54964BC1" w14:textId="57CA8F51"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single organisation, the single organisation must pass the Financial Risk </w:t>
      </w:r>
      <w:r w:rsidR="00D876EA" w:rsidRPr="004976C6">
        <w:rPr>
          <w:rFonts w:ascii="Arial" w:hAnsi="Arial" w:cs="Arial"/>
          <w:szCs w:val="22"/>
        </w:rPr>
        <w:t>Assessment.</w:t>
      </w:r>
    </w:p>
    <w:p w14:paraId="24E520C1" w14:textId="77777777"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a Group, all members who have or will have an equity stake in the Group together with any Significant Sub-contractor (as identified in Part B) should EACH pass the Financial Risk Assessment individually; or</w:t>
      </w:r>
    </w:p>
    <w:p w14:paraId="05264656" w14:textId="77777777"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a Group that consists of a Prime Contractor with one or more Significant Sub-contractors, the Prime Contractor together with any Significant Sub-contractor(s) should EACH pass the Financial Risk Assessment individually.</w:t>
      </w:r>
    </w:p>
    <w:bookmarkEnd w:id="60"/>
    <w:p w14:paraId="286509E4" w14:textId="585C75CA" w:rsidR="002216B3" w:rsidRPr="00E05A75" w:rsidRDefault="002216B3" w:rsidP="00E05A75">
      <w:pPr>
        <w:numPr>
          <w:ilvl w:val="1"/>
          <w:numId w:val="6"/>
        </w:numPr>
        <w:ind w:left="567" w:hanging="567"/>
        <w:rPr>
          <w:rFonts w:cs="Arial"/>
          <w:color w:val="000000"/>
          <w:sz w:val="22"/>
          <w:szCs w:val="22"/>
        </w:rPr>
      </w:pPr>
      <w:r w:rsidRPr="004976C6">
        <w:rPr>
          <w:rFonts w:cs="Arial"/>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9D014F" w:rsidRPr="004976C6">
        <w:rPr>
          <w:rFonts w:cs="Arial"/>
          <w:color w:val="000000"/>
          <w:sz w:val="22"/>
          <w:szCs w:val="22"/>
        </w:rPr>
        <w:t>situations,</w:t>
      </w:r>
      <w:r w:rsidRPr="004976C6">
        <w:rPr>
          <w:rFonts w:cs="Arial"/>
          <w:color w:val="000000"/>
          <w:sz w:val="22"/>
          <w:szCs w:val="22"/>
        </w:rPr>
        <w:t xml:space="preserve"> the information from other entities or members of its group may appropriately supplement the information for a Candidate.  Such a scenario may </w:t>
      </w:r>
      <w:r w:rsidR="00CA0156" w:rsidRPr="004976C6">
        <w:rPr>
          <w:rFonts w:cs="Arial"/>
          <w:color w:val="000000"/>
          <w:sz w:val="22"/>
          <w:szCs w:val="22"/>
        </w:rPr>
        <w:t>for example</w:t>
      </w:r>
      <w:r w:rsidRPr="004976C6">
        <w:rPr>
          <w:rFonts w:cs="Arial"/>
          <w:color w:val="000000"/>
          <w:sz w:val="22"/>
          <w:szCs w:val="22"/>
        </w:rPr>
        <w:t xml:space="preserve"> arise where the ultimate holding company is the equity provider; or the parent company is providing guarantees. </w:t>
      </w:r>
      <w:r w:rsidR="00D876EA" w:rsidRPr="004976C6">
        <w:rPr>
          <w:rFonts w:cs="Arial"/>
          <w:color w:val="000000"/>
          <w:sz w:val="22"/>
          <w:szCs w:val="22"/>
        </w:rPr>
        <w:t>For</w:t>
      </w:r>
      <w:r w:rsidRPr="004976C6">
        <w:rPr>
          <w:rFonts w:cs="Arial"/>
          <w:color w:val="000000"/>
          <w:sz w:val="22"/>
          <w:szCs w:val="22"/>
        </w:rPr>
        <w:t xml:space="preserve"> the Authority to consider additional information related to other entities or members of its group and guarantees, the Candidate should include the information with the ITT Response.</w:t>
      </w:r>
    </w:p>
    <w:p w14:paraId="47392F98" w14:textId="77777777" w:rsidR="002216B3" w:rsidRPr="004976C6" w:rsidRDefault="002216B3" w:rsidP="002216B3">
      <w:pPr>
        <w:rPr>
          <w:rFonts w:cs="Arial"/>
          <w:color w:val="000000"/>
          <w:sz w:val="22"/>
          <w:szCs w:val="22"/>
        </w:rPr>
      </w:pPr>
    </w:p>
    <w:p w14:paraId="77E3A3CC" w14:textId="09DF4E3B"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can upload any data, letters of support, certificates, </w:t>
      </w:r>
      <w:r w:rsidR="00D876EA" w:rsidRPr="004976C6">
        <w:rPr>
          <w:rFonts w:cs="Arial"/>
          <w:color w:val="000000"/>
          <w:sz w:val="22"/>
          <w:szCs w:val="22"/>
        </w:rPr>
        <w:t>accounts,</w:t>
      </w:r>
      <w:r w:rsidRPr="004976C6">
        <w:rPr>
          <w:rFonts w:cs="Arial"/>
          <w:color w:val="000000"/>
          <w:sz w:val="22"/>
          <w:szCs w:val="22"/>
        </w:rPr>
        <w:t xml:space="preserve"> or other financial information in support of their application by uploading the same in response to the [EFS Additional] question in the Economic and Financial Standing section of the ITT.</w:t>
      </w:r>
    </w:p>
    <w:p w14:paraId="730FB12F" w14:textId="77777777" w:rsidR="002216B3" w:rsidRPr="004976C6" w:rsidRDefault="002216B3" w:rsidP="002216B3">
      <w:pPr>
        <w:rPr>
          <w:rFonts w:cs="Arial"/>
          <w:color w:val="000000"/>
          <w:sz w:val="22"/>
          <w:szCs w:val="22"/>
        </w:rPr>
      </w:pPr>
    </w:p>
    <w:p w14:paraId="3C0D3D74" w14:textId="77777777" w:rsidR="0043554D"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62FB5BD6" w14:textId="77777777" w:rsidR="00787B2B" w:rsidRPr="004976C6" w:rsidRDefault="005C0613" w:rsidP="00107ABE">
      <w:pPr>
        <w:pStyle w:val="A1"/>
        <w:numPr>
          <w:ilvl w:val="0"/>
          <w:numId w:val="13"/>
        </w:numPr>
        <w:rPr>
          <w:rFonts w:cs="Arial"/>
          <w:sz w:val="22"/>
          <w:szCs w:val="22"/>
        </w:rPr>
      </w:pPr>
      <w:r w:rsidRPr="004976C6">
        <w:rPr>
          <w:rFonts w:cs="Arial"/>
          <w:sz w:val="22"/>
          <w:szCs w:val="22"/>
        </w:rPr>
        <w:t xml:space="preserve">Stage 2 </w:t>
      </w:r>
      <w:r w:rsidR="00F54F2C" w:rsidRPr="004976C6">
        <w:rPr>
          <w:rFonts w:cs="Arial"/>
          <w:sz w:val="22"/>
          <w:szCs w:val="22"/>
        </w:rPr>
        <w:t>–</w:t>
      </w:r>
      <w:r w:rsidRPr="004976C6">
        <w:rPr>
          <w:rFonts w:cs="Arial"/>
          <w:sz w:val="22"/>
          <w:szCs w:val="22"/>
        </w:rPr>
        <w:t xml:space="preserve"> </w:t>
      </w:r>
      <w:r w:rsidR="00F54F2C" w:rsidRPr="004976C6">
        <w:rPr>
          <w:rFonts w:cs="Arial"/>
          <w:sz w:val="22"/>
          <w:szCs w:val="22"/>
        </w:rPr>
        <w:t>Q</w:t>
      </w:r>
      <w:r w:rsidR="00787B2B" w:rsidRPr="004976C6">
        <w:rPr>
          <w:rFonts w:cs="Arial"/>
          <w:sz w:val="22"/>
          <w:szCs w:val="22"/>
        </w:rPr>
        <w:t xml:space="preserve">UALITY AWARD CRITERIA </w:t>
      </w:r>
      <w:r w:rsidR="00F54F2C" w:rsidRPr="004976C6">
        <w:rPr>
          <w:rFonts w:cs="Arial"/>
          <w:sz w:val="22"/>
          <w:szCs w:val="22"/>
        </w:rPr>
        <w:t>(Technical Envelope</w:t>
      </w:r>
      <w:r w:rsidR="006B246A" w:rsidRPr="004976C6">
        <w:rPr>
          <w:rFonts w:cs="Arial"/>
          <w:sz w:val="22"/>
          <w:szCs w:val="22"/>
        </w:rPr>
        <w:t xml:space="preserve"> in capitalEsourcing</w:t>
      </w:r>
      <w:r w:rsidR="00F54F2C" w:rsidRPr="004976C6">
        <w:rPr>
          <w:rFonts w:cs="Arial"/>
          <w:sz w:val="22"/>
          <w:szCs w:val="22"/>
        </w:rPr>
        <w:t>)</w:t>
      </w:r>
    </w:p>
    <w:p w14:paraId="5FFF12A2" w14:textId="77777777" w:rsidR="005C0613" w:rsidRPr="00E81C23" w:rsidRDefault="005C0613" w:rsidP="00DD2A66">
      <w:pPr>
        <w:pStyle w:val="A2"/>
        <w:tabs>
          <w:tab w:val="num" w:pos="567"/>
        </w:tabs>
        <w:rPr>
          <w:rFonts w:cs="Arial"/>
          <w:sz w:val="22"/>
          <w:szCs w:val="22"/>
        </w:rPr>
      </w:pPr>
      <w:r w:rsidRPr="00E81C23">
        <w:rPr>
          <w:rFonts w:cs="Arial"/>
          <w:sz w:val="22"/>
          <w:szCs w:val="22"/>
        </w:rPr>
        <w:t xml:space="preserve">Quality: </w:t>
      </w:r>
      <w:r w:rsidR="00CE0F2E" w:rsidRPr="00E81C23">
        <w:rPr>
          <w:rFonts w:cs="Arial"/>
          <w:sz w:val="22"/>
          <w:szCs w:val="22"/>
        </w:rPr>
        <w:t xml:space="preserve">60% </w:t>
      </w:r>
      <w:r w:rsidR="006B246A" w:rsidRPr="00E81C23">
        <w:rPr>
          <w:rFonts w:cs="Arial"/>
          <w:sz w:val="22"/>
          <w:szCs w:val="22"/>
        </w:rPr>
        <w:t>(Tier 1)</w:t>
      </w:r>
    </w:p>
    <w:p w14:paraId="577AAE49" w14:textId="4B171649" w:rsidR="006B246A" w:rsidRPr="004976C6" w:rsidRDefault="006B246A" w:rsidP="00787B2B">
      <w:pPr>
        <w:pStyle w:val="A2"/>
        <w:tabs>
          <w:tab w:val="num" w:pos="567"/>
        </w:tabs>
        <w:ind w:left="567" w:hanging="567"/>
        <w:rPr>
          <w:rFonts w:cs="Arial"/>
          <w:sz w:val="22"/>
          <w:szCs w:val="22"/>
        </w:rPr>
      </w:pPr>
      <w:r w:rsidRPr="004976C6">
        <w:rPr>
          <w:rFonts w:cs="Arial"/>
          <w:sz w:val="22"/>
          <w:szCs w:val="22"/>
        </w:rPr>
        <w:t xml:space="preserve">Quality will be assessed </w:t>
      </w:r>
      <w:r w:rsidR="00D876EA" w:rsidRPr="004976C6">
        <w:rPr>
          <w:rFonts w:cs="Arial"/>
          <w:sz w:val="22"/>
          <w:szCs w:val="22"/>
        </w:rPr>
        <w:t>based on</w:t>
      </w:r>
      <w:r w:rsidRPr="004976C6">
        <w:rPr>
          <w:rFonts w:cs="Arial"/>
          <w:sz w:val="22"/>
          <w:szCs w:val="22"/>
        </w:rPr>
        <w:t xml:space="preserve">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  Each award criteria </w:t>
      </w:r>
      <w:proofErr w:type="gramStart"/>
      <w:r w:rsidRPr="004976C6">
        <w:rPr>
          <w:rFonts w:cs="Arial"/>
          <w:sz w:val="22"/>
          <w:szCs w:val="22"/>
        </w:rPr>
        <w:t>has</w:t>
      </w:r>
      <w:proofErr w:type="gramEnd"/>
      <w:r w:rsidRPr="004976C6">
        <w:rPr>
          <w:rFonts w:cs="Arial"/>
          <w:sz w:val="22"/>
          <w:szCs w:val="22"/>
        </w:rPr>
        <w:t xml:space="preserve"> a sub-weighting (Tier 2) to ensure its relative importance is reflected in the overall scores.</w:t>
      </w:r>
    </w:p>
    <w:p w14:paraId="187D13C5" w14:textId="77777777" w:rsidR="00945249" w:rsidRPr="004976C6" w:rsidRDefault="005C0613" w:rsidP="00787B2B">
      <w:pPr>
        <w:pStyle w:val="A2"/>
        <w:tabs>
          <w:tab w:val="num" w:pos="567"/>
        </w:tabs>
        <w:ind w:left="567" w:hanging="567"/>
        <w:rPr>
          <w:rFonts w:cs="Arial"/>
          <w:sz w:val="22"/>
          <w:szCs w:val="22"/>
        </w:rPr>
      </w:pPr>
      <w:r w:rsidRPr="004976C6">
        <w:rPr>
          <w:rFonts w:cs="Arial"/>
          <w:sz w:val="22"/>
          <w:szCs w:val="22"/>
        </w:rPr>
        <w:t>The scoring table is set out in Table 2 below.  Each response to the award criteria</w:t>
      </w:r>
      <w:r w:rsidR="008A11A3" w:rsidRPr="004976C6">
        <w:rPr>
          <w:rFonts w:cs="Arial"/>
          <w:sz w:val="22"/>
          <w:szCs w:val="22"/>
        </w:rPr>
        <w:t xml:space="preserve"> </w:t>
      </w:r>
      <w:r w:rsidRPr="004976C6">
        <w:rPr>
          <w:rFonts w:cs="Arial"/>
          <w:sz w:val="22"/>
          <w:szCs w:val="22"/>
        </w:rPr>
        <w:t xml:space="preserve">will be marked out of a possible score of 5. The scoring will be based on the general principles and descriptions shown in Table 2 below. </w:t>
      </w:r>
    </w:p>
    <w:p w14:paraId="116C199A" w14:textId="77777777" w:rsidR="00522BB8" w:rsidRPr="004976C6" w:rsidRDefault="005C0613" w:rsidP="00787B2B">
      <w:pPr>
        <w:pStyle w:val="A2"/>
        <w:tabs>
          <w:tab w:val="num" w:pos="567"/>
        </w:tabs>
        <w:ind w:left="567" w:hanging="567"/>
        <w:rPr>
          <w:rFonts w:cs="Arial"/>
          <w:sz w:val="22"/>
          <w:szCs w:val="22"/>
        </w:rPr>
      </w:pPr>
      <w:r w:rsidRPr="004976C6">
        <w:rPr>
          <w:rFonts w:cs="Arial"/>
          <w:sz w:val="22"/>
          <w:szCs w:val="22"/>
        </w:rPr>
        <w:t>Tenderers should note that a Tender must score 3 or above for each of the criteri</w:t>
      </w:r>
      <w:r w:rsidR="00FF64E8" w:rsidRPr="004976C6">
        <w:rPr>
          <w:rFonts w:cs="Arial"/>
          <w:sz w:val="22"/>
          <w:szCs w:val="22"/>
        </w:rPr>
        <w:t>a</w:t>
      </w:r>
      <w:r w:rsidRPr="004976C6">
        <w:rPr>
          <w:rFonts w:cs="Arial"/>
          <w:sz w:val="22"/>
          <w:szCs w:val="22"/>
        </w:rPr>
        <w:t xml:space="preserve"> otherwise it may be rejected.</w:t>
      </w:r>
    </w:p>
    <w:p w14:paraId="7B1EE2C9" w14:textId="77777777" w:rsidR="00522BB8" w:rsidRPr="004976C6" w:rsidRDefault="00C91872" w:rsidP="00787B2B">
      <w:pPr>
        <w:pStyle w:val="A2"/>
        <w:tabs>
          <w:tab w:val="num" w:pos="567"/>
        </w:tabs>
        <w:ind w:left="567" w:hanging="567"/>
        <w:rPr>
          <w:rFonts w:cs="Arial"/>
          <w:sz w:val="22"/>
          <w:szCs w:val="22"/>
        </w:rPr>
      </w:pPr>
      <w:r w:rsidRPr="004976C6">
        <w:rPr>
          <w:rFonts w:cs="Arial"/>
          <w:sz w:val="22"/>
          <w:szCs w:val="22"/>
        </w:rPr>
        <w:t>Groups are referred to paragraph 4.</w:t>
      </w:r>
      <w:r w:rsidR="00373E9D" w:rsidRPr="004976C6">
        <w:rPr>
          <w:rFonts w:cs="Arial"/>
          <w:sz w:val="22"/>
          <w:szCs w:val="22"/>
        </w:rPr>
        <w:t>6</w:t>
      </w:r>
      <w:r w:rsidRPr="004976C6">
        <w:rPr>
          <w:rFonts w:cs="Arial"/>
          <w:sz w:val="22"/>
          <w:szCs w:val="22"/>
        </w:rPr>
        <w:t xml:space="preserve"> of the ITT. The Lead Tenderer will be responsible for the overall preparation and submission of the Tender on behalf of all members of the Group and MUST </w:t>
      </w:r>
      <w:r w:rsidR="005F5252" w:rsidRPr="004976C6">
        <w:rPr>
          <w:rFonts w:cs="Arial"/>
          <w:sz w:val="22"/>
          <w:szCs w:val="22"/>
        </w:rPr>
        <w:t>make clear the responsibilities/roles of Group members.</w:t>
      </w:r>
    </w:p>
    <w:p w14:paraId="6AEF41E9" w14:textId="77777777" w:rsidR="005F5252" w:rsidRPr="004976C6" w:rsidRDefault="005F5252" w:rsidP="00DD2A66">
      <w:pPr>
        <w:pStyle w:val="A2"/>
        <w:tabs>
          <w:tab w:val="num" w:pos="567"/>
        </w:tabs>
        <w:rPr>
          <w:rFonts w:cs="Arial"/>
          <w:sz w:val="22"/>
          <w:szCs w:val="22"/>
        </w:rPr>
      </w:pPr>
      <w:r w:rsidRPr="004976C6">
        <w:rPr>
          <w:rFonts w:cs="Arial"/>
          <w:sz w:val="22"/>
          <w:szCs w:val="22"/>
        </w:rPr>
        <w:t>Tenderers should strictly conform to the word limits for the Quality questions.</w:t>
      </w:r>
    </w:p>
    <w:p w14:paraId="77C08273" w14:textId="77777777" w:rsidR="0085498A" w:rsidRPr="004976C6" w:rsidRDefault="0085498A">
      <w:pPr>
        <w:rPr>
          <w:rFonts w:cs="Arial"/>
          <w:sz w:val="22"/>
          <w:szCs w:val="22"/>
        </w:rPr>
      </w:pPr>
    </w:p>
    <w:p w14:paraId="2F596AE4" w14:textId="77777777" w:rsidR="005C0613" w:rsidRPr="004976C6" w:rsidRDefault="005C0613">
      <w:pPr>
        <w:rPr>
          <w:rFonts w:cs="Arial"/>
          <w:b/>
          <w:sz w:val="22"/>
          <w:szCs w:val="22"/>
        </w:rPr>
      </w:pPr>
      <w:r w:rsidRPr="004976C6">
        <w:rPr>
          <w:rFonts w:cs="Arial"/>
          <w:b/>
          <w:sz w:val="22"/>
          <w:szCs w:val="22"/>
        </w:rPr>
        <w:t>Table 2</w:t>
      </w:r>
      <w:r w:rsidR="0085498A" w:rsidRPr="004976C6">
        <w:rPr>
          <w:rFonts w:cs="Arial"/>
          <w:b/>
          <w:sz w:val="22"/>
          <w:szCs w:val="22"/>
        </w:rPr>
        <w:t xml:space="preserve">: </w:t>
      </w:r>
      <w:r w:rsidR="00B85E5A" w:rsidRPr="004976C6">
        <w:rPr>
          <w:rFonts w:cs="Arial"/>
          <w:b/>
          <w:sz w:val="22"/>
          <w:szCs w:val="22"/>
        </w:rPr>
        <w:t xml:space="preserve"> Zero to 5 Marking Scheme</w:t>
      </w:r>
    </w:p>
    <w:p w14:paraId="14668313" w14:textId="77777777" w:rsidR="00945249" w:rsidRPr="004976C6" w:rsidRDefault="00945249" w:rsidP="00945249">
      <w:pPr>
        <w:rPr>
          <w:rFonts w:cs="Arial"/>
          <w:b/>
          <w:color w:val="000000"/>
          <w:sz w:val="22"/>
          <w:szCs w:val="22"/>
        </w:rPr>
      </w:pPr>
    </w:p>
    <w:p w14:paraId="3BBF2600" w14:textId="77777777" w:rsidR="00945249" w:rsidRPr="004976C6" w:rsidRDefault="00945249" w:rsidP="00945249">
      <w:pPr>
        <w:rPr>
          <w:rFonts w:cs="Arial"/>
          <w:color w:val="000000"/>
          <w:sz w:val="22"/>
          <w:szCs w:val="22"/>
        </w:rPr>
      </w:pP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834"/>
        <w:gridCol w:w="5679"/>
      </w:tblGrid>
      <w:tr w:rsidR="00F5266F" w:rsidRPr="004976C6" w14:paraId="6B39A9CD" w14:textId="77777777" w:rsidTr="0095632E">
        <w:trPr>
          <w:tblHeader/>
        </w:trPr>
        <w:tc>
          <w:tcPr>
            <w:tcW w:w="947" w:type="dxa"/>
            <w:tcBorders>
              <w:top w:val="single" w:sz="4" w:space="0" w:color="auto"/>
              <w:left w:val="single" w:sz="4" w:space="0" w:color="auto"/>
              <w:bottom w:val="single" w:sz="4" w:space="0" w:color="auto"/>
              <w:right w:val="single" w:sz="4" w:space="0" w:color="auto"/>
            </w:tcBorders>
            <w:shd w:val="clear" w:color="auto" w:fill="C0C0C0"/>
            <w:hideMark/>
          </w:tcPr>
          <w:p w14:paraId="2F21AD63" w14:textId="77777777" w:rsidR="00945249" w:rsidRPr="004976C6" w:rsidRDefault="00945249" w:rsidP="0021084B">
            <w:pPr>
              <w:spacing w:after="60"/>
              <w:jc w:val="center"/>
              <w:rPr>
                <w:rFonts w:cs="Arial"/>
                <w:b/>
                <w:color w:val="000000"/>
                <w:sz w:val="22"/>
                <w:szCs w:val="22"/>
              </w:rPr>
            </w:pPr>
            <w:r w:rsidRPr="004976C6">
              <w:rPr>
                <w:rFonts w:cs="Arial"/>
                <w:b/>
                <w:color w:val="000000"/>
                <w:sz w:val="22"/>
                <w:szCs w:val="22"/>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14:paraId="3A056B35"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Rating</w:t>
            </w:r>
          </w:p>
        </w:tc>
        <w:tc>
          <w:tcPr>
            <w:tcW w:w="5679" w:type="dxa"/>
            <w:tcBorders>
              <w:top w:val="single" w:sz="4" w:space="0" w:color="auto"/>
              <w:left w:val="single" w:sz="4" w:space="0" w:color="auto"/>
              <w:bottom w:val="single" w:sz="4" w:space="0" w:color="auto"/>
              <w:right w:val="single" w:sz="4" w:space="0" w:color="auto"/>
            </w:tcBorders>
            <w:shd w:val="clear" w:color="auto" w:fill="C0C0C0"/>
            <w:hideMark/>
          </w:tcPr>
          <w:p w14:paraId="7CEEAB97"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Criteria for Awarding Score</w:t>
            </w:r>
          </w:p>
        </w:tc>
      </w:tr>
      <w:tr w:rsidR="00945249" w:rsidRPr="004976C6" w14:paraId="75FA269E" w14:textId="77777777" w:rsidTr="0095632E">
        <w:tc>
          <w:tcPr>
            <w:tcW w:w="947" w:type="dxa"/>
            <w:tcBorders>
              <w:top w:val="single" w:sz="4" w:space="0" w:color="auto"/>
              <w:left w:val="single" w:sz="4" w:space="0" w:color="auto"/>
              <w:bottom w:val="single" w:sz="4" w:space="0" w:color="auto"/>
              <w:right w:val="single" w:sz="4" w:space="0" w:color="auto"/>
            </w:tcBorders>
            <w:hideMark/>
          </w:tcPr>
          <w:p w14:paraId="1E3417AF"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0</w:t>
            </w:r>
          </w:p>
        </w:tc>
        <w:tc>
          <w:tcPr>
            <w:tcW w:w="1834" w:type="dxa"/>
            <w:tcBorders>
              <w:top w:val="single" w:sz="4" w:space="0" w:color="auto"/>
              <w:left w:val="single" w:sz="4" w:space="0" w:color="auto"/>
              <w:bottom w:val="single" w:sz="4" w:space="0" w:color="auto"/>
              <w:right w:val="single" w:sz="4" w:space="0" w:color="auto"/>
            </w:tcBorders>
            <w:hideMark/>
          </w:tcPr>
          <w:p w14:paraId="4F7D51F1" w14:textId="77777777" w:rsidR="00945249" w:rsidRPr="004976C6" w:rsidRDefault="00945249" w:rsidP="0021084B">
            <w:pPr>
              <w:widowControl w:val="0"/>
              <w:spacing w:before="120" w:after="120"/>
              <w:rPr>
                <w:rFonts w:cs="Arial"/>
                <w:bCs/>
                <w:sz w:val="22"/>
                <w:szCs w:val="22"/>
              </w:rPr>
            </w:pPr>
            <w:r w:rsidRPr="004976C6">
              <w:rPr>
                <w:rFonts w:cs="Arial"/>
                <w:sz w:val="22"/>
                <w:szCs w:val="22"/>
              </w:rPr>
              <w:t>Unacceptable</w:t>
            </w:r>
          </w:p>
          <w:p w14:paraId="15BD5B54"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1C6551A7"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sz w:val="22"/>
                <w:szCs w:val="22"/>
              </w:rPr>
              <w:t>The information is omitted/no details provided, or irrelevant answer provided</w:t>
            </w:r>
          </w:p>
        </w:tc>
      </w:tr>
      <w:tr w:rsidR="00945249" w:rsidRPr="004976C6" w14:paraId="5357DA31" w14:textId="77777777" w:rsidTr="0095632E">
        <w:tc>
          <w:tcPr>
            <w:tcW w:w="947" w:type="dxa"/>
            <w:tcBorders>
              <w:top w:val="single" w:sz="4" w:space="0" w:color="auto"/>
              <w:left w:val="single" w:sz="4" w:space="0" w:color="auto"/>
              <w:bottom w:val="single" w:sz="4" w:space="0" w:color="auto"/>
              <w:right w:val="single" w:sz="4" w:space="0" w:color="auto"/>
            </w:tcBorders>
            <w:hideMark/>
          </w:tcPr>
          <w:p w14:paraId="18A86905"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1</w:t>
            </w:r>
          </w:p>
        </w:tc>
        <w:tc>
          <w:tcPr>
            <w:tcW w:w="1834" w:type="dxa"/>
            <w:tcBorders>
              <w:top w:val="single" w:sz="4" w:space="0" w:color="auto"/>
              <w:left w:val="single" w:sz="4" w:space="0" w:color="auto"/>
              <w:bottom w:val="single" w:sz="4" w:space="0" w:color="auto"/>
              <w:right w:val="single" w:sz="4" w:space="0" w:color="auto"/>
            </w:tcBorders>
            <w:hideMark/>
          </w:tcPr>
          <w:p w14:paraId="0FD1B4C5" w14:textId="77777777" w:rsidR="00945249" w:rsidRPr="004976C6" w:rsidRDefault="00945249" w:rsidP="0021084B">
            <w:pPr>
              <w:widowControl w:val="0"/>
              <w:spacing w:before="120" w:after="120"/>
              <w:rPr>
                <w:rFonts w:cs="Arial"/>
                <w:bCs/>
                <w:sz w:val="22"/>
                <w:szCs w:val="22"/>
              </w:rPr>
            </w:pPr>
            <w:r w:rsidRPr="004976C6">
              <w:rPr>
                <w:rFonts w:cs="Arial"/>
                <w:sz w:val="22"/>
                <w:szCs w:val="22"/>
              </w:rPr>
              <w:t>Poor</w:t>
            </w:r>
            <w:r w:rsidRPr="004976C6">
              <w:rPr>
                <w:rFonts w:cs="Arial"/>
                <w:bCs/>
                <w:sz w:val="22"/>
                <w:szCs w:val="22"/>
              </w:rPr>
              <w:t xml:space="preserve"> </w:t>
            </w:r>
          </w:p>
          <w:p w14:paraId="7B1095C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464EAD36"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w:t>
            </w:r>
          </w:p>
        </w:tc>
      </w:tr>
      <w:tr w:rsidR="00945249" w:rsidRPr="004976C6" w14:paraId="20FF9B91" w14:textId="77777777" w:rsidTr="0095632E">
        <w:tc>
          <w:tcPr>
            <w:tcW w:w="947" w:type="dxa"/>
            <w:tcBorders>
              <w:top w:val="single" w:sz="4" w:space="0" w:color="auto"/>
              <w:left w:val="single" w:sz="4" w:space="0" w:color="auto"/>
              <w:bottom w:val="single" w:sz="4" w:space="0" w:color="auto"/>
              <w:right w:val="single" w:sz="4" w:space="0" w:color="auto"/>
            </w:tcBorders>
            <w:hideMark/>
          </w:tcPr>
          <w:p w14:paraId="6C5A610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2</w:t>
            </w:r>
          </w:p>
        </w:tc>
        <w:tc>
          <w:tcPr>
            <w:tcW w:w="1834" w:type="dxa"/>
            <w:tcBorders>
              <w:top w:val="single" w:sz="4" w:space="0" w:color="auto"/>
              <w:left w:val="single" w:sz="4" w:space="0" w:color="auto"/>
              <w:bottom w:val="single" w:sz="4" w:space="0" w:color="auto"/>
              <w:right w:val="single" w:sz="4" w:space="0" w:color="auto"/>
            </w:tcBorders>
            <w:hideMark/>
          </w:tcPr>
          <w:p w14:paraId="6248C0C6" w14:textId="77777777" w:rsidR="00CE0F2E" w:rsidRPr="004976C6" w:rsidRDefault="00945249" w:rsidP="0021084B">
            <w:pPr>
              <w:autoSpaceDE w:val="0"/>
              <w:autoSpaceDN w:val="0"/>
              <w:adjustRightInd w:val="0"/>
              <w:spacing w:before="100" w:after="100"/>
              <w:rPr>
                <w:rFonts w:cs="Arial"/>
                <w:bCs/>
                <w:sz w:val="22"/>
                <w:szCs w:val="22"/>
              </w:rPr>
            </w:pPr>
            <w:r w:rsidRPr="004976C6">
              <w:rPr>
                <w:rFonts w:cs="Arial"/>
                <w:bCs/>
                <w:sz w:val="22"/>
                <w:szCs w:val="22"/>
              </w:rPr>
              <w:t>Fair</w:t>
            </w:r>
          </w:p>
          <w:p w14:paraId="1C18628B" w14:textId="77777777" w:rsidR="00945249" w:rsidRPr="004976C6" w:rsidRDefault="00CE0F2E" w:rsidP="0021084B">
            <w:pPr>
              <w:autoSpaceDE w:val="0"/>
              <w:autoSpaceDN w:val="0"/>
              <w:adjustRightInd w:val="0"/>
              <w:spacing w:before="100" w:after="100"/>
              <w:rPr>
                <w:rFonts w:cs="Arial"/>
                <w:color w:val="000000"/>
                <w:sz w:val="22"/>
                <w:szCs w:val="22"/>
              </w:rPr>
            </w:pPr>
            <w:r w:rsidRPr="004976C6">
              <w:rPr>
                <w:rFonts w:cs="Arial"/>
                <w:bCs/>
                <w:sz w:val="22"/>
                <w:szCs w:val="22"/>
              </w:rPr>
              <w:t>(fail)</w:t>
            </w:r>
            <w:r w:rsidR="00945249" w:rsidRPr="004976C6">
              <w:rPr>
                <w:rFonts w:cs="Arial"/>
                <w:sz w:val="22"/>
                <w:szCs w:val="22"/>
              </w:rPr>
              <w:t xml:space="preserve"> </w:t>
            </w:r>
          </w:p>
        </w:tc>
        <w:tc>
          <w:tcPr>
            <w:tcW w:w="5679" w:type="dxa"/>
            <w:tcBorders>
              <w:top w:val="single" w:sz="4" w:space="0" w:color="auto"/>
              <w:left w:val="single" w:sz="4" w:space="0" w:color="auto"/>
              <w:bottom w:val="single" w:sz="4" w:space="0" w:color="auto"/>
              <w:right w:val="single" w:sz="4" w:space="0" w:color="auto"/>
            </w:tcBorders>
            <w:hideMark/>
          </w:tcPr>
          <w:p w14:paraId="6E893693"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submission is superficial and generic in its scope. The Authority has some reservations that the Tenderer understands the requirement in the question. The proposal provides some limited evidence and assurance that the relevant aspect of the service or requirement would be delivered to a satisfactory standard.</w:t>
            </w:r>
          </w:p>
        </w:tc>
      </w:tr>
      <w:tr w:rsidR="00945249" w:rsidRPr="004976C6" w14:paraId="3319EB68" w14:textId="77777777" w:rsidTr="0095632E">
        <w:tc>
          <w:tcPr>
            <w:tcW w:w="947" w:type="dxa"/>
            <w:tcBorders>
              <w:top w:val="single" w:sz="4" w:space="0" w:color="auto"/>
              <w:left w:val="single" w:sz="4" w:space="0" w:color="auto"/>
              <w:bottom w:val="single" w:sz="4" w:space="0" w:color="auto"/>
              <w:right w:val="single" w:sz="4" w:space="0" w:color="auto"/>
            </w:tcBorders>
            <w:hideMark/>
          </w:tcPr>
          <w:p w14:paraId="08FFCE6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3</w:t>
            </w:r>
          </w:p>
        </w:tc>
        <w:tc>
          <w:tcPr>
            <w:tcW w:w="1834" w:type="dxa"/>
            <w:tcBorders>
              <w:top w:val="single" w:sz="4" w:space="0" w:color="auto"/>
              <w:left w:val="single" w:sz="4" w:space="0" w:color="auto"/>
              <w:bottom w:val="single" w:sz="4" w:space="0" w:color="auto"/>
              <w:right w:val="single" w:sz="4" w:space="0" w:color="auto"/>
            </w:tcBorders>
            <w:hideMark/>
          </w:tcPr>
          <w:p w14:paraId="589D7518"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Satisfactory</w:t>
            </w:r>
          </w:p>
          <w:p w14:paraId="2BA1FE59"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00A7740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Authority is reasonably confident that the Tenderer understands the requirement in the question and the proposal provides some satisfactory evidence and assurance that the relevant aspect of the service or requirement would be delivered to a satisfactory standard.</w:t>
            </w:r>
          </w:p>
        </w:tc>
      </w:tr>
      <w:tr w:rsidR="00945249" w:rsidRPr="004976C6" w14:paraId="09F43542" w14:textId="77777777" w:rsidTr="0095632E">
        <w:tc>
          <w:tcPr>
            <w:tcW w:w="947" w:type="dxa"/>
            <w:tcBorders>
              <w:top w:val="single" w:sz="4" w:space="0" w:color="auto"/>
              <w:left w:val="single" w:sz="4" w:space="0" w:color="auto"/>
              <w:bottom w:val="single" w:sz="4" w:space="0" w:color="auto"/>
              <w:right w:val="single" w:sz="4" w:space="0" w:color="auto"/>
            </w:tcBorders>
            <w:hideMark/>
          </w:tcPr>
          <w:p w14:paraId="0468D299"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4</w:t>
            </w:r>
          </w:p>
        </w:tc>
        <w:tc>
          <w:tcPr>
            <w:tcW w:w="1834" w:type="dxa"/>
            <w:tcBorders>
              <w:top w:val="single" w:sz="4" w:space="0" w:color="auto"/>
              <w:left w:val="single" w:sz="4" w:space="0" w:color="auto"/>
              <w:bottom w:val="single" w:sz="4" w:space="0" w:color="auto"/>
              <w:right w:val="single" w:sz="4" w:space="0" w:color="auto"/>
            </w:tcBorders>
            <w:hideMark/>
          </w:tcPr>
          <w:p w14:paraId="4463E01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Good</w:t>
            </w:r>
          </w:p>
          <w:p w14:paraId="46985311"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5CB795A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 xml:space="preserve">The submission is robust and well documented. The Authority is </w:t>
            </w:r>
            <w:r w:rsidRPr="004976C6">
              <w:rPr>
                <w:rFonts w:cs="Arial"/>
                <w:bCs/>
                <w:sz w:val="22"/>
                <w:szCs w:val="22"/>
              </w:rPr>
              <w:t>confident</w:t>
            </w:r>
            <w:r w:rsidRPr="004976C6">
              <w:rPr>
                <w:rFonts w:cs="Arial"/>
                <w:b/>
                <w:bCs/>
                <w:i/>
                <w:iCs/>
                <w:sz w:val="22"/>
                <w:szCs w:val="22"/>
              </w:rPr>
              <w:t xml:space="preserve"> </w:t>
            </w:r>
            <w:r w:rsidRPr="004976C6">
              <w:rPr>
                <w:rFonts w:cs="Arial"/>
                <w:sz w:val="22"/>
                <w:szCs w:val="22"/>
              </w:rPr>
              <w:t>that the Tenderer understands the requirement in the question and the proposal provides good evidence and assurance that the relevant aspect of the service or requirement would be delivered to a good standard.</w:t>
            </w:r>
          </w:p>
        </w:tc>
      </w:tr>
      <w:tr w:rsidR="00945249" w:rsidRPr="004976C6" w14:paraId="692062FB" w14:textId="77777777" w:rsidTr="0095632E">
        <w:tc>
          <w:tcPr>
            <w:tcW w:w="947" w:type="dxa"/>
            <w:tcBorders>
              <w:top w:val="single" w:sz="4" w:space="0" w:color="auto"/>
              <w:left w:val="single" w:sz="4" w:space="0" w:color="auto"/>
              <w:bottom w:val="single" w:sz="4" w:space="0" w:color="auto"/>
              <w:right w:val="single" w:sz="4" w:space="0" w:color="auto"/>
            </w:tcBorders>
            <w:hideMark/>
          </w:tcPr>
          <w:p w14:paraId="78ABCA70"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5</w:t>
            </w:r>
          </w:p>
        </w:tc>
        <w:tc>
          <w:tcPr>
            <w:tcW w:w="1834" w:type="dxa"/>
            <w:tcBorders>
              <w:top w:val="single" w:sz="4" w:space="0" w:color="auto"/>
              <w:left w:val="single" w:sz="4" w:space="0" w:color="auto"/>
              <w:bottom w:val="single" w:sz="4" w:space="0" w:color="auto"/>
              <w:right w:val="single" w:sz="4" w:space="0" w:color="auto"/>
            </w:tcBorders>
            <w:hideMark/>
          </w:tcPr>
          <w:p w14:paraId="718223FE"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Excellent</w:t>
            </w:r>
          </w:p>
          <w:p w14:paraId="28ABCA7A"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61835FE4" w14:textId="77777777" w:rsidR="00945249" w:rsidRPr="004976C6" w:rsidRDefault="00945249" w:rsidP="00CA7C9E">
            <w:pPr>
              <w:autoSpaceDE w:val="0"/>
              <w:autoSpaceDN w:val="0"/>
              <w:adjustRightInd w:val="0"/>
              <w:spacing w:before="100" w:after="100"/>
              <w:rPr>
                <w:rFonts w:cs="Arial"/>
                <w:sz w:val="22"/>
                <w:szCs w:val="22"/>
              </w:rPr>
            </w:pPr>
            <w:r w:rsidRPr="004976C6">
              <w:rPr>
                <w:rFonts w:cs="Arial"/>
                <w:sz w:val="22"/>
                <w:szCs w:val="22"/>
              </w:rPr>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w:t>
            </w:r>
          </w:p>
          <w:p w14:paraId="0802A92A" w14:textId="77777777" w:rsidR="00D134D6" w:rsidRPr="004976C6" w:rsidRDefault="00D134D6" w:rsidP="00CA7C9E">
            <w:pPr>
              <w:autoSpaceDE w:val="0"/>
              <w:autoSpaceDN w:val="0"/>
              <w:adjustRightInd w:val="0"/>
              <w:spacing w:before="100" w:after="100"/>
              <w:rPr>
                <w:rFonts w:cs="Arial"/>
                <w:color w:val="000000"/>
                <w:sz w:val="22"/>
                <w:szCs w:val="22"/>
              </w:rPr>
            </w:pPr>
          </w:p>
        </w:tc>
      </w:tr>
    </w:tbl>
    <w:p w14:paraId="1A823644" w14:textId="77777777" w:rsidR="00945249" w:rsidRPr="004976C6" w:rsidRDefault="00945249" w:rsidP="00945249">
      <w:pPr>
        <w:rPr>
          <w:rFonts w:cs="Arial"/>
          <w:color w:val="000000"/>
          <w:sz w:val="22"/>
          <w:szCs w:val="22"/>
        </w:rPr>
      </w:pPr>
    </w:p>
    <w:p w14:paraId="10688494" w14:textId="77777777" w:rsidR="00E42F7C" w:rsidRPr="004976C6" w:rsidRDefault="00E42F7C">
      <w:pPr>
        <w:rPr>
          <w:rFonts w:cs="Arial"/>
          <w:b/>
          <w:bCs/>
          <w:sz w:val="22"/>
          <w:szCs w:val="22"/>
        </w:rPr>
      </w:pPr>
    </w:p>
    <w:p w14:paraId="14B2EC3F" w14:textId="77777777" w:rsidR="00E42F7C" w:rsidRPr="004976C6" w:rsidRDefault="00E42F7C">
      <w:pPr>
        <w:rPr>
          <w:rFonts w:cs="Arial"/>
          <w:b/>
          <w:bCs/>
          <w:sz w:val="22"/>
          <w:szCs w:val="22"/>
        </w:rPr>
      </w:pPr>
    </w:p>
    <w:p w14:paraId="2F1DF57E" w14:textId="77777777" w:rsidR="005C0613" w:rsidRPr="004976C6" w:rsidRDefault="005C0613">
      <w:pPr>
        <w:rPr>
          <w:rFonts w:cs="Arial"/>
          <w:b/>
          <w:bCs/>
          <w:sz w:val="22"/>
          <w:szCs w:val="22"/>
        </w:rPr>
      </w:pPr>
      <w:r w:rsidRPr="004976C6">
        <w:rPr>
          <w:rFonts w:cs="Arial"/>
          <w:b/>
          <w:bCs/>
          <w:sz w:val="22"/>
          <w:szCs w:val="22"/>
        </w:rPr>
        <w:t xml:space="preserve">TABLE 3 </w:t>
      </w:r>
      <w:r w:rsidR="007E104F" w:rsidRPr="004976C6">
        <w:rPr>
          <w:rFonts w:cs="Arial"/>
          <w:b/>
          <w:bCs/>
          <w:sz w:val="22"/>
          <w:szCs w:val="22"/>
        </w:rPr>
        <w:t xml:space="preserve">– </w:t>
      </w:r>
      <w:r w:rsidR="00787B2B" w:rsidRPr="004976C6">
        <w:rPr>
          <w:rFonts w:cs="Arial"/>
          <w:b/>
          <w:bCs/>
          <w:sz w:val="22"/>
          <w:szCs w:val="22"/>
        </w:rPr>
        <w:t>Quality Award Criteria</w:t>
      </w:r>
      <w:r w:rsidR="007E104F" w:rsidRPr="004976C6">
        <w:rPr>
          <w:rFonts w:cs="Arial"/>
          <w:b/>
          <w:bCs/>
          <w:sz w:val="22"/>
          <w:szCs w:val="22"/>
        </w:rPr>
        <w:t xml:space="preserve"> – </w:t>
      </w:r>
      <w:r w:rsidR="00945249" w:rsidRPr="004976C6">
        <w:rPr>
          <w:rFonts w:cs="Arial"/>
          <w:b/>
          <w:bCs/>
          <w:sz w:val="22"/>
          <w:szCs w:val="22"/>
        </w:rPr>
        <w:t>(Technical Envelope)</w:t>
      </w:r>
    </w:p>
    <w:p w14:paraId="2B5FBCFD" w14:textId="77777777" w:rsidR="00AF3DB0" w:rsidRPr="004976C6" w:rsidRDefault="00AF3DB0" w:rsidP="00AF3DB0">
      <w:pPr>
        <w:rPr>
          <w:rFonts w:cs="Arial"/>
          <w:b/>
          <w:sz w:val="22"/>
          <w:szCs w:val="22"/>
        </w:rPr>
      </w:pPr>
    </w:p>
    <w:p w14:paraId="12E20410" w14:textId="77777777" w:rsidR="00AF3DB0" w:rsidRPr="004976C6" w:rsidRDefault="00AF3DB0" w:rsidP="00AF3DB0">
      <w:pPr>
        <w:rPr>
          <w:rFonts w:cs="Arial"/>
          <w:b/>
          <w:sz w:val="22"/>
          <w:szCs w:val="22"/>
        </w:rPr>
      </w:pPr>
      <w:r w:rsidRPr="004976C6">
        <w:rPr>
          <w:rFonts w:cs="Arial"/>
          <w:b/>
          <w:sz w:val="22"/>
          <w:szCs w:val="22"/>
        </w:rPr>
        <w:t>The following questions will be scored using the scoring mechanism set out in Table 1 above.</w:t>
      </w:r>
    </w:p>
    <w:p w14:paraId="03C29E9A" w14:textId="77777777" w:rsidR="00212A29" w:rsidRPr="004976C6" w:rsidRDefault="00212A29" w:rsidP="00212A29">
      <w:pPr>
        <w:rPr>
          <w:rFonts w:cs="Arial"/>
          <w:b/>
          <w:bCs/>
          <w:color w:val="000000"/>
          <w:sz w:val="22"/>
          <w:szCs w:val="22"/>
        </w:rPr>
      </w:pPr>
    </w:p>
    <w:p w14:paraId="5C4B23AE" w14:textId="77777777" w:rsidR="00D134D6" w:rsidRPr="004976C6" w:rsidRDefault="00D134D6" w:rsidP="00212A29">
      <w:pPr>
        <w:rPr>
          <w:rFonts w:cs="Arial"/>
          <w:b/>
          <w:bCs/>
          <w:color w:val="000000"/>
          <w:sz w:val="22"/>
          <w:szCs w:val="22"/>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819"/>
        <w:gridCol w:w="2268"/>
      </w:tblGrid>
      <w:tr w:rsidR="00DE2F34" w:rsidRPr="004976C6" w14:paraId="0BCA5828" w14:textId="77777777" w:rsidTr="00DE2F34">
        <w:tc>
          <w:tcPr>
            <w:tcW w:w="1418" w:type="dxa"/>
          </w:tcPr>
          <w:p w14:paraId="49A4AAB8" w14:textId="77777777" w:rsidR="00DE2F34" w:rsidRPr="004976C6" w:rsidRDefault="00DE2F34" w:rsidP="0021084B">
            <w:pPr>
              <w:rPr>
                <w:rFonts w:cs="Arial"/>
                <w:b/>
                <w:sz w:val="22"/>
                <w:szCs w:val="22"/>
              </w:rPr>
            </w:pPr>
            <w:r w:rsidRPr="004976C6">
              <w:rPr>
                <w:rFonts w:cs="Arial"/>
                <w:b/>
                <w:sz w:val="22"/>
                <w:szCs w:val="22"/>
              </w:rPr>
              <w:t>Question No</w:t>
            </w:r>
          </w:p>
        </w:tc>
        <w:tc>
          <w:tcPr>
            <w:tcW w:w="4819" w:type="dxa"/>
          </w:tcPr>
          <w:p w14:paraId="3264C45A" w14:textId="77777777" w:rsidR="00DE2F34" w:rsidRPr="004976C6" w:rsidRDefault="00DE2F34" w:rsidP="0021084B">
            <w:pPr>
              <w:rPr>
                <w:rFonts w:cs="Arial"/>
                <w:b/>
                <w:sz w:val="22"/>
                <w:szCs w:val="22"/>
              </w:rPr>
            </w:pPr>
            <w:r w:rsidRPr="004976C6">
              <w:rPr>
                <w:rFonts w:cs="Arial"/>
                <w:b/>
                <w:sz w:val="22"/>
                <w:szCs w:val="22"/>
              </w:rPr>
              <w:t>Question</w:t>
            </w:r>
          </w:p>
        </w:tc>
        <w:tc>
          <w:tcPr>
            <w:tcW w:w="2268" w:type="dxa"/>
          </w:tcPr>
          <w:p w14:paraId="5ECD79E6" w14:textId="77777777" w:rsidR="00DE2F34" w:rsidRPr="004976C6" w:rsidRDefault="00DE2F34" w:rsidP="0021084B">
            <w:pPr>
              <w:rPr>
                <w:rFonts w:cs="Arial"/>
                <w:b/>
                <w:sz w:val="22"/>
                <w:szCs w:val="22"/>
              </w:rPr>
            </w:pPr>
            <w:r w:rsidRPr="004976C6">
              <w:rPr>
                <w:rFonts w:cs="Arial"/>
                <w:b/>
                <w:sz w:val="22"/>
                <w:szCs w:val="22"/>
              </w:rPr>
              <w:t xml:space="preserve">Weighting </w:t>
            </w:r>
            <w:r w:rsidRPr="00E81C23">
              <w:rPr>
                <w:rFonts w:cs="Arial"/>
                <w:b/>
                <w:sz w:val="22"/>
                <w:szCs w:val="22"/>
              </w:rPr>
              <w:t>(60%)</w:t>
            </w:r>
          </w:p>
        </w:tc>
      </w:tr>
      <w:tr w:rsidR="00DE2F34" w:rsidRPr="004976C6" w14:paraId="65AF05D7" w14:textId="77777777" w:rsidTr="00DE2F34">
        <w:tc>
          <w:tcPr>
            <w:tcW w:w="1418" w:type="dxa"/>
          </w:tcPr>
          <w:p w14:paraId="6CA4A3B6" w14:textId="5D6CD688" w:rsidR="00DE2F34" w:rsidRPr="00BD348F" w:rsidRDefault="00DE2F34" w:rsidP="0021084B">
            <w:pPr>
              <w:rPr>
                <w:rFonts w:cs="Arial"/>
                <w:b/>
                <w:bCs/>
                <w:sz w:val="22"/>
                <w:szCs w:val="22"/>
              </w:rPr>
            </w:pPr>
            <w:r w:rsidRPr="00BD348F">
              <w:rPr>
                <w:rFonts w:cs="Arial"/>
                <w:b/>
                <w:bCs/>
                <w:sz w:val="22"/>
                <w:szCs w:val="22"/>
              </w:rPr>
              <w:t>1</w:t>
            </w:r>
          </w:p>
        </w:tc>
        <w:tc>
          <w:tcPr>
            <w:tcW w:w="4819" w:type="dxa"/>
          </w:tcPr>
          <w:p w14:paraId="191C8432" w14:textId="4581F08C" w:rsidR="00DE2F34" w:rsidRPr="00583D82" w:rsidRDefault="00DE2F34" w:rsidP="00583D82">
            <w:pPr>
              <w:pStyle w:val="ListParagraph"/>
              <w:ind w:left="0"/>
              <w:rPr>
                <w:b/>
                <w:bCs/>
              </w:rPr>
            </w:pPr>
            <w:r>
              <w:rPr>
                <w:b/>
                <w:bCs/>
              </w:rPr>
              <w:t>Considering you have had the opportunity to visit site, adequate time to review the document</w:t>
            </w:r>
            <w:r w:rsidR="00C24CB2">
              <w:rPr>
                <w:b/>
                <w:bCs/>
              </w:rPr>
              <w:t>’s</w:t>
            </w:r>
            <w:r>
              <w:rPr>
                <w:b/>
                <w:bCs/>
              </w:rPr>
              <w:t>, please confirm the following.</w:t>
            </w:r>
          </w:p>
          <w:p w14:paraId="760831A0" w14:textId="467B3185" w:rsidR="00DE2F34" w:rsidRPr="007E04C8" w:rsidRDefault="00DE2F34" w:rsidP="00456A82">
            <w:pPr>
              <w:ind w:left="745" w:hanging="425"/>
              <w:rPr>
                <w:rFonts w:eastAsia="Calibri"/>
              </w:rPr>
            </w:pPr>
            <w:r w:rsidRPr="004E3B0D">
              <w:t xml:space="preserve">  a)</w:t>
            </w:r>
            <w:r>
              <w:rPr>
                <w:b/>
                <w:bCs/>
              </w:rPr>
              <w:t xml:space="preserve"> </w:t>
            </w:r>
            <w:r>
              <w:t xml:space="preserve">The pricing schedule has been filled   </w:t>
            </w:r>
            <w:r w:rsidR="00456A82">
              <w:t xml:space="preserve"> </w:t>
            </w:r>
            <w:r>
              <w:t>out in full, with exact amounts. no provisional sums will be excepted.</w:t>
            </w:r>
          </w:p>
          <w:p w14:paraId="3364C18F" w14:textId="7D2B1882" w:rsidR="00DE2F34" w:rsidRDefault="00DE2F34" w:rsidP="00456A82">
            <w:pPr>
              <w:ind w:left="745" w:hanging="425"/>
            </w:pPr>
            <w:r w:rsidRPr="00DE2F34">
              <w:t>  </w:t>
            </w:r>
            <w:r w:rsidRPr="004E3B0D">
              <w:t>b</w:t>
            </w:r>
            <w:r>
              <w:t>)</w:t>
            </w:r>
            <w:r w:rsidR="00456A82">
              <w:t xml:space="preserve"> </w:t>
            </w:r>
            <w:r>
              <w:t xml:space="preserve">You have allowed for the             works in full, all attendances, </w:t>
            </w:r>
            <w:r w:rsidR="00BD348F">
              <w:t>equipment,</w:t>
            </w:r>
            <w:r>
              <w:t xml:space="preserve"> and materials. As this is a design and build contract.</w:t>
            </w:r>
          </w:p>
          <w:p w14:paraId="3B625D4C" w14:textId="6174CD36" w:rsidR="00DE2F34" w:rsidRDefault="00DE2F34" w:rsidP="00456A82">
            <w:pPr>
              <w:ind w:left="745" w:hanging="425"/>
            </w:pPr>
            <w:r w:rsidRPr="00DE2F34">
              <w:t>  </w:t>
            </w:r>
            <w:r w:rsidRPr="004E3B0D">
              <w:t>c)</w:t>
            </w:r>
            <w:r>
              <w:t xml:space="preserve"> You have submitted an outline programme with your tender, include attachment.</w:t>
            </w:r>
          </w:p>
          <w:p w14:paraId="47A1F7FD" w14:textId="391E93DC" w:rsidR="00DE2F34" w:rsidRDefault="00DE2F34" w:rsidP="00456A82">
            <w:pPr>
              <w:ind w:left="745" w:hanging="425"/>
            </w:pPr>
            <w:r>
              <w:t>  </w:t>
            </w:r>
            <w:r w:rsidRPr="004E3B0D">
              <w:t xml:space="preserve">d) </w:t>
            </w:r>
            <w:r w:rsidRPr="003F7F3D">
              <w:t>You understand that the surveys and design will require a lot of resource up front to allow installation to start through the spring and summer months.</w:t>
            </w:r>
          </w:p>
          <w:p w14:paraId="3CD78C5A" w14:textId="4D732407" w:rsidR="00DE2F34" w:rsidRPr="003F7F3D" w:rsidRDefault="00DE2F34" w:rsidP="00456A82">
            <w:pPr>
              <w:pStyle w:val="ListParagraph"/>
              <w:rPr>
                <w:b/>
                <w:bCs/>
              </w:rPr>
            </w:pPr>
            <w:r>
              <w:rPr>
                <w:b/>
                <w:bCs/>
              </w:rPr>
              <w:t xml:space="preserve">                           </w:t>
            </w:r>
            <w:r w:rsidR="00456A82">
              <w:rPr>
                <w:b/>
                <w:bCs/>
              </w:rPr>
              <w:t xml:space="preserve">           </w:t>
            </w:r>
            <w:r>
              <w:rPr>
                <w:b/>
                <w:bCs/>
              </w:rPr>
              <w:t>(500 words)</w:t>
            </w:r>
          </w:p>
        </w:tc>
        <w:tc>
          <w:tcPr>
            <w:tcW w:w="2268" w:type="dxa"/>
          </w:tcPr>
          <w:p w14:paraId="65F6E0A3" w14:textId="0D1CBFDD" w:rsidR="00DE2F34" w:rsidRPr="00B865F8" w:rsidRDefault="003704AB" w:rsidP="0021084B">
            <w:pPr>
              <w:rPr>
                <w:rFonts w:cs="Arial"/>
                <w:b/>
                <w:sz w:val="22"/>
                <w:szCs w:val="22"/>
              </w:rPr>
            </w:pPr>
            <w:r w:rsidRPr="00B865F8">
              <w:rPr>
                <w:rFonts w:cs="Arial"/>
                <w:b/>
                <w:sz w:val="22"/>
                <w:szCs w:val="22"/>
              </w:rPr>
              <w:t>5</w:t>
            </w:r>
            <w:r w:rsidR="00DE2F34" w:rsidRPr="00B865F8">
              <w:rPr>
                <w:rFonts w:cs="Arial"/>
                <w:b/>
                <w:sz w:val="22"/>
                <w:szCs w:val="22"/>
              </w:rPr>
              <w:t>%</w:t>
            </w:r>
            <w:r w:rsidR="00B865F8" w:rsidRPr="00B865F8">
              <w:rPr>
                <w:rFonts w:cs="Arial"/>
                <w:b/>
                <w:sz w:val="22"/>
                <w:szCs w:val="22"/>
              </w:rPr>
              <w:t xml:space="preserve"> of 60%</w:t>
            </w:r>
          </w:p>
          <w:p w14:paraId="4B14B417" w14:textId="77777777" w:rsidR="00DE2F34" w:rsidRPr="00DD2A66" w:rsidRDefault="00DE2F34" w:rsidP="0021084B">
            <w:pPr>
              <w:rPr>
                <w:rFonts w:cs="Arial"/>
                <w:b/>
                <w:sz w:val="22"/>
                <w:szCs w:val="22"/>
                <w:highlight w:val="yellow"/>
              </w:rPr>
            </w:pPr>
          </w:p>
          <w:p w14:paraId="744DBF41" w14:textId="77777777" w:rsidR="00DE2F34" w:rsidRPr="00DD2A66" w:rsidRDefault="00DE2F34" w:rsidP="0021084B">
            <w:pPr>
              <w:rPr>
                <w:rFonts w:cs="Arial"/>
                <w:b/>
                <w:sz w:val="22"/>
                <w:szCs w:val="22"/>
                <w:highlight w:val="yellow"/>
              </w:rPr>
            </w:pPr>
          </w:p>
        </w:tc>
      </w:tr>
      <w:tr w:rsidR="00DE2F34" w:rsidRPr="004976C6" w14:paraId="40D028D9" w14:textId="77777777" w:rsidTr="00DE2F34">
        <w:tc>
          <w:tcPr>
            <w:tcW w:w="1418" w:type="dxa"/>
          </w:tcPr>
          <w:p w14:paraId="067FF23C" w14:textId="77777777" w:rsidR="00DE2F34" w:rsidRPr="00BD348F" w:rsidRDefault="00DE2F34" w:rsidP="00F940A6">
            <w:pPr>
              <w:pStyle w:val="ListParagraph"/>
              <w:ind w:left="0"/>
              <w:rPr>
                <w:rFonts w:cs="Arial"/>
                <w:b/>
                <w:color w:val="000000"/>
                <w:sz w:val="22"/>
                <w:szCs w:val="22"/>
              </w:rPr>
            </w:pPr>
            <w:r w:rsidRPr="00BD348F">
              <w:rPr>
                <w:rFonts w:cs="Arial"/>
                <w:b/>
                <w:color w:val="000000"/>
                <w:sz w:val="22"/>
                <w:szCs w:val="22"/>
              </w:rPr>
              <w:t>2</w:t>
            </w:r>
          </w:p>
          <w:p w14:paraId="757C9533" w14:textId="77777777" w:rsidR="00DE2F34" w:rsidRPr="004976C6" w:rsidRDefault="00DE2F34" w:rsidP="0021084B">
            <w:pPr>
              <w:rPr>
                <w:rFonts w:cs="Arial"/>
                <w:b/>
                <w:sz w:val="22"/>
                <w:szCs w:val="22"/>
              </w:rPr>
            </w:pPr>
          </w:p>
        </w:tc>
        <w:tc>
          <w:tcPr>
            <w:tcW w:w="4819" w:type="dxa"/>
          </w:tcPr>
          <w:p w14:paraId="45F795C4" w14:textId="64EEA117" w:rsidR="00DE2F34" w:rsidRPr="00583D82" w:rsidRDefault="00DE2F34" w:rsidP="00583D82">
            <w:pPr>
              <w:pStyle w:val="ListParagraph"/>
              <w:ind w:left="0"/>
              <w:rPr>
                <w:b/>
                <w:bCs/>
              </w:rPr>
            </w:pPr>
            <w:r>
              <w:rPr>
                <w:b/>
                <w:bCs/>
              </w:rPr>
              <w:t xml:space="preserve">Please confirm how you intend to execute the contract from start to finish, please ensure your answer includes the </w:t>
            </w:r>
            <w:r w:rsidR="00456A82">
              <w:rPr>
                <w:b/>
                <w:bCs/>
              </w:rPr>
              <w:t>following.</w:t>
            </w:r>
          </w:p>
          <w:p w14:paraId="4639644F" w14:textId="43275E5F" w:rsidR="00DE2F34" w:rsidRDefault="00DE2F34" w:rsidP="00DE2F34">
            <w:pPr>
              <w:pStyle w:val="ListParagraph"/>
              <w:numPr>
                <w:ilvl w:val="0"/>
                <w:numId w:val="32"/>
              </w:numPr>
            </w:pPr>
            <w:r>
              <w:t>Company structure and organigram, demonstrate how the contract will be managed from the outset, site set up, through to design, installation and practical completion</w:t>
            </w:r>
            <w:r w:rsidR="00456A82">
              <w:t>.</w:t>
            </w:r>
          </w:p>
          <w:p w14:paraId="22C9F7F4" w14:textId="11785531" w:rsidR="00DE2F34" w:rsidRDefault="00DE2F34" w:rsidP="00DE2F34">
            <w:pPr>
              <w:pStyle w:val="ListParagraph"/>
              <w:numPr>
                <w:ilvl w:val="0"/>
                <w:numId w:val="32"/>
              </w:numPr>
            </w:pPr>
            <w:r>
              <w:t xml:space="preserve">Include </w:t>
            </w:r>
            <w:r w:rsidR="00456A82">
              <w:t>CVs</w:t>
            </w:r>
            <w:r>
              <w:t xml:space="preserve"> of all individuals that will be used on the </w:t>
            </w:r>
            <w:r w:rsidR="00456A82">
              <w:t>project.</w:t>
            </w:r>
          </w:p>
          <w:p w14:paraId="393A0988" w14:textId="77777777" w:rsidR="00DE2F34" w:rsidRDefault="00DE2F34" w:rsidP="00DE2F34">
            <w:pPr>
              <w:pStyle w:val="ListParagraph"/>
              <w:numPr>
                <w:ilvl w:val="0"/>
                <w:numId w:val="32"/>
              </w:numPr>
            </w:pPr>
            <w:r>
              <w:t>Include Case studies on similar projects you have worked on and how the duties of your employees were carried out.</w:t>
            </w:r>
          </w:p>
          <w:p w14:paraId="028C8199" w14:textId="77777777" w:rsidR="00DE2F34" w:rsidRDefault="00DE2F34" w:rsidP="00DE2F34">
            <w:pPr>
              <w:pStyle w:val="ListParagraph"/>
              <w:numPr>
                <w:ilvl w:val="0"/>
                <w:numId w:val="32"/>
              </w:numPr>
            </w:pPr>
            <w:r>
              <w:t>Include any subcontractors you would utilise on this project.</w:t>
            </w:r>
          </w:p>
          <w:p w14:paraId="6354803B" w14:textId="4163FB8A" w:rsidR="00DE2F34" w:rsidRDefault="00DE2F34" w:rsidP="00DE2F34">
            <w:pPr>
              <w:pStyle w:val="ListParagraph"/>
              <w:numPr>
                <w:ilvl w:val="0"/>
                <w:numId w:val="32"/>
              </w:numPr>
            </w:pPr>
            <w:r>
              <w:t xml:space="preserve">Demonstrate </w:t>
            </w:r>
            <w:r w:rsidR="00456A82">
              <w:t>your</w:t>
            </w:r>
            <w:r>
              <w:t xml:space="preserve"> organisations procurement and change control procedures.</w:t>
            </w:r>
          </w:p>
          <w:p w14:paraId="3BC83360" w14:textId="77777777" w:rsidR="00DE2F34" w:rsidRDefault="00DE2F34" w:rsidP="00DE2F34">
            <w:pPr>
              <w:pStyle w:val="ListParagraph"/>
              <w:numPr>
                <w:ilvl w:val="0"/>
                <w:numId w:val="32"/>
              </w:numPr>
            </w:pPr>
            <w:r>
              <w:t>Demonstrate how your company has employed RLO’s in the past and how they execute their duties.</w:t>
            </w:r>
          </w:p>
          <w:p w14:paraId="1EAA81DA" w14:textId="482D744A" w:rsidR="00DE2F34" w:rsidRPr="00DE2F34" w:rsidRDefault="00DE2F34" w:rsidP="00DE2F34">
            <w:pPr>
              <w:pStyle w:val="ListParagraph"/>
              <w:rPr>
                <w:rFonts w:eastAsia="Calibri"/>
                <w:b/>
                <w:bCs/>
              </w:rPr>
            </w:pPr>
            <w:r>
              <w:rPr>
                <w:b/>
                <w:bCs/>
              </w:rPr>
              <w:t xml:space="preserve">                                    (3000 words)</w:t>
            </w:r>
          </w:p>
        </w:tc>
        <w:tc>
          <w:tcPr>
            <w:tcW w:w="2268" w:type="dxa"/>
          </w:tcPr>
          <w:p w14:paraId="52841048" w14:textId="5BC4E441" w:rsidR="00DE2F34" w:rsidRPr="00B865F8" w:rsidRDefault="00317B06" w:rsidP="004A5989">
            <w:pPr>
              <w:rPr>
                <w:rFonts w:cs="Arial"/>
                <w:b/>
                <w:bCs/>
                <w:sz w:val="22"/>
                <w:szCs w:val="22"/>
              </w:rPr>
            </w:pPr>
            <w:r w:rsidRPr="00B865F8">
              <w:rPr>
                <w:rFonts w:cs="Arial"/>
                <w:b/>
                <w:bCs/>
                <w:sz w:val="22"/>
                <w:szCs w:val="22"/>
              </w:rPr>
              <w:t>2</w:t>
            </w:r>
            <w:r w:rsidR="0004711B" w:rsidRPr="00B865F8">
              <w:rPr>
                <w:rFonts w:cs="Arial"/>
                <w:b/>
                <w:bCs/>
                <w:sz w:val="22"/>
                <w:szCs w:val="22"/>
              </w:rPr>
              <w:t>0</w:t>
            </w:r>
            <w:r w:rsidR="00DE2F34" w:rsidRPr="00B865F8">
              <w:rPr>
                <w:rFonts w:cs="Arial"/>
                <w:b/>
                <w:bCs/>
                <w:sz w:val="22"/>
                <w:szCs w:val="22"/>
              </w:rPr>
              <w:t>%</w:t>
            </w:r>
            <w:r w:rsidR="00B865F8" w:rsidRPr="00B865F8">
              <w:rPr>
                <w:rFonts w:cs="Arial"/>
                <w:b/>
                <w:bCs/>
                <w:sz w:val="22"/>
                <w:szCs w:val="22"/>
              </w:rPr>
              <w:t xml:space="preserve"> of 60%</w:t>
            </w:r>
          </w:p>
          <w:p w14:paraId="2F7185FB" w14:textId="77777777" w:rsidR="00DE2F34" w:rsidRPr="00DD2A66" w:rsidRDefault="00DE2F34" w:rsidP="004A5989">
            <w:pPr>
              <w:rPr>
                <w:rFonts w:cs="Arial"/>
                <w:b/>
                <w:bCs/>
                <w:sz w:val="22"/>
                <w:szCs w:val="22"/>
                <w:highlight w:val="yellow"/>
              </w:rPr>
            </w:pPr>
          </w:p>
          <w:p w14:paraId="312DB046" w14:textId="77777777" w:rsidR="00DE2F34" w:rsidRPr="00DD2A66" w:rsidRDefault="00DE2F34" w:rsidP="004A5989">
            <w:pPr>
              <w:rPr>
                <w:rFonts w:cs="Arial"/>
                <w:b/>
                <w:bCs/>
                <w:sz w:val="22"/>
                <w:szCs w:val="22"/>
                <w:highlight w:val="yellow"/>
              </w:rPr>
            </w:pPr>
          </w:p>
        </w:tc>
      </w:tr>
      <w:tr w:rsidR="00DE2F34" w:rsidRPr="004976C6" w14:paraId="19A42FD4" w14:textId="77777777" w:rsidTr="00DE2F34">
        <w:tc>
          <w:tcPr>
            <w:tcW w:w="1418" w:type="dxa"/>
          </w:tcPr>
          <w:p w14:paraId="0CBBE83F" w14:textId="77777777" w:rsidR="00DE2F34" w:rsidRPr="00BD348F" w:rsidRDefault="00DE2F34" w:rsidP="0021084B">
            <w:pPr>
              <w:rPr>
                <w:rFonts w:cs="Arial"/>
                <w:b/>
                <w:bCs/>
                <w:sz w:val="22"/>
                <w:szCs w:val="22"/>
              </w:rPr>
            </w:pPr>
            <w:r w:rsidRPr="00BD348F">
              <w:rPr>
                <w:rFonts w:cs="Arial"/>
                <w:b/>
                <w:bCs/>
                <w:sz w:val="22"/>
                <w:szCs w:val="22"/>
              </w:rPr>
              <w:t>3</w:t>
            </w:r>
          </w:p>
        </w:tc>
        <w:tc>
          <w:tcPr>
            <w:tcW w:w="4819" w:type="dxa"/>
          </w:tcPr>
          <w:p w14:paraId="2089D3F9" w14:textId="59452B22" w:rsidR="003B33BE" w:rsidRDefault="003B33BE" w:rsidP="00E15C8A">
            <w:pPr>
              <w:pStyle w:val="ListParagraph"/>
              <w:ind w:left="0"/>
              <w:rPr>
                <w:b/>
                <w:bCs/>
                <w:sz w:val="22"/>
              </w:rPr>
            </w:pPr>
            <w:r>
              <w:rPr>
                <w:b/>
                <w:bCs/>
              </w:rPr>
              <w:t xml:space="preserve">Please provide details of how you would sequence the project and demonstrate your methodology for the installation, please ensure you answer includes the </w:t>
            </w:r>
            <w:r w:rsidR="00E15C8A">
              <w:rPr>
                <w:b/>
                <w:bCs/>
              </w:rPr>
              <w:t>following.</w:t>
            </w:r>
            <w:r>
              <w:rPr>
                <w:b/>
                <w:bCs/>
              </w:rPr>
              <w:t xml:space="preserve">  </w:t>
            </w:r>
          </w:p>
          <w:p w14:paraId="6295BE0A" w14:textId="77777777" w:rsidR="003B33BE" w:rsidRPr="00E42C1C" w:rsidRDefault="003B33BE" w:rsidP="00E42C1C">
            <w:pPr>
              <w:pStyle w:val="ListParagraph"/>
              <w:numPr>
                <w:ilvl w:val="0"/>
                <w:numId w:val="36"/>
              </w:numPr>
            </w:pPr>
            <w:r w:rsidRPr="00E42C1C">
              <w:t>What procedures you will carry out prior to the project starting to ensure the tenants services are restored to better operation or the same?</w:t>
            </w:r>
          </w:p>
          <w:p w14:paraId="25A86385" w14:textId="77777777" w:rsidR="003B33BE" w:rsidRPr="00E42C1C" w:rsidRDefault="003B33BE" w:rsidP="00E42C1C">
            <w:pPr>
              <w:pStyle w:val="ListParagraph"/>
              <w:numPr>
                <w:ilvl w:val="0"/>
                <w:numId w:val="36"/>
              </w:numPr>
            </w:pPr>
            <w:r w:rsidRPr="00E42C1C">
              <w:t>Methodology and sequence start to finish, including downtime and changeover times.</w:t>
            </w:r>
          </w:p>
          <w:p w14:paraId="47FEAFA5" w14:textId="77777777" w:rsidR="003B33BE" w:rsidRPr="00E42C1C" w:rsidRDefault="003B33BE" w:rsidP="00E42C1C">
            <w:pPr>
              <w:pStyle w:val="ListParagraph"/>
              <w:numPr>
                <w:ilvl w:val="0"/>
                <w:numId w:val="36"/>
              </w:numPr>
            </w:pPr>
            <w:r w:rsidRPr="00E42C1C">
              <w:t>Maintaining live systems to minimise disruption, reliance on temporary plant and down/changeover times</w:t>
            </w:r>
          </w:p>
          <w:p w14:paraId="10A52DFA" w14:textId="7C9B2E0F" w:rsidR="003B33BE" w:rsidRPr="00E42C1C" w:rsidRDefault="003B33BE" w:rsidP="00E42C1C">
            <w:pPr>
              <w:pStyle w:val="ListParagraph"/>
              <w:numPr>
                <w:ilvl w:val="0"/>
                <w:numId w:val="36"/>
              </w:numPr>
            </w:pPr>
            <w:r w:rsidRPr="00E42C1C">
              <w:t>Processes you will adopt to safeguard and future proof the installation for RBKC.</w:t>
            </w:r>
          </w:p>
          <w:p w14:paraId="12734841" w14:textId="77777777" w:rsidR="00DE2F34" w:rsidRDefault="00E42C1C" w:rsidP="00E42C1C">
            <w:pPr>
              <w:pStyle w:val="ListParagraph"/>
              <w:jc w:val="left"/>
              <w:rPr>
                <w:b/>
                <w:bCs/>
              </w:rPr>
            </w:pPr>
            <w:r>
              <w:rPr>
                <w:b/>
                <w:bCs/>
              </w:rPr>
              <w:t xml:space="preserve">                                    </w:t>
            </w:r>
            <w:r w:rsidRPr="00E42C1C">
              <w:rPr>
                <w:b/>
                <w:bCs/>
              </w:rPr>
              <w:t>(3000 words)</w:t>
            </w:r>
          </w:p>
          <w:p w14:paraId="763C7FDE" w14:textId="65308BE2" w:rsidR="00E42C1C" w:rsidRPr="00E42C1C" w:rsidRDefault="00E42C1C" w:rsidP="00E42C1C">
            <w:pPr>
              <w:pStyle w:val="ListParagraph"/>
              <w:jc w:val="left"/>
              <w:rPr>
                <w:b/>
                <w:bCs/>
              </w:rPr>
            </w:pPr>
          </w:p>
        </w:tc>
        <w:tc>
          <w:tcPr>
            <w:tcW w:w="2268" w:type="dxa"/>
          </w:tcPr>
          <w:p w14:paraId="218C2CEC" w14:textId="7CF85A4C" w:rsidR="00DE2F34" w:rsidRPr="00B865F8" w:rsidRDefault="00E47114" w:rsidP="0021084B">
            <w:pPr>
              <w:rPr>
                <w:rFonts w:cs="Arial"/>
                <w:b/>
                <w:bCs/>
                <w:sz w:val="22"/>
                <w:szCs w:val="22"/>
              </w:rPr>
            </w:pPr>
            <w:r w:rsidRPr="00B865F8">
              <w:rPr>
                <w:rFonts w:cs="Arial"/>
                <w:b/>
                <w:bCs/>
                <w:sz w:val="22"/>
                <w:szCs w:val="22"/>
              </w:rPr>
              <w:t>20</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20FFD59E" w14:textId="77777777" w:rsidTr="00DE2F34">
        <w:tc>
          <w:tcPr>
            <w:tcW w:w="1418" w:type="dxa"/>
          </w:tcPr>
          <w:p w14:paraId="4ACBA68A" w14:textId="77777777" w:rsidR="00DE2F34" w:rsidRPr="00BD348F" w:rsidRDefault="00DE2F34" w:rsidP="0021084B">
            <w:pPr>
              <w:rPr>
                <w:rFonts w:cs="Arial"/>
                <w:b/>
                <w:bCs/>
                <w:sz w:val="22"/>
                <w:szCs w:val="22"/>
              </w:rPr>
            </w:pPr>
            <w:r w:rsidRPr="00BD348F">
              <w:rPr>
                <w:rFonts w:cs="Arial"/>
                <w:b/>
                <w:bCs/>
                <w:sz w:val="22"/>
                <w:szCs w:val="22"/>
              </w:rPr>
              <w:t>4</w:t>
            </w:r>
          </w:p>
        </w:tc>
        <w:tc>
          <w:tcPr>
            <w:tcW w:w="4819" w:type="dxa"/>
          </w:tcPr>
          <w:p w14:paraId="10C49065" w14:textId="390C00E4" w:rsidR="008F475A" w:rsidRDefault="008F475A" w:rsidP="008F475A">
            <w:pPr>
              <w:pStyle w:val="ListParagraph"/>
              <w:ind w:left="0"/>
              <w:jc w:val="left"/>
              <w:rPr>
                <w:b/>
                <w:bCs/>
                <w:sz w:val="22"/>
              </w:rPr>
            </w:pPr>
            <w:r>
              <w:rPr>
                <w:b/>
                <w:bCs/>
              </w:rPr>
              <w:t xml:space="preserve">In technical terms please demonstrate how you will mechanically separate an older one pipe distribution system within the </w:t>
            </w:r>
            <w:r w:rsidR="009D2F9D">
              <w:rPr>
                <w:b/>
                <w:bCs/>
              </w:rPr>
              <w:t>block,</w:t>
            </w:r>
            <w:r>
              <w:rPr>
                <w:b/>
                <w:bCs/>
              </w:rPr>
              <w:t xml:space="preserve"> to a newer two pipe distribution system (</w:t>
            </w:r>
            <w:r w:rsidR="0031717D">
              <w:rPr>
                <w:b/>
                <w:bCs/>
              </w:rPr>
              <w:t xml:space="preserve">under </w:t>
            </w:r>
            <w:r>
              <w:rPr>
                <w:b/>
                <w:bCs/>
              </w:rPr>
              <w:t>this contract), your answer should include the following</w:t>
            </w:r>
            <w:r w:rsidR="0031717D">
              <w:rPr>
                <w:b/>
                <w:bCs/>
              </w:rPr>
              <w:t xml:space="preserve"> (please note the </w:t>
            </w:r>
            <w:r w:rsidR="002252D8">
              <w:rPr>
                <w:b/>
                <w:bCs/>
              </w:rPr>
              <w:t xml:space="preserve">pipework within the building will be replaced under phase 2 </w:t>
            </w:r>
            <w:r w:rsidR="00583D82">
              <w:rPr>
                <w:b/>
                <w:bCs/>
              </w:rPr>
              <w:t>later</w:t>
            </w:r>
            <w:r w:rsidR="002252D8">
              <w:rPr>
                <w:b/>
                <w:bCs/>
              </w:rPr>
              <w:t>)</w:t>
            </w:r>
            <w:r>
              <w:rPr>
                <w:b/>
                <w:bCs/>
              </w:rPr>
              <w:t>.</w:t>
            </w:r>
          </w:p>
          <w:p w14:paraId="5FE4305B" w14:textId="77777777" w:rsidR="008F475A" w:rsidRPr="008F475A" w:rsidRDefault="008F475A" w:rsidP="008F475A">
            <w:pPr>
              <w:pStyle w:val="ListParagraph"/>
              <w:numPr>
                <w:ilvl w:val="0"/>
                <w:numId w:val="39"/>
              </w:numPr>
            </w:pPr>
            <w:r w:rsidRPr="008F475A">
              <w:t>Written detail on how this will be done.</w:t>
            </w:r>
          </w:p>
          <w:p w14:paraId="501FFFB4" w14:textId="77777777" w:rsidR="008F475A" w:rsidRPr="008F475A" w:rsidRDefault="008F475A" w:rsidP="008F475A">
            <w:pPr>
              <w:pStyle w:val="ListParagraph"/>
              <w:numPr>
                <w:ilvl w:val="0"/>
                <w:numId w:val="39"/>
              </w:numPr>
            </w:pPr>
            <w:r w:rsidRPr="008F475A">
              <w:t>What equipment will be used and how it will be futureproofed, as so it will be re-used and not require replacement under phase 2 (block fitout)</w:t>
            </w:r>
          </w:p>
          <w:p w14:paraId="76A184C3" w14:textId="77777777" w:rsidR="008F475A" w:rsidRPr="008F475A" w:rsidRDefault="008F475A" w:rsidP="008F475A">
            <w:pPr>
              <w:pStyle w:val="ListParagraph"/>
              <w:numPr>
                <w:ilvl w:val="0"/>
                <w:numId w:val="39"/>
              </w:numPr>
            </w:pPr>
            <w:r w:rsidRPr="008F475A">
              <w:t>Any legislative control or guidance codes for installation and commissioning that will be utilised</w:t>
            </w:r>
          </w:p>
          <w:p w14:paraId="58987E43" w14:textId="751CF73B" w:rsidR="00DE2F34" w:rsidRPr="008F475A" w:rsidRDefault="008F475A" w:rsidP="008F475A">
            <w:pPr>
              <w:ind w:left="720"/>
              <w:rPr>
                <w:rFonts w:eastAsia="Calibri"/>
                <w:b/>
                <w:bCs/>
              </w:rPr>
            </w:pPr>
            <w:r>
              <w:rPr>
                <w:b/>
                <w:bCs/>
              </w:rPr>
              <w:t xml:space="preserve">                                    (2000 words)</w:t>
            </w:r>
          </w:p>
        </w:tc>
        <w:tc>
          <w:tcPr>
            <w:tcW w:w="2268" w:type="dxa"/>
          </w:tcPr>
          <w:p w14:paraId="0753480D" w14:textId="7EC1DE97" w:rsidR="00DE2F34" w:rsidRPr="00DD2A66" w:rsidRDefault="008E25FB" w:rsidP="0021084B">
            <w:pPr>
              <w:rPr>
                <w:rFonts w:cs="Arial"/>
                <w:b/>
                <w:bCs/>
                <w:sz w:val="22"/>
                <w:szCs w:val="22"/>
                <w:highlight w:val="yellow"/>
              </w:rPr>
            </w:pPr>
            <w:r w:rsidRPr="00B865F8">
              <w:rPr>
                <w:rFonts w:cs="Arial"/>
                <w:b/>
                <w:bCs/>
                <w:sz w:val="22"/>
                <w:szCs w:val="22"/>
              </w:rPr>
              <w:t>20</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75697584" w14:textId="77777777" w:rsidTr="00DE2F34">
        <w:tc>
          <w:tcPr>
            <w:tcW w:w="1418" w:type="dxa"/>
          </w:tcPr>
          <w:p w14:paraId="11B2DF66" w14:textId="77777777" w:rsidR="00DE2F34" w:rsidRPr="00BD348F" w:rsidRDefault="00DE2F34" w:rsidP="0021084B">
            <w:pPr>
              <w:rPr>
                <w:rFonts w:cs="Arial"/>
                <w:b/>
                <w:bCs/>
                <w:sz w:val="22"/>
                <w:szCs w:val="22"/>
              </w:rPr>
            </w:pPr>
            <w:r w:rsidRPr="00BD348F">
              <w:rPr>
                <w:rFonts w:cs="Arial"/>
                <w:b/>
                <w:bCs/>
                <w:sz w:val="22"/>
                <w:szCs w:val="22"/>
              </w:rPr>
              <w:t>5</w:t>
            </w:r>
          </w:p>
        </w:tc>
        <w:tc>
          <w:tcPr>
            <w:tcW w:w="4819" w:type="dxa"/>
          </w:tcPr>
          <w:p w14:paraId="4527D4D1" w14:textId="6E78CA0C" w:rsidR="008C4FEB" w:rsidRDefault="008C4FEB" w:rsidP="008C4FEB">
            <w:pPr>
              <w:jc w:val="left"/>
              <w:rPr>
                <w:b/>
                <w:bCs/>
              </w:rPr>
            </w:pPr>
            <w:r>
              <w:rPr>
                <w:b/>
                <w:bCs/>
              </w:rPr>
              <w:t>Who is the current maintenance term service provider for RBKC</w:t>
            </w:r>
            <w:r w:rsidR="00E93FC7">
              <w:rPr>
                <w:b/>
                <w:bCs/>
              </w:rPr>
              <w:t xml:space="preserve"> and </w:t>
            </w:r>
            <w:r w:rsidR="000A399A">
              <w:rPr>
                <w:b/>
                <w:bCs/>
              </w:rPr>
              <w:t xml:space="preserve">are you </w:t>
            </w:r>
            <w:r w:rsidR="00103D3F">
              <w:rPr>
                <w:b/>
                <w:bCs/>
              </w:rPr>
              <w:t xml:space="preserve">aware of your duties that you will need to take over from them as part of </w:t>
            </w:r>
            <w:r w:rsidR="009D2F9D">
              <w:rPr>
                <w:b/>
                <w:bCs/>
              </w:rPr>
              <w:t>this</w:t>
            </w:r>
            <w:r w:rsidR="00103D3F">
              <w:rPr>
                <w:b/>
                <w:bCs/>
              </w:rPr>
              <w:t xml:space="preserve"> </w:t>
            </w:r>
            <w:r w:rsidR="009D2F9D">
              <w:rPr>
                <w:b/>
                <w:bCs/>
              </w:rPr>
              <w:t>contract?</w:t>
            </w:r>
            <w:r>
              <w:rPr>
                <w:b/>
                <w:bCs/>
              </w:rPr>
              <w:t xml:space="preserve"> </w:t>
            </w:r>
          </w:p>
          <w:p w14:paraId="19E2AA43" w14:textId="11132571" w:rsidR="00DE2F34" w:rsidRPr="008C4FEB" w:rsidRDefault="008C4FEB" w:rsidP="008C4FEB">
            <w:pPr>
              <w:jc w:val="left"/>
              <w:rPr>
                <w:b/>
                <w:bCs/>
                <w:sz w:val="22"/>
              </w:rPr>
            </w:pPr>
            <w:r>
              <w:rPr>
                <w:b/>
                <w:bCs/>
              </w:rPr>
              <w:t xml:space="preserve">                                                 (100 words)</w:t>
            </w:r>
          </w:p>
        </w:tc>
        <w:tc>
          <w:tcPr>
            <w:tcW w:w="2268" w:type="dxa"/>
          </w:tcPr>
          <w:p w14:paraId="15CD05F0" w14:textId="59899794" w:rsidR="00DE2F34" w:rsidRPr="00DD2A66" w:rsidRDefault="00DB4FCB" w:rsidP="0021084B">
            <w:pPr>
              <w:rPr>
                <w:rFonts w:cs="Arial"/>
                <w:b/>
                <w:bCs/>
                <w:sz w:val="22"/>
                <w:szCs w:val="22"/>
                <w:highlight w:val="yellow"/>
              </w:rPr>
            </w:pPr>
            <w:r w:rsidRPr="00B865F8">
              <w:rPr>
                <w:rFonts w:cs="Arial"/>
                <w:b/>
                <w:bCs/>
                <w:sz w:val="22"/>
                <w:szCs w:val="22"/>
              </w:rPr>
              <w:t>5</w:t>
            </w:r>
            <w:r w:rsidR="00DE2F34" w:rsidRPr="00B865F8">
              <w:rPr>
                <w:rFonts w:cs="Arial"/>
                <w:b/>
                <w:bCs/>
                <w:sz w:val="22"/>
                <w:szCs w:val="22"/>
              </w:rPr>
              <w:t>%</w:t>
            </w:r>
            <w:r w:rsidR="00B865F8" w:rsidRPr="00B865F8">
              <w:rPr>
                <w:rFonts w:cs="Arial"/>
                <w:b/>
                <w:bCs/>
                <w:sz w:val="22"/>
                <w:szCs w:val="22"/>
              </w:rPr>
              <w:t xml:space="preserve"> of 60%</w:t>
            </w:r>
          </w:p>
        </w:tc>
      </w:tr>
      <w:tr w:rsidR="005B682B" w:rsidRPr="004976C6" w14:paraId="498AAF2B" w14:textId="77777777" w:rsidTr="00DE2F34">
        <w:tc>
          <w:tcPr>
            <w:tcW w:w="1418" w:type="dxa"/>
          </w:tcPr>
          <w:p w14:paraId="1576042F" w14:textId="686EDF48" w:rsidR="005B682B" w:rsidRPr="00BD348F" w:rsidRDefault="005B682B" w:rsidP="0021084B">
            <w:pPr>
              <w:rPr>
                <w:rFonts w:cs="Arial"/>
                <w:b/>
                <w:bCs/>
                <w:sz w:val="22"/>
                <w:szCs w:val="22"/>
              </w:rPr>
            </w:pPr>
            <w:r w:rsidRPr="00BD348F">
              <w:rPr>
                <w:rFonts w:cs="Arial"/>
                <w:b/>
                <w:bCs/>
                <w:sz w:val="22"/>
                <w:szCs w:val="22"/>
              </w:rPr>
              <w:t>6</w:t>
            </w:r>
          </w:p>
        </w:tc>
        <w:tc>
          <w:tcPr>
            <w:tcW w:w="4819" w:type="dxa"/>
          </w:tcPr>
          <w:p w14:paraId="5827419E" w14:textId="2C2F5169" w:rsidR="00893C3D" w:rsidRDefault="00893C3D" w:rsidP="00893C3D">
            <w:pPr>
              <w:rPr>
                <w:b/>
                <w:bCs/>
                <w:sz w:val="22"/>
              </w:rPr>
            </w:pPr>
            <w:r>
              <w:rPr>
                <w:b/>
                <w:bCs/>
              </w:rPr>
              <w:t xml:space="preserve">Please detail how you would react in the event of a breakdown or a catastrophic failure from start to finish and demonstrate the full procedure you will implement on the project, your answer should include, but is not limited to. </w:t>
            </w:r>
          </w:p>
          <w:p w14:paraId="750D3E89" w14:textId="77777777" w:rsidR="00893C3D" w:rsidRDefault="00893C3D" w:rsidP="00893C3D">
            <w:pPr>
              <w:numPr>
                <w:ilvl w:val="0"/>
                <w:numId w:val="41"/>
              </w:numPr>
            </w:pPr>
            <w:r>
              <w:t>Contact details and process.</w:t>
            </w:r>
          </w:p>
          <w:p w14:paraId="1824FC71" w14:textId="77777777" w:rsidR="00893C3D" w:rsidRDefault="00893C3D" w:rsidP="00893C3D">
            <w:pPr>
              <w:numPr>
                <w:ilvl w:val="0"/>
                <w:numId w:val="41"/>
              </w:numPr>
            </w:pPr>
            <w:r>
              <w:t>Reaction time in minutes, in normal time and out of hours, Christmas, bank holidays and weekends.</w:t>
            </w:r>
          </w:p>
          <w:p w14:paraId="5DF53977" w14:textId="718D0E8E" w:rsidR="00893C3D" w:rsidRDefault="00893C3D" w:rsidP="00893C3D">
            <w:pPr>
              <w:numPr>
                <w:ilvl w:val="0"/>
                <w:numId w:val="41"/>
              </w:numPr>
            </w:pPr>
            <w:r>
              <w:t xml:space="preserve">Timescales for temporary plant if required </w:t>
            </w:r>
            <w:r w:rsidR="00BD348F">
              <w:t>I.e.,</w:t>
            </w:r>
            <w:r>
              <w:t xml:space="preserve"> generators and boilers/fuel. </w:t>
            </w:r>
          </w:p>
          <w:p w14:paraId="23AA6FD6" w14:textId="0ED90C38" w:rsidR="00893C3D" w:rsidRDefault="00451273" w:rsidP="00893C3D">
            <w:pPr>
              <w:numPr>
                <w:ilvl w:val="0"/>
                <w:numId w:val="41"/>
              </w:numPr>
            </w:pPr>
            <w:r>
              <w:t xml:space="preserve">The </w:t>
            </w:r>
            <w:r w:rsidR="00893C3D">
              <w:t>Supplier of temporary plant.</w:t>
            </w:r>
          </w:p>
          <w:p w14:paraId="5C9123E8" w14:textId="77777777" w:rsidR="00893C3D" w:rsidRDefault="00893C3D" w:rsidP="00893C3D">
            <w:pPr>
              <w:numPr>
                <w:ilvl w:val="0"/>
                <w:numId w:val="41"/>
              </w:numPr>
            </w:pPr>
            <w:r>
              <w:t>How your RLO will execute the duties during this event.</w:t>
            </w:r>
          </w:p>
          <w:p w14:paraId="471B59D7" w14:textId="77777777" w:rsidR="00893C3D" w:rsidRDefault="00893C3D" w:rsidP="00893C3D">
            <w:pPr>
              <w:numPr>
                <w:ilvl w:val="0"/>
                <w:numId w:val="41"/>
              </w:numPr>
            </w:pPr>
            <w:r>
              <w:t>How you will ensure each individual dwelling has heating and hot water during the breakdown.</w:t>
            </w:r>
          </w:p>
          <w:p w14:paraId="7F526FC8" w14:textId="77777777" w:rsidR="00893C3D" w:rsidRDefault="00893C3D" w:rsidP="00893C3D">
            <w:pPr>
              <w:numPr>
                <w:ilvl w:val="0"/>
                <w:numId w:val="41"/>
              </w:numPr>
            </w:pPr>
            <w:r>
              <w:t>How you will ensure fuel poverty doesn’t present itself to our resident’s, due to the temporary heating and hot water required.</w:t>
            </w:r>
          </w:p>
          <w:p w14:paraId="6B8B323F" w14:textId="12868189" w:rsidR="005B682B" w:rsidRPr="00893C3D" w:rsidRDefault="00893C3D" w:rsidP="00893C3D">
            <w:pPr>
              <w:ind w:left="720"/>
              <w:rPr>
                <w:rFonts w:eastAsia="Calibri"/>
                <w:b/>
                <w:bCs/>
              </w:rPr>
            </w:pPr>
            <w:r>
              <w:rPr>
                <w:b/>
                <w:bCs/>
              </w:rPr>
              <w:t xml:space="preserve">                                    (3000 words)</w:t>
            </w:r>
          </w:p>
        </w:tc>
        <w:tc>
          <w:tcPr>
            <w:tcW w:w="2268" w:type="dxa"/>
          </w:tcPr>
          <w:p w14:paraId="56139D69" w14:textId="5CF826F9" w:rsidR="005B682B" w:rsidRPr="00B865F8" w:rsidRDefault="00982EF4" w:rsidP="0021084B">
            <w:pPr>
              <w:rPr>
                <w:rFonts w:cs="Arial"/>
                <w:b/>
                <w:bCs/>
                <w:sz w:val="22"/>
                <w:szCs w:val="22"/>
              </w:rPr>
            </w:pPr>
            <w:r w:rsidRPr="00B865F8">
              <w:rPr>
                <w:rFonts w:cs="Arial"/>
                <w:b/>
                <w:bCs/>
                <w:sz w:val="22"/>
                <w:szCs w:val="22"/>
              </w:rPr>
              <w:t>20</w:t>
            </w:r>
            <w:r w:rsidR="00013630" w:rsidRPr="00B865F8">
              <w:rPr>
                <w:rFonts w:cs="Arial"/>
                <w:b/>
                <w:bCs/>
                <w:sz w:val="22"/>
                <w:szCs w:val="22"/>
              </w:rPr>
              <w:t>%</w:t>
            </w:r>
            <w:r w:rsidR="00B865F8" w:rsidRPr="00B865F8">
              <w:rPr>
                <w:rFonts w:cs="Arial"/>
                <w:b/>
                <w:bCs/>
                <w:sz w:val="22"/>
                <w:szCs w:val="22"/>
              </w:rPr>
              <w:t xml:space="preserve"> of 60%</w:t>
            </w:r>
          </w:p>
        </w:tc>
      </w:tr>
      <w:tr w:rsidR="00013630" w:rsidRPr="004976C6" w14:paraId="4CE47FDC" w14:textId="77777777" w:rsidTr="00DE2F34">
        <w:tc>
          <w:tcPr>
            <w:tcW w:w="1418" w:type="dxa"/>
          </w:tcPr>
          <w:p w14:paraId="5AD14FA4" w14:textId="63C001FB" w:rsidR="00013630" w:rsidRPr="00BD348F" w:rsidRDefault="00013630" w:rsidP="0021084B">
            <w:pPr>
              <w:rPr>
                <w:rFonts w:cs="Arial"/>
                <w:b/>
                <w:bCs/>
                <w:sz w:val="22"/>
                <w:szCs w:val="22"/>
              </w:rPr>
            </w:pPr>
            <w:r w:rsidRPr="00BD348F">
              <w:rPr>
                <w:rFonts w:cs="Arial"/>
                <w:b/>
                <w:bCs/>
                <w:sz w:val="22"/>
                <w:szCs w:val="22"/>
              </w:rPr>
              <w:t>7</w:t>
            </w:r>
          </w:p>
        </w:tc>
        <w:tc>
          <w:tcPr>
            <w:tcW w:w="4819" w:type="dxa"/>
          </w:tcPr>
          <w:p w14:paraId="1D1E63B5" w14:textId="42EFCC51" w:rsidR="00013630" w:rsidRDefault="00013630" w:rsidP="00013630">
            <w:pPr>
              <w:rPr>
                <w:b/>
                <w:bCs/>
                <w:sz w:val="22"/>
              </w:rPr>
            </w:pPr>
            <w:r>
              <w:rPr>
                <w:b/>
                <w:bCs/>
              </w:rPr>
              <w:t xml:space="preserve">RBKC works in accordance with the Localism Act and are strong advocates for supporting local businesses and local jobs for local people; as well as supporting the Community in as many forms as possible. RBKC is committed to improving the local community not only through physical improvements but also through social engagement such as apprenticeship, work placements, Job fairs, new </w:t>
            </w:r>
            <w:r w:rsidR="00BD348F">
              <w:rPr>
                <w:b/>
                <w:bCs/>
              </w:rPr>
              <w:t>jobs,</w:t>
            </w:r>
            <w:r>
              <w:rPr>
                <w:b/>
                <w:bCs/>
              </w:rPr>
              <w:t xml:space="preserve"> and sponsorships etc. Please provide specific examples of where you have provided equivalent benefits for your clients and a proposal of the social benefits you intend to deliver with this contract. </w:t>
            </w:r>
          </w:p>
          <w:p w14:paraId="31E3C86F" w14:textId="44453944" w:rsidR="00013630" w:rsidRPr="00013630" w:rsidRDefault="00013630" w:rsidP="00013630">
            <w:pPr>
              <w:ind w:left="720"/>
              <w:rPr>
                <w:rFonts w:eastAsia="Calibri"/>
                <w:b/>
                <w:bCs/>
              </w:rPr>
            </w:pPr>
            <w:r>
              <w:rPr>
                <w:b/>
                <w:bCs/>
              </w:rPr>
              <w:t xml:space="preserve">                                    (2000 words)</w:t>
            </w:r>
          </w:p>
          <w:p w14:paraId="2AE928A9" w14:textId="77777777" w:rsidR="00013630" w:rsidRDefault="00013630" w:rsidP="00013630">
            <w:pPr>
              <w:rPr>
                <w:b/>
                <w:bCs/>
              </w:rPr>
            </w:pPr>
          </w:p>
        </w:tc>
        <w:tc>
          <w:tcPr>
            <w:tcW w:w="2268" w:type="dxa"/>
          </w:tcPr>
          <w:p w14:paraId="4DC9AC51" w14:textId="5E3B5359" w:rsidR="00013630" w:rsidRDefault="0004711B" w:rsidP="0021084B">
            <w:pPr>
              <w:rPr>
                <w:rFonts w:cs="Arial"/>
                <w:b/>
                <w:bCs/>
                <w:sz w:val="22"/>
                <w:szCs w:val="22"/>
                <w:highlight w:val="yellow"/>
              </w:rPr>
            </w:pPr>
            <w:r w:rsidRPr="00B865F8">
              <w:rPr>
                <w:rFonts w:cs="Arial"/>
                <w:b/>
                <w:bCs/>
                <w:sz w:val="22"/>
                <w:szCs w:val="22"/>
              </w:rPr>
              <w:t>10</w:t>
            </w:r>
            <w:r w:rsidR="00013630" w:rsidRPr="00B865F8">
              <w:rPr>
                <w:rFonts w:cs="Arial"/>
                <w:b/>
                <w:bCs/>
                <w:sz w:val="22"/>
                <w:szCs w:val="22"/>
              </w:rPr>
              <w:t>%</w:t>
            </w:r>
            <w:r w:rsidR="00B865F8" w:rsidRPr="00B865F8">
              <w:rPr>
                <w:rFonts w:cs="Arial"/>
                <w:b/>
                <w:bCs/>
                <w:sz w:val="22"/>
                <w:szCs w:val="22"/>
              </w:rPr>
              <w:t xml:space="preserve"> of 60%</w:t>
            </w:r>
          </w:p>
        </w:tc>
      </w:tr>
    </w:tbl>
    <w:p w14:paraId="69CE4508" w14:textId="77777777" w:rsidR="00945249" w:rsidRPr="004976C6" w:rsidRDefault="00945249" w:rsidP="00AF3DB0">
      <w:pPr>
        <w:spacing w:before="120" w:after="120"/>
        <w:rPr>
          <w:rFonts w:cs="Arial"/>
          <w:b/>
          <w:sz w:val="22"/>
          <w:szCs w:val="22"/>
        </w:rPr>
      </w:pPr>
    </w:p>
    <w:p w14:paraId="293B3C51" w14:textId="77777777" w:rsidR="009F5F29" w:rsidRPr="004976C6" w:rsidRDefault="00BA7530" w:rsidP="007F1184">
      <w:pPr>
        <w:pStyle w:val="A2"/>
        <w:tabs>
          <w:tab w:val="num" w:pos="567"/>
        </w:tabs>
        <w:ind w:left="567" w:hanging="567"/>
        <w:rPr>
          <w:rFonts w:cs="Arial"/>
          <w:sz w:val="22"/>
          <w:szCs w:val="22"/>
        </w:rPr>
      </w:pPr>
      <w:r w:rsidRPr="004976C6">
        <w:rPr>
          <w:rFonts w:cs="Arial"/>
          <w:sz w:val="22"/>
          <w:szCs w:val="22"/>
        </w:rPr>
        <w:t>Following any clarifications</w:t>
      </w:r>
      <w:r w:rsidR="0067353A" w:rsidRPr="004976C6">
        <w:rPr>
          <w:rFonts w:cs="Arial"/>
          <w:sz w:val="22"/>
          <w:szCs w:val="22"/>
        </w:rPr>
        <w:t>,</w:t>
      </w:r>
      <w:r w:rsidR="007F1184" w:rsidRPr="004976C6">
        <w:rPr>
          <w:rFonts w:cs="Arial"/>
          <w:sz w:val="22"/>
          <w:szCs w:val="22"/>
        </w:rPr>
        <w:t xml:space="preserve"> and when </w:t>
      </w:r>
      <w:r w:rsidR="0067353A" w:rsidRPr="004976C6">
        <w:rPr>
          <w:rFonts w:cs="Arial"/>
          <w:sz w:val="22"/>
          <w:szCs w:val="22"/>
        </w:rPr>
        <w:t>all evaluators have completed their scoring remotely on the portal, the moderation of the Technical Envelope will be performed by the RBKC Housing Management Procurement Manager resulting in an average of the scores provided by the evaluators for each question.</w:t>
      </w:r>
    </w:p>
    <w:p w14:paraId="6085C54B" w14:textId="77777777" w:rsidR="00BA7530" w:rsidRPr="004976C6" w:rsidRDefault="005C0613" w:rsidP="00DD4011">
      <w:pPr>
        <w:pStyle w:val="A2"/>
        <w:tabs>
          <w:tab w:val="num" w:pos="567"/>
        </w:tabs>
        <w:ind w:left="567" w:hanging="567"/>
        <w:rPr>
          <w:rFonts w:cs="Arial"/>
          <w:sz w:val="22"/>
          <w:szCs w:val="22"/>
        </w:rPr>
      </w:pPr>
      <w:r w:rsidRPr="004976C6">
        <w:rPr>
          <w:rFonts w:cs="Arial"/>
          <w:sz w:val="22"/>
          <w:szCs w:val="22"/>
        </w:rPr>
        <w:t>If</w:t>
      </w:r>
      <w:r w:rsidR="007F1184" w:rsidRPr="004976C6">
        <w:rPr>
          <w:rFonts w:cs="Arial"/>
          <w:sz w:val="22"/>
          <w:szCs w:val="22"/>
        </w:rPr>
        <w:t>,</w:t>
      </w:r>
      <w:r w:rsidRPr="004976C6">
        <w:rPr>
          <w:rFonts w:cs="Arial"/>
          <w:sz w:val="22"/>
          <w:szCs w:val="22"/>
        </w:rPr>
        <w:t xml:space="preserve"> during the </w:t>
      </w:r>
      <w:r w:rsidR="007F1184" w:rsidRPr="004976C6">
        <w:rPr>
          <w:rFonts w:cs="Arial"/>
          <w:sz w:val="22"/>
          <w:szCs w:val="22"/>
        </w:rPr>
        <w:t>evaluation process</w:t>
      </w:r>
      <w:r w:rsidRPr="004976C6">
        <w:rPr>
          <w:rFonts w:cs="Arial"/>
          <w:sz w:val="22"/>
          <w:szCs w:val="22"/>
        </w:rPr>
        <w:t xml:space="preserve"> a Tender</w:t>
      </w:r>
      <w:r w:rsidR="00980000" w:rsidRPr="004976C6">
        <w:rPr>
          <w:rFonts w:cs="Arial"/>
          <w:sz w:val="22"/>
          <w:szCs w:val="22"/>
        </w:rPr>
        <w:t xml:space="preserve"> </w:t>
      </w:r>
      <w:r w:rsidRPr="004976C6">
        <w:rPr>
          <w:rFonts w:cs="Arial"/>
          <w:sz w:val="22"/>
          <w:szCs w:val="22"/>
        </w:rPr>
        <w:t xml:space="preserve">is scored 2 or less for a response to any of the award criteria the Tender </w:t>
      </w:r>
      <w:r w:rsidR="00F73993" w:rsidRPr="004976C6">
        <w:rPr>
          <w:rFonts w:cs="Arial"/>
          <w:sz w:val="22"/>
          <w:szCs w:val="22"/>
        </w:rPr>
        <w:t>may</w:t>
      </w:r>
      <w:r w:rsidRPr="004976C6">
        <w:rPr>
          <w:rFonts w:cs="Arial"/>
          <w:sz w:val="22"/>
          <w:szCs w:val="22"/>
        </w:rPr>
        <w:t xml:space="preserve"> not be further considered</w:t>
      </w:r>
      <w:r w:rsidR="00787B2B" w:rsidRPr="004976C6">
        <w:rPr>
          <w:rFonts w:cs="Arial"/>
          <w:sz w:val="22"/>
          <w:szCs w:val="22"/>
        </w:rPr>
        <w:t>.</w:t>
      </w:r>
    </w:p>
    <w:p w14:paraId="06EEAE3C" w14:textId="77777777" w:rsidR="009F5F29" w:rsidRPr="004976C6" w:rsidRDefault="005C0613" w:rsidP="00787B2B">
      <w:pPr>
        <w:pStyle w:val="A2"/>
        <w:tabs>
          <w:tab w:val="num" w:pos="567"/>
        </w:tabs>
        <w:ind w:left="567" w:hanging="567"/>
        <w:rPr>
          <w:rFonts w:cs="Arial"/>
          <w:sz w:val="22"/>
          <w:szCs w:val="22"/>
        </w:rPr>
      </w:pPr>
      <w:r w:rsidRPr="004976C6">
        <w:rPr>
          <w:rFonts w:cs="Arial"/>
          <w:sz w:val="22"/>
          <w:szCs w:val="22"/>
        </w:rPr>
        <w:t>For those Tenders which score 3 or above for all responses to the award criteria the evaluation will proceed.</w:t>
      </w:r>
    </w:p>
    <w:p w14:paraId="0D9EDB10" w14:textId="77777777" w:rsidR="001434BD" w:rsidRPr="004976C6" w:rsidRDefault="002216B3" w:rsidP="00107ABE">
      <w:pPr>
        <w:pStyle w:val="A2"/>
        <w:tabs>
          <w:tab w:val="num" w:pos="567"/>
        </w:tabs>
        <w:ind w:left="567" w:hanging="567"/>
        <w:rPr>
          <w:rFonts w:cs="Arial"/>
          <w:sz w:val="22"/>
          <w:szCs w:val="22"/>
        </w:rPr>
      </w:pPr>
      <w:r w:rsidRPr="004976C6">
        <w:rPr>
          <w:rFonts w:cs="Arial"/>
          <w:sz w:val="22"/>
          <w:szCs w:val="22"/>
        </w:rPr>
        <w:t>Each score for a response to an award criterion will be multiplied by the relevant sub-weighting to arrive at a weighted score. Weighted scores will be added together to produce a total score out of 100. The o</w:t>
      </w:r>
      <w:r w:rsidR="00DD4011" w:rsidRPr="004976C6">
        <w:rPr>
          <w:rFonts w:cs="Arial"/>
          <w:sz w:val="22"/>
          <w:szCs w:val="22"/>
        </w:rPr>
        <w:t xml:space="preserve">verall quality </w:t>
      </w:r>
      <w:r w:rsidR="00DD4011" w:rsidRPr="00E81C23">
        <w:rPr>
          <w:rFonts w:cs="Arial"/>
          <w:sz w:val="22"/>
          <w:szCs w:val="22"/>
        </w:rPr>
        <w:t>weighting of 60</w:t>
      </w:r>
      <w:r w:rsidRPr="00E81C23">
        <w:rPr>
          <w:rFonts w:cs="Arial"/>
          <w:sz w:val="22"/>
          <w:szCs w:val="22"/>
        </w:rPr>
        <w:t>%</w:t>
      </w:r>
      <w:r w:rsidRPr="004976C6">
        <w:rPr>
          <w:rFonts w:cs="Arial"/>
          <w:sz w:val="22"/>
          <w:szCs w:val="22"/>
        </w:rPr>
        <w:t xml:space="preserve"> will then be applied</w:t>
      </w:r>
      <w:r w:rsidR="00107ABE" w:rsidRPr="004976C6">
        <w:rPr>
          <w:rFonts w:cs="Arial"/>
          <w:sz w:val="22"/>
          <w:szCs w:val="22"/>
        </w:rPr>
        <w:t>.</w:t>
      </w:r>
    </w:p>
    <w:p w14:paraId="2246AF2F" w14:textId="668652AB" w:rsidR="007F1184" w:rsidRPr="004976C6" w:rsidRDefault="007F1184" w:rsidP="00107ABE">
      <w:pPr>
        <w:pStyle w:val="A2"/>
        <w:tabs>
          <w:tab w:val="num" w:pos="567"/>
        </w:tabs>
        <w:ind w:left="567" w:hanging="567"/>
        <w:rPr>
          <w:rFonts w:cs="Arial"/>
          <w:sz w:val="22"/>
          <w:szCs w:val="22"/>
        </w:rPr>
      </w:pPr>
      <w:r w:rsidRPr="004976C6">
        <w:rPr>
          <w:rFonts w:cs="Arial"/>
          <w:sz w:val="22"/>
          <w:szCs w:val="22"/>
        </w:rPr>
        <w:t xml:space="preserve">If, during the evaluation process, there are issues that arise which require clarification, RBKC may at </w:t>
      </w:r>
      <w:r w:rsidR="00D876EA" w:rsidRPr="004976C6">
        <w:rPr>
          <w:rFonts w:cs="Arial"/>
          <w:sz w:val="22"/>
          <w:szCs w:val="22"/>
        </w:rPr>
        <w:t>its</w:t>
      </w:r>
      <w:r w:rsidRPr="004976C6">
        <w:rPr>
          <w:rFonts w:cs="Arial"/>
          <w:sz w:val="22"/>
          <w:szCs w:val="22"/>
        </w:rPr>
        <w:t xml:space="preserve"> absolute discretion request that bidders attend a virtual interview via Microsoft Teams / Skype or other means available </w:t>
      </w:r>
      <w:r w:rsidR="00D876EA" w:rsidRPr="004976C6">
        <w:rPr>
          <w:rFonts w:cs="Arial"/>
          <w:sz w:val="22"/>
          <w:szCs w:val="22"/>
        </w:rPr>
        <w:t>to</w:t>
      </w:r>
      <w:r w:rsidRPr="004976C6">
        <w:rPr>
          <w:rFonts w:cs="Arial"/>
          <w:sz w:val="22"/>
          <w:szCs w:val="22"/>
        </w:rPr>
        <w:t xml:space="preserve"> address. Any questions to be asked at the interview will be circulated to the bidders prior to the meeting</w:t>
      </w:r>
      <w:r w:rsidR="00E849B2" w:rsidRPr="004976C6">
        <w:rPr>
          <w:rFonts w:cs="Arial"/>
          <w:sz w:val="22"/>
          <w:szCs w:val="22"/>
        </w:rPr>
        <w:t>. The interviews are for clarification only and will not be scored, however, previous scores achieved may or may not be moderated up or down depending on the outcome of the clarification request.</w:t>
      </w:r>
      <w:r w:rsidRPr="004976C6">
        <w:rPr>
          <w:rFonts w:cs="Arial"/>
          <w:sz w:val="22"/>
          <w:szCs w:val="22"/>
        </w:rPr>
        <w:t xml:space="preserve"> </w:t>
      </w:r>
    </w:p>
    <w:p w14:paraId="0CBB64A9" w14:textId="77777777" w:rsidR="0043430C" w:rsidRPr="004976C6" w:rsidRDefault="00107ABE" w:rsidP="00107ABE">
      <w:pPr>
        <w:pStyle w:val="A1"/>
        <w:numPr>
          <w:ilvl w:val="0"/>
          <w:numId w:val="13"/>
        </w:numPr>
        <w:rPr>
          <w:rFonts w:cs="Arial"/>
          <w:sz w:val="22"/>
          <w:szCs w:val="22"/>
        </w:rPr>
      </w:pPr>
      <w:r w:rsidRPr="004976C6">
        <w:rPr>
          <w:rFonts w:cs="Arial"/>
          <w:sz w:val="22"/>
          <w:szCs w:val="22"/>
        </w:rPr>
        <w:t>STAGE 3 – PRICE</w:t>
      </w:r>
      <w:r w:rsidR="001434BD" w:rsidRPr="004976C6">
        <w:rPr>
          <w:rFonts w:cs="Arial"/>
          <w:sz w:val="22"/>
          <w:szCs w:val="22"/>
        </w:rPr>
        <w:t xml:space="preserve"> (</w:t>
      </w:r>
      <w:r w:rsidRPr="004976C6">
        <w:rPr>
          <w:rFonts w:cs="Arial"/>
          <w:sz w:val="22"/>
          <w:szCs w:val="22"/>
        </w:rPr>
        <w:t xml:space="preserve">COMMERCIAL ENVELOPE IN </w:t>
      </w:r>
      <w:r w:rsidRPr="00E81C23">
        <w:rPr>
          <w:rFonts w:cs="Arial"/>
          <w:sz w:val="22"/>
          <w:szCs w:val="22"/>
        </w:rPr>
        <w:t>CAPITALESOURCING</w:t>
      </w:r>
      <w:r w:rsidR="001434BD" w:rsidRPr="00E81C23">
        <w:rPr>
          <w:rFonts w:cs="Arial"/>
          <w:sz w:val="22"/>
          <w:szCs w:val="22"/>
        </w:rPr>
        <w:t>)</w:t>
      </w:r>
      <w:r w:rsidR="00DD4011" w:rsidRPr="00E81C23">
        <w:rPr>
          <w:rFonts w:cs="Arial"/>
          <w:sz w:val="22"/>
          <w:szCs w:val="22"/>
        </w:rPr>
        <w:t xml:space="preserve"> 40</w:t>
      </w:r>
      <w:r w:rsidR="006B246A" w:rsidRPr="00E81C23">
        <w:rPr>
          <w:rFonts w:cs="Arial"/>
          <w:sz w:val="22"/>
          <w:szCs w:val="22"/>
        </w:rPr>
        <w:t>%</w:t>
      </w:r>
    </w:p>
    <w:p w14:paraId="0C115EEB" w14:textId="10879D5F" w:rsidR="00C576F1" w:rsidRPr="004976C6" w:rsidRDefault="00C576F1" w:rsidP="00107ABE">
      <w:pPr>
        <w:pStyle w:val="A2"/>
        <w:tabs>
          <w:tab w:val="num" w:pos="567"/>
        </w:tabs>
        <w:ind w:left="567" w:hanging="567"/>
        <w:rPr>
          <w:rFonts w:cs="Arial"/>
          <w:sz w:val="22"/>
          <w:szCs w:val="22"/>
        </w:rPr>
      </w:pPr>
      <w:r w:rsidRPr="004976C6">
        <w:rPr>
          <w:rFonts w:cs="Arial"/>
          <w:sz w:val="22"/>
          <w:szCs w:val="22"/>
        </w:rPr>
        <w:t>The commercial envelope</w:t>
      </w:r>
      <w:r w:rsidR="00915DC7" w:rsidRPr="004976C6">
        <w:rPr>
          <w:rFonts w:cs="Arial"/>
          <w:sz w:val="22"/>
          <w:szCs w:val="22"/>
        </w:rPr>
        <w:t xml:space="preserve"> has one</w:t>
      </w:r>
      <w:r w:rsidRPr="004976C6">
        <w:rPr>
          <w:rFonts w:cs="Arial"/>
          <w:sz w:val="22"/>
          <w:szCs w:val="22"/>
        </w:rPr>
        <w:t xml:space="preserve"> section</w:t>
      </w:r>
      <w:r w:rsidR="00915DC7" w:rsidRPr="004976C6">
        <w:rPr>
          <w:rFonts w:cs="Arial"/>
          <w:sz w:val="22"/>
          <w:szCs w:val="22"/>
        </w:rPr>
        <w:t xml:space="preserve"> (Total cost)</w:t>
      </w:r>
      <w:r w:rsidRPr="004976C6">
        <w:rPr>
          <w:rFonts w:cs="Arial"/>
          <w:sz w:val="22"/>
          <w:szCs w:val="22"/>
        </w:rPr>
        <w:t xml:space="preserve">. </w:t>
      </w:r>
      <w:r w:rsidR="00915DC7" w:rsidRPr="004976C6">
        <w:rPr>
          <w:rFonts w:cs="Arial"/>
          <w:sz w:val="22"/>
          <w:szCs w:val="22"/>
        </w:rPr>
        <w:t>This</w:t>
      </w:r>
      <w:r w:rsidRPr="004976C6">
        <w:rPr>
          <w:rFonts w:cs="Arial"/>
          <w:sz w:val="22"/>
          <w:szCs w:val="22"/>
        </w:rPr>
        <w:t xml:space="preserve"> will be evaluated on its own merit</w:t>
      </w:r>
      <w:r w:rsidR="00A920F3" w:rsidRPr="004976C6">
        <w:rPr>
          <w:rFonts w:cs="Arial"/>
          <w:sz w:val="22"/>
          <w:szCs w:val="22"/>
        </w:rPr>
        <w:t>, the</w:t>
      </w:r>
      <w:r w:rsidRPr="004976C6">
        <w:rPr>
          <w:rFonts w:cs="Arial"/>
          <w:sz w:val="22"/>
          <w:szCs w:val="22"/>
        </w:rPr>
        <w:t xml:space="preserve"> weight</w:t>
      </w:r>
      <w:r w:rsidR="00A920F3" w:rsidRPr="004976C6">
        <w:rPr>
          <w:rFonts w:cs="Arial"/>
          <w:sz w:val="22"/>
          <w:szCs w:val="22"/>
        </w:rPr>
        <w:t xml:space="preserve">ing for </w:t>
      </w:r>
      <w:r w:rsidR="00915DC7" w:rsidRPr="004976C6">
        <w:rPr>
          <w:rFonts w:cs="Arial"/>
          <w:sz w:val="22"/>
          <w:szCs w:val="22"/>
        </w:rPr>
        <w:t>this</w:t>
      </w:r>
      <w:r w:rsidR="00A920F3" w:rsidRPr="004976C6">
        <w:rPr>
          <w:rFonts w:cs="Arial"/>
          <w:sz w:val="22"/>
          <w:szCs w:val="22"/>
        </w:rPr>
        <w:t xml:space="preserve"> section </w:t>
      </w:r>
      <w:r w:rsidR="00915DC7" w:rsidRPr="004976C6">
        <w:rPr>
          <w:rFonts w:cs="Arial"/>
          <w:sz w:val="22"/>
          <w:szCs w:val="22"/>
        </w:rPr>
        <w:t>is</w:t>
      </w:r>
      <w:r w:rsidRPr="004976C6">
        <w:rPr>
          <w:rFonts w:cs="Arial"/>
          <w:sz w:val="22"/>
          <w:szCs w:val="22"/>
        </w:rPr>
        <w:t xml:space="preserve"> as </w:t>
      </w:r>
      <w:r w:rsidR="00D876EA" w:rsidRPr="004976C6">
        <w:rPr>
          <w:rFonts w:cs="Arial"/>
          <w:sz w:val="22"/>
          <w:szCs w:val="22"/>
        </w:rPr>
        <w:t>follows.</w:t>
      </w:r>
    </w:p>
    <w:p w14:paraId="117327B4" w14:textId="77777777" w:rsidR="00C576F1" w:rsidRPr="004976C6" w:rsidRDefault="00537E88" w:rsidP="00915DC7">
      <w:pPr>
        <w:pStyle w:val="A2"/>
        <w:numPr>
          <w:ilvl w:val="0"/>
          <w:numId w:val="22"/>
        </w:numPr>
        <w:rPr>
          <w:rFonts w:cs="Arial"/>
          <w:sz w:val="22"/>
          <w:szCs w:val="22"/>
        </w:rPr>
      </w:pPr>
      <w:r w:rsidRPr="004976C6">
        <w:rPr>
          <w:rFonts w:cs="Arial"/>
          <w:sz w:val="22"/>
          <w:szCs w:val="22"/>
        </w:rPr>
        <w:t xml:space="preserve">Total Tender </w:t>
      </w:r>
      <w:r w:rsidRPr="00E81C23">
        <w:rPr>
          <w:rFonts w:cs="Arial"/>
          <w:sz w:val="22"/>
          <w:szCs w:val="22"/>
        </w:rPr>
        <w:t>Sum</w:t>
      </w:r>
      <w:r w:rsidR="00C576F1" w:rsidRPr="00E81C23">
        <w:rPr>
          <w:rFonts w:cs="Arial"/>
          <w:sz w:val="22"/>
          <w:szCs w:val="22"/>
        </w:rPr>
        <w:t xml:space="preserve"> – </w:t>
      </w:r>
      <w:r w:rsidR="00915DC7" w:rsidRPr="00E81C23">
        <w:rPr>
          <w:rFonts w:cs="Arial"/>
          <w:sz w:val="22"/>
          <w:szCs w:val="22"/>
        </w:rPr>
        <w:t>4</w:t>
      </w:r>
      <w:r w:rsidR="00C576F1" w:rsidRPr="00E81C23">
        <w:rPr>
          <w:rFonts w:cs="Arial"/>
          <w:sz w:val="22"/>
          <w:szCs w:val="22"/>
        </w:rPr>
        <w:t>0%</w:t>
      </w:r>
    </w:p>
    <w:p w14:paraId="09C6DF10" w14:textId="77777777" w:rsidR="00107ABE" w:rsidRPr="004976C6" w:rsidRDefault="000A6D6D" w:rsidP="00107ABE">
      <w:pPr>
        <w:pStyle w:val="A2"/>
        <w:tabs>
          <w:tab w:val="num" w:pos="567"/>
        </w:tabs>
        <w:ind w:left="567" w:hanging="567"/>
        <w:rPr>
          <w:rFonts w:cs="Arial"/>
          <w:sz w:val="22"/>
          <w:szCs w:val="22"/>
        </w:rPr>
      </w:pPr>
      <w:r w:rsidRPr="004976C6">
        <w:rPr>
          <w:rFonts w:cs="Arial"/>
          <w:sz w:val="22"/>
          <w:szCs w:val="22"/>
        </w:rPr>
        <w:t xml:space="preserve">The Tender with the lowest </w:t>
      </w:r>
      <w:r w:rsidR="00A920F3" w:rsidRPr="004976C6">
        <w:rPr>
          <w:rFonts w:cs="Arial"/>
          <w:sz w:val="22"/>
          <w:szCs w:val="22"/>
        </w:rPr>
        <w:t>sum</w:t>
      </w:r>
      <w:r w:rsidR="005F5252" w:rsidRPr="004976C6">
        <w:rPr>
          <w:rFonts w:cs="Arial"/>
          <w:sz w:val="22"/>
          <w:szCs w:val="22"/>
        </w:rPr>
        <w:t xml:space="preserve"> </w:t>
      </w:r>
      <w:r w:rsidRPr="004976C6">
        <w:rPr>
          <w:rFonts w:cs="Arial"/>
          <w:sz w:val="22"/>
          <w:szCs w:val="22"/>
        </w:rPr>
        <w:t xml:space="preserve">will automatically </w:t>
      </w:r>
      <w:r w:rsidR="006B246A" w:rsidRPr="004976C6">
        <w:rPr>
          <w:rFonts w:cs="Arial"/>
          <w:sz w:val="22"/>
          <w:szCs w:val="22"/>
        </w:rPr>
        <w:t xml:space="preserve">score </w:t>
      </w:r>
      <w:r w:rsidR="00A920F3" w:rsidRPr="004976C6">
        <w:rPr>
          <w:rFonts w:cs="Arial"/>
          <w:sz w:val="22"/>
          <w:szCs w:val="22"/>
        </w:rPr>
        <w:t>the full weighting for the section</w:t>
      </w:r>
      <w:r w:rsidRPr="004976C6">
        <w:rPr>
          <w:rFonts w:cs="Arial"/>
          <w:sz w:val="22"/>
          <w:szCs w:val="22"/>
        </w:rPr>
        <w:t>. Thereafter each other Tender is compared against the lowest priced Tender in accordance with the following formula</w:t>
      </w:r>
      <w:r w:rsidR="008F5CA9" w:rsidRPr="004976C6">
        <w:rPr>
          <w:rFonts w:cs="Arial"/>
          <w:sz w:val="22"/>
          <w:szCs w:val="22"/>
        </w:rPr>
        <w:t xml:space="preserve"> to arrive at a score to one decimal point</w:t>
      </w:r>
      <w:r w:rsidRPr="004976C6">
        <w:rPr>
          <w:rFonts w:cs="Arial"/>
          <w:sz w:val="22"/>
          <w:szCs w:val="22"/>
        </w:rPr>
        <w:t>:</w:t>
      </w:r>
    </w:p>
    <w:p w14:paraId="2D6824E8"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(A÷B) x C = X</w:t>
      </w:r>
    </w:p>
    <w:p w14:paraId="0F5CA5AF" w14:textId="77777777" w:rsidR="001658DE" w:rsidRPr="004976C6" w:rsidRDefault="001658DE" w:rsidP="001658DE">
      <w:pPr>
        <w:ind w:left="1080"/>
        <w:rPr>
          <w:rFonts w:cs="Arial"/>
          <w:color w:val="000000"/>
          <w:sz w:val="22"/>
          <w:szCs w:val="22"/>
        </w:rPr>
      </w:pPr>
    </w:p>
    <w:p w14:paraId="704CF666"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Where:</w:t>
      </w:r>
    </w:p>
    <w:p w14:paraId="5395A05D"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 = the lowest submitted price of all Tenders</w:t>
      </w:r>
    </w:p>
    <w:p w14:paraId="2E35EC9F"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B = the total price submitted by Tenderer</w:t>
      </w:r>
    </w:p>
    <w:p w14:paraId="65C36B9F" w14:textId="6516C233" w:rsidR="001658DE" w:rsidRPr="004976C6" w:rsidRDefault="001658DE" w:rsidP="00107ABE">
      <w:pPr>
        <w:ind w:left="1418" w:hanging="851"/>
        <w:rPr>
          <w:rFonts w:cs="Arial"/>
          <w:color w:val="000000"/>
          <w:sz w:val="22"/>
          <w:szCs w:val="22"/>
        </w:rPr>
      </w:pPr>
      <w:r w:rsidRPr="004976C6">
        <w:rPr>
          <w:rFonts w:cs="Arial"/>
          <w:color w:val="000000"/>
          <w:sz w:val="22"/>
          <w:szCs w:val="22"/>
        </w:rPr>
        <w:t>C = th</w:t>
      </w:r>
      <w:r w:rsidR="00DD4011" w:rsidRPr="004976C6">
        <w:rPr>
          <w:rFonts w:cs="Arial"/>
          <w:color w:val="000000"/>
          <w:sz w:val="22"/>
          <w:szCs w:val="22"/>
        </w:rPr>
        <w:t xml:space="preserve">e maximum percentage score </w:t>
      </w:r>
      <w:r w:rsidR="00D876EA" w:rsidRPr="004976C6">
        <w:rPr>
          <w:rFonts w:cs="Arial"/>
          <w:color w:val="000000"/>
          <w:sz w:val="22"/>
          <w:szCs w:val="22"/>
        </w:rPr>
        <w:t>i.e</w:t>
      </w:r>
      <w:r w:rsidR="00D876EA" w:rsidRPr="00E81C23">
        <w:rPr>
          <w:rFonts w:cs="Arial"/>
          <w:color w:val="000000"/>
          <w:sz w:val="22"/>
          <w:szCs w:val="22"/>
        </w:rPr>
        <w:t>.,</w:t>
      </w:r>
      <w:r w:rsidR="00DD4011" w:rsidRPr="00E81C23">
        <w:rPr>
          <w:rFonts w:cs="Arial"/>
          <w:color w:val="000000"/>
          <w:sz w:val="22"/>
          <w:szCs w:val="22"/>
        </w:rPr>
        <w:t xml:space="preserve"> </w:t>
      </w:r>
      <w:r w:rsidR="00915DC7" w:rsidRPr="00E81C23">
        <w:rPr>
          <w:rFonts w:cs="Arial"/>
          <w:color w:val="000000"/>
          <w:sz w:val="22"/>
          <w:szCs w:val="22"/>
        </w:rPr>
        <w:t>4</w:t>
      </w:r>
      <w:r w:rsidR="00A920F3" w:rsidRPr="00E81C23">
        <w:rPr>
          <w:rFonts w:cs="Arial"/>
          <w:color w:val="000000"/>
          <w:sz w:val="22"/>
          <w:szCs w:val="22"/>
        </w:rPr>
        <w:t>0</w:t>
      </w:r>
      <w:r w:rsidR="004072F1" w:rsidRPr="00E81C23">
        <w:rPr>
          <w:rFonts w:cs="Arial"/>
          <w:color w:val="000000"/>
          <w:sz w:val="22"/>
          <w:szCs w:val="22"/>
        </w:rPr>
        <w:t>%</w:t>
      </w:r>
    </w:p>
    <w:p w14:paraId="1504A721"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X = the score for Price</w:t>
      </w:r>
    </w:p>
    <w:p w14:paraId="6E8C53D5" w14:textId="77777777" w:rsidR="00107ABE" w:rsidRPr="004976C6" w:rsidRDefault="001658DE" w:rsidP="003A340F">
      <w:pPr>
        <w:pStyle w:val="A2"/>
        <w:tabs>
          <w:tab w:val="num" w:pos="567"/>
        </w:tabs>
        <w:ind w:left="567" w:hanging="567"/>
        <w:rPr>
          <w:rFonts w:cs="Arial"/>
          <w:sz w:val="22"/>
          <w:szCs w:val="22"/>
        </w:rPr>
      </w:pPr>
      <w:r w:rsidRPr="004976C6">
        <w:rPr>
          <w:rFonts w:cs="Arial"/>
          <w:sz w:val="22"/>
          <w:szCs w:val="22"/>
        </w:rPr>
        <w:t xml:space="preserve">Based on a notional figure of £60,000 for the </w:t>
      </w:r>
      <w:r w:rsidR="00A920F3" w:rsidRPr="004976C6">
        <w:rPr>
          <w:rFonts w:cs="Arial"/>
          <w:sz w:val="22"/>
          <w:szCs w:val="22"/>
        </w:rPr>
        <w:t>lowest Tender</w:t>
      </w:r>
      <w:r w:rsidRPr="004976C6">
        <w:rPr>
          <w:rFonts w:cs="Arial"/>
          <w:sz w:val="22"/>
          <w:szCs w:val="22"/>
        </w:rPr>
        <w:t xml:space="preserve"> price</w:t>
      </w:r>
      <w:r w:rsidR="00A920F3" w:rsidRPr="004976C6">
        <w:rPr>
          <w:rFonts w:cs="Arial"/>
          <w:sz w:val="22"/>
          <w:szCs w:val="22"/>
        </w:rPr>
        <w:t xml:space="preserve"> for contract sum</w:t>
      </w:r>
      <w:r w:rsidRPr="004976C6">
        <w:rPr>
          <w:rFonts w:cs="Arial"/>
          <w:sz w:val="22"/>
          <w:szCs w:val="22"/>
        </w:rPr>
        <w:t xml:space="preserve"> and using the formula set out in paragraph </w:t>
      </w:r>
      <w:r w:rsidR="00A920F3" w:rsidRPr="004976C6">
        <w:rPr>
          <w:rFonts w:cs="Arial"/>
          <w:sz w:val="22"/>
          <w:szCs w:val="22"/>
        </w:rPr>
        <w:t>3.2</w:t>
      </w:r>
      <w:r w:rsidRPr="004976C6">
        <w:rPr>
          <w:rFonts w:cs="Arial"/>
          <w:sz w:val="22"/>
          <w:szCs w:val="22"/>
        </w:rPr>
        <w:t xml:space="preserve"> above </w:t>
      </w:r>
      <w:r w:rsidR="006B246A" w:rsidRPr="004976C6">
        <w:rPr>
          <w:rFonts w:cs="Arial"/>
          <w:sz w:val="22"/>
          <w:szCs w:val="22"/>
        </w:rPr>
        <w:t xml:space="preserve">the Commercial Envelope score for price would be as set out below and then weighted by </w:t>
      </w:r>
      <w:r w:rsidR="00915DC7" w:rsidRPr="004976C6">
        <w:rPr>
          <w:rFonts w:cs="Arial"/>
          <w:sz w:val="22"/>
          <w:szCs w:val="22"/>
        </w:rPr>
        <w:t>4</w:t>
      </w:r>
      <w:r w:rsidR="004072F1" w:rsidRPr="004976C6">
        <w:rPr>
          <w:rFonts w:cs="Arial"/>
          <w:sz w:val="22"/>
          <w:szCs w:val="22"/>
        </w:rPr>
        <w:t>0</w:t>
      </w:r>
      <w:r w:rsidR="006B246A" w:rsidRPr="004976C6">
        <w:rPr>
          <w:rFonts w:cs="Arial"/>
          <w:sz w:val="22"/>
          <w:szCs w:val="22"/>
        </w:rPr>
        <w:t xml:space="preserve">% and </w:t>
      </w:r>
      <w:r w:rsidRPr="004976C6">
        <w:rPr>
          <w:rFonts w:cs="Arial"/>
          <w:sz w:val="22"/>
          <w:szCs w:val="22"/>
        </w:rPr>
        <w:t>awarded as follows:</w:t>
      </w:r>
    </w:p>
    <w:p w14:paraId="18791116" w14:textId="77777777" w:rsidR="001658DE" w:rsidRPr="004976C6" w:rsidRDefault="001658DE" w:rsidP="001658DE">
      <w:pPr>
        <w:ind w:right="-61"/>
        <w:rPr>
          <w:rFonts w:cs="Arial"/>
          <w:color w:val="000000"/>
          <w:sz w:val="22"/>
          <w:szCs w:val="22"/>
        </w:rPr>
      </w:pPr>
    </w:p>
    <w:p w14:paraId="77913276" w14:textId="77777777" w:rsidR="001658DE" w:rsidRPr="004976C6" w:rsidRDefault="001658DE" w:rsidP="001658DE">
      <w:pPr>
        <w:ind w:right="-61"/>
        <w:rPr>
          <w:rFonts w:cs="Arial"/>
          <w:color w:val="000000"/>
          <w:sz w:val="22"/>
          <w:szCs w:val="22"/>
        </w:rPr>
      </w:pPr>
    </w:p>
    <w:tbl>
      <w:tblPr>
        <w:tblW w:w="460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3118"/>
        <w:gridCol w:w="3400"/>
      </w:tblGrid>
      <w:tr w:rsidR="00DD4011" w:rsidRPr="004976C6" w14:paraId="208E05F8" w14:textId="77777777" w:rsidTr="00261BF3">
        <w:tc>
          <w:tcPr>
            <w:tcW w:w="1168" w:type="pct"/>
            <w:shd w:val="clear" w:color="auto" w:fill="D9D9D9"/>
          </w:tcPr>
          <w:p w14:paraId="1849BEEC"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TENDERER</w:t>
            </w:r>
          </w:p>
        </w:tc>
        <w:tc>
          <w:tcPr>
            <w:tcW w:w="1833" w:type="pct"/>
            <w:shd w:val="clear" w:color="auto" w:fill="D9D9D9"/>
          </w:tcPr>
          <w:p w14:paraId="602E267E"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PRICE</w:t>
            </w:r>
          </w:p>
        </w:tc>
        <w:tc>
          <w:tcPr>
            <w:tcW w:w="1999" w:type="pct"/>
            <w:shd w:val="clear" w:color="auto" w:fill="D9D9D9"/>
          </w:tcPr>
          <w:p w14:paraId="6587A9E8" w14:textId="77777777" w:rsidR="00DD4011" w:rsidRPr="004976C6" w:rsidRDefault="00DD4011" w:rsidP="00AF3DB0">
            <w:pPr>
              <w:tabs>
                <w:tab w:val="left" w:pos="1080"/>
              </w:tabs>
              <w:ind w:right="-61"/>
              <w:rPr>
                <w:rFonts w:cs="Arial"/>
                <w:b/>
                <w:color w:val="000000"/>
                <w:sz w:val="22"/>
                <w:szCs w:val="22"/>
              </w:rPr>
            </w:pPr>
            <w:r w:rsidRPr="004976C6">
              <w:rPr>
                <w:rFonts w:cs="Arial"/>
                <w:b/>
                <w:color w:val="000000"/>
                <w:sz w:val="22"/>
                <w:szCs w:val="22"/>
              </w:rPr>
              <w:t xml:space="preserve">SCORE WEIGHTED BY </w:t>
            </w:r>
            <w:r w:rsidRPr="00E81C23">
              <w:rPr>
                <w:rFonts w:cs="Arial"/>
                <w:b/>
                <w:color w:val="000000"/>
                <w:sz w:val="22"/>
                <w:szCs w:val="22"/>
              </w:rPr>
              <w:t>40%</w:t>
            </w:r>
            <w:r w:rsidRPr="004976C6">
              <w:rPr>
                <w:rFonts w:cs="Arial"/>
                <w:b/>
                <w:color w:val="000000"/>
                <w:sz w:val="22"/>
                <w:szCs w:val="22"/>
              </w:rPr>
              <w:t xml:space="preserve"> FOR AWARD</w:t>
            </w:r>
          </w:p>
        </w:tc>
      </w:tr>
      <w:tr w:rsidR="00DD4011" w:rsidRPr="004976C6" w14:paraId="2EC64C08" w14:textId="77777777" w:rsidTr="00261BF3">
        <w:tc>
          <w:tcPr>
            <w:tcW w:w="1168" w:type="pct"/>
          </w:tcPr>
          <w:p w14:paraId="0387C90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1</w:t>
            </w:r>
          </w:p>
        </w:tc>
        <w:tc>
          <w:tcPr>
            <w:tcW w:w="1833" w:type="pct"/>
          </w:tcPr>
          <w:p w14:paraId="0B379B1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£60,000 (A)</w:t>
            </w:r>
          </w:p>
        </w:tc>
        <w:tc>
          <w:tcPr>
            <w:tcW w:w="1999" w:type="pct"/>
          </w:tcPr>
          <w:p w14:paraId="6F446AE8"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4</w:t>
            </w:r>
            <w:r w:rsidR="00DD4011" w:rsidRPr="00E81C23">
              <w:rPr>
                <w:rFonts w:cs="Arial"/>
                <w:color w:val="000000"/>
                <w:sz w:val="22"/>
                <w:szCs w:val="22"/>
              </w:rPr>
              <w:t>0</w:t>
            </w:r>
            <w:r w:rsidRPr="00E81C23">
              <w:rPr>
                <w:rFonts w:cs="Arial"/>
                <w:color w:val="000000"/>
                <w:sz w:val="22"/>
                <w:szCs w:val="22"/>
              </w:rPr>
              <w:t>.0</w:t>
            </w:r>
            <w:r w:rsidR="00DD4011" w:rsidRPr="00E81C23">
              <w:rPr>
                <w:rFonts w:cs="Arial"/>
                <w:color w:val="000000"/>
                <w:sz w:val="22"/>
                <w:szCs w:val="22"/>
              </w:rPr>
              <w:t>%</w:t>
            </w:r>
          </w:p>
        </w:tc>
      </w:tr>
      <w:tr w:rsidR="00DD4011" w:rsidRPr="004976C6" w14:paraId="31DA4F71" w14:textId="77777777" w:rsidTr="00261BF3">
        <w:tc>
          <w:tcPr>
            <w:tcW w:w="1168" w:type="pct"/>
          </w:tcPr>
          <w:p w14:paraId="085F8B3A"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2</w:t>
            </w:r>
          </w:p>
        </w:tc>
        <w:tc>
          <w:tcPr>
            <w:tcW w:w="1833" w:type="pct"/>
          </w:tcPr>
          <w:p w14:paraId="546CEC03"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£70,000 (B)</w:t>
            </w:r>
          </w:p>
        </w:tc>
        <w:tc>
          <w:tcPr>
            <w:tcW w:w="1999" w:type="pct"/>
          </w:tcPr>
          <w:p w14:paraId="71A714EA"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34</w:t>
            </w:r>
            <w:r w:rsidR="00A920F3" w:rsidRPr="00E81C23">
              <w:rPr>
                <w:rFonts w:cs="Arial"/>
                <w:color w:val="000000"/>
                <w:sz w:val="22"/>
                <w:szCs w:val="22"/>
              </w:rPr>
              <w:t>.</w:t>
            </w:r>
            <w:r w:rsidRPr="00E81C23">
              <w:rPr>
                <w:rFonts w:cs="Arial"/>
                <w:color w:val="000000"/>
                <w:sz w:val="22"/>
                <w:szCs w:val="22"/>
              </w:rPr>
              <w:t>3</w:t>
            </w:r>
            <w:r w:rsidR="00DD4011" w:rsidRPr="00E81C23">
              <w:rPr>
                <w:rFonts w:cs="Arial"/>
                <w:color w:val="000000"/>
                <w:sz w:val="22"/>
                <w:szCs w:val="22"/>
              </w:rPr>
              <w:t>%</w:t>
            </w:r>
          </w:p>
        </w:tc>
      </w:tr>
      <w:tr w:rsidR="00DD4011" w:rsidRPr="004976C6" w14:paraId="05D472C8" w14:textId="77777777" w:rsidTr="00261BF3">
        <w:tc>
          <w:tcPr>
            <w:tcW w:w="1168" w:type="pct"/>
          </w:tcPr>
          <w:p w14:paraId="1F26746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3</w:t>
            </w:r>
          </w:p>
        </w:tc>
        <w:tc>
          <w:tcPr>
            <w:tcW w:w="1833" w:type="pct"/>
          </w:tcPr>
          <w:p w14:paraId="214C386F"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£80,000 (B)</w:t>
            </w:r>
          </w:p>
        </w:tc>
        <w:tc>
          <w:tcPr>
            <w:tcW w:w="1999" w:type="pct"/>
          </w:tcPr>
          <w:p w14:paraId="041DC9D4" w14:textId="77777777" w:rsidR="00DD4011" w:rsidRPr="00E81C23" w:rsidRDefault="00915DC7" w:rsidP="0021084B">
            <w:pPr>
              <w:tabs>
                <w:tab w:val="left" w:pos="1080"/>
              </w:tabs>
              <w:spacing w:line="360" w:lineRule="auto"/>
              <w:ind w:right="-61"/>
              <w:rPr>
                <w:rFonts w:cs="Arial"/>
                <w:color w:val="000000"/>
                <w:sz w:val="22"/>
                <w:szCs w:val="22"/>
              </w:rPr>
            </w:pPr>
            <w:r w:rsidRPr="00E81C23">
              <w:rPr>
                <w:rFonts w:cs="Arial"/>
                <w:color w:val="000000"/>
                <w:sz w:val="22"/>
                <w:szCs w:val="22"/>
              </w:rPr>
              <w:t>30</w:t>
            </w:r>
            <w:r w:rsidR="00A920F3" w:rsidRPr="00E81C23">
              <w:rPr>
                <w:rFonts w:cs="Arial"/>
                <w:color w:val="000000"/>
                <w:sz w:val="22"/>
                <w:szCs w:val="22"/>
              </w:rPr>
              <w:t>.</w:t>
            </w:r>
            <w:r w:rsidRPr="00E81C23">
              <w:rPr>
                <w:rFonts w:cs="Arial"/>
                <w:color w:val="000000"/>
                <w:sz w:val="22"/>
                <w:szCs w:val="22"/>
              </w:rPr>
              <w:t>0</w:t>
            </w:r>
            <w:r w:rsidR="00DD4011" w:rsidRPr="00E81C23">
              <w:rPr>
                <w:rFonts w:cs="Arial"/>
                <w:color w:val="000000"/>
                <w:sz w:val="22"/>
                <w:szCs w:val="22"/>
              </w:rPr>
              <w:t>%</w:t>
            </w:r>
          </w:p>
        </w:tc>
      </w:tr>
      <w:tr w:rsidR="00DD4011" w:rsidRPr="004976C6" w14:paraId="6C3426CC" w14:textId="77777777" w:rsidTr="00261BF3">
        <w:tc>
          <w:tcPr>
            <w:tcW w:w="1168" w:type="pct"/>
          </w:tcPr>
          <w:p w14:paraId="42440EF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4</w:t>
            </w:r>
          </w:p>
        </w:tc>
        <w:tc>
          <w:tcPr>
            <w:tcW w:w="1833" w:type="pct"/>
          </w:tcPr>
          <w:p w14:paraId="47FDF47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£90,000 (B)</w:t>
            </w:r>
          </w:p>
        </w:tc>
        <w:tc>
          <w:tcPr>
            <w:tcW w:w="1999" w:type="pct"/>
          </w:tcPr>
          <w:p w14:paraId="74975210"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26</w:t>
            </w:r>
            <w:r w:rsidR="000B3211" w:rsidRPr="00E81C23">
              <w:rPr>
                <w:rFonts w:cs="Arial"/>
                <w:color w:val="000000"/>
                <w:sz w:val="22"/>
                <w:szCs w:val="22"/>
              </w:rPr>
              <w:t>.</w:t>
            </w:r>
            <w:r w:rsidRPr="00E81C23">
              <w:rPr>
                <w:rFonts w:cs="Arial"/>
                <w:color w:val="000000"/>
                <w:sz w:val="22"/>
                <w:szCs w:val="22"/>
              </w:rPr>
              <w:t>7</w:t>
            </w:r>
            <w:r w:rsidR="00DD4011" w:rsidRPr="00E81C23">
              <w:rPr>
                <w:rFonts w:cs="Arial"/>
                <w:color w:val="000000"/>
                <w:sz w:val="22"/>
                <w:szCs w:val="22"/>
              </w:rPr>
              <w:t>%</w:t>
            </w:r>
          </w:p>
        </w:tc>
      </w:tr>
    </w:tbl>
    <w:p w14:paraId="27C14B09" w14:textId="77777777" w:rsidR="001658DE" w:rsidRPr="004976C6" w:rsidRDefault="001658DE" w:rsidP="00AF3DB0">
      <w:pPr>
        <w:rPr>
          <w:rFonts w:cs="Arial"/>
          <w:sz w:val="22"/>
          <w:szCs w:val="22"/>
        </w:rPr>
      </w:pPr>
    </w:p>
    <w:p w14:paraId="3D68538A" w14:textId="77777777" w:rsidR="001658DE" w:rsidRPr="004976C6" w:rsidRDefault="001658DE" w:rsidP="00107ABE">
      <w:pPr>
        <w:pStyle w:val="A1"/>
        <w:numPr>
          <w:ilvl w:val="0"/>
          <w:numId w:val="13"/>
        </w:numPr>
        <w:rPr>
          <w:rFonts w:cs="Arial"/>
          <w:sz w:val="22"/>
          <w:szCs w:val="22"/>
        </w:rPr>
      </w:pPr>
      <w:r w:rsidRPr="004976C6">
        <w:rPr>
          <w:rFonts w:cs="Arial"/>
          <w:sz w:val="22"/>
          <w:szCs w:val="22"/>
        </w:rPr>
        <w:t>COMPILATION OF PERCENTAGES AWARDED FOR QUALITY AND PRICE</w:t>
      </w:r>
    </w:p>
    <w:p w14:paraId="6659A29B" w14:textId="4A0A875D" w:rsidR="001658DE" w:rsidRPr="004976C6" w:rsidRDefault="001658DE" w:rsidP="00107ABE">
      <w:pPr>
        <w:pStyle w:val="A2"/>
        <w:tabs>
          <w:tab w:val="num" w:pos="567"/>
        </w:tabs>
        <w:ind w:left="567" w:hanging="567"/>
        <w:rPr>
          <w:rFonts w:cs="Arial"/>
          <w:sz w:val="22"/>
          <w:szCs w:val="22"/>
        </w:rPr>
      </w:pPr>
      <w:r w:rsidRPr="004976C6">
        <w:rPr>
          <w:rFonts w:cs="Arial"/>
          <w:sz w:val="22"/>
          <w:szCs w:val="22"/>
        </w:rPr>
        <w:t>The percentages awarded to each Tender for the Price (Commercial Envelope) and Quality (Technical Envelope) elements of the evaluation</w:t>
      </w:r>
      <w:r w:rsidR="003E0CB6" w:rsidRPr="004976C6">
        <w:rPr>
          <w:rFonts w:cs="Arial"/>
          <w:sz w:val="22"/>
          <w:szCs w:val="22"/>
        </w:rPr>
        <w:t xml:space="preserve"> </w:t>
      </w:r>
      <w:r w:rsidRPr="004976C6">
        <w:rPr>
          <w:rFonts w:cs="Arial"/>
          <w:sz w:val="22"/>
          <w:szCs w:val="22"/>
        </w:rPr>
        <w:t xml:space="preserve">are added together to arrive at the most economically advantageous </w:t>
      </w:r>
      <w:r w:rsidR="00F93FCB" w:rsidRPr="004976C6">
        <w:rPr>
          <w:rFonts w:cs="Arial"/>
          <w:sz w:val="22"/>
          <w:szCs w:val="22"/>
        </w:rPr>
        <w:t xml:space="preserve">Tender </w:t>
      </w:r>
      <w:r w:rsidR="00FA47E9" w:rsidRPr="004976C6">
        <w:rPr>
          <w:rFonts w:cs="Arial"/>
          <w:sz w:val="22"/>
          <w:szCs w:val="22"/>
        </w:rPr>
        <w:t>i.e.,</w:t>
      </w:r>
      <w:r w:rsidRPr="004976C6">
        <w:rPr>
          <w:rFonts w:cs="Arial"/>
          <w:sz w:val="22"/>
          <w:szCs w:val="22"/>
        </w:rPr>
        <w:t xml:space="preserve"> the Tender with the highest total percentage awarded.</w:t>
      </w:r>
    </w:p>
    <w:p w14:paraId="17C00D78" w14:textId="77777777" w:rsidR="001658DE" w:rsidRPr="00436676" w:rsidRDefault="001658DE" w:rsidP="00AF3DB0">
      <w:pPr>
        <w:rPr>
          <w:rFonts w:cs="Arial"/>
          <w:b/>
          <w:sz w:val="22"/>
          <w:szCs w:val="22"/>
        </w:rPr>
      </w:pPr>
    </w:p>
    <w:sectPr w:rsidR="001658DE" w:rsidRPr="00436676" w:rsidSect="005A5E87">
      <w:footerReference w:type="default" r:id="rId20"/>
      <w:footerReference w:type="first" r:id="rId21"/>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32F4" w14:textId="77777777" w:rsidR="00432E22" w:rsidRDefault="00432E22">
      <w:r>
        <w:separator/>
      </w:r>
    </w:p>
  </w:endnote>
  <w:endnote w:type="continuationSeparator" w:id="0">
    <w:p w14:paraId="1C84069D" w14:textId="77777777" w:rsidR="00432E22" w:rsidRDefault="00432E22">
      <w:r>
        <w:continuationSeparator/>
      </w:r>
    </w:p>
  </w:endnote>
  <w:endnote w:type="continuationNotice" w:id="1">
    <w:p w14:paraId="32B664D1" w14:textId="77777777" w:rsidR="00432E22" w:rsidRDefault="00432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9B5F" w14:textId="77777777" w:rsidR="00781C55" w:rsidRDefault="00781C55">
    <w:pPr>
      <w:pStyle w:val="Footer"/>
      <w:jc w:val="center"/>
    </w:pPr>
    <w:r>
      <w:fldChar w:fldCharType="begin"/>
    </w:r>
    <w:r>
      <w:instrText xml:space="preserve"> PAGE   \* MERGEFORMAT </w:instrText>
    </w:r>
    <w:r>
      <w:fldChar w:fldCharType="separate"/>
    </w:r>
    <w:r>
      <w:rPr>
        <w:noProof/>
      </w:rPr>
      <w:t>2</w:t>
    </w:r>
    <w:r>
      <w:rPr>
        <w:noProof/>
      </w:rPr>
      <w:fldChar w:fldCharType="end"/>
    </w:r>
  </w:p>
  <w:p w14:paraId="5F1B7888"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A1A3" w14:textId="77777777" w:rsidR="00787B2B" w:rsidRDefault="00787B2B" w:rsidP="005A5E87">
    <w:pPr>
      <w:pStyle w:val="Footer"/>
      <w:tabs>
        <w:tab w:val="clear" w:pos="4320"/>
        <w:tab w:val="clear" w:pos="8640"/>
        <w:tab w:val="left" w:pos="2070"/>
      </w:tabs>
    </w:pPr>
    <w:r>
      <w:tab/>
    </w:r>
  </w:p>
  <w:p w14:paraId="2B95C960"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301A"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7C782B">
      <w:rPr>
        <w:rStyle w:val="PageNumber"/>
        <w:noProof/>
      </w:rPr>
      <w:t>1</w:t>
    </w:r>
    <w:r>
      <w:rPr>
        <w:rStyle w:val="PageNumber"/>
      </w:rPr>
      <w:fldChar w:fldCharType="end"/>
    </w:r>
  </w:p>
  <w:p w14:paraId="5AF93E45"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4C53" w14:textId="77777777" w:rsidR="00787B2B" w:rsidRDefault="00787B2B">
    <w:pPr>
      <w:pStyle w:val="Footer"/>
      <w:jc w:val="right"/>
    </w:pPr>
    <w:r>
      <w:t>__________________________________________________________________________________________</w:t>
    </w:r>
  </w:p>
  <w:p w14:paraId="42C5D894"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3B128A1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51489CE0" w14:textId="0C01460F" w:rsidR="00787B2B" w:rsidRDefault="00583D82">
    <w:pPr>
      <w:pStyle w:val="Footer"/>
      <w:spacing w:before="0" w:after="0"/>
    </w:pPr>
    <w:r>
      <w:rPr>
        <w:snapToGrid w:val="0"/>
        <w:sz w:val="10"/>
      </w:rPr>
      <w:t>[]</w:t>
    </w:r>
    <w:r w:rsidR="00787B2B">
      <w:rPr>
        <w:snapToGrid w:val="0"/>
        <w:sz w:val="10"/>
      </w:rPr>
      <w:t xml:space="preserve"> </w:t>
    </w:r>
    <w:r>
      <w:rPr>
        <w:snapToGrid w:val="0"/>
        <w:sz w:val="10"/>
      </w:rPr>
      <w:t>[]</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D72D43">
      <w:rPr>
        <w:noProof/>
        <w:snapToGrid w:val="0"/>
        <w:sz w:val="10"/>
      </w:rPr>
      <w:t>12/11/21</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2347" w14:textId="77777777" w:rsidR="00432E22" w:rsidRDefault="00432E22">
      <w:r>
        <w:separator/>
      </w:r>
    </w:p>
  </w:footnote>
  <w:footnote w:type="continuationSeparator" w:id="0">
    <w:p w14:paraId="16E80D14" w14:textId="77777777" w:rsidR="00432E22" w:rsidRDefault="00432E22">
      <w:r>
        <w:continuationSeparator/>
      </w:r>
    </w:p>
  </w:footnote>
  <w:footnote w:type="continuationNotice" w:id="1">
    <w:p w14:paraId="4952B8CF" w14:textId="77777777" w:rsidR="00432E22" w:rsidRDefault="00432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768C" w14:textId="77777777" w:rsidR="00074694" w:rsidRDefault="00074694">
    <w:pPr>
      <w:pStyle w:val="Header"/>
    </w:pPr>
    <w:r>
      <w:tab/>
    </w:r>
    <w:r w:rsidR="00436676">
      <w:t xml:space="preserve">                 </w:t>
    </w:r>
    <w:r>
      <w:t xml:space="preserve"> </w:t>
    </w:r>
    <w:r w:rsidR="004548C5">
      <w:rPr>
        <w:lang w:val="en-US"/>
      </w:rPr>
      <w:pict w14:anchorId="51788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9.25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5D443FB"/>
    <w:multiLevelType w:val="hybridMultilevel"/>
    <w:tmpl w:val="90904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BB2595"/>
    <w:multiLevelType w:val="multilevel"/>
    <w:tmpl w:val="77BCDF0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Arial" w:hAnsi="Arial" w:cs="Arial"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10E12E43"/>
    <w:multiLevelType w:val="hybridMultilevel"/>
    <w:tmpl w:val="ECC4C64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1E6718B8"/>
    <w:multiLevelType w:val="hybridMultilevel"/>
    <w:tmpl w:val="FBB4C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9F31EB"/>
    <w:multiLevelType w:val="hybridMultilevel"/>
    <w:tmpl w:val="38E40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2FAE573E"/>
    <w:multiLevelType w:val="hybridMultilevel"/>
    <w:tmpl w:val="80EC710E"/>
    <w:lvl w:ilvl="0" w:tplc="707E20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11FD2"/>
    <w:multiLevelType w:val="hybridMultilevel"/>
    <w:tmpl w:val="702CC0F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48877B2"/>
    <w:multiLevelType w:val="hybridMultilevel"/>
    <w:tmpl w:val="84EA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6384283"/>
    <w:multiLevelType w:val="multilevel"/>
    <w:tmpl w:val="2C4251AE"/>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pPr>
        <w:tabs>
          <w:tab w:val="num" w:pos="864"/>
        </w:tabs>
        <w:ind w:left="864" w:hanging="864"/>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2">
      <w:start w:val="1"/>
      <w:numFmt w:val="decimal"/>
      <w:pStyle w:val="A3"/>
      <w:lvlText w:val="%1.%2.%3."/>
      <w:lvlJc w:val="left"/>
      <w:pPr>
        <w:tabs>
          <w:tab w:val="num" w:pos="2606"/>
        </w:tabs>
        <w:ind w:left="2606" w:hanging="1152"/>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bdr w:val="none" w:sz="0" w:space="0" w:color="auto"/>
        <w:shd w:val="clear" w:color="auto" w:fill="auto"/>
        <w:vertAlign w:val="baseline"/>
        <w:em w:val="no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4" w15:restartNumberingAfterBreak="0">
    <w:nsid w:val="37C66E9E"/>
    <w:multiLevelType w:val="hybridMultilevel"/>
    <w:tmpl w:val="CC881CD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7FF71C0"/>
    <w:multiLevelType w:val="hybridMultilevel"/>
    <w:tmpl w:val="400434C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F01CCF"/>
    <w:multiLevelType w:val="hybridMultilevel"/>
    <w:tmpl w:val="C9B01A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427420E"/>
    <w:multiLevelType w:val="hybridMultilevel"/>
    <w:tmpl w:val="BA50FD44"/>
    <w:lvl w:ilvl="0" w:tplc="61E2A522">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9" w15:restartNumberingAfterBreak="0">
    <w:nsid w:val="46F3239B"/>
    <w:multiLevelType w:val="hybridMultilevel"/>
    <w:tmpl w:val="5B80A6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CB0422F"/>
    <w:multiLevelType w:val="hybridMultilevel"/>
    <w:tmpl w:val="70EEDA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E12E0"/>
    <w:multiLevelType w:val="hybridMultilevel"/>
    <w:tmpl w:val="BB94CD3C"/>
    <w:lvl w:ilvl="0" w:tplc="4178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041C6D"/>
    <w:multiLevelType w:val="hybridMultilevel"/>
    <w:tmpl w:val="87B0E24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pPr>
        <w:tabs>
          <w:tab w:val="num" w:pos="2296"/>
        </w:tabs>
        <w:ind w:left="2296" w:hanging="864"/>
      </w:pPr>
      <w:rPr>
        <w:rFonts w:ascii="Calibri" w:hAnsi="Calibri" w:cs="Times New Roman"/>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2">
      <w:start w:val="1"/>
      <w:numFmt w:val="decimal"/>
      <w:lvlText w:val="%1.%2.%3."/>
      <w:lvlJc w:val="left"/>
      <w:pPr>
        <w:tabs>
          <w:tab w:val="num" w:pos="2606"/>
        </w:tabs>
        <w:ind w:left="2606" w:hanging="1152"/>
      </w:pPr>
      <w:rPr>
        <w:rFonts w:ascii="Calibri" w:hAnsi="Calibri" w:cs="Times New Roman"/>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bdr w:val="none" w:sz="0" w:space="0" w:color="auto"/>
        <w:shd w:val="clear" w:color="auto" w:fill="auto"/>
        <w:vertAlign w:val="baseline"/>
        <w:em w:val="no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4" w15:restartNumberingAfterBreak="0">
    <w:nsid w:val="60BE23C8"/>
    <w:multiLevelType w:val="hybridMultilevel"/>
    <w:tmpl w:val="D212BC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1A823D6"/>
    <w:multiLevelType w:val="hybridMultilevel"/>
    <w:tmpl w:val="5F9E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728E7"/>
    <w:multiLevelType w:val="hybridMultilevel"/>
    <w:tmpl w:val="B00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23926"/>
    <w:multiLevelType w:val="multilevel"/>
    <w:tmpl w:val="337C7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9" w15:restartNumberingAfterBreak="0">
    <w:nsid w:val="6EB315F0"/>
    <w:multiLevelType w:val="hybridMultilevel"/>
    <w:tmpl w:val="F90E46AC"/>
    <w:lvl w:ilvl="0" w:tplc="0E0C58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32"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2"/>
  </w:num>
  <w:num w:numId="3">
    <w:abstractNumId w:val="28"/>
  </w:num>
  <w:num w:numId="4">
    <w:abstractNumId w:val="0"/>
  </w:num>
  <w:num w:numId="5">
    <w:abstractNumId w:val="9"/>
  </w:num>
  <w:num w:numId="6">
    <w:abstractNumId w:val="3"/>
  </w:num>
  <w:num w:numId="7">
    <w:abstractNumId w:val="31"/>
  </w:num>
  <w:num w:numId="8">
    <w:abstractNumId w:val="5"/>
  </w:num>
  <w:num w:numId="9">
    <w:abstractNumId w:val="2"/>
  </w:num>
  <w:num w:numId="10">
    <w:abstractNumId w:val="30"/>
  </w:num>
  <w:num w:numId="11">
    <w:abstractNumId w:val="18"/>
  </w:num>
  <w:num w:numId="12">
    <w:abstractNumId w:val="33"/>
  </w:num>
  <w:num w:numId="13">
    <w:abstractNumId w:val="13"/>
    <w:lvlOverride w:ilvl="0">
      <w:startOverride w:val="1"/>
    </w:lvlOverride>
  </w:num>
  <w:num w:numId="14">
    <w:abstractNumId w:val="23"/>
  </w:num>
  <w:num w:numId="15">
    <w:abstractNumId w:val="25"/>
  </w:num>
  <w:num w:numId="16">
    <w:abstractNumId w:val="29"/>
  </w:num>
  <w:num w:numId="17">
    <w:abstractNumId w:val="27"/>
  </w:num>
  <w:num w:numId="18">
    <w:abstractNumId w:val="21"/>
  </w:num>
  <w:num w:numId="19">
    <w:abstractNumId w:val="10"/>
  </w:num>
  <w:num w:numId="20">
    <w:abstractNumId w:val="17"/>
  </w:num>
  <w:num w:numId="21">
    <w:abstractNumId w:val="26"/>
  </w:num>
  <w:num w:numId="22">
    <w:abstractNumId w:val="16"/>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num>
  <w:num w:numId="31">
    <w:abstractNumId w:val="6"/>
  </w:num>
  <w:num w:numId="32">
    <w:abstractNumId w:val="20"/>
  </w:num>
  <w:num w:numId="33">
    <w:abstractNumId w:val="7"/>
  </w:num>
  <w:num w:numId="34">
    <w:abstractNumId w:val="7"/>
  </w:num>
  <w:num w:numId="35">
    <w:abstractNumId w:val="15"/>
  </w:num>
  <w:num w:numId="36">
    <w:abstractNumId w:val="22"/>
  </w:num>
  <w:num w:numId="37">
    <w:abstractNumId w:val="1"/>
  </w:num>
  <w:num w:numId="38">
    <w:abstractNumId w:val="1"/>
  </w:num>
  <w:num w:numId="39">
    <w:abstractNumId w:val="4"/>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3D25"/>
    <w:rsid w:val="000043FA"/>
    <w:rsid w:val="00004577"/>
    <w:rsid w:val="00004C42"/>
    <w:rsid w:val="00005F0C"/>
    <w:rsid w:val="000073A1"/>
    <w:rsid w:val="0001237E"/>
    <w:rsid w:val="00013630"/>
    <w:rsid w:val="000142C4"/>
    <w:rsid w:val="00014DCB"/>
    <w:rsid w:val="00015D23"/>
    <w:rsid w:val="00022F40"/>
    <w:rsid w:val="000263CF"/>
    <w:rsid w:val="0002707D"/>
    <w:rsid w:val="0002770D"/>
    <w:rsid w:val="00027831"/>
    <w:rsid w:val="00030668"/>
    <w:rsid w:val="000314D5"/>
    <w:rsid w:val="000318B0"/>
    <w:rsid w:val="00032844"/>
    <w:rsid w:val="0003329D"/>
    <w:rsid w:val="00033B89"/>
    <w:rsid w:val="00034560"/>
    <w:rsid w:val="00034FC9"/>
    <w:rsid w:val="00036E56"/>
    <w:rsid w:val="00040DBA"/>
    <w:rsid w:val="000416EC"/>
    <w:rsid w:val="00042BAE"/>
    <w:rsid w:val="0004451A"/>
    <w:rsid w:val="0004711B"/>
    <w:rsid w:val="00047C29"/>
    <w:rsid w:val="00052388"/>
    <w:rsid w:val="0005613A"/>
    <w:rsid w:val="00057A88"/>
    <w:rsid w:val="0006465E"/>
    <w:rsid w:val="000664FC"/>
    <w:rsid w:val="00072163"/>
    <w:rsid w:val="00072449"/>
    <w:rsid w:val="00073715"/>
    <w:rsid w:val="00074694"/>
    <w:rsid w:val="000812A4"/>
    <w:rsid w:val="0008162B"/>
    <w:rsid w:val="00083DFC"/>
    <w:rsid w:val="00086122"/>
    <w:rsid w:val="00086670"/>
    <w:rsid w:val="00086B73"/>
    <w:rsid w:val="000927D7"/>
    <w:rsid w:val="00096A31"/>
    <w:rsid w:val="00096DA4"/>
    <w:rsid w:val="00097863"/>
    <w:rsid w:val="000A098E"/>
    <w:rsid w:val="000A1BC9"/>
    <w:rsid w:val="000A289A"/>
    <w:rsid w:val="000A399A"/>
    <w:rsid w:val="000A4DD8"/>
    <w:rsid w:val="000A5903"/>
    <w:rsid w:val="000A5AF9"/>
    <w:rsid w:val="000A6D6D"/>
    <w:rsid w:val="000A787E"/>
    <w:rsid w:val="000B1C2E"/>
    <w:rsid w:val="000B2CFA"/>
    <w:rsid w:val="000B2D11"/>
    <w:rsid w:val="000B3211"/>
    <w:rsid w:val="000B791D"/>
    <w:rsid w:val="000C2229"/>
    <w:rsid w:val="000C2B32"/>
    <w:rsid w:val="000C3C15"/>
    <w:rsid w:val="000C580B"/>
    <w:rsid w:val="000C698F"/>
    <w:rsid w:val="000D1B5C"/>
    <w:rsid w:val="000D33CC"/>
    <w:rsid w:val="000D3677"/>
    <w:rsid w:val="000D5E7B"/>
    <w:rsid w:val="000D7FDD"/>
    <w:rsid w:val="000E4374"/>
    <w:rsid w:val="000E6E46"/>
    <w:rsid w:val="000F12B1"/>
    <w:rsid w:val="000F272B"/>
    <w:rsid w:val="000F7966"/>
    <w:rsid w:val="001034F1"/>
    <w:rsid w:val="00103D3F"/>
    <w:rsid w:val="0010449C"/>
    <w:rsid w:val="00107ABE"/>
    <w:rsid w:val="00111031"/>
    <w:rsid w:val="0011185E"/>
    <w:rsid w:val="00114A2A"/>
    <w:rsid w:val="00115875"/>
    <w:rsid w:val="0012331B"/>
    <w:rsid w:val="001239BA"/>
    <w:rsid w:val="001272C9"/>
    <w:rsid w:val="0013004B"/>
    <w:rsid w:val="00130A4D"/>
    <w:rsid w:val="00130BB2"/>
    <w:rsid w:val="00132478"/>
    <w:rsid w:val="00133113"/>
    <w:rsid w:val="00136E27"/>
    <w:rsid w:val="0013789B"/>
    <w:rsid w:val="00141EAC"/>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48E3"/>
    <w:rsid w:val="001652DD"/>
    <w:rsid w:val="001658DE"/>
    <w:rsid w:val="00166CAB"/>
    <w:rsid w:val="00167FD2"/>
    <w:rsid w:val="001706C3"/>
    <w:rsid w:val="0017344F"/>
    <w:rsid w:val="00173551"/>
    <w:rsid w:val="00173997"/>
    <w:rsid w:val="001757AA"/>
    <w:rsid w:val="00175FC4"/>
    <w:rsid w:val="001839C7"/>
    <w:rsid w:val="00186373"/>
    <w:rsid w:val="0019079D"/>
    <w:rsid w:val="001942DE"/>
    <w:rsid w:val="00194C18"/>
    <w:rsid w:val="001957E7"/>
    <w:rsid w:val="00195D00"/>
    <w:rsid w:val="00196854"/>
    <w:rsid w:val="00196EAC"/>
    <w:rsid w:val="001975CB"/>
    <w:rsid w:val="00197D94"/>
    <w:rsid w:val="001A2929"/>
    <w:rsid w:val="001A6DCE"/>
    <w:rsid w:val="001B0597"/>
    <w:rsid w:val="001B0950"/>
    <w:rsid w:val="001B09C6"/>
    <w:rsid w:val="001B3B95"/>
    <w:rsid w:val="001B6013"/>
    <w:rsid w:val="001B67A4"/>
    <w:rsid w:val="001C08A6"/>
    <w:rsid w:val="001C1233"/>
    <w:rsid w:val="001C4A4F"/>
    <w:rsid w:val="001C4F37"/>
    <w:rsid w:val="001C6E3F"/>
    <w:rsid w:val="001D056D"/>
    <w:rsid w:val="001D2F28"/>
    <w:rsid w:val="001D5854"/>
    <w:rsid w:val="001D6E97"/>
    <w:rsid w:val="001E014F"/>
    <w:rsid w:val="001E0B2B"/>
    <w:rsid w:val="001E2E4C"/>
    <w:rsid w:val="001E300A"/>
    <w:rsid w:val="001E322F"/>
    <w:rsid w:val="001E32FB"/>
    <w:rsid w:val="001E5EF9"/>
    <w:rsid w:val="001F15AC"/>
    <w:rsid w:val="001F1E8B"/>
    <w:rsid w:val="001F2BE0"/>
    <w:rsid w:val="001F3748"/>
    <w:rsid w:val="001F4DD0"/>
    <w:rsid w:val="00200B3C"/>
    <w:rsid w:val="00201723"/>
    <w:rsid w:val="002032CF"/>
    <w:rsid w:val="002044A3"/>
    <w:rsid w:val="002072A4"/>
    <w:rsid w:val="0020772D"/>
    <w:rsid w:val="002079BB"/>
    <w:rsid w:val="0021084B"/>
    <w:rsid w:val="00212A29"/>
    <w:rsid w:val="00213FDF"/>
    <w:rsid w:val="0021420C"/>
    <w:rsid w:val="00216B25"/>
    <w:rsid w:val="002216B3"/>
    <w:rsid w:val="00222AC8"/>
    <w:rsid w:val="00223832"/>
    <w:rsid w:val="002246C9"/>
    <w:rsid w:val="002252D8"/>
    <w:rsid w:val="002323CE"/>
    <w:rsid w:val="002365EA"/>
    <w:rsid w:val="0024262D"/>
    <w:rsid w:val="00242CD9"/>
    <w:rsid w:val="00244C8E"/>
    <w:rsid w:val="00260007"/>
    <w:rsid w:val="00261BF3"/>
    <w:rsid w:val="002632E2"/>
    <w:rsid w:val="00266BA7"/>
    <w:rsid w:val="00271156"/>
    <w:rsid w:val="002712B7"/>
    <w:rsid w:val="002726B9"/>
    <w:rsid w:val="002729E1"/>
    <w:rsid w:val="002759DC"/>
    <w:rsid w:val="00282A78"/>
    <w:rsid w:val="00284111"/>
    <w:rsid w:val="00286E32"/>
    <w:rsid w:val="002912AE"/>
    <w:rsid w:val="0029311F"/>
    <w:rsid w:val="00293FA5"/>
    <w:rsid w:val="00294507"/>
    <w:rsid w:val="00296DF5"/>
    <w:rsid w:val="00297314"/>
    <w:rsid w:val="00297C32"/>
    <w:rsid w:val="002A1097"/>
    <w:rsid w:val="002A3A97"/>
    <w:rsid w:val="002A6BE4"/>
    <w:rsid w:val="002A6EC4"/>
    <w:rsid w:val="002A7C7B"/>
    <w:rsid w:val="002B34DE"/>
    <w:rsid w:val="002C0D35"/>
    <w:rsid w:val="002C5C02"/>
    <w:rsid w:val="002C621B"/>
    <w:rsid w:val="002D1064"/>
    <w:rsid w:val="002D1423"/>
    <w:rsid w:val="002D4A04"/>
    <w:rsid w:val="002E1BFD"/>
    <w:rsid w:val="002E1FF1"/>
    <w:rsid w:val="002E310C"/>
    <w:rsid w:val="002E35C2"/>
    <w:rsid w:val="002E43EE"/>
    <w:rsid w:val="002F1C5C"/>
    <w:rsid w:val="002F2F1B"/>
    <w:rsid w:val="003004CF"/>
    <w:rsid w:val="00302CCF"/>
    <w:rsid w:val="00302F3C"/>
    <w:rsid w:val="00303A69"/>
    <w:rsid w:val="00305B5C"/>
    <w:rsid w:val="0031077F"/>
    <w:rsid w:val="00312B9F"/>
    <w:rsid w:val="0031337E"/>
    <w:rsid w:val="00313AE1"/>
    <w:rsid w:val="0031595D"/>
    <w:rsid w:val="00315D15"/>
    <w:rsid w:val="003168E9"/>
    <w:rsid w:val="0031717D"/>
    <w:rsid w:val="00317B06"/>
    <w:rsid w:val="0032397B"/>
    <w:rsid w:val="0032465B"/>
    <w:rsid w:val="0032573B"/>
    <w:rsid w:val="0032677A"/>
    <w:rsid w:val="0032719E"/>
    <w:rsid w:val="0032738F"/>
    <w:rsid w:val="003315FC"/>
    <w:rsid w:val="00331C9E"/>
    <w:rsid w:val="00332B2B"/>
    <w:rsid w:val="00333C97"/>
    <w:rsid w:val="0033607E"/>
    <w:rsid w:val="0033667D"/>
    <w:rsid w:val="00336E9E"/>
    <w:rsid w:val="00340228"/>
    <w:rsid w:val="00340D7A"/>
    <w:rsid w:val="0034276C"/>
    <w:rsid w:val="00347455"/>
    <w:rsid w:val="003525BC"/>
    <w:rsid w:val="00353228"/>
    <w:rsid w:val="00361EA9"/>
    <w:rsid w:val="00363660"/>
    <w:rsid w:val="003664E9"/>
    <w:rsid w:val="00366CE5"/>
    <w:rsid w:val="00370398"/>
    <w:rsid w:val="003704AB"/>
    <w:rsid w:val="003719F3"/>
    <w:rsid w:val="00373E9D"/>
    <w:rsid w:val="00376A8F"/>
    <w:rsid w:val="0038085A"/>
    <w:rsid w:val="00386310"/>
    <w:rsid w:val="003916B4"/>
    <w:rsid w:val="00391BB8"/>
    <w:rsid w:val="003942D5"/>
    <w:rsid w:val="00397434"/>
    <w:rsid w:val="003A2B91"/>
    <w:rsid w:val="003A340F"/>
    <w:rsid w:val="003A3837"/>
    <w:rsid w:val="003A3A37"/>
    <w:rsid w:val="003A3FE5"/>
    <w:rsid w:val="003A5875"/>
    <w:rsid w:val="003A612F"/>
    <w:rsid w:val="003A6277"/>
    <w:rsid w:val="003B0FC4"/>
    <w:rsid w:val="003B3115"/>
    <w:rsid w:val="003B33BE"/>
    <w:rsid w:val="003B3A96"/>
    <w:rsid w:val="003B648B"/>
    <w:rsid w:val="003B6498"/>
    <w:rsid w:val="003C23C7"/>
    <w:rsid w:val="003C3259"/>
    <w:rsid w:val="003C4264"/>
    <w:rsid w:val="003C4E93"/>
    <w:rsid w:val="003C5330"/>
    <w:rsid w:val="003C7025"/>
    <w:rsid w:val="003D0AB9"/>
    <w:rsid w:val="003D0EAE"/>
    <w:rsid w:val="003D1410"/>
    <w:rsid w:val="003D41BF"/>
    <w:rsid w:val="003D5057"/>
    <w:rsid w:val="003D5354"/>
    <w:rsid w:val="003D5E9C"/>
    <w:rsid w:val="003E0CB6"/>
    <w:rsid w:val="003E0FAD"/>
    <w:rsid w:val="003E2664"/>
    <w:rsid w:val="003E44AC"/>
    <w:rsid w:val="003E529B"/>
    <w:rsid w:val="003F03C8"/>
    <w:rsid w:val="003F25FF"/>
    <w:rsid w:val="003F6A3F"/>
    <w:rsid w:val="003F7C52"/>
    <w:rsid w:val="003F7F3D"/>
    <w:rsid w:val="004009FA"/>
    <w:rsid w:val="0040112B"/>
    <w:rsid w:val="00403732"/>
    <w:rsid w:val="00404A3D"/>
    <w:rsid w:val="00404E63"/>
    <w:rsid w:val="004053B7"/>
    <w:rsid w:val="00406E91"/>
    <w:rsid w:val="004072F1"/>
    <w:rsid w:val="0040762F"/>
    <w:rsid w:val="00410C4F"/>
    <w:rsid w:val="004124C7"/>
    <w:rsid w:val="00423C4E"/>
    <w:rsid w:val="00424A60"/>
    <w:rsid w:val="00431087"/>
    <w:rsid w:val="00432E22"/>
    <w:rsid w:val="0043430C"/>
    <w:rsid w:val="0043554D"/>
    <w:rsid w:val="00436676"/>
    <w:rsid w:val="004377D1"/>
    <w:rsid w:val="0044164B"/>
    <w:rsid w:val="00441DD4"/>
    <w:rsid w:val="004435BD"/>
    <w:rsid w:val="00444ADC"/>
    <w:rsid w:val="00444DCA"/>
    <w:rsid w:val="00447201"/>
    <w:rsid w:val="00447334"/>
    <w:rsid w:val="00451273"/>
    <w:rsid w:val="004513DF"/>
    <w:rsid w:val="00453232"/>
    <w:rsid w:val="00453CB0"/>
    <w:rsid w:val="00454840"/>
    <w:rsid w:val="004548C5"/>
    <w:rsid w:val="004569FD"/>
    <w:rsid w:val="00456A82"/>
    <w:rsid w:val="00457F37"/>
    <w:rsid w:val="004605DB"/>
    <w:rsid w:val="004611F5"/>
    <w:rsid w:val="0046301C"/>
    <w:rsid w:val="00463962"/>
    <w:rsid w:val="0046424D"/>
    <w:rsid w:val="00470936"/>
    <w:rsid w:val="00470987"/>
    <w:rsid w:val="0047156E"/>
    <w:rsid w:val="00471AC7"/>
    <w:rsid w:val="00473A32"/>
    <w:rsid w:val="00473EBF"/>
    <w:rsid w:val="00474B5E"/>
    <w:rsid w:val="00474C8C"/>
    <w:rsid w:val="00475442"/>
    <w:rsid w:val="00476DAC"/>
    <w:rsid w:val="00482199"/>
    <w:rsid w:val="0048315B"/>
    <w:rsid w:val="004839FA"/>
    <w:rsid w:val="0048493B"/>
    <w:rsid w:val="00484A88"/>
    <w:rsid w:val="0049005A"/>
    <w:rsid w:val="0049134D"/>
    <w:rsid w:val="00495A09"/>
    <w:rsid w:val="00496584"/>
    <w:rsid w:val="004976C6"/>
    <w:rsid w:val="004A5989"/>
    <w:rsid w:val="004A653A"/>
    <w:rsid w:val="004A67CF"/>
    <w:rsid w:val="004B0658"/>
    <w:rsid w:val="004B1800"/>
    <w:rsid w:val="004B18E6"/>
    <w:rsid w:val="004B1AB1"/>
    <w:rsid w:val="004B2604"/>
    <w:rsid w:val="004B602D"/>
    <w:rsid w:val="004B7DB6"/>
    <w:rsid w:val="004C07B9"/>
    <w:rsid w:val="004C14A6"/>
    <w:rsid w:val="004C36CA"/>
    <w:rsid w:val="004C553E"/>
    <w:rsid w:val="004C65EE"/>
    <w:rsid w:val="004D0BF8"/>
    <w:rsid w:val="004D3673"/>
    <w:rsid w:val="004D431B"/>
    <w:rsid w:val="004D77D4"/>
    <w:rsid w:val="004E1264"/>
    <w:rsid w:val="004E15E6"/>
    <w:rsid w:val="004E2048"/>
    <w:rsid w:val="004E28CB"/>
    <w:rsid w:val="004E382B"/>
    <w:rsid w:val="004E3B0D"/>
    <w:rsid w:val="004E4595"/>
    <w:rsid w:val="004E77F4"/>
    <w:rsid w:val="004F1EE4"/>
    <w:rsid w:val="004F4188"/>
    <w:rsid w:val="004F6488"/>
    <w:rsid w:val="005017E9"/>
    <w:rsid w:val="00503421"/>
    <w:rsid w:val="00506575"/>
    <w:rsid w:val="00510A2B"/>
    <w:rsid w:val="00510E25"/>
    <w:rsid w:val="00512379"/>
    <w:rsid w:val="0051297F"/>
    <w:rsid w:val="005133B5"/>
    <w:rsid w:val="0051789A"/>
    <w:rsid w:val="00520889"/>
    <w:rsid w:val="00522BB8"/>
    <w:rsid w:val="00523D77"/>
    <w:rsid w:val="0052563E"/>
    <w:rsid w:val="005260A7"/>
    <w:rsid w:val="00535775"/>
    <w:rsid w:val="00537677"/>
    <w:rsid w:val="00537E88"/>
    <w:rsid w:val="00543469"/>
    <w:rsid w:val="00544D74"/>
    <w:rsid w:val="00546127"/>
    <w:rsid w:val="00551897"/>
    <w:rsid w:val="00552651"/>
    <w:rsid w:val="005626A5"/>
    <w:rsid w:val="00562EFA"/>
    <w:rsid w:val="005758D1"/>
    <w:rsid w:val="00576B59"/>
    <w:rsid w:val="00580025"/>
    <w:rsid w:val="00580A15"/>
    <w:rsid w:val="00581011"/>
    <w:rsid w:val="005817E1"/>
    <w:rsid w:val="00582603"/>
    <w:rsid w:val="00583D82"/>
    <w:rsid w:val="005857E5"/>
    <w:rsid w:val="00586066"/>
    <w:rsid w:val="00586EF7"/>
    <w:rsid w:val="00592141"/>
    <w:rsid w:val="00592CF8"/>
    <w:rsid w:val="005935CD"/>
    <w:rsid w:val="00593E71"/>
    <w:rsid w:val="00597003"/>
    <w:rsid w:val="005A026F"/>
    <w:rsid w:val="005A15F8"/>
    <w:rsid w:val="005A1C71"/>
    <w:rsid w:val="005A2D32"/>
    <w:rsid w:val="005A5E87"/>
    <w:rsid w:val="005B1478"/>
    <w:rsid w:val="005B2AB4"/>
    <w:rsid w:val="005B3B85"/>
    <w:rsid w:val="005B621E"/>
    <w:rsid w:val="005B63AA"/>
    <w:rsid w:val="005B682B"/>
    <w:rsid w:val="005C0613"/>
    <w:rsid w:val="005C1CB9"/>
    <w:rsid w:val="005C3969"/>
    <w:rsid w:val="005C4E8E"/>
    <w:rsid w:val="005C615A"/>
    <w:rsid w:val="005C6585"/>
    <w:rsid w:val="005C6BC5"/>
    <w:rsid w:val="005D3AC9"/>
    <w:rsid w:val="005D435E"/>
    <w:rsid w:val="005D48D6"/>
    <w:rsid w:val="005D5F3A"/>
    <w:rsid w:val="005D6031"/>
    <w:rsid w:val="005D7653"/>
    <w:rsid w:val="005E2F8B"/>
    <w:rsid w:val="005F29BC"/>
    <w:rsid w:val="005F3449"/>
    <w:rsid w:val="005F35BE"/>
    <w:rsid w:val="005F364B"/>
    <w:rsid w:val="005F3EC9"/>
    <w:rsid w:val="005F440A"/>
    <w:rsid w:val="005F4586"/>
    <w:rsid w:val="005F5252"/>
    <w:rsid w:val="00603271"/>
    <w:rsid w:val="006042B8"/>
    <w:rsid w:val="0060673D"/>
    <w:rsid w:val="006075A9"/>
    <w:rsid w:val="0061004C"/>
    <w:rsid w:val="006126DE"/>
    <w:rsid w:val="006145C9"/>
    <w:rsid w:val="00614F6C"/>
    <w:rsid w:val="00616454"/>
    <w:rsid w:val="0061670E"/>
    <w:rsid w:val="00617CE9"/>
    <w:rsid w:val="00620170"/>
    <w:rsid w:val="00621B86"/>
    <w:rsid w:val="00622C8D"/>
    <w:rsid w:val="0062465F"/>
    <w:rsid w:val="006269BA"/>
    <w:rsid w:val="006303FE"/>
    <w:rsid w:val="00630C8D"/>
    <w:rsid w:val="0063616B"/>
    <w:rsid w:val="00637979"/>
    <w:rsid w:val="006379A1"/>
    <w:rsid w:val="00640488"/>
    <w:rsid w:val="00641375"/>
    <w:rsid w:val="00643954"/>
    <w:rsid w:val="006515EE"/>
    <w:rsid w:val="00651B89"/>
    <w:rsid w:val="00652400"/>
    <w:rsid w:val="00652602"/>
    <w:rsid w:val="00654452"/>
    <w:rsid w:val="00655C66"/>
    <w:rsid w:val="0066268F"/>
    <w:rsid w:val="00663345"/>
    <w:rsid w:val="006633D8"/>
    <w:rsid w:val="0066409A"/>
    <w:rsid w:val="006644B1"/>
    <w:rsid w:val="006650EB"/>
    <w:rsid w:val="00665225"/>
    <w:rsid w:val="00665F26"/>
    <w:rsid w:val="00666AD6"/>
    <w:rsid w:val="00670798"/>
    <w:rsid w:val="006713AB"/>
    <w:rsid w:val="0067353A"/>
    <w:rsid w:val="006752C0"/>
    <w:rsid w:val="006756B6"/>
    <w:rsid w:val="00675729"/>
    <w:rsid w:val="00676051"/>
    <w:rsid w:val="00676C60"/>
    <w:rsid w:val="006809D1"/>
    <w:rsid w:val="00682EBE"/>
    <w:rsid w:val="006838A8"/>
    <w:rsid w:val="006864B2"/>
    <w:rsid w:val="006909F1"/>
    <w:rsid w:val="00692CB2"/>
    <w:rsid w:val="006963BA"/>
    <w:rsid w:val="006967E0"/>
    <w:rsid w:val="00696A71"/>
    <w:rsid w:val="006A0E31"/>
    <w:rsid w:val="006A4852"/>
    <w:rsid w:val="006A6485"/>
    <w:rsid w:val="006A667E"/>
    <w:rsid w:val="006A75B4"/>
    <w:rsid w:val="006B0E22"/>
    <w:rsid w:val="006B113B"/>
    <w:rsid w:val="006B2330"/>
    <w:rsid w:val="006B246A"/>
    <w:rsid w:val="006B644F"/>
    <w:rsid w:val="006C1F94"/>
    <w:rsid w:val="006C62E9"/>
    <w:rsid w:val="006C772D"/>
    <w:rsid w:val="006D316A"/>
    <w:rsid w:val="006D3598"/>
    <w:rsid w:val="006D359D"/>
    <w:rsid w:val="006D5F57"/>
    <w:rsid w:val="006D6C08"/>
    <w:rsid w:val="006D7879"/>
    <w:rsid w:val="006E054E"/>
    <w:rsid w:val="006E1B8D"/>
    <w:rsid w:val="006E2A66"/>
    <w:rsid w:val="006E420A"/>
    <w:rsid w:val="006E4E87"/>
    <w:rsid w:val="006F0A3E"/>
    <w:rsid w:val="006F10D5"/>
    <w:rsid w:val="006F2F2E"/>
    <w:rsid w:val="006F4C84"/>
    <w:rsid w:val="00701FB3"/>
    <w:rsid w:val="00707F58"/>
    <w:rsid w:val="007128B0"/>
    <w:rsid w:val="00715E03"/>
    <w:rsid w:val="007166E4"/>
    <w:rsid w:val="007210C8"/>
    <w:rsid w:val="00724D96"/>
    <w:rsid w:val="00725AE2"/>
    <w:rsid w:val="00730375"/>
    <w:rsid w:val="0073067A"/>
    <w:rsid w:val="00731453"/>
    <w:rsid w:val="00731582"/>
    <w:rsid w:val="00732402"/>
    <w:rsid w:val="0073371C"/>
    <w:rsid w:val="00733FF3"/>
    <w:rsid w:val="00737AFF"/>
    <w:rsid w:val="00741752"/>
    <w:rsid w:val="00744D13"/>
    <w:rsid w:val="0074500B"/>
    <w:rsid w:val="00747824"/>
    <w:rsid w:val="007504BF"/>
    <w:rsid w:val="00752355"/>
    <w:rsid w:val="00752ADF"/>
    <w:rsid w:val="00753802"/>
    <w:rsid w:val="00755413"/>
    <w:rsid w:val="00760237"/>
    <w:rsid w:val="00760C04"/>
    <w:rsid w:val="00763E76"/>
    <w:rsid w:val="0076733C"/>
    <w:rsid w:val="00767CE4"/>
    <w:rsid w:val="007736D6"/>
    <w:rsid w:val="00780CC5"/>
    <w:rsid w:val="00781C55"/>
    <w:rsid w:val="00786D16"/>
    <w:rsid w:val="00787551"/>
    <w:rsid w:val="00787B2B"/>
    <w:rsid w:val="007975F5"/>
    <w:rsid w:val="007A2BD1"/>
    <w:rsid w:val="007A2CFD"/>
    <w:rsid w:val="007B0402"/>
    <w:rsid w:val="007B1665"/>
    <w:rsid w:val="007B1B22"/>
    <w:rsid w:val="007B45A3"/>
    <w:rsid w:val="007B4D8D"/>
    <w:rsid w:val="007B61BA"/>
    <w:rsid w:val="007B6B87"/>
    <w:rsid w:val="007B7BAC"/>
    <w:rsid w:val="007C23AF"/>
    <w:rsid w:val="007C5952"/>
    <w:rsid w:val="007C782B"/>
    <w:rsid w:val="007D17F7"/>
    <w:rsid w:val="007D289A"/>
    <w:rsid w:val="007D32F9"/>
    <w:rsid w:val="007D4F6C"/>
    <w:rsid w:val="007D573E"/>
    <w:rsid w:val="007D7B1B"/>
    <w:rsid w:val="007E04C8"/>
    <w:rsid w:val="007E104F"/>
    <w:rsid w:val="007E1DEE"/>
    <w:rsid w:val="007E4202"/>
    <w:rsid w:val="007E4618"/>
    <w:rsid w:val="007E4713"/>
    <w:rsid w:val="007E4E61"/>
    <w:rsid w:val="007E7BC8"/>
    <w:rsid w:val="007F0B1C"/>
    <w:rsid w:val="007F1184"/>
    <w:rsid w:val="007F769A"/>
    <w:rsid w:val="00801BA9"/>
    <w:rsid w:val="00804D0D"/>
    <w:rsid w:val="00804D52"/>
    <w:rsid w:val="008070F5"/>
    <w:rsid w:val="00813ACB"/>
    <w:rsid w:val="00816319"/>
    <w:rsid w:val="00817D39"/>
    <w:rsid w:val="00820D59"/>
    <w:rsid w:val="008213CE"/>
    <w:rsid w:val="008236FD"/>
    <w:rsid w:val="008246C1"/>
    <w:rsid w:val="00824E71"/>
    <w:rsid w:val="00826068"/>
    <w:rsid w:val="008318BE"/>
    <w:rsid w:val="00836CF8"/>
    <w:rsid w:val="00843C1C"/>
    <w:rsid w:val="008449A8"/>
    <w:rsid w:val="00845872"/>
    <w:rsid w:val="00846EDD"/>
    <w:rsid w:val="00851497"/>
    <w:rsid w:val="00851BDE"/>
    <w:rsid w:val="008538F7"/>
    <w:rsid w:val="00853944"/>
    <w:rsid w:val="00853B01"/>
    <w:rsid w:val="0085498A"/>
    <w:rsid w:val="008551A6"/>
    <w:rsid w:val="00857A9B"/>
    <w:rsid w:val="00857AE5"/>
    <w:rsid w:val="00860A77"/>
    <w:rsid w:val="00861BFE"/>
    <w:rsid w:val="00862791"/>
    <w:rsid w:val="008649AA"/>
    <w:rsid w:val="0086617C"/>
    <w:rsid w:val="00866727"/>
    <w:rsid w:val="008709B5"/>
    <w:rsid w:val="00871D6B"/>
    <w:rsid w:val="00883080"/>
    <w:rsid w:val="00884F5D"/>
    <w:rsid w:val="00886879"/>
    <w:rsid w:val="00887B93"/>
    <w:rsid w:val="008904E7"/>
    <w:rsid w:val="00891169"/>
    <w:rsid w:val="008916D7"/>
    <w:rsid w:val="00893C3D"/>
    <w:rsid w:val="00894768"/>
    <w:rsid w:val="00895DD2"/>
    <w:rsid w:val="00897A6E"/>
    <w:rsid w:val="008A11A3"/>
    <w:rsid w:val="008A2B4D"/>
    <w:rsid w:val="008A47C5"/>
    <w:rsid w:val="008A7127"/>
    <w:rsid w:val="008A7597"/>
    <w:rsid w:val="008B5736"/>
    <w:rsid w:val="008B7225"/>
    <w:rsid w:val="008B7E06"/>
    <w:rsid w:val="008C2087"/>
    <w:rsid w:val="008C33B3"/>
    <w:rsid w:val="008C4FEB"/>
    <w:rsid w:val="008D50B6"/>
    <w:rsid w:val="008D60D6"/>
    <w:rsid w:val="008D6D2C"/>
    <w:rsid w:val="008E1A3E"/>
    <w:rsid w:val="008E23BC"/>
    <w:rsid w:val="008E25FB"/>
    <w:rsid w:val="008E29AF"/>
    <w:rsid w:val="008E4A88"/>
    <w:rsid w:val="008E4AB1"/>
    <w:rsid w:val="008E71B2"/>
    <w:rsid w:val="008E79CD"/>
    <w:rsid w:val="008F0AE8"/>
    <w:rsid w:val="008F0BB7"/>
    <w:rsid w:val="008F10AC"/>
    <w:rsid w:val="008F15E9"/>
    <w:rsid w:val="008F475A"/>
    <w:rsid w:val="008F4CB0"/>
    <w:rsid w:val="008F5CA9"/>
    <w:rsid w:val="00901130"/>
    <w:rsid w:val="0090283D"/>
    <w:rsid w:val="009049D7"/>
    <w:rsid w:val="009079DB"/>
    <w:rsid w:val="009104B2"/>
    <w:rsid w:val="00914FA1"/>
    <w:rsid w:val="0091585F"/>
    <w:rsid w:val="00915AC2"/>
    <w:rsid w:val="00915DC7"/>
    <w:rsid w:val="00916370"/>
    <w:rsid w:val="0091644F"/>
    <w:rsid w:val="00917D01"/>
    <w:rsid w:val="00924A7B"/>
    <w:rsid w:val="0092769E"/>
    <w:rsid w:val="009300FC"/>
    <w:rsid w:val="0093069B"/>
    <w:rsid w:val="0093259A"/>
    <w:rsid w:val="0093276B"/>
    <w:rsid w:val="00933456"/>
    <w:rsid w:val="009335DE"/>
    <w:rsid w:val="00936EE4"/>
    <w:rsid w:val="009379A5"/>
    <w:rsid w:val="00937E71"/>
    <w:rsid w:val="009405DE"/>
    <w:rsid w:val="00940BF8"/>
    <w:rsid w:val="00942A78"/>
    <w:rsid w:val="009439B8"/>
    <w:rsid w:val="0094437E"/>
    <w:rsid w:val="00944960"/>
    <w:rsid w:val="00945249"/>
    <w:rsid w:val="00945284"/>
    <w:rsid w:val="00946BA2"/>
    <w:rsid w:val="009529F7"/>
    <w:rsid w:val="00952CD5"/>
    <w:rsid w:val="009533FA"/>
    <w:rsid w:val="00953C7F"/>
    <w:rsid w:val="00956188"/>
    <w:rsid w:val="0095632E"/>
    <w:rsid w:val="009578FD"/>
    <w:rsid w:val="00961806"/>
    <w:rsid w:val="00963CAE"/>
    <w:rsid w:val="0096426E"/>
    <w:rsid w:val="00964988"/>
    <w:rsid w:val="009652EA"/>
    <w:rsid w:val="00966540"/>
    <w:rsid w:val="00971246"/>
    <w:rsid w:val="00971255"/>
    <w:rsid w:val="00972D27"/>
    <w:rsid w:val="00975734"/>
    <w:rsid w:val="00975B49"/>
    <w:rsid w:val="0097657B"/>
    <w:rsid w:val="00977859"/>
    <w:rsid w:val="00980000"/>
    <w:rsid w:val="0098091B"/>
    <w:rsid w:val="0098257C"/>
    <w:rsid w:val="00982EF4"/>
    <w:rsid w:val="009848B1"/>
    <w:rsid w:val="0098511D"/>
    <w:rsid w:val="00985324"/>
    <w:rsid w:val="00985534"/>
    <w:rsid w:val="0098565C"/>
    <w:rsid w:val="009913A2"/>
    <w:rsid w:val="00992D83"/>
    <w:rsid w:val="009933F1"/>
    <w:rsid w:val="0099391D"/>
    <w:rsid w:val="009941E1"/>
    <w:rsid w:val="00996899"/>
    <w:rsid w:val="009A0E84"/>
    <w:rsid w:val="009A1A96"/>
    <w:rsid w:val="009A2486"/>
    <w:rsid w:val="009A2D72"/>
    <w:rsid w:val="009A3234"/>
    <w:rsid w:val="009A405B"/>
    <w:rsid w:val="009A4242"/>
    <w:rsid w:val="009B05B0"/>
    <w:rsid w:val="009B1B1E"/>
    <w:rsid w:val="009C05F4"/>
    <w:rsid w:val="009C1987"/>
    <w:rsid w:val="009C2ED1"/>
    <w:rsid w:val="009D014F"/>
    <w:rsid w:val="009D0179"/>
    <w:rsid w:val="009D03E9"/>
    <w:rsid w:val="009D2F9D"/>
    <w:rsid w:val="009D34AB"/>
    <w:rsid w:val="009D6210"/>
    <w:rsid w:val="009E0087"/>
    <w:rsid w:val="009E20EF"/>
    <w:rsid w:val="009E2794"/>
    <w:rsid w:val="009E2A2E"/>
    <w:rsid w:val="009E304B"/>
    <w:rsid w:val="009E77A3"/>
    <w:rsid w:val="009F54AE"/>
    <w:rsid w:val="009F5F29"/>
    <w:rsid w:val="009F687F"/>
    <w:rsid w:val="009F69DD"/>
    <w:rsid w:val="009F7DA2"/>
    <w:rsid w:val="00A00964"/>
    <w:rsid w:val="00A027B6"/>
    <w:rsid w:val="00A0360D"/>
    <w:rsid w:val="00A0629E"/>
    <w:rsid w:val="00A10C4D"/>
    <w:rsid w:val="00A1279F"/>
    <w:rsid w:val="00A13B6C"/>
    <w:rsid w:val="00A16202"/>
    <w:rsid w:val="00A168BC"/>
    <w:rsid w:val="00A16C94"/>
    <w:rsid w:val="00A20D3B"/>
    <w:rsid w:val="00A2293E"/>
    <w:rsid w:val="00A235AF"/>
    <w:rsid w:val="00A24675"/>
    <w:rsid w:val="00A24CD8"/>
    <w:rsid w:val="00A261C4"/>
    <w:rsid w:val="00A32721"/>
    <w:rsid w:val="00A33565"/>
    <w:rsid w:val="00A33BE0"/>
    <w:rsid w:val="00A3761E"/>
    <w:rsid w:val="00A378DE"/>
    <w:rsid w:val="00A40B75"/>
    <w:rsid w:val="00A41440"/>
    <w:rsid w:val="00A44F98"/>
    <w:rsid w:val="00A56D8C"/>
    <w:rsid w:val="00A60A49"/>
    <w:rsid w:val="00A62F69"/>
    <w:rsid w:val="00A64698"/>
    <w:rsid w:val="00A677FD"/>
    <w:rsid w:val="00A70029"/>
    <w:rsid w:val="00A73E3D"/>
    <w:rsid w:val="00A775FF"/>
    <w:rsid w:val="00A81CCD"/>
    <w:rsid w:val="00A832D0"/>
    <w:rsid w:val="00A91311"/>
    <w:rsid w:val="00A91838"/>
    <w:rsid w:val="00A91ECE"/>
    <w:rsid w:val="00A920F3"/>
    <w:rsid w:val="00A92DCD"/>
    <w:rsid w:val="00A93150"/>
    <w:rsid w:val="00A9592F"/>
    <w:rsid w:val="00AA0C3B"/>
    <w:rsid w:val="00AA4150"/>
    <w:rsid w:val="00AA4DBA"/>
    <w:rsid w:val="00AA4DF8"/>
    <w:rsid w:val="00AA61AC"/>
    <w:rsid w:val="00AA658D"/>
    <w:rsid w:val="00AA7F54"/>
    <w:rsid w:val="00AB04CC"/>
    <w:rsid w:val="00AB3487"/>
    <w:rsid w:val="00AC2D2C"/>
    <w:rsid w:val="00AC4F5C"/>
    <w:rsid w:val="00AD1853"/>
    <w:rsid w:val="00AD5454"/>
    <w:rsid w:val="00AD748A"/>
    <w:rsid w:val="00AE1F3D"/>
    <w:rsid w:val="00AE2017"/>
    <w:rsid w:val="00AE27EE"/>
    <w:rsid w:val="00AE63E7"/>
    <w:rsid w:val="00AE6533"/>
    <w:rsid w:val="00AE6B0D"/>
    <w:rsid w:val="00AE6B21"/>
    <w:rsid w:val="00AE7F30"/>
    <w:rsid w:val="00AF24D4"/>
    <w:rsid w:val="00AF3DB0"/>
    <w:rsid w:val="00AF7C7C"/>
    <w:rsid w:val="00AF7DE9"/>
    <w:rsid w:val="00B00194"/>
    <w:rsid w:val="00B00734"/>
    <w:rsid w:val="00B0097A"/>
    <w:rsid w:val="00B026CF"/>
    <w:rsid w:val="00B03D4A"/>
    <w:rsid w:val="00B04129"/>
    <w:rsid w:val="00B05429"/>
    <w:rsid w:val="00B06ECB"/>
    <w:rsid w:val="00B07059"/>
    <w:rsid w:val="00B0727D"/>
    <w:rsid w:val="00B115F3"/>
    <w:rsid w:val="00B1413C"/>
    <w:rsid w:val="00B1679F"/>
    <w:rsid w:val="00B16FCA"/>
    <w:rsid w:val="00B20BB4"/>
    <w:rsid w:val="00B217D6"/>
    <w:rsid w:val="00B230B8"/>
    <w:rsid w:val="00B324E8"/>
    <w:rsid w:val="00B3297B"/>
    <w:rsid w:val="00B32F8C"/>
    <w:rsid w:val="00B3659D"/>
    <w:rsid w:val="00B36853"/>
    <w:rsid w:val="00B40B61"/>
    <w:rsid w:val="00B417EA"/>
    <w:rsid w:val="00B4189F"/>
    <w:rsid w:val="00B43C4A"/>
    <w:rsid w:val="00B45A17"/>
    <w:rsid w:val="00B4648F"/>
    <w:rsid w:val="00B4690C"/>
    <w:rsid w:val="00B47EC2"/>
    <w:rsid w:val="00B506C1"/>
    <w:rsid w:val="00B519F6"/>
    <w:rsid w:val="00B51FF5"/>
    <w:rsid w:val="00B53F95"/>
    <w:rsid w:val="00B54CF5"/>
    <w:rsid w:val="00B612B0"/>
    <w:rsid w:val="00B62164"/>
    <w:rsid w:val="00B62677"/>
    <w:rsid w:val="00B64127"/>
    <w:rsid w:val="00B658E9"/>
    <w:rsid w:val="00B65E54"/>
    <w:rsid w:val="00B662B5"/>
    <w:rsid w:val="00B67019"/>
    <w:rsid w:val="00B671C1"/>
    <w:rsid w:val="00B700D9"/>
    <w:rsid w:val="00B7224E"/>
    <w:rsid w:val="00B774A6"/>
    <w:rsid w:val="00B80159"/>
    <w:rsid w:val="00B8041C"/>
    <w:rsid w:val="00B8062A"/>
    <w:rsid w:val="00B8102D"/>
    <w:rsid w:val="00B83D4B"/>
    <w:rsid w:val="00B85C04"/>
    <w:rsid w:val="00B85E5A"/>
    <w:rsid w:val="00B865F8"/>
    <w:rsid w:val="00B866B3"/>
    <w:rsid w:val="00B94330"/>
    <w:rsid w:val="00B95698"/>
    <w:rsid w:val="00B9652B"/>
    <w:rsid w:val="00B967CB"/>
    <w:rsid w:val="00B97287"/>
    <w:rsid w:val="00BA0E90"/>
    <w:rsid w:val="00BA1831"/>
    <w:rsid w:val="00BA2D56"/>
    <w:rsid w:val="00BA57C1"/>
    <w:rsid w:val="00BA6210"/>
    <w:rsid w:val="00BA7530"/>
    <w:rsid w:val="00BB14C0"/>
    <w:rsid w:val="00BB43FB"/>
    <w:rsid w:val="00BB5541"/>
    <w:rsid w:val="00BB6D45"/>
    <w:rsid w:val="00BC000A"/>
    <w:rsid w:val="00BC5816"/>
    <w:rsid w:val="00BC7B51"/>
    <w:rsid w:val="00BD0002"/>
    <w:rsid w:val="00BD348F"/>
    <w:rsid w:val="00BD504D"/>
    <w:rsid w:val="00BD515D"/>
    <w:rsid w:val="00BD6D19"/>
    <w:rsid w:val="00BE5448"/>
    <w:rsid w:val="00BF0E54"/>
    <w:rsid w:val="00BF0F47"/>
    <w:rsid w:val="00BF3CB7"/>
    <w:rsid w:val="00BF5422"/>
    <w:rsid w:val="00BF6679"/>
    <w:rsid w:val="00BF7B40"/>
    <w:rsid w:val="00C00FAE"/>
    <w:rsid w:val="00C04C75"/>
    <w:rsid w:val="00C07E8A"/>
    <w:rsid w:val="00C10B2E"/>
    <w:rsid w:val="00C1120E"/>
    <w:rsid w:val="00C129B5"/>
    <w:rsid w:val="00C20D77"/>
    <w:rsid w:val="00C212AC"/>
    <w:rsid w:val="00C24CB2"/>
    <w:rsid w:val="00C278E9"/>
    <w:rsid w:val="00C323E1"/>
    <w:rsid w:val="00C32A54"/>
    <w:rsid w:val="00C350DE"/>
    <w:rsid w:val="00C36899"/>
    <w:rsid w:val="00C45AA5"/>
    <w:rsid w:val="00C5069E"/>
    <w:rsid w:val="00C507F6"/>
    <w:rsid w:val="00C52ADE"/>
    <w:rsid w:val="00C53B9D"/>
    <w:rsid w:val="00C54110"/>
    <w:rsid w:val="00C54876"/>
    <w:rsid w:val="00C576F1"/>
    <w:rsid w:val="00C57C6C"/>
    <w:rsid w:val="00C60129"/>
    <w:rsid w:val="00C60E83"/>
    <w:rsid w:val="00C63734"/>
    <w:rsid w:val="00C64320"/>
    <w:rsid w:val="00C7290A"/>
    <w:rsid w:val="00C734DE"/>
    <w:rsid w:val="00C73B55"/>
    <w:rsid w:val="00C75BD0"/>
    <w:rsid w:val="00C772F1"/>
    <w:rsid w:val="00C774A2"/>
    <w:rsid w:val="00C844C6"/>
    <w:rsid w:val="00C85B41"/>
    <w:rsid w:val="00C91503"/>
    <w:rsid w:val="00C91872"/>
    <w:rsid w:val="00C93366"/>
    <w:rsid w:val="00C9413F"/>
    <w:rsid w:val="00C95898"/>
    <w:rsid w:val="00C96677"/>
    <w:rsid w:val="00C97076"/>
    <w:rsid w:val="00C972A6"/>
    <w:rsid w:val="00CA0156"/>
    <w:rsid w:val="00CA2D90"/>
    <w:rsid w:val="00CA3A00"/>
    <w:rsid w:val="00CA3A2B"/>
    <w:rsid w:val="00CA3B2D"/>
    <w:rsid w:val="00CA3E4A"/>
    <w:rsid w:val="00CA5FCE"/>
    <w:rsid w:val="00CA7C9E"/>
    <w:rsid w:val="00CB14E9"/>
    <w:rsid w:val="00CB56F3"/>
    <w:rsid w:val="00CB7D1C"/>
    <w:rsid w:val="00CC37F5"/>
    <w:rsid w:val="00CC7E88"/>
    <w:rsid w:val="00CD011B"/>
    <w:rsid w:val="00CD193A"/>
    <w:rsid w:val="00CD3052"/>
    <w:rsid w:val="00CD422B"/>
    <w:rsid w:val="00CD5817"/>
    <w:rsid w:val="00CD69F8"/>
    <w:rsid w:val="00CD6CD1"/>
    <w:rsid w:val="00CE0F2E"/>
    <w:rsid w:val="00CE1908"/>
    <w:rsid w:val="00CE1CAA"/>
    <w:rsid w:val="00CE21E9"/>
    <w:rsid w:val="00CE359D"/>
    <w:rsid w:val="00CE4B6E"/>
    <w:rsid w:val="00CE4F85"/>
    <w:rsid w:val="00CF0099"/>
    <w:rsid w:val="00CF11AD"/>
    <w:rsid w:val="00CF2AAC"/>
    <w:rsid w:val="00CF5794"/>
    <w:rsid w:val="00CF6C3F"/>
    <w:rsid w:val="00CF6E12"/>
    <w:rsid w:val="00D030A1"/>
    <w:rsid w:val="00D101DE"/>
    <w:rsid w:val="00D10CE8"/>
    <w:rsid w:val="00D134D6"/>
    <w:rsid w:val="00D14ED1"/>
    <w:rsid w:val="00D17CBC"/>
    <w:rsid w:val="00D22623"/>
    <w:rsid w:val="00D24E8C"/>
    <w:rsid w:val="00D27A5C"/>
    <w:rsid w:val="00D27C28"/>
    <w:rsid w:val="00D27C75"/>
    <w:rsid w:val="00D36111"/>
    <w:rsid w:val="00D418DC"/>
    <w:rsid w:val="00D42C74"/>
    <w:rsid w:val="00D44EFC"/>
    <w:rsid w:val="00D45096"/>
    <w:rsid w:val="00D477EA"/>
    <w:rsid w:val="00D47E65"/>
    <w:rsid w:val="00D50C86"/>
    <w:rsid w:val="00D537D0"/>
    <w:rsid w:val="00D60ABF"/>
    <w:rsid w:val="00D636AD"/>
    <w:rsid w:val="00D6400E"/>
    <w:rsid w:val="00D64F7F"/>
    <w:rsid w:val="00D652E0"/>
    <w:rsid w:val="00D72D43"/>
    <w:rsid w:val="00D7358D"/>
    <w:rsid w:val="00D73C5D"/>
    <w:rsid w:val="00D81168"/>
    <w:rsid w:val="00D83A2D"/>
    <w:rsid w:val="00D86E38"/>
    <w:rsid w:val="00D876EA"/>
    <w:rsid w:val="00D8796F"/>
    <w:rsid w:val="00D96A16"/>
    <w:rsid w:val="00D97DD8"/>
    <w:rsid w:val="00DA57BB"/>
    <w:rsid w:val="00DB00EE"/>
    <w:rsid w:val="00DB0B75"/>
    <w:rsid w:val="00DB4FCB"/>
    <w:rsid w:val="00DB5C91"/>
    <w:rsid w:val="00DB5EC1"/>
    <w:rsid w:val="00DB72AD"/>
    <w:rsid w:val="00DC115F"/>
    <w:rsid w:val="00DC2206"/>
    <w:rsid w:val="00DC48F9"/>
    <w:rsid w:val="00DD2A66"/>
    <w:rsid w:val="00DD4011"/>
    <w:rsid w:val="00DD4EE4"/>
    <w:rsid w:val="00DD59E8"/>
    <w:rsid w:val="00DD6D1A"/>
    <w:rsid w:val="00DE08A4"/>
    <w:rsid w:val="00DE1E29"/>
    <w:rsid w:val="00DE2DA8"/>
    <w:rsid w:val="00DE2F34"/>
    <w:rsid w:val="00DE3770"/>
    <w:rsid w:val="00DE3EA9"/>
    <w:rsid w:val="00DF0B36"/>
    <w:rsid w:val="00DF2B7B"/>
    <w:rsid w:val="00E00125"/>
    <w:rsid w:val="00E01486"/>
    <w:rsid w:val="00E016C4"/>
    <w:rsid w:val="00E020BA"/>
    <w:rsid w:val="00E03F0D"/>
    <w:rsid w:val="00E052A9"/>
    <w:rsid w:val="00E0589E"/>
    <w:rsid w:val="00E05A75"/>
    <w:rsid w:val="00E11468"/>
    <w:rsid w:val="00E134D5"/>
    <w:rsid w:val="00E13757"/>
    <w:rsid w:val="00E141C4"/>
    <w:rsid w:val="00E147FD"/>
    <w:rsid w:val="00E159C7"/>
    <w:rsid w:val="00E15C8A"/>
    <w:rsid w:val="00E236CD"/>
    <w:rsid w:val="00E31B2B"/>
    <w:rsid w:val="00E3780B"/>
    <w:rsid w:val="00E37C30"/>
    <w:rsid w:val="00E411C9"/>
    <w:rsid w:val="00E415FD"/>
    <w:rsid w:val="00E427B0"/>
    <w:rsid w:val="00E4282F"/>
    <w:rsid w:val="00E42C1C"/>
    <w:rsid w:val="00E42F7C"/>
    <w:rsid w:val="00E4547C"/>
    <w:rsid w:val="00E47114"/>
    <w:rsid w:val="00E51A41"/>
    <w:rsid w:val="00E529D3"/>
    <w:rsid w:val="00E54DB2"/>
    <w:rsid w:val="00E57967"/>
    <w:rsid w:val="00E60602"/>
    <w:rsid w:val="00E6440F"/>
    <w:rsid w:val="00E70214"/>
    <w:rsid w:val="00E767BA"/>
    <w:rsid w:val="00E8046B"/>
    <w:rsid w:val="00E81C23"/>
    <w:rsid w:val="00E82ED7"/>
    <w:rsid w:val="00E832F7"/>
    <w:rsid w:val="00E849B2"/>
    <w:rsid w:val="00E84EF2"/>
    <w:rsid w:val="00E855E4"/>
    <w:rsid w:val="00E87796"/>
    <w:rsid w:val="00E878B4"/>
    <w:rsid w:val="00E91332"/>
    <w:rsid w:val="00E93FC7"/>
    <w:rsid w:val="00E94268"/>
    <w:rsid w:val="00E959DE"/>
    <w:rsid w:val="00E97135"/>
    <w:rsid w:val="00E97821"/>
    <w:rsid w:val="00EA1FA8"/>
    <w:rsid w:val="00EA3DE3"/>
    <w:rsid w:val="00EA436C"/>
    <w:rsid w:val="00EA6115"/>
    <w:rsid w:val="00EA67F8"/>
    <w:rsid w:val="00EB0A67"/>
    <w:rsid w:val="00EB0FF1"/>
    <w:rsid w:val="00EB2DE0"/>
    <w:rsid w:val="00EB65EC"/>
    <w:rsid w:val="00EC4EA0"/>
    <w:rsid w:val="00ED0299"/>
    <w:rsid w:val="00ED1C86"/>
    <w:rsid w:val="00ED3E77"/>
    <w:rsid w:val="00ED60F1"/>
    <w:rsid w:val="00ED61CC"/>
    <w:rsid w:val="00ED73FA"/>
    <w:rsid w:val="00EE15F4"/>
    <w:rsid w:val="00EE275D"/>
    <w:rsid w:val="00EE512F"/>
    <w:rsid w:val="00EE5873"/>
    <w:rsid w:val="00EE76F0"/>
    <w:rsid w:val="00EF0283"/>
    <w:rsid w:val="00EF2668"/>
    <w:rsid w:val="00EF55E7"/>
    <w:rsid w:val="00F011FB"/>
    <w:rsid w:val="00F0127E"/>
    <w:rsid w:val="00F02C84"/>
    <w:rsid w:val="00F13803"/>
    <w:rsid w:val="00F163AF"/>
    <w:rsid w:val="00F169AD"/>
    <w:rsid w:val="00F204F6"/>
    <w:rsid w:val="00F20BDE"/>
    <w:rsid w:val="00F20F81"/>
    <w:rsid w:val="00F23035"/>
    <w:rsid w:val="00F27F45"/>
    <w:rsid w:val="00F31E1D"/>
    <w:rsid w:val="00F31FEB"/>
    <w:rsid w:val="00F352EF"/>
    <w:rsid w:val="00F360FE"/>
    <w:rsid w:val="00F366E0"/>
    <w:rsid w:val="00F3700F"/>
    <w:rsid w:val="00F4410A"/>
    <w:rsid w:val="00F510C4"/>
    <w:rsid w:val="00F5266F"/>
    <w:rsid w:val="00F52ABB"/>
    <w:rsid w:val="00F54992"/>
    <w:rsid w:val="00F54F2C"/>
    <w:rsid w:val="00F56E3F"/>
    <w:rsid w:val="00F64A02"/>
    <w:rsid w:val="00F6509B"/>
    <w:rsid w:val="00F73993"/>
    <w:rsid w:val="00F77E20"/>
    <w:rsid w:val="00F82644"/>
    <w:rsid w:val="00F83281"/>
    <w:rsid w:val="00F84832"/>
    <w:rsid w:val="00F86F12"/>
    <w:rsid w:val="00F9052D"/>
    <w:rsid w:val="00F90E88"/>
    <w:rsid w:val="00F91B00"/>
    <w:rsid w:val="00F92C6E"/>
    <w:rsid w:val="00F93FCB"/>
    <w:rsid w:val="00F940A6"/>
    <w:rsid w:val="00F96517"/>
    <w:rsid w:val="00F96F66"/>
    <w:rsid w:val="00FA06CD"/>
    <w:rsid w:val="00FA0BC3"/>
    <w:rsid w:val="00FA1DDF"/>
    <w:rsid w:val="00FA1F3E"/>
    <w:rsid w:val="00FA34A3"/>
    <w:rsid w:val="00FA388F"/>
    <w:rsid w:val="00FA47E9"/>
    <w:rsid w:val="00FA523D"/>
    <w:rsid w:val="00FB5F2A"/>
    <w:rsid w:val="00FB652C"/>
    <w:rsid w:val="00FC258B"/>
    <w:rsid w:val="00FC29CE"/>
    <w:rsid w:val="00FD0B1B"/>
    <w:rsid w:val="00FD13DC"/>
    <w:rsid w:val="00FD350A"/>
    <w:rsid w:val="00FD43CB"/>
    <w:rsid w:val="00FD780C"/>
    <w:rsid w:val="00FE16BF"/>
    <w:rsid w:val="00FE227F"/>
    <w:rsid w:val="00FE24AD"/>
    <w:rsid w:val="00FE6A25"/>
    <w:rsid w:val="00FF059C"/>
    <w:rsid w:val="00FF2382"/>
    <w:rsid w:val="00FF2C45"/>
    <w:rsid w:val="00FF4AFC"/>
    <w:rsid w:val="00FF5EA9"/>
    <w:rsid w:val="00FF64E8"/>
    <w:rsid w:val="00FF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4E80B5C"/>
  <w15:chartTrackingRefBased/>
  <w15:docId w15:val="{323289F6-4F9E-451E-A699-21263CC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ind w:left="2160" w:hanging="1139"/>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ind w:left="2880" w:hanging="7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ind w:left="3600" w:hanging="7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
      </w:numPr>
      <w:spacing w:before="120" w:after="120"/>
      <w:outlineLvl w:val="0"/>
    </w:pPr>
    <w:rPr>
      <w:b/>
      <w:caps/>
      <w:u w:val="single"/>
    </w:rPr>
  </w:style>
  <w:style w:type="paragraph" w:customStyle="1" w:styleId="A2">
    <w:name w:val="A2"/>
    <w:basedOn w:val="Normal"/>
    <w:uiPriority w:val="99"/>
    <w:rsid w:val="00F5266F"/>
    <w:pPr>
      <w:numPr>
        <w:ilvl w:val="1"/>
        <w:numId w:val="1"/>
      </w:numPr>
      <w:spacing w:before="120" w:after="120"/>
      <w:outlineLvl w:val="1"/>
    </w:pPr>
  </w:style>
  <w:style w:type="paragraph" w:customStyle="1" w:styleId="A3">
    <w:name w:val="A3"/>
    <w:basedOn w:val="Normal"/>
    <w:uiPriority w:val="99"/>
    <w:rsid w:val="003525BC"/>
    <w:pPr>
      <w:numPr>
        <w:ilvl w:val="2"/>
        <w:numId w:val="1"/>
      </w:numPr>
      <w:spacing w:before="120" w:after="120"/>
      <w:outlineLvl w:val="2"/>
    </w:pPr>
  </w:style>
  <w:style w:type="paragraph" w:customStyle="1" w:styleId="A4">
    <w:name w:val="A4"/>
    <w:basedOn w:val="Normal"/>
    <w:uiPriority w:val="99"/>
    <w:rsid w:val="003525BC"/>
    <w:pPr>
      <w:numPr>
        <w:ilvl w:val="3"/>
        <w:numId w:val="1"/>
      </w:numPr>
      <w:spacing w:before="120" w:after="120"/>
      <w:outlineLvl w:val="3"/>
    </w:pPr>
  </w:style>
  <w:style w:type="paragraph" w:customStyle="1" w:styleId="A5">
    <w:name w:val="A5"/>
    <w:basedOn w:val="Normal"/>
    <w:rsid w:val="003525BC"/>
    <w:pPr>
      <w:numPr>
        <w:ilvl w:val="4"/>
        <w:numId w:val="1"/>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781C5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paragraph" w:customStyle="1" w:styleId="paragraph">
    <w:name w:val="paragraph"/>
    <w:basedOn w:val="Normal"/>
    <w:rsid w:val="00510A2B"/>
    <w:pPr>
      <w:spacing w:before="100" w:beforeAutospacing="1" w:after="100" w:afterAutospacing="1"/>
      <w:jc w:val="left"/>
    </w:pPr>
    <w:rPr>
      <w:rFonts w:ascii="Times New Roman" w:hAnsi="Times New Roman"/>
      <w:szCs w:val="24"/>
      <w:lang w:eastAsia="en-GB"/>
    </w:rPr>
  </w:style>
  <w:style w:type="character" w:customStyle="1" w:styleId="normaltextrun">
    <w:name w:val="normaltextrun"/>
    <w:rsid w:val="00510A2B"/>
  </w:style>
  <w:style w:type="character" w:customStyle="1" w:styleId="eop">
    <w:name w:val="eop"/>
    <w:rsid w:val="00510A2B"/>
  </w:style>
  <w:style w:type="character" w:styleId="UnresolvedMention">
    <w:name w:val="Unresolved Mention"/>
    <w:uiPriority w:val="99"/>
    <w:semiHidden/>
    <w:unhideWhenUsed/>
    <w:rsid w:val="00817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9260839">
      <w:bodyDiv w:val="1"/>
      <w:marLeft w:val="0"/>
      <w:marRight w:val="0"/>
      <w:marTop w:val="0"/>
      <w:marBottom w:val="0"/>
      <w:divBdr>
        <w:top w:val="none" w:sz="0" w:space="0" w:color="auto"/>
        <w:left w:val="none" w:sz="0" w:space="0" w:color="auto"/>
        <w:bottom w:val="none" w:sz="0" w:space="0" w:color="auto"/>
        <w:right w:val="none" w:sz="0" w:space="0" w:color="auto"/>
      </w:divBdr>
    </w:div>
    <w:div w:id="144469375">
      <w:bodyDiv w:val="1"/>
      <w:marLeft w:val="0"/>
      <w:marRight w:val="0"/>
      <w:marTop w:val="0"/>
      <w:marBottom w:val="0"/>
      <w:divBdr>
        <w:top w:val="none" w:sz="0" w:space="0" w:color="auto"/>
        <w:left w:val="none" w:sz="0" w:space="0" w:color="auto"/>
        <w:bottom w:val="none" w:sz="0" w:space="0" w:color="auto"/>
        <w:right w:val="none" w:sz="0" w:space="0" w:color="auto"/>
      </w:divBdr>
    </w:div>
    <w:div w:id="194539482">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369649269">
      <w:bodyDiv w:val="1"/>
      <w:marLeft w:val="0"/>
      <w:marRight w:val="0"/>
      <w:marTop w:val="0"/>
      <w:marBottom w:val="0"/>
      <w:divBdr>
        <w:top w:val="none" w:sz="0" w:space="0" w:color="auto"/>
        <w:left w:val="none" w:sz="0" w:space="0" w:color="auto"/>
        <w:bottom w:val="none" w:sz="0" w:space="0" w:color="auto"/>
        <w:right w:val="none" w:sz="0" w:space="0" w:color="auto"/>
      </w:divBdr>
    </w:div>
    <w:div w:id="369652317">
      <w:bodyDiv w:val="1"/>
      <w:marLeft w:val="0"/>
      <w:marRight w:val="0"/>
      <w:marTop w:val="0"/>
      <w:marBottom w:val="0"/>
      <w:divBdr>
        <w:top w:val="none" w:sz="0" w:space="0" w:color="auto"/>
        <w:left w:val="none" w:sz="0" w:space="0" w:color="auto"/>
        <w:bottom w:val="none" w:sz="0" w:space="0" w:color="auto"/>
        <w:right w:val="none" w:sz="0" w:space="0" w:color="auto"/>
      </w:divBdr>
    </w:div>
    <w:div w:id="701706625">
      <w:bodyDiv w:val="1"/>
      <w:marLeft w:val="0"/>
      <w:marRight w:val="0"/>
      <w:marTop w:val="0"/>
      <w:marBottom w:val="0"/>
      <w:divBdr>
        <w:top w:val="none" w:sz="0" w:space="0" w:color="auto"/>
        <w:left w:val="none" w:sz="0" w:space="0" w:color="auto"/>
        <w:bottom w:val="none" w:sz="0" w:space="0" w:color="auto"/>
        <w:right w:val="none" w:sz="0" w:space="0" w:color="auto"/>
      </w:divBdr>
    </w:div>
    <w:div w:id="761223728">
      <w:bodyDiv w:val="1"/>
      <w:marLeft w:val="0"/>
      <w:marRight w:val="0"/>
      <w:marTop w:val="0"/>
      <w:marBottom w:val="0"/>
      <w:divBdr>
        <w:top w:val="none" w:sz="0" w:space="0" w:color="auto"/>
        <w:left w:val="none" w:sz="0" w:space="0" w:color="auto"/>
        <w:bottom w:val="none" w:sz="0" w:space="0" w:color="auto"/>
        <w:right w:val="none" w:sz="0" w:space="0" w:color="auto"/>
      </w:divBdr>
      <w:divsChild>
        <w:div w:id="124861534">
          <w:marLeft w:val="0"/>
          <w:marRight w:val="0"/>
          <w:marTop w:val="0"/>
          <w:marBottom w:val="0"/>
          <w:divBdr>
            <w:top w:val="none" w:sz="0" w:space="0" w:color="auto"/>
            <w:left w:val="none" w:sz="0" w:space="0" w:color="auto"/>
            <w:bottom w:val="none" w:sz="0" w:space="0" w:color="auto"/>
            <w:right w:val="none" w:sz="0" w:space="0" w:color="auto"/>
          </w:divBdr>
          <w:divsChild>
            <w:div w:id="1090005615">
              <w:marLeft w:val="0"/>
              <w:marRight w:val="0"/>
              <w:marTop w:val="0"/>
              <w:marBottom w:val="0"/>
              <w:divBdr>
                <w:top w:val="none" w:sz="0" w:space="0" w:color="auto"/>
                <w:left w:val="none" w:sz="0" w:space="0" w:color="auto"/>
                <w:bottom w:val="none" w:sz="0" w:space="0" w:color="auto"/>
                <w:right w:val="none" w:sz="0" w:space="0" w:color="auto"/>
              </w:divBdr>
            </w:div>
          </w:divsChild>
        </w:div>
        <w:div w:id="508914216">
          <w:marLeft w:val="0"/>
          <w:marRight w:val="0"/>
          <w:marTop w:val="0"/>
          <w:marBottom w:val="0"/>
          <w:divBdr>
            <w:top w:val="none" w:sz="0" w:space="0" w:color="auto"/>
            <w:left w:val="none" w:sz="0" w:space="0" w:color="auto"/>
            <w:bottom w:val="none" w:sz="0" w:space="0" w:color="auto"/>
            <w:right w:val="none" w:sz="0" w:space="0" w:color="auto"/>
          </w:divBdr>
          <w:divsChild>
            <w:div w:id="973604838">
              <w:marLeft w:val="0"/>
              <w:marRight w:val="0"/>
              <w:marTop w:val="0"/>
              <w:marBottom w:val="0"/>
              <w:divBdr>
                <w:top w:val="none" w:sz="0" w:space="0" w:color="auto"/>
                <w:left w:val="none" w:sz="0" w:space="0" w:color="auto"/>
                <w:bottom w:val="none" w:sz="0" w:space="0" w:color="auto"/>
                <w:right w:val="none" w:sz="0" w:space="0" w:color="auto"/>
              </w:divBdr>
            </w:div>
          </w:divsChild>
        </w:div>
        <w:div w:id="596523324">
          <w:marLeft w:val="0"/>
          <w:marRight w:val="0"/>
          <w:marTop w:val="0"/>
          <w:marBottom w:val="0"/>
          <w:divBdr>
            <w:top w:val="none" w:sz="0" w:space="0" w:color="auto"/>
            <w:left w:val="none" w:sz="0" w:space="0" w:color="auto"/>
            <w:bottom w:val="none" w:sz="0" w:space="0" w:color="auto"/>
            <w:right w:val="none" w:sz="0" w:space="0" w:color="auto"/>
          </w:divBdr>
          <w:divsChild>
            <w:div w:id="1375425336">
              <w:marLeft w:val="0"/>
              <w:marRight w:val="0"/>
              <w:marTop w:val="0"/>
              <w:marBottom w:val="0"/>
              <w:divBdr>
                <w:top w:val="none" w:sz="0" w:space="0" w:color="auto"/>
                <w:left w:val="none" w:sz="0" w:space="0" w:color="auto"/>
                <w:bottom w:val="none" w:sz="0" w:space="0" w:color="auto"/>
                <w:right w:val="none" w:sz="0" w:space="0" w:color="auto"/>
              </w:divBdr>
            </w:div>
          </w:divsChild>
        </w:div>
        <w:div w:id="675807244">
          <w:marLeft w:val="0"/>
          <w:marRight w:val="0"/>
          <w:marTop w:val="0"/>
          <w:marBottom w:val="0"/>
          <w:divBdr>
            <w:top w:val="none" w:sz="0" w:space="0" w:color="auto"/>
            <w:left w:val="none" w:sz="0" w:space="0" w:color="auto"/>
            <w:bottom w:val="none" w:sz="0" w:space="0" w:color="auto"/>
            <w:right w:val="none" w:sz="0" w:space="0" w:color="auto"/>
          </w:divBdr>
          <w:divsChild>
            <w:div w:id="414743895">
              <w:marLeft w:val="0"/>
              <w:marRight w:val="0"/>
              <w:marTop w:val="0"/>
              <w:marBottom w:val="0"/>
              <w:divBdr>
                <w:top w:val="none" w:sz="0" w:space="0" w:color="auto"/>
                <w:left w:val="none" w:sz="0" w:space="0" w:color="auto"/>
                <w:bottom w:val="none" w:sz="0" w:space="0" w:color="auto"/>
                <w:right w:val="none" w:sz="0" w:space="0" w:color="auto"/>
              </w:divBdr>
            </w:div>
          </w:divsChild>
        </w:div>
        <w:div w:id="890386278">
          <w:marLeft w:val="0"/>
          <w:marRight w:val="0"/>
          <w:marTop w:val="0"/>
          <w:marBottom w:val="0"/>
          <w:divBdr>
            <w:top w:val="none" w:sz="0" w:space="0" w:color="auto"/>
            <w:left w:val="none" w:sz="0" w:space="0" w:color="auto"/>
            <w:bottom w:val="none" w:sz="0" w:space="0" w:color="auto"/>
            <w:right w:val="none" w:sz="0" w:space="0" w:color="auto"/>
          </w:divBdr>
          <w:divsChild>
            <w:div w:id="2046297116">
              <w:marLeft w:val="0"/>
              <w:marRight w:val="0"/>
              <w:marTop w:val="0"/>
              <w:marBottom w:val="0"/>
              <w:divBdr>
                <w:top w:val="none" w:sz="0" w:space="0" w:color="auto"/>
                <w:left w:val="none" w:sz="0" w:space="0" w:color="auto"/>
                <w:bottom w:val="none" w:sz="0" w:space="0" w:color="auto"/>
                <w:right w:val="none" w:sz="0" w:space="0" w:color="auto"/>
              </w:divBdr>
            </w:div>
          </w:divsChild>
        </w:div>
        <w:div w:id="944848197">
          <w:marLeft w:val="0"/>
          <w:marRight w:val="0"/>
          <w:marTop w:val="0"/>
          <w:marBottom w:val="0"/>
          <w:divBdr>
            <w:top w:val="none" w:sz="0" w:space="0" w:color="auto"/>
            <w:left w:val="none" w:sz="0" w:space="0" w:color="auto"/>
            <w:bottom w:val="none" w:sz="0" w:space="0" w:color="auto"/>
            <w:right w:val="none" w:sz="0" w:space="0" w:color="auto"/>
          </w:divBdr>
          <w:divsChild>
            <w:div w:id="1379935760">
              <w:marLeft w:val="0"/>
              <w:marRight w:val="0"/>
              <w:marTop w:val="0"/>
              <w:marBottom w:val="0"/>
              <w:divBdr>
                <w:top w:val="none" w:sz="0" w:space="0" w:color="auto"/>
                <w:left w:val="none" w:sz="0" w:space="0" w:color="auto"/>
                <w:bottom w:val="none" w:sz="0" w:space="0" w:color="auto"/>
                <w:right w:val="none" w:sz="0" w:space="0" w:color="auto"/>
              </w:divBdr>
            </w:div>
          </w:divsChild>
        </w:div>
        <w:div w:id="1043213975">
          <w:marLeft w:val="0"/>
          <w:marRight w:val="0"/>
          <w:marTop w:val="0"/>
          <w:marBottom w:val="0"/>
          <w:divBdr>
            <w:top w:val="none" w:sz="0" w:space="0" w:color="auto"/>
            <w:left w:val="none" w:sz="0" w:space="0" w:color="auto"/>
            <w:bottom w:val="none" w:sz="0" w:space="0" w:color="auto"/>
            <w:right w:val="none" w:sz="0" w:space="0" w:color="auto"/>
          </w:divBdr>
          <w:divsChild>
            <w:div w:id="829373899">
              <w:marLeft w:val="0"/>
              <w:marRight w:val="0"/>
              <w:marTop w:val="0"/>
              <w:marBottom w:val="0"/>
              <w:divBdr>
                <w:top w:val="none" w:sz="0" w:space="0" w:color="auto"/>
                <w:left w:val="none" w:sz="0" w:space="0" w:color="auto"/>
                <w:bottom w:val="none" w:sz="0" w:space="0" w:color="auto"/>
                <w:right w:val="none" w:sz="0" w:space="0" w:color="auto"/>
              </w:divBdr>
            </w:div>
          </w:divsChild>
        </w:div>
        <w:div w:id="1169370747">
          <w:marLeft w:val="0"/>
          <w:marRight w:val="0"/>
          <w:marTop w:val="0"/>
          <w:marBottom w:val="0"/>
          <w:divBdr>
            <w:top w:val="none" w:sz="0" w:space="0" w:color="auto"/>
            <w:left w:val="none" w:sz="0" w:space="0" w:color="auto"/>
            <w:bottom w:val="none" w:sz="0" w:space="0" w:color="auto"/>
            <w:right w:val="none" w:sz="0" w:space="0" w:color="auto"/>
          </w:divBdr>
          <w:divsChild>
            <w:div w:id="1106118611">
              <w:marLeft w:val="0"/>
              <w:marRight w:val="0"/>
              <w:marTop w:val="0"/>
              <w:marBottom w:val="0"/>
              <w:divBdr>
                <w:top w:val="none" w:sz="0" w:space="0" w:color="auto"/>
                <w:left w:val="none" w:sz="0" w:space="0" w:color="auto"/>
                <w:bottom w:val="none" w:sz="0" w:space="0" w:color="auto"/>
                <w:right w:val="none" w:sz="0" w:space="0" w:color="auto"/>
              </w:divBdr>
            </w:div>
          </w:divsChild>
        </w:div>
        <w:div w:id="1357267184">
          <w:marLeft w:val="0"/>
          <w:marRight w:val="0"/>
          <w:marTop w:val="0"/>
          <w:marBottom w:val="0"/>
          <w:divBdr>
            <w:top w:val="none" w:sz="0" w:space="0" w:color="auto"/>
            <w:left w:val="none" w:sz="0" w:space="0" w:color="auto"/>
            <w:bottom w:val="none" w:sz="0" w:space="0" w:color="auto"/>
            <w:right w:val="none" w:sz="0" w:space="0" w:color="auto"/>
          </w:divBdr>
          <w:divsChild>
            <w:div w:id="596183460">
              <w:marLeft w:val="0"/>
              <w:marRight w:val="0"/>
              <w:marTop w:val="0"/>
              <w:marBottom w:val="0"/>
              <w:divBdr>
                <w:top w:val="none" w:sz="0" w:space="0" w:color="auto"/>
                <w:left w:val="none" w:sz="0" w:space="0" w:color="auto"/>
                <w:bottom w:val="none" w:sz="0" w:space="0" w:color="auto"/>
                <w:right w:val="none" w:sz="0" w:space="0" w:color="auto"/>
              </w:divBdr>
            </w:div>
          </w:divsChild>
        </w:div>
        <w:div w:id="1429425005">
          <w:marLeft w:val="0"/>
          <w:marRight w:val="0"/>
          <w:marTop w:val="0"/>
          <w:marBottom w:val="0"/>
          <w:divBdr>
            <w:top w:val="none" w:sz="0" w:space="0" w:color="auto"/>
            <w:left w:val="none" w:sz="0" w:space="0" w:color="auto"/>
            <w:bottom w:val="none" w:sz="0" w:space="0" w:color="auto"/>
            <w:right w:val="none" w:sz="0" w:space="0" w:color="auto"/>
          </w:divBdr>
          <w:divsChild>
            <w:div w:id="1809392167">
              <w:marLeft w:val="0"/>
              <w:marRight w:val="0"/>
              <w:marTop w:val="0"/>
              <w:marBottom w:val="0"/>
              <w:divBdr>
                <w:top w:val="none" w:sz="0" w:space="0" w:color="auto"/>
                <w:left w:val="none" w:sz="0" w:space="0" w:color="auto"/>
                <w:bottom w:val="none" w:sz="0" w:space="0" w:color="auto"/>
                <w:right w:val="none" w:sz="0" w:space="0" w:color="auto"/>
              </w:divBdr>
            </w:div>
          </w:divsChild>
        </w:div>
        <w:div w:id="1540780359">
          <w:marLeft w:val="0"/>
          <w:marRight w:val="0"/>
          <w:marTop w:val="0"/>
          <w:marBottom w:val="0"/>
          <w:divBdr>
            <w:top w:val="none" w:sz="0" w:space="0" w:color="auto"/>
            <w:left w:val="none" w:sz="0" w:space="0" w:color="auto"/>
            <w:bottom w:val="none" w:sz="0" w:space="0" w:color="auto"/>
            <w:right w:val="none" w:sz="0" w:space="0" w:color="auto"/>
          </w:divBdr>
          <w:divsChild>
            <w:div w:id="1345939849">
              <w:marLeft w:val="0"/>
              <w:marRight w:val="0"/>
              <w:marTop w:val="0"/>
              <w:marBottom w:val="0"/>
              <w:divBdr>
                <w:top w:val="none" w:sz="0" w:space="0" w:color="auto"/>
                <w:left w:val="none" w:sz="0" w:space="0" w:color="auto"/>
                <w:bottom w:val="none" w:sz="0" w:space="0" w:color="auto"/>
                <w:right w:val="none" w:sz="0" w:space="0" w:color="auto"/>
              </w:divBdr>
            </w:div>
          </w:divsChild>
        </w:div>
        <w:div w:id="1593317485">
          <w:marLeft w:val="0"/>
          <w:marRight w:val="0"/>
          <w:marTop w:val="0"/>
          <w:marBottom w:val="0"/>
          <w:divBdr>
            <w:top w:val="none" w:sz="0" w:space="0" w:color="auto"/>
            <w:left w:val="none" w:sz="0" w:space="0" w:color="auto"/>
            <w:bottom w:val="none" w:sz="0" w:space="0" w:color="auto"/>
            <w:right w:val="none" w:sz="0" w:space="0" w:color="auto"/>
          </w:divBdr>
          <w:divsChild>
            <w:div w:id="1497920709">
              <w:marLeft w:val="0"/>
              <w:marRight w:val="0"/>
              <w:marTop w:val="0"/>
              <w:marBottom w:val="0"/>
              <w:divBdr>
                <w:top w:val="none" w:sz="0" w:space="0" w:color="auto"/>
                <w:left w:val="none" w:sz="0" w:space="0" w:color="auto"/>
                <w:bottom w:val="none" w:sz="0" w:space="0" w:color="auto"/>
                <w:right w:val="none" w:sz="0" w:space="0" w:color="auto"/>
              </w:divBdr>
            </w:div>
          </w:divsChild>
        </w:div>
        <w:div w:id="1844122624">
          <w:marLeft w:val="0"/>
          <w:marRight w:val="0"/>
          <w:marTop w:val="0"/>
          <w:marBottom w:val="0"/>
          <w:divBdr>
            <w:top w:val="none" w:sz="0" w:space="0" w:color="auto"/>
            <w:left w:val="none" w:sz="0" w:space="0" w:color="auto"/>
            <w:bottom w:val="none" w:sz="0" w:space="0" w:color="auto"/>
            <w:right w:val="none" w:sz="0" w:space="0" w:color="auto"/>
          </w:divBdr>
          <w:divsChild>
            <w:div w:id="2014720790">
              <w:marLeft w:val="0"/>
              <w:marRight w:val="0"/>
              <w:marTop w:val="0"/>
              <w:marBottom w:val="0"/>
              <w:divBdr>
                <w:top w:val="none" w:sz="0" w:space="0" w:color="auto"/>
                <w:left w:val="none" w:sz="0" w:space="0" w:color="auto"/>
                <w:bottom w:val="none" w:sz="0" w:space="0" w:color="auto"/>
                <w:right w:val="none" w:sz="0" w:space="0" w:color="auto"/>
              </w:divBdr>
            </w:div>
          </w:divsChild>
        </w:div>
        <w:div w:id="1919509852">
          <w:marLeft w:val="0"/>
          <w:marRight w:val="0"/>
          <w:marTop w:val="0"/>
          <w:marBottom w:val="0"/>
          <w:divBdr>
            <w:top w:val="none" w:sz="0" w:space="0" w:color="auto"/>
            <w:left w:val="none" w:sz="0" w:space="0" w:color="auto"/>
            <w:bottom w:val="none" w:sz="0" w:space="0" w:color="auto"/>
            <w:right w:val="none" w:sz="0" w:space="0" w:color="auto"/>
          </w:divBdr>
          <w:divsChild>
            <w:div w:id="93525487">
              <w:marLeft w:val="0"/>
              <w:marRight w:val="0"/>
              <w:marTop w:val="0"/>
              <w:marBottom w:val="0"/>
              <w:divBdr>
                <w:top w:val="none" w:sz="0" w:space="0" w:color="auto"/>
                <w:left w:val="none" w:sz="0" w:space="0" w:color="auto"/>
                <w:bottom w:val="none" w:sz="0" w:space="0" w:color="auto"/>
                <w:right w:val="none" w:sz="0" w:space="0" w:color="auto"/>
              </w:divBdr>
            </w:div>
          </w:divsChild>
        </w:div>
        <w:div w:id="1992634533">
          <w:marLeft w:val="0"/>
          <w:marRight w:val="0"/>
          <w:marTop w:val="0"/>
          <w:marBottom w:val="0"/>
          <w:divBdr>
            <w:top w:val="none" w:sz="0" w:space="0" w:color="auto"/>
            <w:left w:val="none" w:sz="0" w:space="0" w:color="auto"/>
            <w:bottom w:val="none" w:sz="0" w:space="0" w:color="auto"/>
            <w:right w:val="none" w:sz="0" w:space="0" w:color="auto"/>
          </w:divBdr>
          <w:divsChild>
            <w:div w:id="841117887">
              <w:marLeft w:val="0"/>
              <w:marRight w:val="0"/>
              <w:marTop w:val="0"/>
              <w:marBottom w:val="0"/>
              <w:divBdr>
                <w:top w:val="none" w:sz="0" w:space="0" w:color="auto"/>
                <w:left w:val="none" w:sz="0" w:space="0" w:color="auto"/>
                <w:bottom w:val="none" w:sz="0" w:space="0" w:color="auto"/>
                <w:right w:val="none" w:sz="0" w:space="0" w:color="auto"/>
              </w:divBdr>
            </w:div>
          </w:divsChild>
        </w:div>
        <w:div w:id="2007591737">
          <w:marLeft w:val="0"/>
          <w:marRight w:val="0"/>
          <w:marTop w:val="0"/>
          <w:marBottom w:val="0"/>
          <w:divBdr>
            <w:top w:val="none" w:sz="0" w:space="0" w:color="auto"/>
            <w:left w:val="none" w:sz="0" w:space="0" w:color="auto"/>
            <w:bottom w:val="none" w:sz="0" w:space="0" w:color="auto"/>
            <w:right w:val="none" w:sz="0" w:space="0" w:color="auto"/>
          </w:divBdr>
          <w:divsChild>
            <w:div w:id="689373194">
              <w:marLeft w:val="0"/>
              <w:marRight w:val="0"/>
              <w:marTop w:val="0"/>
              <w:marBottom w:val="0"/>
              <w:divBdr>
                <w:top w:val="none" w:sz="0" w:space="0" w:color="auto"/>
                <w:left w:val="none" w:sz="0" w:space="0" w:color="auto"/>
                <w:bottom w:val="none" w:sz="0" w:space="0" w:color="auto"/>
                <w:right w:val="none" w:sz="0" w:space="0" w:color="auto"/>
              </w:divBdr>
            </w:div>
          </w:divsChild>
        </w:div>
        <w:div w:id="2058773684">
          <w:marLeft w:val="0"/>
          <w:marRight w:val="0"/>
          <w:marTop w:val="0"/>
          <w:marBottom w:val="0"/>
          <w:divBdr>
            <w:top w:val="none" w:sz="0" w:space="0" w:color="auto"/>
            <w:left w:val="none" w:sz="0" w:space="0" w:color="auto"/>
            <w:bottom w:val="none" w:sz="0" w:space="0" w:color="auto"/>
            <w:right w:val="none" w:sz="0" w:space="0" w:color="auto"/>
          </w:divBdr>
          <w:divsChild>
            <w:div w:id="1417478244">
              <w:marLeft w:val="0"/>
              <w:marRight w:val="0"/>
              <w:marTop w:val="0"/>
              <w:marBottom w:val="0"/>
              <w:divBdr>
                <w:top w:val="none" w:sz="0" w:space="0" w:color="auto"/>
                <w:left w:val="none" w:sz="0" w:space="0" w:color="auto"/>
                <w:bottom w:val="none" w:sz="0" w:space="0" w:color="auto"/>
                <w:right w:val="none" w:sz="0" w:space="0" w:color="auto"/>
              </w:divBdr>
            </w:div>
          </w:divsChild>
        </w:div>
        <w:div w:id="2063825123">
          <w:marLeft w:val="0"/>
          <w:marRight w:val="0"/>
          <w:marTop w:val="0"/>
          <w:marBottom w:val="0"/>
          <w:divBdr>
            <w:top w:val="none" w:sz="0" w:space="0" w:color="auto"/>
            <w:left w:val="none" w:sz="0" w:space="0" w:color="auto"/>
            <w:bottom w:val="none" w:sz="0" w:space="0" w:color="auto"/>
            <w:right w:val="none" w:sz="0" w:space="0" w:color="auto"/>
          </w:divBdr>
          <w:divsChild>
            <w:div w:id="16068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795">
      <w:bodyDiv w:val="1"/>
      <w:marLeft w:val="0"/>
      <w:marRight w:val="0"/>
      <w:marTop w:val="0"/>
      <w:marBottom w:val="0"/>
      <w:divBdr>
        <w:top w:val="none" w:sz="0" w:space="0" w:color="auto"/>
        <w:left w:val="none" w:sz="0" w:space="0" w:color="auto"/>
        <w:bottom w:val="none" w:sz="0" w:space="0" w:color="auto"/>
        <w:right w:val="none" w:sz="0" w:space="0" w:color="auto"/>
      </w:divBdr>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1536743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6092610">
      <w:bodyDiv w:val="1"/>
      <w:marLeft w:val="0"/>
      <w:marRight w:val="0"/>
      <w:marTop w:val="0"/>
      <w:marBottom w:val="0"/>
      <w:divBdr>
        <w:top w:val="none" w:sz="0" w:space="0" w:color="auto"/>
        <w:left w:val="none" w:sz="0" w:space="0" w:color="auto"/>
        <w:bottom w:val="none" w:sz="0" w:space="0" w:color="auto"/>
        <w:right w:val="none" w:sz="0" w:space="0" w:color="auto"/>
      </w:divBdr>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67183335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 w:id="1895968628">
      <w:bodyDiv w:val="1"/>
      <w:marLeft w:val="0"/>
      <w:marRight w:val="0"/>
      <w:marTop w:val="0"/>
      <w:marBottom w:val="0"/>
      <w:divBdr>
        <w:top w:val="none" w:sz="0" w:space="0" w:color="auto"/>
        <w:left w:val="none" w:sz="0" w:space="0" w:color="auto"/>
        <w:bottom w:val="none" w:sz="0" w:space="0" w:color="auto"/>
        <w:right w:val="none" w:sz="0" w:space="0" w:color="auto"/>
      </w:divBdr>
    </w:div>
    <w:div w:id="2031300517">
      <w:bodyDiv w:val="1"/>
      <w:marLeft w:val="0"/>
      <w:marRight w:val="0"/>
      <w:marTop w:val="0"/>
      <w:marBottom w:val="0"/>
      <w:divBdr>
        <w:top w:val="none" w:sz="0" w:space="0" w:color="auto"/>
        <w:left w:val="none" w:sz="0" w:space="0" w:color="auto"/>
        <w:bottom w:val="none" w:sz="0" w:space="0" w:color="auto"/>
        <w:right w:val="none" w:sz="0" w:space="0" w:color="auto"/>
      </w:divBdr>
    </w:div>
    <w:div w:id="2084988184">
      <w:bodyDiv w:val="1"/>
      <w:marLeft w:val="0"/>
      <w:marRight w:val="0"/>
      <w:marTop w:val="0"/>
      <w:marBottom w:val="0"/>
      <w:divBdr>
        <w:top w:val="none" w:sz="0" w:space="0" w:color="auto"/>
        <w:left w:val="none" w:sz="0" w:space="0" w:color="auto"/>
        <w:bottom w:val="none" w:sz="0" w:space="0" w:color="auto"/>
        <w:right w:val="none" w:sz="0" w:space="0" w:color="auto"/>
      </w:divBdr>
    </w:div>
    <w:div w:id="21124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capitalesourcing.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ichard.Stevenson@rbkc.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19E47-9F27-4A90-A3F6-567C301778C8}">
  <ds:schemaRefs>
    <ds:schemaRef ds:uri="http://schemas.microsoft.com/office/2006/metadata/longProperties"/>
  </ds:schemaRefs>
</ds:datastoreItem>
</file>

<file path=customXml/itemProps2.xml><?xml version="1.0" encoding="utf-8"?>
<ds:datastoreItem xmlns:ds="http://schemas.openxmlformats.org/officeDocument/2006/customXml" ds:itemID="{A2973F99-53F8-454F-9AA2-770E00FD24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AA7B6-B924-4269-AFF3-C625DD4F4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49CCE-4868-4DB5-B889-BAC1DA11E9FE}">
  <ds:schemaRefs>
    <ds:schemaRef ds:uri="http://schemas.openxmlformats.org/officeDocument/2006/bibliography"/>
  </ds:schemaRefs>
</ds:datastoreItem>
</file>

<file path=customXml/itemProps5.xml><?xml version="1.0" encoding="utf-8"?>
<ds:datastoreItem xmlns:ds="http://schemas.openxmlformats.org/officeDocument/2006/customXml" ds:itemID="{202769DC-40FD-49B4-BA2D-007661233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7783</Words>
  <Characters>44366</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52045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39</cp:revision>
  <cp:lastPrinted>2015-04-30T17:25:00Z</cp:lastPrinted>
  <dcterms:created xsi:type="dcterms:W3CDTF">2021-11-10T22:01:00Z</dcterms:created>
  <dcterms:modified xsi:type="dcterms:W3CDTF">2021-11-12T18:22:00Z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0x0101001CF2DD8BA616754B84E5286F437F221A</vt:lpwstr>
  </property>
  <property fmtid="{D5CDD505-2E9C-101B-9397-08002B2CF9AE}" pid="4" name="Comments">
    <vt:lpwstr>This is the version that has been uploaded to the capitalEsourcing file share area, and has been amended post PCR-2015. </vt:lpwstr>
  </property>
  <property fmtid="{D5CDD505-2E9C-101B-9397-08002B2CF9AE}" pid="5" name="Reference number">
    <vt:lpwstr>ITT011 OPEN</vt:lpwstr>
  </property>
</Properties>
</file>