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135D" w14:textId="348C8C27" w:rsidR="00926958" w:rsidRDefault="00926958" w:rsidP="00B059AF">
      <w:pPr>
        <w:pStyle w:val="111"/>
      </w:pPr>
    </w:p>
    <w:p w14:paraId="51322AFE" w14:textId="05ED5E11" w:rsidR="00A7313B" w:rsidRPr="00A7313B" w:rsidRDefault="000C213C" w:rsidP="00A7313B">
      <w:pPr>
        <w:jc w:val="right"/>
        <w:rPr>
          <w:rFonts w:eastAsiaTheme="minorHAnsi" w:cs="Arial"/>
          <w:szCs w:val="22"/>
          <w:lang w:eastAsia="en-GB"/>
        </w:rPr>
      </w:pPr>
      <w:bookmarkStart w:id="0" w:name="_Toc525158775"/>
      <w:bookmarkStart w:id="1" w:name="_Toc526798144"/>
      <w:bookmarkStart w:id="2" w:name="_Toc530056814"/>
      <w:bookmarkStart w:id="3" w:name="_Toc530056916"/>
      <w:bookmarkStart w:id="4" w:name="_Toc530492201"/>
      <w:bookmarkStart w:id="5" w:name="_Toc531018409"/>
      <w:bookmarkStart w:id="6" w:name="_Toc531018517"/>
      <w:bookmarkStart w:id="7" w:name="_Toc531183916"/>
      <w:bookmarkStart w:id="8" w:name="_Toc531259797"/>
      <w:r>
        <w:rPr>
          <w:rFonts w:cs="Arial"/>
          <w:lang w:eastAsia="en-GB"/>
        </w:rPr>
        <w:t>International Serious and Organised Crime</w:t>
      </w:r>
      <w:r w:rsidR="00A7313B" w:rsidRPr="00A7313B">
        <w:rPr>
          <w:rFonts w:cs="Arial"/>
          <w:lang w:eastAsia="en-GB"/>
        </w:rPr>
        <w:t xml:space="preserve"> Unit</w:t>
      </w:r>
    </w:p>
    <w:p w14:paraId="0CA82932" w14:textId="2C228AFD" w:rsidR="00A7313B" w:rsidRPr="00A7313B" w:rsidRDefault="000C213C" w:rsidP="00A7313B">
      <w:pPr>
        <w:jc w:val="right"/>
        <w:rPr>
          <w:rFonts w:cs="Arial"/>
          <w:lang w:eastAsia="en-GB"/>
        </w:rPr>
      </w:pPr>
      <w:r>
        <w:rPr>
          <w:rFonts w:cs="Arial"/>
          <w:lang w:eastAsia="en-GB"/>
        </w:rPr>
        <w:t xml:space="preserve">International </w:t>
      </w:r>
      <w:r w:rsidR="00A7313B" w:rsidRPr="00A7313B">
        <w:rPr>
          <w:rFonts w:cs="Arial"/>
          <w:lang w:eastAsia="en-GB"/>
        </w:rPr>
        <w:t>Crim</w:t>
      </w:r>
      <w:r>
        <w:rPr>
          <w:rFonts w:cs="Arial"/>
          <w:lang w:eastAsia="en-GB"/>
        </w:rPr>
        <w:t>inality</w:t>
      </w:r>
      <w:r w:rsidR="00A7313B" w:rsidRPr="00A7313B">
        <w:rPr>
          <w:rFonts w:cs="Arial"/>
          <w:lang w:eastAsia="en-GB"/>
        </w:rPr>
        <w:t xml:space="preserve"> Directorate </w:t>
      </w:r>
    </w:p>
    <w:p w14:paraId="2A410B41" w14:textId="74C7B39C" w:rsidR="00A7313B" w:rsidRDefault="00A7313B" w:rsidP="00A7313B">
      <w:pPr>
        <w:jc w:val="right"/>
        <w:rPr>
          <w:rFonts w:cs="Arial"/>
          <w:color w:val="1F497D"/>
          <w:lang w:val="en-US" w:eastAsia="en-GB"/>
        </w:rPr>
      </w:pPr>
      <w:r w:rsidRPr="00A7313B">
        <w:rPr>
          <w:rFonts w:cs="Arial"/>
          <w:lang w:val="en-US" w:eastAsia="en-GB"/>
        </w:rPr>
        <w:t xml:space="preserve">2 Marsham Street, London SW1P 4DF </w:t>
      </w:r>
    </w:p>
    <w:bookmarkEnd w:id="0"/>
    <w:bookmarkEnd w:id="1"/>
    <w:bookmarkEnd w:id="2"/>
    <w:bookmarkEnd w:id="3"/>
    <w:bookmarkEnd w:id="4"/>
    <w:bookmarkEnd w:id="5"/>
    <w:bookmarkEnd w:id="6"/>
    <w:bookmarkEnd w:id="7"/>
    <w:bookmarkEnd w:id="8"/>
    <w:p w14:paraId="58EAD41A" w14:textId="403FA8B7" w:rsidR="00795E42" w:rsidRDefault="00795E42" w:rsidP="003A27CF">
      <w:pPr>
        <w:pStyle w:val="Heading1"/>
        <w:numPr>
          <w:ilvl w:val="0"/>
          <w:numId w:val="0"/>
        </w:numPr>
        <w:spacing w:after="120"/>
        <w:ind w:left="720"/>
        <w:jc w:val="right"/>
      </w:pPr>
    </w:p>
    <w:p w14:paraId="40698B5B" w14:textId="77777777" w:rsidR="00A7313B" w:rsidRDefault="00A7313B" w:rsidP="005C791F">
      <w:pPr>
        <w:pStyle w:val="Heading1"/>
        <w:numPr>
          <w:ilvl w:val="0"/>
          <w:numId w:val="0"/>
        </w:numPr>
        <w:jc w:val="center"/>
        <w:rPr>
          <w:sz w:val="72"/>
          <w:szCs w:val="72"/>
        </w:rPr>
      </w:pPr>
      <w:bookmarkStart w:id="9" w:name="_Toc531018413"/>
      <w:bookmarkStart w:id="10" w:name="_Toc531018521"/>
      <w:bookmarkStart w:id="11" w:name="_Toc531183920"/>
      <w:bookmarkStart w:id="12" w:name="_Toc531259801"/>
      <w:bookmarkStart w:id="13" w:name="_Toc29813195"/>
    </w:p>
    <w:bookmarkEnd w:id="9"/>
    <w:bookmarkEnd w:id="10"/>
    <w:bookmarkEnd w:id="11"/>
    <w:bookmarkEnd w:id="12"/>
    <w:bookmarkEnd w:id="13"/>
    <w:p w14:paraId="4AC71286" w14:textId="5F8FE64B" w:rsidR="00D9615A" w:rsidRPr="00A83EF7" w:rsidRDefault="00F63ADB" w:rsidP="005C791F">
      <w:pPr>
        <w:pStyle w:val="Heading1"/>
        <w:numPr>
          <w:ilvl w:val="0"/>
          <w:numId w:val="0"/>
        </w:numPr>
        <w:jc w:val="center"/>
        <w:rPr>
          <w:sz w:val="44"/>
          <w:szCs w:val="44"/>
        </w:rPr>
      </w:pPr>
      <w:r w:rsidRPr="00A83EF7">
        <w:rPr>
          <w:sz w:val="44"/>
          <w:szCs w:val="44"/>
        </w:rPr>
        <w:t>Modern Slavery</w:t>
      </w:r>
      <w:r w:rsidR="000C16BA" w:rsidRPr="00A83EF7">
        <w:rPr>
          <w:sz w:val="44"/>
          <w:szCs w:val="44"/>
        </w:rPr>
        <w:t xml:space="preserve"> </w:t>
      </w:r>
      <w:r w:rsidRPr="00A83EF7">
        <w:rPr>
          <w:sz w:val="44"/>
          <w:szCs w:val="44"/>
        </w:rPr>
        <w:t>Innovation Fund Phase 3</w:t>
      </w:r>
    </w:p>
    <w:p w14:paraId="521E737F" w14:textId="0898623C" w:rsidR="00D9615A" w:rsidRPr="00A83EF7" w:rsidRDefault="00580B4C" w:rsidP="005C791F">
      <w:pPr>
        <w:pStyle w:val="Heading1"/>
        <w:numPr>
          <w:ilvl w:val="0"/>
          <w:numId w:val="0"/>
        </w:numPr>
        <w:jc w:val="center"/>
        <w:rPr>
          <w:sz w:val="48"/>
          <w:szCs w:val="48"/>
        </w:rPr>
      </w:pPr>
      <w:bookmarkStart w:id="14" w:name="_Toc530492206"/>
      <w:bookmarkStart w:id="15" w:name="_Toc531018414"/>
      <w:bookmarkStart w:id="16" w:name="_Toc531018522"/>
      <w:bookmarkStart w:id="17" w:name="_Toc531183921"/>
      <w:bookmarkStart w:id="18" w:name="_Toc531259802"/>
      <w:bookmarkStart w:id="19" w:name="_Toc29813196"/>
      <w:bookmarkStart w:id="20" w:name="_Toc31094936"/>
      <w:r>
        <w:rPr>
          <w:sz w:val="48"/>
          <w:szCs w:val="48"/>
        </w:rPr>
        <w:t xml:space="preserve">General </w:t>
      </w:r>
      <w:r w:rsidR="00D9615A" w:rsidRPr="00A83EF7">
        <w:rPr>
          <w:sz w:val="48"/>
          <w:szCs w:val="48"/>
        </w:rPr>
        <w:t>Instructions to bidders</w:t>
      </w:r>
      <w:bookmarkEnd w:id="14"/>
      <w:r w:rsidR="00D9615A" w:rsidRPr="00A83EF7">
        <w:rPr>
          <w:sz w:val="48"/>
          <w:szCs w:val="48"/>
        </w:rPr>
        <w:t xml:space="preserve"> </w:t>
      </w:r>
      <w:r w:rsidR="009B1232" w:rsidRPr="00A83EF7">
        <w:rPr>
          <w:sz w:val="48"/>
          <w:szCs w:val="48"/>
        </w:rPr>
        <w:t xml:space="preserve">and conditions of call for proposal </w:t>
      </w:r>
      <w:r w:rsidR="00D9615A" w:rsidRPr="00A83EF7">
        <w:rPr>
          <w:sz w:val="48"/>
          <w:szCs w:val="48"/>
        </w:rPr>
        <w:t>document</w:t>
      </w:r>
      <w:bookmarkEnd w:id="15"/>
      <w:bookmarkEnd w:id="16"/>
      <w:bookmarkEnd w:id="17"/>
      <w:bookmarkEnd w:id="18"/>
      <w:bookmarkEnd w:id="19"/>
      <w:bookmarkEnd w:id="20"/>
    </w:p>
    <w:p w14:paraId="7541C0A6" w14:textId="77777777" w:rsidR="003A27CF" w:rsidRDefault="003A27CF">
      <w:pPr>
        <w:rPr>
          <w:rFonts w:eastAsia="STZhongsong"/>
          <w:b/>
          <w:caps/>
          <w:szCs w:val="20"/>
        </w:rPr>
      </w:pPr>
      <w:r>
        <w:br w:type="page"/>
      </w:r>
    </w:p>
    <w:p w14:paraId="7688A79F" w14:textId="77777777" w:rsidR="000A736E" w:rsidRDefault="000A736E" w:rsidP="003A27CF">
      <w:pPr>
        <w:pStyle w:val="Heading1"/>
        <w:numPr>
          <w:ilvl w:val="0"/>
          <w:numId w:val="0"/>
        </w:numPr>
        <w:jc w:val="left"/>
      </w:pPr>
    </w:p>
    <w:p w14:paraId="739380C2" w14:textId="77777777" w:rsidR="000A736E" w:rsidRDefault="00483C44" w:rsidP="00483C44">
      <w:pPr>
        <w:pStyle w:val="Heading1"/>
        <w:numPr>
          <w:ilvl w:val="0"/>
          <w:numId w:val="0"/>
        </w:numPr>
        <w:jc w:val="center"/>
      </w:pPr>
      <w:bookmarkStart w:id="21" w:name="_Toc526798151"/>
      <w:bookmarkStart w:id="22" w:name="_Toc525129115"/>
      <w:bookmarkStart w:id="23" w:name="_Toc530056820"/>
      <w:bookmarkStart w:id="24" w:name="_Toc31094937"/>
      <w:r>
        <w:t>CONTENT</w:t>
      </w:r>
      <w:bookmarkEnd w:id="21"/>
      <w:r w:rsidR="00DC1EC1">
        <w:t>S</w:t>
      </w:r>
      <w:bookmarkEnd w:id="22"/>
      <w:bookmarkEnd w:id="23"/>
      <w:bookmarkEnd w:id="24"/>
    </w:p>
    <w:p w14:paraId="0F2DDE01" w14:textId="676CCF4D" w:rsidR="006E5ECF" w:rsidRDefault="00E13035" w:rsidP="00711189">
      <w:pPr>
        <w:pStyle w:val="TOC1"/>
        <w:rPr>
          <w:rFonts w:asciiTheme="minorHAnsi" w:eastAsiaTheme="minorEastAsia" w:hAnsiTheme="minorHAnsi" w:cstheme="minorBidi"/>
          <w:caps w:val="0"/>
          <w:noProof/>
          <w:szCs w:val="22"/>
          <w:lang w:eastAsia="en-GB"/>
        </w:rPr>
      </w:pPr>
      <w:r>
        <w:fldChar w:fldCharType="begin"/>
      </w:r>
      <w:r w:rsidR="002409E2">
        <w:instrText xml:space="preserve"> TOC \o "1-1" \h \z \u </w:instrText>
      </w:r>
      <w:r>
        <w:fldChar w:fldCharType="separate"/>
      </w:r>
    </w:p>
    <w:p w14:paraId="6DAA9351" w14:textId="0B40FCED" w:rsidR="006E5ECF" w:rsidRDefault="00FD50A3">
      <w:pPr>
        <w:pStyle w:val="TOC1"/>
        <w:rPr>
          <w:rFonts w:asciiTheme="minorHAnsi" w:eastAsiaTheme="minorEastAsia" w:hAnsiTheme="minorHAnsi" w:cstheme="minorBidi"/>
          <w:caps w:val="0"/>
          <w:noProof/>
          <w:szCs w:val="22"/>
          <w:lang w:eastAsia="en-GB"/>
        </w:rPr>
      </w:pPr>
      <w:hyperlink w:anchor="_Toc31094937" w:history="1">
        <w:r w:rsidR="006E5ECF" w:rsidRPr="00305AC3">
          <w:rPr>
            <w:rStyle w:val="Hyperlink"/>
            <w:noProof/>
          </w:rPr>
          <w:t>CONTENTS</w:t>
        </w:r>
        <w:r w:rsidR="006E5ECF">
          <w:rPr>
            <w:noProof/>
            <w:webHidden/>
          </w:rPr>
          <w:tab/>
        </w:r>
        <w:r w:rsidR="006E5ECF">
          <w:rPr>
            <w:noProof/>
            <w:webHidden/>
          </w:rPr>
          <w:fldChar w:fldCharType="begin"/>
        </w:r>
        <w:r w:rsidR="006E5ECF">
          <w:rPr>
            <w:noProof/>
            <w:webHidden/>
          </w:rPr>
          <w:instrText xml:space="preserve"> PAGEREF _Toc31094937 \h </w:instrText>
        </w:r>
        <w:r w:rsidR="006E5ECF">
          <w:rPr>
            <w:noProof/>
            <w:webHidden/>
          </w:rPr>
        </w:r>
        <w:r w:rsidR="006E5ECF">
          <w:rPr>
            <w:noProof/>
            <w:webHidden/>
          </w:rPr>
          <w:fldChar w:fldCharType="separate"/>
        </w:r>
        <w:r w:rsidR="00822826">
          <w:rPr>
            <w:noProof/>
            <w:webHidden/>
          </w:rPr>
          <w:t>2</w:t>
        </w:r>
        <w:r w:rsidR="006E5ECF">
          <w:rPr>
            <w:noProof/>
            <w:webHidden/>
          </w:rPr>
          <w:fldChar w:fldCharType="end"/>
        </w:r>
      </w:hyperlink>
    </w:p>
    <w:p w14:paraId="43E28B27" w14:textId="46AFD7D3" w:rsidR="006E5ECF" w:rsidRDefault="00FD50A3">
      <w:pPr>
        <w:pStyle w:val="TOC1"/>
        <w:rPr>
          <w:rFonts w:asciiTheme="minorHAnsi" w:eastAsiaTheme="minorEastAsia" w:hAnsiTheme="minorHAnsi" w:cstheme="minorBidi"/>
          <w:caps w:val="0"/>
          <w:noProof/>
          <w:szCs w:val="22"/>
          <w:lang w:eastAsia="en-GB"/>
        </w:rPr>
      </w:pPr>
      <w:hyperlink w:anchor="_Toc31094938" w:history="1">
        <w:r w:rsidR="006E5ECF" w:rsidRPr="00305AC3">
          <w:rPr>
            <w:rStyle w:val="Hyperlink"/>
            <w:noProof/>
          </w:rPr>
          <w:t>1.</w:t>
        </w:r>
        <w:r w:rsidR="006E5ECF">
          <w:rPr>
            <w:rFonts w:asciiTheme="minorHAnsi" w:eastAsiaTheme="minorEastAsia" w:hAnsiTheme="minorHAnsi" w:cstheme="minorBidi"/>
            <w:caps w:val="0"/>
            <w:noProof/>
            <w:szCs w:val="22"/>
            <w:lang w:eastAsia="en-GB"/>
          </w:rPr>
          <w:tab/>
        </w:r>
        <w:r w:rsidR="006E5ECF" w:rsidRPr="00305AC3">
          <w:rPr>
            <w:rStyle w:val="Hyperlink"/>
            <w:noProof/>
          </w:rPr>
          <w:t>Introduction</w:t>
        </w:r>
        <w:r w:rsidR="006E5ECF">
          <w:rPr>
            <w:noProof/>
            <w:webHidden/>
          </w:rPr>
          <w:tab/>
        </w:r>
        <w:r w:rsidR="006E5ECF">
          <w:rPr>
            <w:noProof/>
            <w:webHidden/>
          </w:rPr>
          <w:fldChar w:fldCharType="begin"/>
        </w:r>
        <w:r w:rsidR="006E5ECF">
          <w:rPr>
            <w:noProof/>
            <w:webHidden/>
          </w:rPr>
          <w:instrText xml:space="preserve"> PAGEREF _Toc31094938 \h </w:instrText>
        </w:r>
        <w:r w:rsidR="006E5ECF">
          <w:rPr>
            <w:noProof/>
            <w:webHidden/>
          </w:rPr>
        </w:r>
        <w:r w:rsidR="006E5ECF">
          <w:rPr>
            <w:noProof/>
            <w:webHidden/>
          </w:rPr>
          <w:fldChar w:fldCharType="separate"/>
        </w:r>
        <w:r w:rsidR="00822826">
          <w:rPr>
            <w:noProof/>
            <w:webHidden/>
          </w:rPr>
          <w:t>3</w:t>
        </w:r>
        <w:r w:rsidR="006E5ECF">
          <w:rPr>
            <w:noProof/>
            <w:webHidden/>
          </w:rPr>
          <w:fldChar w:fldCharType="end"/>
        </w:r>
      </w:hyperlink>
    </w:p>
    <w:p w14:paraId="65013367" w14:textId="5580B94B" w:rsidR="006E5ECF" w:rsidRDefault="00FD50A3">
      <w:pPr>
        <w:pStyle w:val="TOC1"/>
        <w:rPr>
          <w:rFonts w:asciiTheme="minorHAnsi" w:eastAsiaTheme="minorEastAsia" w:hAnsiTheme="minorHAnsi" w:cstheme="minorBidi"/>
          <w:caps w:val="0"/>
          <w:noProof/>
          <w:szCs w:val="22"/>
          <w:lang w:eastAsia="en-GB"/>
        </w:rPr>
      </w:pPr>
      <w:hyperlink w:anchor="_Toc31094939" w:history="1">
        <w:r w:rsidR="006E5ECF" w:rsidRPr="00305AC3">
          <w:rPr>
            <w:rStyle w:val="Hyperlink"/>
            <w:noProof/>
          </w:rPr>
          <w:t>2.</w:t>
        </w:r>
        <w:r w:rsidR="006E5ECF">
          <w:rPr>
            <w:rFonts w:asciiTheme="minorHAnsi" w:eastAsiaTheme="minorEastAsia" w:hAnsiTheme="minorHAnsi" w:cstheme="minorBidi"/>
            <w:caps w:val="0"/>
            <w:noProof/>
            <w:szCs w:val="22"/>
            <w:lang w:eastAsia="en-GB"/>
          </w:rPr>
          <w:tab/>
        </w:r>
        <w:r w:rsidR="006E5ECF" w:rsidRPr="00305AC3">
          <w:rPr>
            <w:rStyle w:val="Hyperlink"/>
            <w:noProof/>
          </w:rPr>
          <w:t>General</w:t>
        </w:r>
        <w:r w:rsidR="006E5ECF">
          <w:rPr>
            <w:noProof/>
            <w:webHidden/>
          </w:rPr>
          <w:tab/>
        </w:r>
        <w:r w:rsidR="006E5ECF">
          <w:rPr>
            <w:noProof/>
            <w:webHidden/>
          </w:rPr>
          <w:fldChar w:fldCharType="begin"/>
        </w:r>
        <w:r w:rsidR="006E5ECF">
          <w:rPr>
            <w:noProof/>
            <w:webHidden/>
          </w:rPr>
          <w:instrText xml:space="preserve"> PAGEREF _Toc31094939 \h </w:instrText>
        </w:r>
        <w:r w:rsidR="006E5ECF">
          <w:rPr>
            <w:noProof/>
            <w:webHidden/>
          </w:rPr>
        </w:r>
        <w:r w:rsidR="006E5ECF">
          <w:rPr>
            <w:noProof/>
            <w:webHidden/>
          </w:rPr>
          <w:fldChar w:fldCharType="separate"/>
        </w:r>
        <w:r w:rsidR="00822826">
          <w:rPr>
            <w:noProof/>
            <w:webHidden/>
          </w:rPr>
          <w:t>3</w:t>
        </w:r>
        <w:r w:rsidR="006E5ECF">
          <w:rPr>
            <w:noProof/>
            <w:webHidden/>
          </w:rPr>
          <w:fldChar w:fldCharType="end"/>
        </w:r>
      </w:hyperlink>
    </w:p>
    <w:p w14:paraId="7A1DE742" w14:textId="31097D9D" w:rsidR="006E5ECF" w:rsidRDefault="00FD50A3">
      <w:pPr>
        <w:pStyle w:val="TOC1"/>
        <w:rPr>
          <w:rFonts w:asciiTheme="minorHAnsi" w:eastAsiaTheme="minorEastAsia" w:hAnsiTheme="minorHAnsi" w:cstheme="minorBidi"/>
          <w:caps w:val="0"/>
          <w:noProof/>
          <w:szCs w:val="22"/>
          <w:lang w:eastAsia="en-GB"/>
        </w:rPr>
      </w:pPr>
      <w:hyperlink w:anchor="_Toc31094940" w:history="1">
        <w:r w:rsidR="006E5ECF" w:rsidRPr="00305AC3">
          <w:rPr>
            <w:rStyle w:val="Hyperlink"/>
            <w:noProof/>
          </w:rPr>
          <w:t>3.</w:t>
        </w:r>
        <w:r w:rsidR="006E5ECF">
          <w:rPr>
            <w:rFonts w:asciiTheme="minorHAnsi" w:eastAsiaTheme="minorEastAsia" w:hAnsiTheme="minorHAnsi" w:cstheme="minorBidi"/>
            <w:caps w:val="0"/>
            <w:noProof/>
            <w:szCs w:val="22"/>
            <w:lang w:eastAsia="en-GB"/>
          </w:rPr>
          <w:tab/>
        </w:r>
        <w:r w:rsidR="006E5ECF" w:rsidRPr="00305AC3">
          <w:rPr>
            <w:rStyle w:val="Hyperlink"/>
            <w:noProof/>
          </w:rPr>
          <w:t>Call for Proposal Documentation</w:t>
        </w:r>
        <w:r w:rsidR="006E5ECF">
          <w:rPr>
            <w:noProof/>
            <w:webHidden/>
          </w:rPr>
          <w:tab/>
        </w:r>
        <w:r w:rsidR="006E5ECF">
          <w:rPr>
            <w:noProof/>
            <w:webHidden/>
          </w:rPr>
          <w:fldChar w:fldCharType="begin"/>
        </w:r>
        <w:r w:rsidR="006E5ECF">
          <w:rPr>
            <w:noProof/>
            <w:webHidden/>
          </w:rPr>
          <w:instrText xml:space="preserve"> PAGEREF _Toc31094940 \h </w:instrText>
        </w:r>
        <w:r w:rsidR="006E5ECF">
          <w:rPr>
            <w:noProof/>
            <w:webHidden/>
          </w:rPr>
        </w:r>
        <w:r w:rsidR="006E5ECF">
          <w:rPr>
            <w:noProof/>
            <w:webHidden/>
          </w:rPr>
          <w:fldChar w:fldCharType="separate"/>
        </w:r>
        <w:r w:rsidR="00822826">
          <w:rPr>
            <w:noProof/>
            <w:webHidden/>
          </w:rPr>
          <w:t>4</w:t>
        </w:r>
        <w:r w:rsidR="006E5ECF">
          <w:rPr>
            <w:noProof/>
            <w:webHidden/>
          </w:rPr>
          <w:fldChar w:fldCharType="end"/>
        </w:r>
      </w:hyperlink>
    </w:p>
    <w:p w14:paraId="683DBDF1" w14:textId="0D32B14E" w:rsidR="006E5ECF" w:rsidRDefault="00FD50A3">
      <w:pPr>
        <w:pStyle w:val="TOC1"/>
        <w:rPr>
          <w:rFonts w:asciiTheme="minorHAnsi" w:eastAsiaTheme="minorEastAsia" w:hAnsiTheme="minorHAnsi" w:cstheme="minorBidi"/>
          <w:caps w:val="0"/>
          <w:noProof/>
          <w:szCs w:val="22"/>
          <w:lang w:eastAsia="en-GB"/>
        </w:rPr>
      </w:pPr>
      <w:hyperlink w:anchor="_Toc31094941" w:history="1">
        <w:r w:rsidR="006E5ECF" w:rsidRPr="00305AC3">
          <w:rPr>
            <w:rStyle w:val="Hyperlink"/>
            <w:noProof/>
          </w:rPr>
          <w:t>4.</w:t>
        </w:r>
        <w:r w:rsidR="006E5ECF">
          <w:rPr>
            <w:rFonts w:asciiTheme="minorHAnsi" w:eastAsiaTheme="minorEastAsia" w:hAnsiTheme="minorHAnsi" w:cstheme="minorBidi"/>
            <w:caps w:val="0"/>
            <w:noProof/>
            <w:szCs w:val="22"/>
            <w:lang w:eastAsia="en-GB"/>
          </w:rPr>
          <w:tab/>
        </w:r>
        <w:r w:rsidR="006E5ECF" w:rsidRPr="00305AC3">
          <w:rPr>
            <w:rStyle w:val="Hyperlink"/>
            <w:noProof/>
          </w:rPr>
          <w:t>Bidder Clarification of Information</w:t>
        </w:r>
        <w:r w:rsidR="006E5ECF">
          <w:rPr>
            <w:noProof/>
            <w:webHidden/>
          </w:rPr>
          <w:tab/>
        </w:r>
        <w:r w:rsidR="006E5ECF">
          <w:rPr>
            <w:noProof/>
            <w:webHidden/>
          </w:rPr>
          <w:fldChar w:fldCharType="begin"/>
        </w:r>
        <w:r w:rsidR="006E5ECF">
          <w:rPr>
            <w:noProof/>
            <w:webHidden/>
          </w:rPr>
          <w:instrText xml:space="preserve"> PAGEREF _Toc31094941 \h </w:instrText>
        </w:r>
        <w:r w:rsidR="006E5ECF">
          <w:rPr>
            <w:noProof/>
            <w:webHidden/>
          </w:rPr>
        </w:r>
        <w:r w:rsidR="006E5ECF">
          <w:rPr>
            <w:noProof/>
            <w:webHidden/>
          </w:rPr>
          <w:fldChar w:fldCharType="separate"/>
        </w:r>
        <w:r w:rsidR="00822826">
          <w:rPr>
            <w:noProof/>
            <w:webHidden/>
          </w:rPr>
          <w:t>5</w:t>
        </w:r>
        <w:r w:rsidR="006E5ECF">
          <w:rPr>
            <w:noProof/>
            <w:webHidden/>
          </w:rPr>
          <w:fldChar w:fldCharType="end"/>
        </w:r>
      </w:hyperlink>
    </w:p>
    <w:p w14:paraId="23ACC734" w14:textId="4D118224" w:rsidR="006E5ECF" w:rsidRDefault="00FD50A3">
      <w:pPr>
        <w:pStyle w:val="TOC1"/>
        <w:rPr>
          <w:rFonts w:asciiTheme="minorHAnsi" w:eastAsiaTheme="minorEastAsia" w:hAnsiTheme="minorHAnsi" w:cstheme="minorBidi"/>
          <w:caps w:val="0"/>
          <w:noProof/>
          <w:szCs w:val="22"/>
          <w:lang w:eastAsia="en-GB"/>
        </w:rPr>
      </w:pPr>
      <w:hyperlink w:anchor="_Toc31094942" w:history="1">
        <w:r w:rsidR="006E5ECF" w:rsidRPr="00305AC3">
          <w:rPr>
            <w:rStyle w:val="Hyperlink"/>
            <w:noProof/>
          </w:rPr>
          <w:t>5.</w:t>
        </w:r>
        <w:r w:rsidR="006E5ECF">
          <w:rPr>
            <w:rFonts w:asciiTheme="minorHAnsi" w:eastAsiaTheme="minorEastAsia" w:hAnsiTheme="minorHAnsi" w:cstheme="minorBidi"/>
            <w:caps w:val="0"/>
            <w:noProof/>
            <w:szCs w:val="22"/>
            <w:lang w:eastAsia="en-GB"/>
          </w:rPr>
          <w:tab/>
        </w:r>
        <w:r w:rsidR="006E5ECF" w:rsidRPr="00305AC3">
          <w:rPr>
            <w:rStyle w:val="Hyperlink"/>
            <w:noProof/>
          </w:rPr>
          <w:t>Submission Process</w:t>
        </w:r>
        <w:r w:rsidR="006E5ECF">
          <w:rPr>
            <w:noProof/>
            <w:webHidden/>
          </w:rPr>
          <w:tab/>
        </w:r>
        <w:r w:rsidR="006E5ECF">
          <w:rPr>
            <w:noProof/>
            <w:webHidden/>
          </w:rPr>
          <w:fldChar w:fldCharType="begin"/>
        </w:r>
        <w:r w:rsidR="006E5ECF">
          <w:rPr>
            <w:noProof/>
            <w:webHidden/>
          </w:rPr>
          <w:instrText xml:space="preserve"> PAGEREF _Toc31094942 \h </w:instrText>
        </w:r>
        <w:r w:rsidR="006E5ECF">
          <w:rPr>
            <w:noProof/>
            <w:webHidden/>
          </w:rPr>
        </w:r>
        <w:r w:rsidR="006E5ECF">
          <w:rPr>
            <w:noProof/>
            <w:webHidden/>
          </w:rPr>
          <w:fldChar w:fldCharType="separate"/>
        </w:r>
        <w:r w:rsidR="00822826">
          <w:rPr>
            <w:noProof/>
            <w:webHidden/>
          </w:rPr>
          <w:t>5</w:t>
        </w:r>
        <w:r w:rsidR="006E5ECF">
          <w:rPr>
            <w:noProof/>
            <w:webHidden/>
          </w:rPr>
          <w:fldChar w:fldCharType="end"/>
        </w:r>
      </w:hyperlink>
    </w:p>
    <w:p w14:paraId="3662EB03" w14:textId="3D9E2077" w:rsidR="006E5ECF" w:rsidRDefault="00FD50A3">
      <w:pPr>
        <w:pStyle w:val="TOC1"/>
        <w:rPr>
          <w:rFonts w:asciiTheme="minorHAnsi" w:eastAsiaTheme="minorEastAsia" w:hAnsiTheme="minorHAnsi" w:cstheme="minorBidi"/>
          <w:caps w:val="0"/>
          <w:noProof/>
          <w:szCs w:val="22"/>
          <w:lang w:eastAsia="en-GB"/>
        </w:rPr>
      </w:pPr>
      <w:hyperlink w:anchor="_Toc31094943" w:history="1">
        <w:r w:rsidR="006E5ECF" w:rsidRPr="00305AC3">
          <w:rPr>
            <w:rStyle w:val="Hyperlink"/>
            <w:noProof/>
          </w:rPr>
          <w:t>6.</w:t>
        </w:r>
        <w:r w:rsidR="006E5ECF">
          <w:rPr>
            <w:rFonts w:asciiTheme="minorHAnsi" w:eastAsiaTheme="minorEastAsia" w:hAnsiTheme="minorHAnsi" w:cstheme="minorBidi"/>
            <w:caps w:val="0"/>
            <w:noProof/>
            <w:szCs w:val="22"/>
            <w:lang w:eastAsia="en-GB"/>
          </w:rPr>
          <w:tab/>
        </w:r>
        <w:r w:rsidR="006E5ECF" w:rsidRPr="00305AC3">
          <w:rPr>
            <w:rStyle w:val="Hyperlink"/>
            <w:noProof/>
          </w:rPr>
          <w:t>tender structure</w:t>
        </w:r>
        <w:r w:rsidR="006E5ECF">
          <w:rPr>
            <w:noProof/>
            <w:webHidden/>
          </w:rPr>
          <w:tab/>
        </w:r>
        <w:r w:rsidR="006E5ECF">
          <w:rPr>
            <w:noProof/>
            <w:webHidden/>
          </w:rPr>
          <w:fldChar w:fldCharType="begin"/>
        </w:r>
        <w:r w:rsidR="006E5ECF">
          <w:rPr>
            <w:noProof/>
            <w:webHidden/>
          </w:rPr>
          <w:instrText xml:space="preserve"> PAGEREF _Toc31094943 \h </w:instrText>
        </w:r>
        <w:r w:rsidR="006E5ECF">
          <w:rPr>
            <w:noProof/>
            <w:webHidden/>
          </w:rPr>
        </w:r>
        <w:r w:rsidR="006E5ECF">
          <w:rPr>
            <w:noProof/>
            <w:webHidden/>
          </w:rPr>
          <w:fldChar w:fldCharType="separate"/>
        </w:r>
        <w:r w:rsidR="00822826">
          <w:rPr>
            <w:noProof/>
            <w:webHidden/>
          </w:rPr>
          <w:t>9</w:t>
        </w:r>
        <w:r w:rsidR="006E5ECF">
          <w:rPr>
            <w:noProof/>
            <w:webHidden/>
          </w:rPr>
          <w:fldChar w:fldCharType="end"/>
        </w:r>
      </w:hyperlink>
    </w:p>
    <w:p w14:paraId="0BDE92C2" w14:textId="2CED8358" w:rsidR="006E5ECF" w:rsidRDefault="00FD50A3">
      <w:pPr>
        <w:pStyle w:val="TOC1"/>
        <w:rPr>
          <w:rFonts w:asciiTheme="minorHAnsi" w:eastAsiaTheme="minorEastAsia" w:hAnsiTheme="minorHAnsi" w:cstheme="minorBidi"/>
          <w:caps w:val="0"/>
          <w:noProof/>
          <w:szCs w:val="22"/>
          <w:lang w:eastAsia="en-GB"/>
        </w:rPr>
      </w:pPr>
      <w:hyperlink w:anchor="_Toc31094944" w:history="1">
        <w:r w:rsidR="006E5ECF" w:rsidRPr="00305AC3">
          <w:rPr>
            <w:rStyle w:val="Hyperlink"/>
            <w:noProof/>
          </w:rPr>
          <w:t>7.</w:t>
        </w:r>
        <w:r w:rsidR="006E5ECF">
          <w:rPr>
            <w:rFonts w:asciiTheme="minorHAnsi" w:eastAsiaTheme="minorEastAsia" w:hAnsiTheme="minorHAnsi" w:cstheme="minorBidi"/>
            <w:caps w:val="0"/>
            <w:noProof/>
            <w:szCs w:val="22"/>
            <w:lang w:eastAsia="en-GB"/>
          </w:rPr>
          <w:tab/>
        </w:r>
        <w:r w:rsidR="006E5ECF" w:rsidRPr="00305AC3">
          <w:rPr>
            <w:rStyle w:val="Hyperlink"/>
            <w:noProof/>
          </w:rPr>
          <w:t>AWARD strategy</w:t>
        </w:r>
        <w:r w:rsidR="006E5ECF">
          <w:rPr>
            <w:noProof/>
            <w:webHidden/>
          </w:rPr>
          <w:tab/>
        </w:r>
        <w:r w:rsidR="006E5ECF">
          <w:rPr>
            <w:noProof/>
            <w:webHidden/>
          </w:rPr>
          <w:fldChar w:fldCharType="begin"/>
        </w:r>
        <w:r w:rsidR="006E5ECF">
          <w:rPr>
            <w:noProof/>
            <w:webHidden/>
          </w:rPr>
          <w:instrText xml:space="preserve"> PAGEREF _Toc31094944 \h </w:instrText>
        </w:r>
        <w:r w:rsidR="006E5ECF">
          <w:rPr>
            <w:noProof/>
            <w:webHidden/>
          </w:rPr>
        </w:r>
        <w:r w:rsidR="006E5ECF">
          <w:rPr>
            <w:noProof/>
            <w:webHidden/>
          </w:rPr>
          <w:fldChar w:fldCharType="separate"/>
        </w:r>
        <w:r w:rsidR="00822826">
          <w:rPr>
            <w:noProof/>
            <w:webHidden/>
          </w:rPr>
          <w:t>10</w:t>
        </w:r>
        <w:r w:rsidR="006E5ECF">
          <w:rPr>
            <w:noProof/>
            <w:webHidden/>
          </w:rPr>
          <w:fldChar w:fldCharType="end"/>
        </w:r>
      </w:hyperlink>
    </w:p>
    <w:p w14:paraId="74B0C695" w14:textId="6A6B73F2" w:rsidR="006E5ECF" w:rsidRDefault="00FD50A3">
      <w:pPr>
        <w:pStyle w:val="TOC1"/>
        <w:rPr>
          <w:rFonts w:asciiTheme="minorHAnsi" w:eastAsiaTheme="minorEastAsia" w:hAnsiTheme="minorHAnsi" w:cstheme="minorBidi"/>
          <w:caps w:val="0"/>
          <w:noProof/>
          <w:szCs w:val="22"/>
          <w:lang w:eastAsia="en-GB"/>
        </w:rPr>
      </w:pPr>
      <w:hyperlink w:anchor="_Toc31094945" w:history="1">
        <w:r w:rsidR="006E5ECF" w:rsidRPr="00305AC3">
          <w:rPr>
            <w:rStyle w:val="Hyperlink"/>
            <w:noProof/>
          </w:rPr>
          <w:t>8.</w:t>
        </w:r>
        <w:r w:rsidR="006E5ECF">
          <w:rPr>
            <w:rFonts w:asciiTheme="minorHAnsi" w:eastAsiaTheme="minorEastAsia" w:hAnsiTheme="minorHAnsi" w:cstheme="minorBidi"/>
            <w:caps w:val="0"/>
            <w:noProof/>
            <w:szCs w:val="22"/>
            <w:lang w:eastAsia="en-GB"/>
          </w:rPr>
          <w:tab/>
        </w:r>
        <w:r w:rsidR="006E5ECF" w:rsidRPr="00305AC3">
          <w:rPr>
            <w:rStyle w:val="Hyperlink"/>
            <w:noProof/>
          </w:rPr>
          <w:t>Assessment Process</w:t>
        </w:r>
        <w:r w:rsidR="006E5ECF">
          <w:rPr>
            <w:noProof/>
            <w:webHidden/>
          </w:rPr>
          <w:tab/>
        </w:r>
        <w:r w:rsidR="006E5ECF">
          <w:rPr>
            <w:noProof/>
            <w:webHidden/>
          </w:rPr>
          <w:fldChar w:fldCharType="begin"/>
        </w:r>
        <w:r w:rsidR="006E5ECF">
          <w:rPr>
            <w:noProof/>
            <w:webHidden/>
          </w:rPr>
          <w:instrText xml:space="preserve"> PAGEREF _Toc31094945 \h </w:instrText>
        </w:r>
        <w:r w:rsidR="006E5ECF">
          <w:rPr>
            <w:noProof/>
            <w:webHidden/>
          </w:rPr>
        </w:r>
        <w:r w:rsidR="006E5ECF">
          <w:rPr>
            <w:noProof/>
            <w:webHidden/>
          </w:rPr>
          <w:fldChar w:fldCharType="separate"/>
        </w:r>
        <w:r w:rsidR="00822826">
          <w:rPr>
            <w:noProof/>
            <w:webHidden/>
          </w:rPr>
          <w:t>11</w:t>
        </w:r>
        <w:r w:rsidR="006E5ECF">
          <w:rPr>
            <w:noProof/>
            <w:webHidden/>
          </w:rPr>
          <w:fldChar w:fldCharType="end"/>
        </w:r>
      </w:hyperlink>
    </w:p>
    <w:p w14:paraId="3CBF457B" w14:textId="6CC8A964" w:rsidR="006E5ECF" w:rsidRDefault="00FD50A3">
      <w:pPr>
        <w:pStyle w:val="TOC1"/>
        <w:rPr>
          <w:rFonts w:asciiTheme="minorHAnsi" w:eastAsiaTheme="minorEastAsia" w:hAnsiTheme="minorHAnsi" w:cstheme="minorBidi"/>
          <w:caps w:val="0"/>
          <w:noProof/>
          <w:szCs w:val="22"/>
          <w:lang w:eastAsia="en-GB"/>
        </w:rPr>
      </w:pPr>
      <w:hyperlink w:anchor="_Toc31094946" w:history="1">
        <w:r w:rsidR="006E5ECF" w:rsidRPr="00305AC3">
          <w:rPr>
            <w:rStyle w:val="Hyperlink"/>
            <w:noProof/>
          </w:rPr>
          <w:t>9.</w:t>
        </w:r>
        <w:r w:rsidR="006E5ECF">
          <w:rPr>
            <w:rFonts w:asciiTheme="minorHAnsi" w:eastAsiaTheme="minorEastAsia" w:hAnsiTheme="minorHAnsi" w:cstheme="minorBidi"/>
            <w:caps w:val="0"/>
            <w:noProof/>
            <w:szCs w:val="22"/>
            <w:lang w:eastAsia="en-GB"/>
          </w:rPr>
          <w:tab/>
        </w:r>
        <w:r w:rsidR="006E5ECF" w:rsidRPr="00305AC3">
          <w:rPr>
            <w:rStyle w:val="Hyperlink"/>
            <w:noProof/>
          </w:rPr>
          <w:t>Qualitative EVALUATION</w:t>
        </w:r>
        <w:r w:rsidR="006E5ECF">
          <w:rPr>
            <w:noProof/>
            <w:webHidden/>
          </w:rPr>
          <w:tab/>
        </w:r>
        <w:r w:rsidR="006E5ECF">
          <w:rPr>
            <w:noProof/>
            <w:webHidden/>
          </w:rPr>
          <w:fldChar w:fldCharType="begin"/>
        </w:r>
        <w:r w:rsidR="006E5ECF">
          <w:rPr>
            <w:noProof/>
            <w:webHidden/>
          </w:rPr>
          <w:instrText xml:space="preserve"> PAGEREF _Toc31094946 \h </w:instrText>
        </w:r>
        <w:r w:rsidR="006E5ECF">
          <w:rPr>
            <w:noProof/>
            <w:webHidden/>
          </w:rPr>
        </w:r>
        <w:r w:rsidR="006E5ECF">
          <w:rPr>
            <w:noProof/>
            <w:webHidden/>
          </w:rPr>
          <w:fldChar w:fldCharType="separate"/>
        </w:r>
        <w:r w:rsidR="00822826">
          <w:rPr>
            <w:noProof/>
            <w:webHidden/>
          </w:rPr>
          <w:t>13</w:t>
        </w:r>
        <w:r w:rsidR="006E5ECF">
          <w:rPr>
            <w:noProof/>
            <w:webHidden/>
          </w:rPr>
          <w:fldChar w:fldCharType="end"/>
        </w:r>
      </w:hyperlink>
    </w:p>
    <w:p w14:paraId="10D94332" w14:textId="69175A09" w:rsidR="006E5ECF" w:rsidRDefault="00FD50A3">
      <w:pPr>
        <w:pStyle w:val="TOC1"/>
        <w:rPr>
          <w:rFonts w:asciiTheme="minorHAnsi" w:eastAsiaTheme="minorEastAsia" w:hAnsiTheme="minorHAnsi" w:cstheme="minorBidi"/>
          <w:caps w:val="0"/>
          <w:noProof/>
          <w:szCs w:val="22"/>
          <w:lang w:eastAsia="en-GB"/>
        </w:rPr>
      </w:pPr>
      <w:hyperlink w:anchor="_Toc31094947" w:history="1">
        <w:r w:rsidR="006E5ECF" w:rsidRPr="00305AC3">
          <w:rPr>
            <w:rStyle w:val="Hyperlink"/>
            <w:noProof/>
          </w:rPr>
          <w:t>10.</w:t>
        </w:r>
        <w:r w:rsidR="006E5ECF">
          <w:rPr>
            <w:rFonts w:asciiTheme="minorHAnsi" w:eastAsiaTheme="minorEastAsia" w:hAnsiTheme="minorHAnsi" w:cstheme="minorBidi"/>
            <w:caps w:val="0"/>
            <w:noProof/>
            <w:szCs w:val="22"/>
            <w:lang w:eastAsia="en-GB"/>
          </w:rPr>
          <w:tab/>
        </w:r>
        <w:r w:rsidR="006E5ECF" w:rsidRPr="00305AC3">
          <w:rPr>
            <w:rStyle w:val="Hyperlink"/>
            <w:noProof/>
          </w:rPr>
          <w:t>FUNDING AWARD</w:t>
        </w:r>
        <w:r w:rsidR="006E5ECF">
          <w:rPr>
            <w:noProof/>
            <w:webHidden/>
          </w:rPr>
          <w:tab/>
        </w:r>
        <w:r w:rsidR="006E5ECF">
          <w:rPr>
            <w:noProof/>
            <w:webHidden/>
          </w:rPr>
          <w:fldChar w:fldCharType="begin"/>
        </w:r>
        <w:r w:rsidR="006E5ECF">
          <w:rPr>
            <w:noProof/>
            <w:webHidden/>
          </w:rPr>
          <w:instrText xml:space="preserve"> PAGEREF _Toc31094947 \h </w:instrText>
        </w:r>
        <w:r w:rsidR="006E5ECF">
          <w:rPr>
            <w:noProof/>
            <w:webHidden/>
          </w:rPr>
        </w:r>
        <w:r w:rsidR="006E5ECF">
          <w:rPr>
            <w:noProof/>
            <w:webHidden/>
          </w:rPr>
          <w:fldChar w:fldCharType="separate"/>
        </w:r>
        <w:r w:rsidR="00822826">
          <w:rPr>
            <w:noProof/>
            <w:webHidden/>
          </w:rPr>
          <w:t>14</w:t>
        </w:r>
        <w:r w:rsidR="006E5ECF">
          <w:rPr>
            <w:noProof/>
            <w:webHidden/>
          </w:rPr>
          <w:fldChar w:fldCharType="end"/>
        </w:r>
      </w:hyperlink>
    </w:p>
    <w:p w14:paraId="79F3A1E3" w14:textId="3FE5FD16" w:rsidR="006E5ECF" w:rsidRDefault="00FD50A3">
      <w:pPr>
        <w:pStyle w:val="TOC1"/>
        <w:rPr>
          <w:rFonts w:asciiTheme="minorHAnsi" w:eastAsiaTheme="minorEastAsia" w:hAnsiTheme="minorHAnsi" w:cstheme="minorBidi"/>
          <w:caps w:val="0"/>
          <w:noProof/>
          <w:szCs w:val="22"/>
          <w:lang w:eastAsia="en-GB"/>
        </w:rPr>
      </w:pPr>
      <w:hyperlink w:anchor="_Toc31094948" w:history="1">
        <w:r w:rsidR="006E5ECF" w:rsidRPr="00305AC3">
          <w:rPr>
            <w:rStyle w:val="Hyperlink"/>
            <w:noProof/>
          </w:rPr>
          <w:t>11.</w:t>
        </w:r>
        <w:r w:rsidR="006E5ECF">
          <w:rPr>
            <w:rFonts w:asciiTheme="minorHAnsi" w:eastAsiaTheme="minorEastAsia" w:hAnsiTheme="minorHAnsi" w:cstheme="minorBidi"/>
            <w:caps w:val="0"/>
            <w:noProof/>
            <w:szCs w:val="22"/>
            <w:lang w:eastAsia="en-GB"/>
          </w:rPr>
          <w:tab/>
        </w:r>
        <w:r w:rsidR="006E5ECF" w:rsidRPr="00305AC3">
          <w:rPr>
            <w:rStyle w:val="Hyperlink"/>
            <w:noProof/>
          </w:rPr>
          <w:t>Tie-Breaker</w:t>
        </w:r>
        <w:r w:rsidR="006E5ECF">
          <w:rPr>
            <w:noProof/>
            <w:webHidden/>
          </w:rPr>
          <w:tab/>
        </w:r>
        <w:r w:rsidR="006E5ECF">
          <w:rPr>
            <w:noProof/>
            <w:webHidden/>
          </w:rPr>
          <w:fldChar w:fldCharType="begin"/>
        </w:r>
        <w:r w:rsidR="006E5ECF">
          <w:rPr>
            <w:noProof/>
            <w:webHidden/>
          </w:rPr>
          <w:instrText xml:space="preserve"> PAGEREF _Toc31094948 \h </w:instrText>
        </w:r>
        <w:r w:rsidR="006E5ECF">
          <w:rPr>
            <w:noProof/>
            <w:webHidden/>
          </w:rPr>
        </w:r>
        <w:r w:rsidR="006E5ECF">
          <w:rPr>
            <w:noProof/>
            <w:webHidden/>
          </w:rPr>
          <w:fldChar w:fldCharType="separate"/>
        </w:r>
        <w:r w:rsidR="00822826">
          <w:rPr>
            <w:noProof/>
            <w:webHidden/>
          </w:rPr>
          <w:t>14</w:t>
        </w:r>
        <w:r w:rsidR="006E5ECF">
          <w:rPr>
            <w:noProof/>
            <w:webHidden/>
          </w:rPr>
          <w:fldChar w:fldCharType="end"/>
        </w:r>
      </w:hyperlink>
    </w:p>
    <w:p w14:paraId="129681AC" w14:textId="32389948" w:rsidR="006E5ECF" w:rsidRDefault="00FD50A3">
      <w:pPr>
        <w:pStyle w:val="TOC1"/>
        <w:rPr>
          <w:rFonts w:asciiTheme="minorHAnsi" w:eastAsiaTheme="minorEastAsia" w:hAnsiTheme="minorHAnsi" w:cstheme="minorBidi"/>
          <w:caps w:val="0"/>
          <w:noProof/>
          <w:szCs w:val="22"/>
          <w:lang w:eastAsia="en-GB"/>
        </w:rPr>
      </w:pPr>
      <w:hyperlink w:anchor="_Toc31094949" w:history="1">
        <w:r w:rsidR="006E5ECF" w:rsidRPr="00305AC3">
          <w:rPr>
            <w:rStyle w:val="Hyperlink"/>
            <w:noProof/>
          </w:rPr>
          <w:t>12.</w:t>
        </w:r>
        <w:r w:rsidR="006E5ECF">
          <w:rPr>
            <w:rFonts w:asciiTheme="minorHAnsi" w:eastAsiaTheme="minorEastAsia" w:hAnsiTheme="minorHAnsi" w:cstheme="minorBidi"/>
            <w:caps w:val="0"/>
            <w:noProof/>
            <w:szCs w:val="22"/>
            <w:lang w:eastAsia="en-GB"/>
          </w:rPr>
          <w:tab/>
        </w:r>
        <w:r w:rsidR="006E5ECF" w:rsidRPr="00305AC3">
          <w:rPr>
            <w:rStyle w:val="Hyperlink"/>
            <w:noProof/>
          </w:rPr>
          <w:t>WHO IS ELIGIBLE TO BID</w:t>
        </w:r>
        <w:r w:rsidR="006E5ECF">
          <w:rPr>
            <w:noProof/>
            <w:webHidden/>
          </w:rPr>
          <w:tab/>
        </w:r>
        <w:r w:rsidR="006E5ECF">
          <w:rPr>
            <w:noProof/>
            <w:webHidden/>
          </w:rPr>
          <w:fldChar w:fldCharType="begin"/>
        </w:r>
        <w:r w:rsidR="006E5ECF">
          <w:rPr>
            <w:noProof/>
            <w:webHidden/>
          </w:rPr>
          <w:instrText xml:space="preserve"> PAGEREF _Toc31094949 \h </w:instrText>
        </w:r>
        <w:r w:rsidR="006E5ECF">
          <w:rPr>
            <w:noProof/>
            <w:webHidden/>
          </w:rPr>
        </w:r>
        <w:r w:rsidR="006E5ECF">
          <w:rPr>
            <w:noProof/>
            <w:webHidden/>
          </w:rPr>
          <w:fldChar w:fldCharType="separate"/>
        </w:r>
        <w:r w:rsidR="00822826">
          <w:rPr>
            <w:noProof/>
            <w:webHidden/>
          </w:rPr>
          <w:t>14</w:t>
        </w:r>
        <w:r w:rsidR="006E5ECF">
          <w:rPr>
            <w:noProof/>
            <w:webHidden/>
          </w:rPr>
          <w:fldChar w:fldCharType="end"/>
        </w:r>
      </w:hyperlink>
    </w:p>
    <w:p w14:paraId="32F94EDE" w14:textId="752B0B75" w:rsidR="006E5ECF" w:rsidRDefault="00FD50A3">
      <w:pPr>
        <w:pStyle w:val="TOC1"/>
        <w:rPr>
          <w:rFonts w:asciiTheme="minorHAnsi" w:eastAsiaTheme="minorEastAsia" w:hAnsiTheme="minorHAnsi" w:cstheme="minorBidi"/>
          <w:caps w:val="0"/>
          <w:noProof/>
          <w:szCs w:val="22"/>
          <w:lang w:eastAsia="en-GB"/>
        </w:rPr>
      </w:pPr>
      <w:hyperlink w:anchor="_Toc31094950" w:history="1">
        <w:r w:rsidR="006E5ECF" w:rsidRPr="00305AC3">
          <w:rPr>
            <w:rStyle w:val="Hyperlink"/>
            <w:noProof/>
          </w:rPr>
          <w:t>13.</w:t>
        </w:r>
        <w:r w:rsidR="006E5ECF">
          <w:rPr>
            <w:rFonts w:asciiTheme="minorHAnsi" w:eastAsiaTheme="minorEastAsia" w:hAnsiTheme="minorHAnsi" w:cstheme="minorBidi"/>
            <w:caps w:val="0"/>
            <w:noProof/>
            <w:szCs w:val="22"/>
            <w:lang w:eastAsia="en-GB"/>
          </w:rPr>
          <w:tab/>
        </w:r>
        <w:r w:rsidR="006E5ECF" w:rsidRPr="00305AC3">
          <w:rPr>
            <w:rStyle w:val="Hyperlink"/>
            <w:noProof/>
          </w:rPr>
          <w:t>Language</w:t>
        </w:r>
        <w:r w:rsidR="006E5ECF">
          <w:rPr>
            <w:noProof/>
            <w:webHidden/>
          </w:rPr>
          <w:tab/>
        </w:r>
        <w:r w:rsidR="006E5ECF">
          <w:rPr>
            <w:noProof/>
            <w:webHidden/>
          </w:rPr>
          <w:fldChar w:fldCharType="begin"/>
        </w:r>
        <w:r w:rsidR="006E5ECF">
          <w:rPr>
            <w:noProof/>
            <w:webHidden/>
          </w:rPr>
          <w:instrText xml:space="preserve"> PAGEREF _Toc31094950 \h </w:instrText>
        </w:r>
        <w:r w:rsidR="006E5ECF">
          <w:rPr>
            <w:noProof/>
            <w:webHidden/>
          </w:rPr>
        </w:r>
        <w:r w:rsidR="006E5ECF">
          <w:rPr>
            <w:noProof/>
            <w:webHidden/>
          </w:rPr>
          <w:fldChar w:fldCharType="separate"/>
        </w:r>
        <w:r w:rsidR="00822826">
          <w:rPr>
            <w:noProof/>
            <w:webHidden/>
          </w:rPr>
          <w:t>15</w:t>
        </w:r>
        <w:r w:rsidR="006E5ECF">
          <w:rPr>
            <w:noProof/>
            <w:webHidden/>
          </w:rPr>
          <w:fldChar w:fldCharType="end"/>
        </w:r>
      </w:hyperlink>
    </w:p>
    <w:p w14:paraId="21537B02" w14:textId="0F6378E0" w:rsidR="006E5ECF" w:rsidRDefault="00FD50A3">
      <w:pPr>
        <w:pStyle w:val="TOC1"/>
        <w:rPr>
          <w:rFonts w:asciiTheme="minorHAnsi" w:eastAsiaTheme="minorEastAsia" w:hAnsiTheme="minorHAnsi" w:cstheme="minorBidi"/>
          <w:caps w:val="0"/>
          <w:noProof/>
          <w:szCs w:val="22"/>
          <w:lang w:eastAsia="en-GB"/>
        </w:rPr>
      </w:pPr>
      <w:hyperlink w:anchor="_Toc31094951" w:history="1">
        <w:r w:rsidR="006E5ECF" w:rsidRPr="00305AC3">
          <w:rPr>
            <w:rStyle w:val="Hyperlink"/>
            <w:noProof/>
          </w:rPr>
          <w:t>14.</w:t>
        </w:r>
        <w:r w:rsidR="006E5ECF">
          <w:rPr>
            <w:rFonts w:asciiTheme="minorHAnsi" w:eastAsiaTheme="minorEastAsia" w:hAnsiTheme="minorHAnsi" w:cstheme="minorBidi"/>
            <w:caps w:val="0"/>
            <w:noProof/>
            <w:szCs w:val="22"/>
            <w:lang w:eastAsia="en-GB"/>
          </w:rPr>
          <w:tab/>
        </w:r>
        <w:r w:rsidR="006E5ECF" w:rsidRPr="00305AC3">
          <w:rPr>
            <w:rStyle w:val="Hyperlink"/>
            <w:noProof/>
          </w:rPr>
          <w:t>Confidentiality</w:t>
        </w:r>
        <w:r w:rsidR="006E5ECF">
          <w:rPr>
            <w:noProof/>
            <w:webHidden/>
          </w:rPr>
          <w:tab/>
        </w:r>
        <w:r w:rsidR="006E5ECF">
          <w:rPr>
            <w:noProof/>
            <w:webHidden/>
          </w:rPr>
          <w:fldChar w:fldCharType="begin"/>
        </w:r>
        <w:r w:rsidR="006E5ECF">
          <w:rPr>
            <w:noProof/>
            <w:webHidden/>
          </w:rPr>
          <w:instrText xml:space="preserve"> PAGEREF _Toc31094951 \h </w:instrText>
        </w:r>
        <w:r w:rsidR="006E5ECF">
          <w:rPr>
            <w:noProof/>
            <w:webHidden/>
          </w:rPr>
        </w:r>
        <w:r w:rsidR="006E5ECF">
          <w:rPr>
            <w:noProof/>
            <w:webHidden/>
          </w:rPr>
          <w:fldChar w:fldCharType="separate"/>
        </w:r>
        <w:r w:rsidR="00822826">
          <w:rPr>
            <w:noProof/>
            <w:webHidden/>
          </w:rPr>
          <w:t>15</w:t>
        </w:r>
        <w:r w:rsidR="006E5ECF">
          <w:rPr>
            <w:noProof/>
            <w:webHidden/>
          </w:rPr>
          <w:fldChar w:fldCharType="end"/>
        </w:r>
      </w:hyperlink>
    </w:p>
    <w:p w14:paraId="1AA2C5D5" w14:textId="6FD3C1E2" w:rsidR="006E5ECF" w:rsidRDefault="00FD50A3">
      <w:pPr>
        <w:pStyle w:val="TOC1"/>
        <w:rPr>
          <w:rFonts w:asciiTheme="minorHAnsi" w:eastAsiaTheme="minorEastAsia" w:hAnsiTheme="minorHAnsi" w:cstheme="minorBidi"/>
          <w:caps w:val="0"/>
          <w:noProof/>
          <w:szCs w:val="22"/>
          <w:lang w:eastAsia="en-GB"/>
        </w:rPr>
      </w:pPr>
      <w:hyperlink w:anchor="_Toc31094952" w:history="1">
        <w:r w:rsidR="006E5ECF" w:rsidRPr="00305AC3">
          <w:rPr>
            <w:rStyle w:val="Hyperlink"/>
            <w:noProof/>
          </w:rPr>
          <w:t>15.</w:t>
        </w:r>
        <w:r w:rsidR="006E5ECF">
          <w:rPr>
            <w:rFonts w:asciiTheme="minorHAnsi" w:eastAsiaTheme="minorEastAsia" w:hAnsiTheme="minorHAnsi" w:cstheme="minorBidi"/>
            <w:caps w:val="0"/>
            <w:noProof/>
            <w:szCs w:val="22"/>
            <w:lang w:eastAsia="en-GB"/>
          </w:rPr>
          <w:tab/>
        </w:r>
        <w:r w:rsidR="006E5ECF" w:rsidRPr="00305AC3">
          <w:rPr>
            <w:rStyle w:val="Hyperlink"/>
            <w:noProof/>
          </w:rPr>
          <w:t>Freedom of Information</w:t>
        </w:r>
        <w:r w:rsidR="006E5ECF">
          <w:rPr>
            <w:noProof/>
            <w:webHidden/>
          </w:rPr>
          <w:tab/>
        </w:r>
        <w:r w:rsidR="006E5ECF">
          <w:rPr>
            <w:noProof/>
            <w:webHidden/>
          </w:rPr>
          <w:fldChar w:fldCharType="begin"/>
        </w:r>
        <w:r w:rsidR="006E5ECF">
          <w:rPr>
            <w:noProof/>
            <w:webHidden/>
          </w:rPr>
          <w:instrText xml:space="preserve"> PAGEREF _Toc31094952 \h </w:instrText>
        </w:r>
        <w:r w:rsidR="006E5ECF">
          <w:rPr>
            <w:noProof/>
            <w:webHidden/>
          </w:rPr>
        </w:r>
        <w:r w:rsidR="006E5ECF">
          <w:rPr>
            <w:noProof/>
            <w:webHidden/>
          </w:rPr>
          <w:fldChar w:fldCharType="separate"/>
        </w:r>
        <w:r w:rsidR="00822826">
          <w:rPr>
            <w:noProof/>
            <w:webHidden/>
          </w:rPr>
          <w:t>15</w:t>
        </w:r>
        <w:r w:rsidR="006E5ECF">
          <w:rPr>
            <w:noProof/>
            <w:webHidden/>
          </w:rPr>
          <w:fldChar w:fldCharType="end"/>
        </w:r>
      </w:hyperlink>
    </w:p>
    <w:p w14:paraId="718C4881" w14:textId="7620D61B" w:rsidR="006E5ECF" w:rsidRDefault="00FD50A3">
      <w:pPr>
        <w:pStyle w:val="TOC1"/>
        <w:rPr>
          <w:rFonts w:asciiTheme="minorHAnsi" w:eastAsiaTheme="minorEastAsia" w:hAnsiTheme="minorHAnsi" w:cstheme="minorBidi"/>
          <w:caps w:val="0"/>
          <w:noProof/>
          <w:szCs w:val="22"/>
          <w:lang w:eastAsia="en-GB"/>
        </w:rPr>
      </w:pPr>
      <w:hyperlink w:anchor="_Toc31094953" w:history="1">
        <w:r w:rsidR="006E5ECF" w:rsidRPr="00305AC3">
          <w:rPr>
            <w:rStyle w:val="Hyperlink"/>
            <w:noProof/>
          </w:rPr>
          <w:t>16.</w:t>
        </w:r>
        <w:r w:rsidR="006E5ECF">
          <w:rPr>
            <w:rFonts w:asciiTheme="minorHAnsi" w:eastAsiaTheme="minorEastAsia" w:hAnsiTheme="minorHAnsi" w:cstheme="minorBidi"/>
            <w:caps w:val="0"/>
            <w:noProof/>
            <w:szCs w:val="22"/>
            <w:lang w:eastAsia="en-GB"/>
          </w:rPr>
          <w:tab/>
        </w:r>
        <w:r w:rsidR="006E5ECF" w:rsidRPr="00305AC3">
          <w:rPr>
            <w:rStyle w:val="Hyperlink"/>
            <w:noProof/>
          </w:rPr>
          <w:t>Publicity</w:t>
        </w:r>
        <w:r w:rsidR="006E5ECF">
          <w:rPr>
            <w:noProof/>
            <w:webHidden/>
          </w:rPr>
          <w:tab/>
        </w:r>
        <w:r w:rsidR="006E5ECF">
          <w:rPr>
            <w:noProof/>
            <w:webHidden/>
          </w:rPr>
          <w:fldChar w:fldCharType="begin"/>
        </w:r>
        <w:r w:rsidR="006E5ECF">
          <w:rPr>
            <w:noProof/>
            <w:webHidden/>
          </w:rPr>
          <w:instrText xml:space="preserve"> PAGEREF _Toc31094953 \h </w:instrText>
        </w:r>
        <w:r w:rsidR="006E5ECF">
          <w:rPr>
            <w:noProof/>
            <w:webHidden/>
          </w:rPr>
        </w:r>
        <w:r w:rsidR="006E5ECF">
          <w:rPr>
            <w:noProof/>
            <w:webHidden/>
          </w:rPr>
          <w:fldChar w:fldCharType="separate"/>
        </w:r>
        <w:r w:rsidR="00822826">
          <w:rPr>
            <w:noProof/>
            <w:webHidden/>
          </w:rPr>
          <w:t>16</w:t>
        </w:r>
        <w:r w:rsidR="006E5ECF">
          <w:rPr>
            <w:noProof/>
            <w:webHidden/>
          </w:rPr>
          <w:fldChar w:fldCharType="end"/>
        </w:r>
      </w:hyperlink>
    </w:p>
    <w:p w14:paraId="2DC66BAF" w14:textId="64C2B481" w:rsidR="006E5ECF" w:rsidRDefault="00FD50A3">
      <w:pPr>
        <w:pStyle w:val="TOC1"/>
        <w:rPr>
          <w:rFonts w:asciiTheme="minorHAnsi" w:eastAsiaTheme="minorEastAsia" w:hAnsiTheme="minorHAnsi" w:cstheme="minorBidi"/>
          <w:caps w:val="0"/>
          <w:noProof/>
          <w:szCs w:val="22"/>
          <w:lang w:eastAsia="en-GB"/>
        </w:rPr>
      </w:pPr>
      <w:hyperlink w:anchor="_Toc31094954" w:history="1">
        <w:r w:rsidR="006E5ECF" w:rsidRPr="00305AC3">
          <w:rPr>
            <w:rStyle w:val="Hyperlink"/>
            <w:noProof/>
          </w:rPr>
          <w:t>17.</w:t>
        </w:r>
        <w:r w:rsidR="006E5ECF">
          <w:rPr>
            <w:rFonts w:asciiTheme="minorHAnsi" w:eastAsiaTheme="minorEastAsia" w:hAnsiTheme="minorHAnsi" w:cstheme="minorBidi"/>
            <w:caps w:val="0"/>
            <w:noProof/>
            <w:szCs w:val="22"/>
            <w:lang w:eastAsia="en-GB"/>
          </w:rPr>
          <w:tab/>
        </w:r>
        <w:r w:rsidR="006E5ECF" w:rsidRPr="00305AC3">
          <w:rPr>
            <w:rStyle w:val="Hyperlink"/>
            <w:noProof/>
          </w:rPr>
          <w:t>Data Protection Act</w:t>
        </w:r>
        <w:r w:rsidR="006E5ECF">
          <w:rPr>
            <w:noProof/>
            <w:webHidden/>
          </w:rPr>
          <w:tab/>
        </w:r>
        <w:r w:rsidR="006E5ECF">
          <w:rPr>
            <w:noProof/>
            <w:webHidden/>
          </w:rPr>
          <w:fldChar w:fldCharType="begin"/>
        </w:r>
        <w:r w:rsidR="006E5ECF">
          <w:rPr>
            <w:noProof/>
            <w:webHidden/>
          </w:rPr>
          <w:instrText xml:space="preserve"> PAGEREF _Toc31094954 \h </w:instrText>
        </w:r>
        <w:r w:rsidR="006E5ECF">
          <w:rPr>
            <w:noProof/>
            <w:webHidden/>
          </w:rPr>
        </w:r>
        <w:r w:rsidR="006E5ECF">
          <w:rPr>
            <w:noProof/>
            <w:webHidden/>
          </w:rPr>
          <w:fldChar w:fldCharType="separate"/>
        </w:r>
        <w:r w:rsidR="00822826">
          <w:rPr>
            <w:noProof/>
            <w:webHidden/>
          </w:rPr>
          <w:t>16</w:t>
        </w:r>
        <w:r w:rsidR="006E5ECF">
          <w:rPr>
            <w:noProof/>
            <w:webHidden/>
          </w:rPr>
          <w:fldChar w:fldCharType="end"/>
        </w:r>
      </w:hyperlink>
    </w:p>
    <w:p w14:paraId="301DE4ED" w14:textId="76647DD3" w:rsidR="006E5ECF" w:rsidRDefault="00FD50A3">
      <w:pPr>
        <w:pStyle w:val="TOC1"/>
        <w:rPr>
          <w:rFonts w:asciiTheme="minorHAnsi" w:eastAsiaTheme="minorEastAsia" w:hAnsiTheme="minorHAnsi" w:cstheme="minorBidi"/>
          <w:caps w:val="0"/>
          <w:noProof/>
          <w:szCs w:val="22"/>
          <w:lang w:eastAsia="en-GB"/>
        </w:rPr>
      </w:pPr>
      <w:hyperlink w:anchor="_Toc31094955" w:history="1">
        <w:r w:rsidR="006E5ECF" w:rsidRPr="00305AC3">
          <w:rPr>
            <w:rStyle w:val="Hyperlink"/>
            <w:noProof/>
          </w:rPr>
          <w:t>18.</w:t>
        </w:r>
        <w:r w:rsidR="006E5ECF">
          <w:rPr>
            <w:rFonts w:asciiTheme="minorHAnsi" w:eastAsiaTheme="minorEastAsia" w:hAnsiTheme="minorHAnsi" w:cstheme="minorBidi"/>
            <w:caps w:val="0"/>
            <w:noProof/>
            <w:szCs w:val="22"/>
            <w:lang w:eastAsia="en-GB"/>
          </w:rPr>
          <w:tab/>
        </w:r>
        <w:r w:rsidR="006E5ECF" w:rsidRPr="00305AC3">
          <w:rPr>
            <w:rStyle w:val="Hyperlink"/>
            <w:noProof/>
          </w:rPr>
          <w:t>Copyright</w:t>
        </w:r>
        <w:r w:rsidR="006E5ECF">
          <w:rPr>
            <w:noProof/>
            <w:webHidden/>
          </w:rPr>
          <w:tab/>
        </w:r>
        <w:r w:rsidR="006E5ECF">
          <w:rPr>
            <w:noProof/>
            <w:webHidden/>
          </w:rPr>
          <w:fldChar w:fldCharType="begin"/>
        </w:r>
        <w:r w:rsidR="006E5ECF">
          <w:rPr>
            <w:noProof/>
            <w:webHidden/>
          </w:rPr>
          <w:instrText xml:space="preserve"> PAGEREF _Toc31094955 \h </w:instrText>
        </w:r>
        <w:r w:rsidR="006E5ECF">
          <w:rPr>
            <w:noProof/>
            <w:webHidden/>
          </w:rPr>
        </w:r>
        <w:r w:rsidR="006E5ECF">
          <w:rPr>
            <w:noProof/>
            <w:webHidden/>
          </w:rPr>
          <w:fldChar w:fldCharType="separate"/>
        </w:r>
        <w:r w:rsidR="00822826">
          <w:rPr>
            <w:noProof/>
            <w:webHidden/>
          </w:rPr>
          <w:t>16</w:t>
        </w:r>
        <w:r w:rsidR="006E5ECF">
          <w:rPr>
            <w:noProof/>
            <w:webHidden/>
          </w:rPr>
          <w:fldChar w:fldCharType="end"/>
        </w:r>
      </w:hyperlink>
    </w:p>
    <w:p w14:paraId="05E43576" w14:textId="1C93ABE1" w:rsidR="006E5ECF" w:rsidRDefault="00FD50A3">
      <w:pPr>
        <w:pStyle w:val="TOC1"/>
        <w:rPr>
          <w:rFonts w:asciiTheme="minorHAnsi" w:eastAsiaTheme="minorEastAsia" w:hAnsiTheme="minorHAnsi" w:cstheme="minorBidi"/>
          <w:caps w:val="0"/>
          <w:noProof/>
          <w:szCs w:val="22"/>
          <w:lang w:eastAsia="en-GB"/>
        </w:rPr>
      </w:pPr>
      <w:hyperlink w:anchor="_Toc31094956" w:history="1">
        <w:r w:rsidR="006E5ECF" w:rsidRPr="00305AC3">
          <w:rPr>
            <w:rStyle w:val="Hyperlink"/>
            <w:noProof/>
          </w:rPr>
          <w:t>19.</w:t>
        </w:r>
        <w:r w:rsidR="006E5ECF">
          <w:rPr>
            <w:rFonts w:asciiTheme="minorHAnsi" w:eastAsiaTheme="minorEastAsia" w:hAnsiTheme="minorHAnsi" w:cstheme="minorBidi"/>
            <w:caps w:val="0"/>
            <w:noProof/>
            <w:szCs w:val="22"/>
            <w:lang w:eastAsia="en-GB"/>
          </w:rPr>
          <w:tab/>
        </w:r>
        <w:r w:rsidR="006E5ECF" w:rsidRPr="00305AC3">
          <w:rPr>
            <w:rStyle w:val="Hyperlink"/>
            <w:noProof/>
          </w:rPr>
          <w:t>Costs of Bidding</w:t>
        </w:r>
        <w:r w:rsidR="006E5ECF">
          <w:rPr>
            <w:noProof/>
            <w:webHidden/>
          </w:rPr>
          <w:tab/>
        </w:r>
        <w:r w:rsidR="006E5ECF">
          <w:rPr>
            <w:noProof/>
            <w:webHidden/>
          </w:rPr>
          <w:fldChar w:fldCharType="begin"/>
        </w:r>
        <w:r w:rsidR="006E5ECF">
          <w:rPr>
            <w:noProof/>
            <w:webHidden/>
          </w:rPr>
          <w:instrText xml:space="preserve"> PAGEREF _Toc31094956 \h </w:instrText>
        </w:r>
        <w:r w:rsidR="006E5ECF">
          <w:rPr>
            <w:noProof/>
            <w:webHidden/>
          </w:rPr>
        </w:r>
        <w:r w:rsidR="006E5ECF">
          <w:rPr>
            <w:noProof/>
            <w:webHidden/>
          </w:rPr>
          <w:fldChar w:fldCharType="separate"/>
        </w:r>
        <w:r w:rsidR="00822826">
          <w:rPr>
            <w:noProof/>
            <w:webHidden/>
          </w:rPr>
          <w:t>17</w:t>
        </w:r>
        <w:r w:rsidR="006E5ECF">
          <w:rPr>
            <w:noProof/>
            <w:webHidden/>
          </w:rPr>
          <w:fldChar w:fldCharType="end"/>
        </w:r>
      </w:hyperlink>
    </w:p>
    <w:p w14:paraId="1EE3AFC9" w14:textId="6835A99B" w:rsidR="006E5ECF" w:rsidRDefault="00FD50A3">
      <w:pPr>
        <w:pStyle w:val="TOC1"/>
        <w:rPr>
          <w:rFonts w:asciiTheme="minorHAnsi" w:eastAsiaTheme="minorEastAsia" w:hAnsiTheme="minorHAnsi" w:cstheme="minorBidi"/>
          <w:caps w:val="0"/>
          <w:noProof/>
          <w:szCs w:val="22"/>
          <w:lang w:eastAsia="en-GB"/>
        </w:rPr>
      </w:pPr>
      <w:hyperlink w:anchor="_Toc31094957" w:history="1">
        <w:r w:rsidR="006E5ECF" w:rsidRPr="00305AC3">
          <w:rPr>
            <w:rStyle w:val="Hyperlink"/>
            <w:noProof/>
          </w:rPr>
          <w:t>20.</w:t>
        </w:r>
        <w:r w:rsidR="006E5ECF">
          <w:rPr>
            <w:rFonts w:asciiTheme="minorHAnsi" w:eastAsiaTheme="minorEastAsia" w:hAnsiTheme="minorHAnsi" w:cstheme="minorBidi"/>
            <w:caps w:val="0"/>
            <w:noProof/>
            <w:szCs w:val="22"/>
            <w:lang w:eastAsia="en-GB"/>
          </w:rPr>
          <w:tab/>
        </w:r>
        <w:r w:rsidR="006E5ECF" w:rsidRPr="00305AC3">
          <w:rPr>
            <w:rStyle w:val="Hyperlink"/>
            <w:noProof/>
          </w:rPr>
          <w:t>Non-canvassing &amp; Non-collusion</w:t>
        </w:r>
        <w:r w:rsidR="006E5ECF">
          <w:rPr>
            <w:noProof/>
            <w:webHidden/>
          </w:rPr>
          <w:tab/>
        </w:r>
        <w:r w:rsidR="006E5ECF">
          <w:rPr>
            <w:noProof/>
            <w:webHidden/>
          </w:rPr>
          <w:fldChar w:fldCharType="begin"/>
        </w:r>
        <w:r w:rsidR="006E5ECF">
          <w:rPr>
            <w:noProof/>
            <w:webHidden/>
          </w:rPr>
          <w:instrText xml:space="preserve"> PAGEREF _Toc31094957 \h </w:instrText>
        </w:r>
        <w:r w:rsidR="006E5ECF">
          <w:rPr>
            <w:noProof/>
            <w:webHidden/>
          </w:rPr>
        </w:r>
        <w:r w:rsidR="006E5ECF">
          <w:rPr>
            <w:noProof/>
            <w:webHidden/>
          </w:rPr>
          <w:fldChar w:fldCharType="separate"/>
        </w:r>
        <w:r w:rsidR="00822826">
          <w:rPr>
            <w:noProof/>
            <w:webHidden/>
          </w:rPr>
          <w:t>17</w:t>
        </w:r>
        <w:r w:rsidR="006E5ECF">
          <w:rPr>
            <w:noProof/>
            <w:webHidden/>
          </w:rPr>
          <w:fldChar w:fldCharType="end"/>
        </w:r>
      </w:hyperlink>
    </w:p>
    <w:p w14:paraId="1FDB632D" w14:textId="305E9B66" w:rsidR="006E5ECF" w:rsidRDefault="00FD50A3">
      <w:pPr>
        <w:pStyle w:val="TOC1"/>
        <w:rPr>
          <w:rFonts w:asciiTheme="minorHAnsi" w:eastAsiaTheme="minorEastAsia" w:hAnsiTheme="minorHAnsi" w:cstheme="minorBidi"/>
          <w:caps w:val="0"/>
          <w:noProof/>
          <w:szCs w:val="22"/>
          <w:lang w:eastAsia="en-GB"/>
        </w:rPr>
      </w:pPr>
      <w:hyperlink w:anchor="_Toc31094958" w:history="1">
        <w:r w:rsidR="006E5ECF" w:rsidRPr="00305AC3">
          <w:rPr>
            <w:rStyle w:val="Hyperlink"/>
            <w:noProof/>
          </w:rPr>
          <w:t>21.</w:t>
        </w:r>
        <w:r w:rsidR="006E5ECF">
          <w:rPr>
            <w:rFonts w:asciiTheme="minorHAnsi" w:eastAsiaTheme="minorEastAsia" w:hAnsiTheme="minorHAnsi" w:cstheme="minorBidi"/>
            <w:caps w:val="0"/>
            <w:noProof/>
            <w:szCs w:val="22"/>
            <w:lang w:eastAsia="en-GB"/>
          </w:rPr>
          <w:tab/>
        </w:r>
        <w:r w:rsidR="006E5ECF" w:rsidRPr="00305AC3">
          <w:rPr>
            <w:rStyle w:val="Hyperlink"/>
            <w:noProof/>
          </w:rPr>
          <w:t>Indicative Timelines</w:t>
        </w:r>
        <w:r w:rsidR="006E5ECF">
          <w:rPr>
            <w:noProof/>
            <w:webHidden/>
          </w:rPr>
          <w:tab/>
        </w:r>
        <w:r w:rsidR="006E5ECF">
          <w:rPr>
            <w:noProof/>
            <w:webHidden/>
          </w:rPr>
          <w:fldChar w:fldCharType="begin"/>
        </w:r>
        <w:r w:rsidR="006E5ECF">
          <w:rPr>
            <w:noProof/>
            <w:webHidden/>
          </w:rPr>
          <w:instrText xml:space="preserve"> PAGEREF _Toc31094958 \h </w:instrText>
        </w:r>
        <w:r w:rsidR="006E5ECF">
          <w:rPr>
            <w:noProof/>
            <w:webHidden/>
          </w:rPr>
        </w:r>
        <w:r w:rsidR="006E5ECF">
          <w:rPr>
            <w:noProof/>
            <w:webHidden/>
          </w:rPr>
          <w:fldChar w:fldCharType="separate"/>
        </w:r>
        <w:r w:rsidR="00822826">
          <w:rPr>
            <w:noProof/>
            <w:webHidden/>
          </w:rPr>
          <w:t>17</w:t>
        </w:r>
        <w:r w:rsidR="006E5ECF">
          <w:rPr>
            <w:noProof/>
            <w:webHidden/>
          </w:rPr>
          <w:fldChar w:fldCharType="end"/>
        </w:r>
      </w:hyperlink>
    </w:p>
    <w:p w14:paraId="3E786ED1" w14:textId="6DB89B76" w:rsidR="006E5ECF" w:rsidRDefault="00FD50A3">
      <w:pPr>
        <w:pStyle w:val="TOC1"/>
        <w:rPr>
          <w:rFonts w:asciiTheme="minorHAnsi" w:eastAsiaTheme="minorEastAsia" w:hAnsiTheme="minorHAnsi" w:cstheme="minorBidi"/>
          <w:caps w:val="0"/>
          <w:noProof/>
          <w:szCs w:val="22"/>
          <w:lang w:eastAsia="en-GB"/>
        </w:rPr>
      </w:pPr>
      <w:hyperlink w:anchor="_Toc31094959" w:history="1">
        <w:r w:rsidR="006E5ECF" w:rsidRPr="00305AC3">
          <w:rPr>
            <w:rStyle w:val="Hyperlink"/>
            <w:noProof/>
          </w:rPr>
          <w:t>22.</w:t>
        </w:r>
        <w:r w:rsidR="006E5ECF">
          <w:rPr>
            <w:rFonts w:asciiTheme="minorHAnsi" w:eastAsiaTheme="minorEastAsia" w:hAnsiTheme="minorHAnsi" w:cstheme="minorBidi"/>
            <w:caps w:val="0"/>
            <w:noProof/>
            <w:szCs w:val="22"/>
            <w:lang w:eastAsia="en-GB"/>
          </w:rPr>
          <w:tab/>
        </w:r>
        <w:r w:rsidR="006E5ECF" w:rsidRPr="00305AC3">
          <w:rPr>
            <w:rStyle w:val="Hyperlink"/>
            <w:noProof/>
          </w:rPr>
          <w:t>Feedback</w:t>
        </w:r>
        <w:r w:rsidR="006E5ECF">
          <w:rPr>
            <w:noProof/>
            <w:webHidden/>
          </w:rPr>
          <w:tab/>
        </w:r>
        <w:r w:rsidR="006E5ECF">
          <w:rPr>
            <w:noProof/>
            <w:webHidden/>
          </w:rPr>
          <w:fldChar w:fldCharType="begin"/>
        </w:r>
        <w:r w:rsidR="006E5ECF">
          <w:rPr>
            <w:noProof/>
            <w:webHidden/>
          </w:rPr>
          <w:instrText xml:space="preserve"> PAGEREF _Toc31094959 \h </w:instrText>
        </w:r>
        <w:r w:rsidR="006E5ECF">
          <w:rPr>
            <w:noProof/>
            <w:webHidden/>
          </w:rPr>
        </w:r>
        <w:r w:rsidR="006E5ECF">
          <w:rPr>
            <w:noProof/>
            <w:webHidden/>
          </w:rPr>
          <w:fldChar w:fldCharType="separate"/>
        </w:r>
        <w:r w:rsidR="00822826">
          <w:rPr>
            <w:noProof/>
            <w:webHidden/>
          </w:rPr>
          <w:t>18</w:t>
        </w:r>
        <w:r w:rsidR="006E5ECF">
          <w:rPr>
            <w:noProof/>
            <w:webHidden/>
          </w:rPr>
          <w:fldChar w:fldCharType="end"/>
        </w:r>
      </w:hyperlink>
    </w:p>
    <w:p w14:paraId="2D402DFB" w14:textId="5E30FD3E" w:rsidR="006E5ECF" w:rsidRDefault="00FD50A3">
      <w:pPr>
        <w:pStyle w:val="TOC1"/>
        <w:rPr>
          <w:rFonts w:asciiTheme="minorHAnsi" w:eastAsiaTheme="minorEastAsia" w:hAnsiTheme="minorHAnsi" w:cstheme="minorBidi"/>
          <w:caps w:val="0"/>
          <w:noProof/>
          <w:szCs w:val="22"/>
          <w:lang w:eastAsia="en-GB"/>
        </w:rPr>
      </w:pPr>
      <w:hyperlink w:anchor="_Toc31094960" w:history="1">
        <w:r w:rsidR="006E5ECF" w:rsidRPr="00305AC3">
          <w:rPr>
            <w:rStyle w:val="Hyperlink"/>
            <w:noProof/>
          </w:rPr>
          <w:t>23.</w:t>
        </w:r>
        <w:r w:rsidR="006E5ECF">
          <w:rPr>
            <w:rFonts w:asciiTheme="minorHAnsi" w:eastAsiaTheme="minorEastAsia" w:hAnsiTheme="minorHAnsi" w:cstheme="minorBidi"/>
            <w:caps w:val="0"/>
            <w:noProof/>
            <w:szCs w:val="22"/>
            <w:lang w:eastAsia="en-GB"/>
          </w:rPr>
          <w:tab/>
        </w:r>
        <w:r w:rsidR="006E5ECF" w:rsidRPr="00305AC3">
          <w:rPr>
            <w:rStyle w:val="Hyperlink"/>
            <w:noProof/>
          </w:rPr>
          <w:t>Definitions and abbreviations</w:t>
        </w:r>
        <w:r w:rsidR="006E5ECF">
          <w:rPr>
            <w:noProof/>
            <w:webHidden/>
          </w:rPr>
          <w:tab/>
        </w:r>
        <w:r w:rsidR="006E5ECF">
          <w:rPr>
            <w:noProof/>
            <w:webHidden/>
          </w:rPr>
          <w:fldChar w:fldCharType="begin"/>
        </w:r>
        <w:r w:rsidR="006E5ECF">
          <w:rPr>
            <w:noProof/>
            <w:webHidden/>
          </w:rPr>
          <w:instrText xml:space="preserve"> PAGEREF _Toc31094960 \h </w:instrText>
        </w:r>
        <w:r w:rsidR="006E5ECF">
          <w:rPr>
            <w:noProof/>
            <w:webHidden/>
          </w:rPr>
        </w:r>
        <w:r w:rsidR="006E5ECF">
          <w:rPr>
            <w:noProof/>
            <w:webHidden/>
          </w:rPr>
          <w:fldChar w:fldCharType="separate"/>
        </w:r>
        <w:r w:rsidR="00822826">
          <w:rPr>
            <w:noProof/>
            <w:webHidden/>
          </w:rPr>
          <w:t>18</w:t>
        </w:r>
        <w:r w:rsidR="006E5ECF">
          <w:rPr>
            <w:noProof/>
            <w:webHidden/>
          </w:rPr>
          <w:fldChar w:fldCharType="end"/>
        </w:r>
      </w:hyperlink>
    </w:p>
    <w:p w14:paraId="22DAE870" w14:textId="18A32ACD" w:rsidR="000A736E" w:rsidRDefault="00E13035" w:rsidP="00F71650">
      <w:pPr>
        <w:pStyle w:val="Heading1"/>
        <w:numPr>
          <w:ilvl w:val="0"/>
          <w:numId w:val="0"/>
        </w:numPr>
      </w:pPr>
      <w:r>
        <w:fldChar w:fldCharType="end"/>
      </w:r>
    </w:p>
    <w:p w14:paraId="4313CE6E" w14:textId="77777777" w:rsidR="00F71650" w:rsidRDefault="00F71650">
      <w:pPr>
        <w:rPr>
          <w:rFonts w:eastAsia="STZhongsong"/>
          <w:b/>
          <w:caps/>
          <w:szCs w:val="20"/>
        </w:rPr>
      </w:pPr>
      <w:r>
        <w:br w:type="page"/>
      </w:r>
    </w:p>
    <w:p w14:paraId="69E31F36" w14:textId="77777777" w:rsidR="00483C44" w:rsidRDefault="00BD5EB4" w:rsidP="00B03431">
      <w:pPr>
        <w:pStyle w:val="Heading1"/>
        <w:spacing w:line="276" w:lineRule="auto"/>
      </w:pPr>
      <w:bookmarkStart w:id="25" w:name="_Toc31094938"/>
      <w:r>
        <w:t>Introduction</w:t>
      </w:r>
      <w:bookmarkEnd w:id="25"/>
    </w:p>
    <w:p w14:paraId="0EF450E5" w14:textId="6844F0DB" w:rsidR="0044485F" w:rsidRDefault="0044485F" w:rsidP="0044485F">
      <w:pPr>
        <w:pStyle w:val="Heading2"/>
      </w:pPr>
      <w:r>
        <w:t xml:space="preserve">The Home Office (the “Authority”) is the UK Government Department with lead responsibility for immigration and passports, drugs policy, crime policy and counter-terrorism and works to ensure visible, responsive and accountable policing. </w:t>
      </w:r>
      <w:r w:rsidR="00712555">
        <w:t>This includes stopping crimes such as modern slavery.</w:t>
      </w:r>
    </w:p>
    <w:p w14:paraId="49313EDF" w14:textId="1B2F3336" w:rsidR="00A05DA3" w:rsidRDefault="00A05DA3" w:rsidP="3BC21AA0">
      <w:pPr>
        <w:pStyle w:val="Heading2"/>
        <w:spacing w:line="276" w:lineRule="auto"/>
        <w:rPr>
          <w:color w:val="000000" w:themeColor="text1"/>
        </w:rPr>
      </w:pPr>
      <w:r>
        <w:t xml:space="preserve">The Secretary of State for the Home Department (the “Authority”), acting through </w:t>
      </w:r>
      <w:r w:rsidR="000F6723">
        <w:t xml:space="preserve">the </w:t>
      </w:r>
      <w:r w:rsidR="00712555">
        <w:t>International Serious and Organised Crime Unit</w:t>
      </w:r>
      <w:r>
        <w:t>, intends to make an amount up to £</w:t>
      </w:r>
      <w:r w:rsidR="00712555">
        <w:t>11</w:t>
      </w:r>
      <w:r>
        <w:t>,</w:t>
      </w:r>
      <w:r w:rsidR="00712555">
        <w:t>25</w:t>
      </w:r>
      <w:r>
        <w:t>0,000 of funding (“Funding”) available</w:t>
      </w:r>
      <w:r w:rsidR="003758D1">
        <w:t xml:space="preserve"> for Phase 3 of the Modern Slavery Innovation Fund (MSIF)</w:t>
      </w:r>
      <w:r>
        <w:t xml:space="preserve">. </w:t>
      </w:r>
      <w:r w:rsidR="00E979EC" w:rsidRPr="3BC21AA0">
        <w:rPr>
          <w:color w:val="000000" w:themeColor="text1"/>
        </w:rPr>
        <w:t>This funding will be granted during 202</w:t>
      </w:r>
      <w:r w:rsidR="00121C9D" w:rsidRPr="3BC21AA0">
        <w:rPr>
          <w:color w:val="000000" w:themeColor="text1"/>
        </w:rPr>
        <w:t>2</w:t>
      </w:r>
      <w:r w:rsidR="00E979EC" w:rsidRPr="3BC21AA0">
        <w:rPr>
          <w:color w:val="000000" w:themeColor="text1"/>
        </w:rPr>
        <w:t>-2</w:t>
      </w:r>
      <w:r w:rsidR="00121C9D" w:rsidRPr="3BC21AA0">
        <w:rPr>
          <w:color w:val="000000" w:themeColor="text1"/>
        </w:rPr>
        <w:t>5</w:t>
      </w:r>
      <w:r w:rsidR="00E979EC" w:rsidRPr="3BC21AA0">
        <w:rPr>
          <w:color w:val="000000" w:themeColor="text1"/>
        </w:rPr>
        <w:t xml:space="preserve"> financial year</w:t>
      </w:r>
      <w:r w:rsidR="00121C9D" w:rsidRPr="3BC21AA0">
        <w:rPr>
          <w:color w:val="000000" w:themeColor="text1"/>
        </w:rPr>
        <w:t>s</w:t>
      </w:r>
      <w:r w:rsidR="00E979EC" w:rsidRPr="3BC21AA0">
        <w:rPr>
          <w:color w:val="000000" w:themeColor="text1"/>
        </w:rPr>
        <w:t xml:space="preserve"> and all allocations must be spent by </w:t>
      </w:r>
      <w:r w:rsidR="000776CE" w:rsidRPr="3BC21AA0">
        <w:rPr>
          <w:color w:val="000000" w:themeColor="text1"/>
        </w:rPr>
        <w:t>31 March 202</w:t>
      </w:r>
      <w:r w:rsidR="00121C9D" w:rsidRPr="3BC21AA0">
        <w:rPr>
          <w:color w:val="000000" w:themeColor="text1"/>
        </w:rPr>
        <w:t>5</w:t>
      </w:r>
      <w:r w:rsidR="00E979EC" w:rsidRPr="3BC21AA0">
        <w:rPr>
          <w:color w:val="000000" w:themeColor="text1"/>
        </w:rPr>
        <w:t>.</w:t>
      </w:r>
      <w:r>
        <w:t xml:space="preserve"> The Funding is to be awarded through </w:t>
      </w:r>
      <w:r w:rsidR="00C031DC">
        <w:t xml:space="preserve">a </w:t>
      </w:r>
      <w:r>
        <w:t xml:space="preserve">fair, open and transparent competition by means of a Call for Proposals to </w:t>
      </w:r>
      <w:r w:rsidR="000776CE">
        <w:t xml:space="preserve">fund </w:t>
      </w:r>
      <w:r w:rsidR="00320DE3" w:rsidRPr="3BC21AA0">
        <w:rPr>
          <w:color w:val="000000" w:themeColor="text1"/>
        </w:rPr>
        <w:t>organisations</w:t>
      </w:r>
      <w:r w:rsidR="00C031DC" w:rsidRPr="3BC21AA0">
        <w:rPr>
          <w:color w:val="000000" w:themeColor="text1"/>
        </w:rPr>
        <w:t xml:space="preserve"> </w:t>
      </w:r>
      <w:r w:rsidR="000776CE" w:rsidRPr="3BC21AA0">
        <w:rPr>
          <w:color w:val="000000" w:themeColor="text1"/>
        </w:rPr>
        <w:t xml:space="preserve">to help </w:t>
      </w:r>
      <w:r w:rsidR="00E979EC" w:rsidRPr="3BC21AA0">
        <w:rPr>
          <w:color w:val="000000" w:themeColor="text1"/>
        </w:rPr>
        <w:t xml:space="preserve">reduce </w:t>
      </w:r>
      <w:r w:rsidR="00320DE3" w:rsidRPr="3BC21AA0">
        <w:rPr>
          <w:color w:val="000000" w:themeColor="text1"/>
        </w:rPr>
        <w:t xml:space="preserve">the </w:t>
      </w:r>
      <w:r w:rsidR="00794B1A" w:rsidRPr="3BC21AA0">
        <w:rPr>
          <w:color w:val="000000" w:themeColor="text1"/>
        </w:rPr>
        <w:t>prevalence of modern slavery internationally</w:t>
      </w:r>
      <w:r w:rsidR="00C031DC" w:rsidRPr="3BC21AA0">
        <w:rPr>
          <w:color w:val="000000" w:themeColor="text1"/>
        </w:rPr>
        <w:t xml:space="preserve"> </w:t>
      </w:r>
      <w:r w:rsidR="000776CE" w:rsidRPr="3BC21AA0">
        <w:rPr>
          <w:color w:val="000000" w:themeColor="text1"/>
        </w:rPr>
        <w:t>(the “Project”)</w:t>
      </w:r>
      <w:r w:rsidR="00794B1A" w:rsidRPr="3BC21AA0">
        <w:rPr>
          <w:color w:val="000000" w:themeColor="text1"/>
        </w:rPr>
        <w:t>.</w:t>
      </w:r>
    </w:p>
    <w:p w14:paraId="0145CC34" w14:textId="007CCD10" w:rsidR="00BD5EB4" w:rsidRDefault="00BD5EB4" w:rsidP="00B03431">
      <w:pPr>
        <w:pStyle w:val="Heading2"/>
        <w:spacing w:line="276" w:lineRule="auto"/>
      </w:pPr>
      <w:r w:rsidRPr="00BD5EB4">
        <w:t>The Authority invites</w:t>
      </w:r>
      <w:r w:rsidR="00A163D2">
        <w:t xml:space="preserve"> </w:t>
      </w:r>
      <w:r w:rsidR="00966119">
        <w:t>applications from potential partners</w:t>
      </w:r>
      <w:r w:rsidR="009B1232">
        <w:t xml:space="preserve"> </w:t>
      </w:r>
      <w:r w:rsidRPr="00BD5EB4">
        <w:t xml:space="preserve">who wish to bid for Funding to complete the </w:t>
      </w:r>
      <w:r w:rsidR="009B1232">
        <w:t>evaluation questionnaire</w:t>
      </w:r>
      <w:r w:rsidRPr="00BD5EB4">
        <w:t xml:space="preserve"> published on the </w:t>
      </w:r>
      <w:r w:rsidR="00704EAD">
        <w:t xml:space="preserve">new Home Office eSourcing platform </w:t>
      </w:r>
      <w:hyperlink r:id="rId12" w:history="1">
        <w:r w:rsidR="00704EAD" w:rsidRPr="000C5669">
          <w:rPr>
            <w:rStyle w:val="Hyperlink"/>
          </w:rPr>
          <w:t>https://homeoffice.app.jaggaer.com</w:t>
        </w:r>
      </w:hyperlink>
      <w:r w:rsidR="00704EAD">
        <w:t xml:space="preserve"> </w:t>
      </w:r>
      <w:r w:rsidRPr="00BD5EB4">
        <w:t>(the “Portal”).</w:t>
      </w:r>
      <w:r w:rsidR="000776CE">
        <w:t xml:space="preserve"> The fund title is ‘</w:t>
      </w:r>
      <w:r w:rsidR="00B75629">
        <w:t>Modern Slavery Innovation Fund</w:t>
      </w:r>
      <w:r w:rsidR="00E979EC">
        <w:t>’</w:t>
      </w:r>
      <w:r w:rsidR="00A163D2">
        <w:t>.</w:t>
      </w:r>
    </w:p>
    <w:p w14:paraId="6DB79C89" w14:textId="77777777" w:rsidR="00BD5EB4" w:rsidRPr="00BD5EB4" w:rsidRDefault="00BD5EB4" w:rsidP="00B03431">
      <w:pPr>
        <w:pStyle w:val="Heading2"/>
        <w:spacing w:line="276" w:lineRule="auto"/>
      </w:pPr>
      <w:r>
        <w:t>Guidance has been made available on registering and navigating the Portal</w:t>
      </w:r>
      <w:r w:rsidR="009B1232">
        <w:t>, via the Contracts Finder notice</w:t>
      </w:r>
      <w:r w:rsidR="00281874">
        <w:t xml:space="preserve">.  </w:t>
      </w:r>
      <w:r>
        <w:t xml:space="preserve">It is recommended that this </w:t>
      </w:r>
      <w:r w:rsidR="00281874">
        <w:t>‘</w:t>
      </w:r>
      <w:r w:rsidR="009B1232">
        <w:t>Instruction</w:t>
      </w:r>
      <w:r w:rsidR="001A44D1">
        <w:t>s</w:t>
      </w:r>
      <w:r w:rsidR="009B1232">
        <w:t xml:space="preserve"> to Bidders</w:t>
      </w:r>
      <w:r w:rsidR="00281874">
        <w:t>’</w:t>
      </w:r>
      <w:r w:rsidR="009B1232">
        <w:t xml:space="preserve"> </w:t>
      </w:r>
      <w:r w:rsidR="001A44D1">
        <w:t xml:space="preserve">document </w:t>
      </w:r>
      <w:r>
        <w:t>should be read before drafting any bid proposals or attempting to complete any response via the Portal</w:t>
      </w:r>
      <w:r w:rsidR="004501F8">
        <w:t>.</w:t>
      </w:r>
    </w:p>
    <w:p w14:paraId="37FD3612" w14:textId="77777777" w:rsidR="00BD5EB4" w:rsidRDefault="00BD5EB4" w:rsidP="00B03431">
      <w:pPr>
        <w:pStyle w:val="Heading1"/>
        <w:spacing w:line="276" w:lineRule="auto"/>
      </w:pPr>
      <w:bookmarkStart w:id="26" w:name="_Toc31094939"/>
      <w:r>
        <w:t>General</w:t>
      </w:r>
      <w:bookmarkEnd w:id="26"/>
    </w:p>
    <w:p w14:paraId="08103120" w14:textId="77777777" w:rsidR="00BD5EB4" w:rsidRDefault="00BD5EB4" w:rsidP="00B03431">
      <w:pPr>
        <w:pStyle w:val="Heading2"/>
        <w:spacing w:line="276" w:lineRule="auto"/>
      </w:pPr>
      <w:r>
        <w:t>The purpose of this document is to provide organisations (“Bidders”) expressing an interest in delivering the Project with information on how to apply, including the</w:t>
      </w:r>
      <w:r w:rsidR="00524E54">
        <w:t xml:space="preserve"> </w:t>
      </w:r>
      <w:r w:rsidR="00721655">
        <w:t>questionnaire</w:t>
      </w:r>
      <w:r w:rsidR="00524E54">
        <w:t>,</w:t>
      </w:r>
      <w:r>
        <w:t xml:space="preserve"> Evaluation Guidance and the Authority’s approach to assessing proposals.</w:t>
      </w:r>
    </w:p>
    <w:p w14:paraId="70395145" w14:textId="0AE0DA02" w:rsidR="00BD5EB4" w:rsidRDefault="00BD5EB4" w:rsidP="00B03431">
      <w:pPr>
        <w:pStyle w:val="Heading2"/>
        <w:spacing w:line="276" w:lineRule="auto"/>
      </w:pPr>
      <w:r>
        <w:t>This document is to be read in conjunction with and as part of the</w:t>
      </w:r>
      <w:r w:rsidR="00E979EC">
        <w:t xml:space="preserve"> full suite of</w:t>
      </w:r>
      <w:r>
        <w:t xml:space="preserve"> Call for Proposal</w:t>
      </w:r>
      <w:r w:rsidR="000B7957">
        <w:t xml:space="preserve"> </w:t>
      </w:r>
      <w:r>
        <w:t>documentation, including (but not limited to) the</w:t>
      </w:r>
      <w:r w:rsidR="00D050C6">
        <w:t xml:space="preserve"> </w:t>
      </w:r>
      <w:r w:rsidR="00485E52">
        <w:t>M</w:t>
      </w:r>
      <w:r w:rsidR="009844D9">
        <w:t>odern Slavery Innovation Fund</w:t>
      </w:r>
      <w:r w:rsidR="00485E52">
        <w:t xml:space="preserve"> </w:t>
      </w:r>
      <w:r w:rsidR="003758D1">
        <w:t>Statement of Outcomes</w:t>
      </w:r>
      <w:r w:rsidR="00734473">
        <w:t xml:space="preserve"> </w:t>
      </w:r>
      <w:r w:rsidR="008F1B32">
        <w:t>202</w:t>
      </w:r>
      <w:r w:rsidR="00401D2E">
        <w:t>2</w:t>
      </w:r>
      <w:r w:rsidR="008F1B32">
        <w:t>-202</w:t>
      </w:r>
      <w:r w:rsidR="00401D2E">
        <w:t>5</w:t>
      </w:r>
      <w:r w:rsidR="00ED6116">
        <w:t>, Application form/</w:t>
      </w:r>
      <w:r w:rsidR="007671ED" w:rsidRPr="005809EA">
        <w:t>Technical questions</w:t>
      </w:r>
      <w:r w:rsidR="00ED6116">
        <w:t xml:space="preserve"> and the </w:t>
      </w:r>
      <w:r w:rsidR="00E73E38" w:rsidRPr="005809EA">
        <w:t>Evaluation Guidance</w:t>
      </w:r>
      <w:r>
        <w:t xml:space="preserve"> </w:t>
      </w:r>
      <w:r w:rsidR="00E73E38">
        <w:t xml:space="preserve">as these provide </w:t>
      </w:r>
      <w:r>
        <w:t>the mechanics of the bidding process</w:t>
      </w:r>
      <w:r w:rsidR="00A163D2">
        <w:t xml:space="preserve"> and the </w:t>
      </w:r>
      <w:r w:rsidR="00E73E38">
        <w:t>questions posed</w:t>
      </w:r>
      <w:r>
        <w:t>.</w:t>
      </w:r>
      <w:r w:rsidR="00E73E38">
        <w:t xml:space="preserve"> Bidders are encouraged to also conduct their o</w:t>
      </w:r>
      <w:r w:rsidR="006D7EE2">
        <w:t>wn</w:t>
      </w:r>
      <w:r w:rsidR="00E73E38">
        <w:t xml:space="preserve"> due diligence.</w:t>
      </w:r>
    </w:p>
    <w:p w14:paraId="61EFAA31" w14:textId="77777777" w:rsidR="00BD5EB4" w:rsidRDefault="00BD5EB4" w:rsidP="00B03431">
      <w:pPr>
        <w:pStyle w:val="Heading2"/>
        <w:spacing w:line="276" w:lineRule="auto"/>
      </w:pPr>
      <w:r>
        <w:t xml:space="preserve">The application process and competition leading to the award of the grant(s) will be administered </w:t>
      </w:r>
      <w:r w:rsidR="009B1232">
        <w:t xml:space="preserve">solely </w:t>
      </w:r>
      <w:r>
        <w:t>using the Portal.</w:t>
      </w:r>
      <w:r w:rsidR="009B1232">
        <w:t xml:space="preserve"> This is an online competition.</w:t>
      </w:r>
      <w:r>
        <w:t xml:space="preserve"> </w:t>
      </w:r>
    </w:p>
    <w:p w14:paraId="426109D2" w14:textId="6265FFBE" w:rsidR="00BD5EB4" w:rsidRDefault="00BD5EB4" w:rsidP="00B03431">
      <w:pPr>
        <w:pStyle w:val="Heading2"/>
        <w:spacing w:line="276" w:lineRule="auto"/>
      </w:pPr>
      <w:r>
        <w:t>Once linked to the</w:t>
      </w:r>
      <w:r w:rsidR="004A6544">
        <w:t xml:space="preserve"> online competition</w:t>
      </w:r>
      <w:r w:rsidR="00A163D2">
        <w:t>s</w:t>
      </w:r>
      <w:r>
        <w:t xml:space="preserve">, all communications in reference to this exercise </w:t>
      </w:r>
      <w:r w:rsidR="009B1232">
        <w:t xml:space="preserve">will </w:t>
      </w:r>
      <w:r>
        <w:t>only be submitted through the Portal</w:t>
      </w:r>
      <w:r w:rsidR="00A163D2">
        <w:t xml:space="preserve">, but the </w:t>
      </w:r>
      <w:r w:rsidR="00742F77">
        <w:t>Authority</w:t>
      </w:r>
      <w:r w:rsidR="00A163D2">
        <w:t xml:space="preserve"> will use the primary competition </w:t>
      </w:r>
      <w:r w:rsidR="00A56D71">
        <w:t>a</w:t>
      </w:r>
      <w:r w:rsidR="00A163D2">
        <w:t>s the main vehicle for communicating with Bidders</w:t>
      </w:r>
      <w:r w:rsidR="00742F77">
        <w:t>; it</w:t>
      </w:r>
      <w:r>
        <w:t xml:space="preserve"> is the Bidders’ responsibility to monitor their nominated contact email address.</w:t>
      </w:r>
    </w:p>
    <w:p w14:paraId="1FC285F9" w14:textId="348E3AF0" w:rsidR="00BD5EB4" w:rsidRDefault="00BD5EB4" w:rsidP="00B03431">
      <w:pPr>
        <w:pStyle w:val="Heading2"/>
        <w:spacing w:line="276" w:lineRule="auto"/>
      </w:pPr>
      <w:r>
        <w:t>All final proposals must be submitted via the Portal. Bidders are advised that when</w:t>
      </w:r>
      <w:r w:rsidR="000715BF">
        <w:t xml:space="preserve"> uploading their application form</w:t>
      </w:r>
      <w:r w:rsidRPr="000715BF">
        <w:t xml:space="preserve"> on the Portal they </w:t>
      </w:r>
      <w:r w:rsidR="000715BF">
        <w:t xml:space="preserve">should </w:t>
      </w:r>
      <w:r w:rsidRPr="000715BF">
        <w:t>regularly save their work as there is a timeout period and work could be lost as a result</w:t>
      </w:r>
      <w:r w:rsidR="00742F77" w:rsidRPr="000715BF">
        <w:t xml:space="preserve"> (currently after 15 minutes of inactivity.)</w:t>
      </w:r>
      <w:r w:rsidR="004A6544" w:rsidRPr="000715BF">
        <w:t xml:space="preserve"> Bidders can save and update their responses as </w:t>
      </w:r>
      <w:r w:rsidR="000B7957" w:rsidRPr="000715BF">
        <w:t xml:space="preserve">often </w:t>
      </w:r>
      <w:r w:rsidR="004A6544" w:rsidRPr="000715BF">
        <w:t xml:space="preserve">as required before they submit their final version to the </w:t>
      </w:r>
      <w:r w:rsidR="00F67CE2" w:rsidRPr="000715BF">
        <w:t>P</w:t>
      </w:r>
      <w:r w:rsidR="004A6544" w:rsidRPr="000715BF">
        <w:t>ortal</w:t>
      </w:r>
      <w:r w:rsidR="000B7957" w:rsidRPr="000715BF">
        <w:t xml:space="preserve"> by the due deadline</w:t>
      </w:r>
      <w:r w:rsidR="004A6544" w:rsidRPr="000715BF">
        <w:t>.</w:t>
      </w:r>
    </w:p>
    <w:p w14:paraId="049A5C48" w14:textId="77777777" w:rsidR="00BD5EB4" w:rsidRDefault="00BD5EB4" w:rsidP="00B03431">
      <w:pPr>
        <w:pStyle w:val="Heading2"/>
        <w:spacing w:line="276" w:lineRule="auto"/>
      </w:pPr>
      <w:r>
        <w:t>Because the Authority is not itself receiving a service, there is no ‘supply of service for consideration’ to be taxed (i.e. VAT). All financial amounts contained in a Bidder’s proposal are therefore to be expressed in (£)</w:t>
      </w:r>
      <w:r w:rsidR="0094294B">
        <w:t xml:space="preserve"> </w:t>
      </w:r>
      <w:r>
        <w:t>GBP and will be inclusive of VAT, taxes and expenses.</w:t>
      </w:r>
    </w:p>
    <w:p w14:paraId="30D2D9D3" w14:textId="60BDEEDC" w:rsidR="00CB4C84" w:rsidRPr="00F2104E" w:rsidRDefault="00A313E0" w:rsidP="00B03431">
      <w:pPr>
        <w:pStyle w:val="Heading2"/>
        <w:spacing w:line="276" w:lineRule="auto"/>
      </w:pPr>
      <w:r>
        <w:t xml:space="preserve">The Authority will award Funding to areas that meet the eligibility criteria set out in the </w:t>
      </w:r>
      <w:r w:rsidR="00485E52">
        <w:t xml:space="preserve">MSIF </w:t>
      </w:r>
      <w:r w:rsidR="00B63D1E" w:rsidRPr="00485E52">
        <w:t xml:space="preserve">Statement of Outcomes </w:t>
      </w:r>
      <w:r w:rsidR="008F1B32" w:rsidRPr="00485E52">
        <w:t>202</w:t>
      </w:r>
      <w:r w:rsidR="00300EB3" w:rsidRPr="00485E52">
        <w:t>2</w:t>
      </w:r>
      <w:r w:rsidR="008F1B32" w:rsidRPr="00485E52">
        <w:t>-202</w:t>
      </w:r>
      <w:r w:rsidR="00300EB3" w:rsidRPr="00485E52">
        <w:t>5</w:t>
      </w:r>
      <w:r w:rsidR="00AC67FD">
        <w:t xml:space="preserve"> </w:t>
      </w:r>
      <w:r>
        <w:t xml:space="preserve">and that provide well evidenced plans, that demonstrate the outcomes outlined in the </w:t>
      </w:r>
      <w:r w:rsidR="00C41D38">
        <w:t xml:space="preserve">MSIF </w:t>
      </w:r>
      <w:r w:rsidR="00B63D1E">
        <w:t>Statement of Outcomes</w:t>
      </w:r>
      <w:r w:rsidR="005710E3">
        <w:t xml:space="preserve"> 2022-2025</w:t>
      </w:r>
      <w:r w:rsidR="008F1B32">
        <w:t xml:space="preserve"> </w:t>
      </w:r>
      <w:r w:rsidR="00AC67FD">
        <w:t>and that meet the required pass mark (further details on the evaluation process is outlined below)</w:t>
      </w:r>
      <w:r w:rsidR="00CB4C84" w:rsidRPr="00F2104E">
        <w:t xml:space="preserve">. </w:t>
      </w:r>
    </w:p>
    <w:p w14:paraId="23FB38D0" w14:textId="77777777" w:rsidR="00BD5EB4" w:rsidRDefault="30A0183A" w:rsidP="00B03431">
      <w:pPr>
        <w:pStyle w:val="Heading2"/>
        <w:spacing w:line="276" w:lineRule="auto"/>
      </w:pPr>
      <w:r>
        <w:t xml:space="preserve">Funding for the Project will be enabled by means of grant award whose payment shall be governed by the terms of the Authority’s Grant Agreement. A draft of the Grant Agreement is included in the suite of Call for Proposal documents; any and all queries regarding terms and conditions, content, intention, interpretation etc. must be raised during the Bidder clarification process (see Section </w:t>
      </w:r>
      <w:r w:rsidR="50CB3773">
        <w:t>4</w:t>
      </w:r>
      <w:r>
        <w:t>). In all instances the Authority’s response shall be final: Bidders are reminded that a condition of submitting a proposal is the acceptance of the terms set out in the Grant Agreement – there will be no post-tender deadline negotiations on terms.</w:t>
      </w:r>
    </w:p>
    <w:p w14:paraId="77BF5023" w14:textId="77777777" w:rsidR="00524E54" w:rsidRDefault="00524E54" w:rsidP="00B03431">
      <w:pPr>
        <w:pStyle w:val="Heading1"/>
        <w:spacing w:line="276" w:lineRule="auto"/>
      </w:pPr>
      <w:bookmarkStart w:id="27" w:name="_Toc31094940"/>
      <w:r>
        <w:t>Call for Proposal Documentation</w:t>
      </w:r>
      <w:bookmarkEnd w:id="27"/>
    </w:p>
    <w:p w14:paraId="017240FC" w14:textId="4C7677D1" w:rsidR="00524E54" w:rsidRDefault="00524E54" w:rsidP="00B03431">
      <w:pPr>
        <w:pStyle w:val="Heading2"/>
        <w:spacing w:line="276" w:lineRule="auto"/>
      </w:pPr>
      <w:r>
        <w:t xml:space="preserve">The Call for Proposal documentation consists of a suite of documents and questionnaires within the </w:t>
      </w:r>
      <w:r w:rsidR="0002484C">
        <w:t>Home Office eSourcing platform</w:t>
      </w:r>
      <w:r>
        <w:t>.  The principal documents include:</w:t>
      </w:r>
    </w:p>
    <w:p w14:paraId="1733B72D" w14:textId="77777777" w:rsidR="0094294B" w:rsidRDefault="0094294B" w:rsidP="00B03431">
      <w:pPr>
        <w:pStyle w:val="Heading3"/>
        <w:spacing w:line="276" w:lineRule="auto"/>
        <w:ind w:left="1361" w:hanging="1077"/>
      </w:pPr>
      <w:r>
        <w:t>General Instruction to Bidders and Conditions of Call for Proposal Document</w:t>
      </w:r>
      <w:r w:rsidR="000776CE">
        <w:t xml:space="preserve"> (i.e. this document)</w:t>
      </w:r>
    </w:p>
    <w:p w14:paraId="3606F298" w14:textId="77777777" w:rsidR="00524E54" w:rsidRDefault="0094294B" w:rsidP="00B03431">
      <w:pPr>
        <w:pStyle w:val="Heading3"/>
        <w:spacing w:line="276" w:lineRule="auto"/>
        <w:ind w:left="1361" w:hanging="1077"/>
      </w:pPr>
      <w:r>
        <w:t xml:space="preserve">Sample </w:t>
      </w:r>
      <w:r w:rsidR="00524E54" w:rsidRPr="00524E54">
        <w:t xml:space="preserve">Grant Agreement including Terms &amp; Conditions, Schedules, and </w:t>
      </w:r>
      <w:r w:rsidR="006B3BD3">
        <w:t>Appendices</w:t>
      </w:r>
    </w:p>
    <w:p w14:paraId="5B705B4F" w14:textId="77DF5EF8" w:rsidR="00524E54" w:rsidRPr="00524E54" w:rsidRDefault="00524E54" w:rsidP="00B03431">
      <w:pPr>
        <w:pStyle w:val="Heading3"/>
        <w:spacing w:line="276" w:lineRule="auto"/>
        <w:ind w:left="1361" w:hanging="1077"/>
      </w:pPr>
      <w:r w:rsidRPr="00524E54">
        <w:t>Guides to using the eSourcing Portal</w:t>
      </w:r>
    </w:p>
    <w:p w14:paraId="006BC17E" w14:textId="699CF318" w:rsidR="00524E54" w:rsidRDefault="004212D2" w:rsidP="00B03431">
      <w:pPr>
        <w:pStyle w:val="Heading3"/>
        <w:spacing w:line="276" w:lineRule="auto"/>
        <w:ind w:left="1361" w:hanging="1077"/>
      </w:pPr>
      <w:r>
        <w:t>Non-collusion C</w:t>
      </w:r>
      <w:r w:rsidR="00524E54" w:rsidRPr="00524E54">
        <w:t>ertificate</w:t>
      </w:r>
      <w:r w:rsidR="00FA427C">
        <w:t>/Bid form</w:t>
      </w:r>
    </w:p>
    <w:p w14:paraId="3269FA08" w14:textId="0FF06BC9" w:rsidR="0094294B" w:rsidRPr="00E73E38" w:rsidRDefault="00C41D38" w:rsidP="00B03431">
      <w:pPr>
        <w:pStyle w:val="Heading3"/>
        <w:spacing w:line="276" w:lineRule="auto"/>
        <w:ind w:left="1361" w:hanging="1077"/>
      </w:pPr>
      <w:r>
        <w:t xml:space="preserve">MSIF </w:t>
      </w:r>
      <w:r w:rsidR="00CF67CB">
        <w:t>Statement of Outcomes 2022-2025</w:t>
      </w:r>
    </w:p>
    <w:p w14:paraId="26A9E02C" w14:textId="148677E7" w:rsidR="0094294B" w:rsidRPr="00824E07" w:rsidRDefault="004850DC" w:rsidP="00B03431">
      <w:pPr>
        <w:pStyle w:val="Heading3"/>
        <w:spacing w:line="276" w:lineRule="auto"/>
        <w:ind w:left="1361" w:hanging="1077"/>
      </w:pPr>
      <w:r w:rsidRPr="00824E07">
        <w:t>Funding</w:t>
      </w:r>
      <w:r w:rsidR="0094294B" w:rsidRPr="00824E07">
        <w:t xml:space="preserve"> </w:t>
      </w:r>
      <w:r w:rsidRPr="00824E07">
        <w:t>Budget</w:t>
      </w:r>
      <w:r w:rsidR="0094294B" w:rsidRPr="00824E07">
        <w:t xml:space="preserve"> Toolkit</w:t>
      </w:r>
    </w:p>
    <w:p w14:paraId="35624FC3" w14:textId="49FB50D7" w:rsidR="009403DF" w:rsidRDefault="0011130E" w:rsidP="00B03431">
      <w:pPr>
        <w:pStyle w:val="Heading3"/>
        <w:spacing w:line="276" w:lineRule="auto"/>
        <w:ind w:left="1361" w:hanging="1077"/>
      </w:pPr>
      <w:r>
        <w:t>Evaluation Guidance</w:t>
      </w:r>
      <w:r w:rsidR="00B211DE">
        <w:t xml:space="preserve">  </w:t>
      </w:r>
    </w:p>
    <w:p w14:paraId="215EB02C" w14:textId="49592D55" w:rsidR="00DB2E7E" w:rsidRDefault="00DB2E7E" w:rsidP="00B03431">
      <w:pPr>
        <w:pStyle w:val="Heading3"/>
        <w:spacing w:line="276" w:lineRule="auto"/>
        <w:ind w:left="1361" w:hanging="1077"/>
      </w:pPr>
      <w:r w:rsidRPr="00B839C4">
        <w:t>Application</w:t>
      </w:r>
      <w:r>
        <w:t xml:space="preserve"> Form which will require completion in full by bidders</w:t>
      </w:r>
    </w:p>
    <w:p w14:paraId="7D2CFEED" w14:textId="473A84D7" w:rsidR="00DB2E7E" w:rsidRDefault="00DB2E7E" w:rsidP="00B03431">
      <w:pPr>
        <w:pStyle w:val="Heading3"/>
        <w:spacing w:line="276" w:lineRule="auto"/>
        <w:ind w:left="1361" w:hanging="1077"/>
      </w:pPr>
      <w:r w:rsidRPr="000715BF">
        <w:t>Bidder</w:t>
      </w:r>
      <w:r>
        <w:t xml:space="preserve"> clarification question templates for use during the clarification period</w:t>
      </w:r>
    </w:p>
    <w:p w14:paraId="179AC130" w14:textId="2DBA8444" w:rsidR="00524E54" w:rsidRDefault="00524E54" w:rsidP="00B03431">
      <w:pPr>
        <w:pStyle w:val="Heading2"/>
        <w:spacing w:line="276" w:lineRule="auto"/>
      </w:pPr>
      <w:r>
        <w:t>The Authority reserves the right to modify or amend the documentation at any time prior to the deadline for receipt of proposals.  Any such changes will be notified to all Bidders in writing via the Portal’s messaging function</w:t>
      </w:r>
      <w:r w:rsidR="00310D8C">
        <w:t>.</w:t>
      </w:r>
      <w:r>
        <w:t xml:space="preserve"> Where the modifications or amendments are significant, the Authority may, at its discretion, extend the deadline for receipt of proposals.</w:t>
      </w:r>
    </w:p>
    <w:p w14:paraId="26F1FDA5" w14:textId="77777777" w:rsidR="00524E54" w:rsidRDefault="00524E54" w:rsidP="00B03431">
      <w:pPr>
        <w:pStyle w:val="Heading1"/>
        <w:spacing w:line="276" w:lineRule="auto"/>
      </w:pPr>
      <w:bookmarkStart w:id="28" w:name="_Toc31094941"/>
      <w:r>
        <w:t>Bidder Clarification of Information</w:t>
      </w:r>
      <w:bookmarkEnd w:id="28"/>
    </w:p>
    <w:p w14:paraId="2C9C670E" w14:textId="77777777" w:rsidR="00524E54" w:rsidRDefault="00524E54" w:rsidP="00B03431">
      <w:pPr>
        <w:pStyle w:val="Heading2"/>
        <w:spacing w:line="276" w:lineRule="auto"/>
      </w:pPr>
      <w:r>
        <w:t xml:space="preserve">The Authority will not enter into discussions directly with Bidders regarding the Project requirements except in the manner described in this </w:t>
      </w:r>
      <w:r w:rsidRPr="00281874">
        <w:t xml:space="preserve">Section </w:t>
      </w:r>
      <w:r w:rsidR="0094294B" w:rsidRPr="00281874">
        <w:t>4</w:t>
      </w:r>
      <w:r w:rsidRPr="00281874">
        <w:t>.</w:t>
      </w:r>
      <w:r>
        <w:t xml:space="preserve"> </w:t>
      </w:r>
    </w:p>
    <w:p w14:paraId="7DC45B90" w14:textId="1889C47D" w:rsidR="00310D8C" w:rsidRDefault="00524E54" w:rsidP="00B03431">
      <w:pPr>
        <w:pStyle w:val="Heading2"/>
        <w:spacing w:line="276" w:lineRule="auto"/>
      </w:pPr>
      <w:r>
        <w:t>Bidders may seek clarification from the Authority about any</w:t>
      </w:r>
      <w:r w:rsidR="00A24FFA">
        <w:t xml:space="preserve"> technical</w:t>
      </w:r>
      <w:r>
        <w:t xml:space="preserve"> aspect</w:t>
      </w:r>
      <w:r w:rsidR="00A24FFA">
        <w:t>s</w:t>
      </w:r>
      <w:r>
        <w:t xml:space="preserve"> of the Call for Proposals process, documentation, or requirement by submitting questions </w:t>
      </w:r>
      <w:r w:rsidR="001E69E2">
        <w:t xml:space="preserve">using the clarification template </w:t>
      </w:r>
      <w:r>
        <w:t xml:space="preserve">through the Portal. </w:t>
      </w:r>
    </w:p>
    <w:p w14:paraId="072A3BD6" w14:textId="3E0C6D28" w:rsidR="00524E54" w:rsidRDefault="00A375FA" w:rsidP="00B03431">
      <w:pPr>
        <w:pStyle w:val="Heading2"/>
        <w:spacing w:line="276" w:lineRule="auto"/>
      </w:pPr>
      <w:r>
        <w:t>Bidders should respect that a</w:t>
      </w:r>
      <w:r w:rsidR="00A24FFA">
        <w:t>ny policy questions cannot be answered whilst the bidding portal is live.</w:t>
      </w:r>
    </w:p>
    <w:p w14:paraId="7A46399C" w14:textId="77777777" w:rsidR="00524E54" w:rsidRDefault="00524E54" w:rsidP="00B03431">
      <w:pPr>
        <w:pStyle w:val="Heading2"/>
        <w:spacing w:line="276" w:lineRule="auto"/>
      </w:pPr>
      <w:r>
        <w:t xml:space="preserve">Any question or request for clarification will result in both the query and the response being communicated (in a suitably anonymous form) to all Bidders via the Portal. Responses to questions will not identify the originator and may be answered in batches, rather than one at a time. </w:t>
      </w:r>
    </w:p>
    <w:p w14:paraId="731D10B4" w14:textId="77777777" w:rsidR="00524E54" w:rsidRDefault="00524E54" w:rsidP="00B03431">
      <w:pPr>
        <w:pStyle w:val="Heading2"/>
        <w:spacing w:line="276" w:lineRule="auto"/>
      </w:pPr>
      <w:r>
        <w:t>If a Bidder wishes to ask a question of the Authority without the Authority revealing the question and its answer to other Bidders, for example for reasons of commercial sensitivity, then the Bidder should notify the Authority accordingly, giving justification:</w:t>
      </w:r>
    </w:p>
    <w:p w14:paraId="3D16AD1F" w14:textId="77777777" w:rsidR="00524E54" w:rsidRDefault="00524E54" w:rsidP="00B03431">
      <w:pPr>
        <w:pStyle w:val="Heading3"/>
        <w:spacing w:line="276" w:lineRule="auto"/>
        <w:ind w:left="1361" w:hanging="1077"/>
      </w:pPr>
      <w:r>
        <w:t>If the Authority agrees with the request, the communication and response will remain private between the two parties, or</w:t>
      </w:r>
    </w:p>
    <w:p w14:paraId="29FC4F1C" w14:textId="77777777" w:rsidR="00524E54" w:rsidRPr="00B839C4" w:rsidRDefault="00524E54" w:rsidP="00B03431">
      <w:pPr>
        <w:pStyle w:val="Heading3"/>
        <w:spacing w:line="276" w:lineRule="auto"/>
        <w:ind w:left="1361" w:hanging="1077"/>
      </w:pPr>
      <w:r>
        <w:t xml:space="preserve">Where the Authority considers that there is insufficient justification for not publicising a question and the corresponding answer, it will invite the questioner to decide whether the question and answer </w:t>
      </w:r>
      <w:r w:rsidRPr="00B839C4">
        <w:t>should be published, amended or whether they wish to withdraw the question.</w:t>
      </w:r>
    </w:p>
    <w:p w14:paraId="4F73BEA3" w14:textId="3677A5B7" w:rsidR="00BD5EB4" w:rsidRPr="0081177C" w:rsidRDefault="00524E54" w:rsidP="00B03431">
      <w:pPr>
        <w:pStyle w:val="Heading2"/>
        <w:spacing w:line="276" w:lineRule="auto"/>
        <w:rPr>
          <w:b/>
        </w:rPr>
      </w:pPr>
      <w:r w:rsidRPr="00B839C4">
        <w:t xml:space="preserve">NOTE: the close date/time for </w:t>
      </w:r>
      <w:r w:rsidR="00FB267F" w:rsidRPr="00B839C4">
        <w:t xml:space="preserve">submission </w:t>
      </w:r>
      <w:r w:rsidRPr="00B839C4">
        <w:t xml:space="preserve">of </w:t>
      </w:r>
      <w:r w:rsidR="0094294B" w:rsidRPr="00B839C4">
        <w:t xml:space="preserve">Bidder </w:t>
      </w:r>
      <w:r w:rsidRPr="00B839C4">
        <w:t xml:space="preserve">clarification questions is </w:t>
      </w:r>
      <w:r w:rsidR="00FB315D" w:rsidRPr="0081177C">
        <w:rPr>
          <w:b/>
          <w:u w:val="single"/>
        </w:rPr>
        <w:t>4pm</w:t>
      </w:r>
      <w:r w:rsidRPr="0081177C">
        <w:rPr>
          <w:b/>
          <w:u w:val="single"/>
        </w:rPr>
        <w:t xml:space="preserve"> on </w:t>
      </w:r>
      <w:r w:rsidR="00341494">
        <w:rPr>
          <w:b/>
          <w:u w:val="single"/>
        </w:rPr>
        <w:t>2</w:t>
      </w:r>
      <w:r w:rsidR="00196880">
        <w:rPr>
          <w:b/>
          <w:u w:val="single"/>
        </w:rPr>
        <w:t xml:space="preserve">7 </w:t>
      </w:r>
      <w:r w:rsidR="00341494">
        <w:rPr>
          <w:b/>
          <w:u w:val="single"/>
        </w:rPr>
        <w:t>July</w:t>
      </w:r>
      <w:r w:rsidR="000069DF" w:rsidRPr="0081177C">
        <w:rPr>
          <w:b/>
          <w:u w:val="single"/>
        </w:rPr>
        <w:t xml:space="preserve"> </w:t>
      </w:r>
      <w:r w:rsidR="00721655" w:rsidRPr="0081177C">
        <w:rPr>
          <w:b/>
          <w:u w:val="single"/>
        </w:rPr>
        <w:t>2</w:t>
      </w:r>
      <w:r w:rsidR="000776CE" w:rsidRPr="0081177C">
        <w:rPr>
          <w:b/>
          <w:u w:val="single"/>
        </w:rPr>
        <w:t>02</w:t>
      </w:r>
      <w:r w:rsidR="003C165B" w:rsidRPr="0081177C">
        <w:rPr>
          <w:b/>
          <w:u w:val="single"/>
        </w:rPr>
        <w:t>2</w:t>
      </w:r>
      <w:r w:rsidR="00721655" w:rsidRPr="0081177C">
        <w:rPr>
          <w:b/>
          <w:u w:val="single"/>
        </w:rPr>
        <w:t>.</w:t>
      </w:r>
      <w:r w:rsidR="00721655" w:rsidRPr="0081177C">
        <w:rPr>
          <w:b/>
        </w:rPr>
        <w:t xml:space="preserve"> </w:t>
      </w:r>
    </w:p>
    <w:p w14:paraId="26654869" w14:textId="7D17BA96" w:rsidR="0094294B" w:rsidRPr="005C791F" w:rsidRDefault="0094294B" w:rsidP="00B03431">
      <w:pPr>
        <w:pStyle w:val="Heading2"/>
        <w:spacing w:line="276" w:lineRule="auto"/>
        <w:rPr>
          <w:b/>
        </w:rPr>
      </w:pPr>
      <w:r w:rsidRPr="00B839C4">
        <w:t>When submitting Bidder Clarifications please insert “</w:t>
      </w:r>
      <w:r w:rsidR="003D54A6" w:rsidRPr="00B839C4">
        <w:t>MSIF</w:t>
      </w:r>
      <w:r w:rsidR="00A375FA" w:rsidRPr="00B839C4">
        <w:t xml:space="preserve"> </w:t>
      </w:r>
      <w:r w:rsidRPr="00B839C4">
        <w:t>Bidder Clarification</w:t>
      </w:r>
      <w:r w:rsidR="00A375FA" w:rsidRPr="00B839C4">
        <w:t xml:space="preserve"> – Bidder Name</w:t>
      </w:r>
      <w:r w:rsidRPr="00B839C4">
        <w:t>” in the subject title</w:t>
      </w:r>
      <w:r w:rsidR="001A44D1" w:rsidRPr="00B839C4">
        <w:t xml:space="preserve"> </w:t>
      </w:r>
      <w:r w:rsidRPr="00B839C4">
        <w:t xml:space="preserve">and send your request </w:t>
      </w:r>
      <w:r w:rsidR="00F056CE" w:rsidRPr="00B839C4">
        <w:t>as an</w:t>
      </w:r>
      <w:r w:rsidR="00F056CE">
        <w:t xml:space="preserve"> email </w:t>
      </w:r>
      <w:r>
        <w:t xml:space="preserve">via the Portal. </w:t>
      </w:r>
      <w:r w:rsidR="00B06162">
        <w:t>Please ensure the question reference number if identified in your clarification (e.g. A4 or A4 – attachment.)</w:t>
      </w:r>
    </w:p>
    <w:p w14:paraId="1697ABC7" w14:textId="248E380E" w:rsidR="00F056CE" w:rsidRDefault="0094294B" w:rsidP="00B03431">
      <w:pPr>
        <w:pStyle w:val="Heading2"/>
        <w:spacing w:line="276" w:lineRule="auto"/>
        <w:rPr>
          <w:b/>
        </w:rPr>
      </w:pPr>
      <w:r>
        <w:t>Please note your email will not be acknowledged</w:t>
      </w:r>
      <w:r w:rsidR="00F056CE">
        <w:t xml:space="preserve"> and the Authority will endeavour to ensure all clarification responses are published within 5 working days of their receipt. The </w:t>
      </w:r>
      <w:r w:rsidR="00F056CE" w:rsidRPr="009F692E">
        <w:t xml:space="preserve">Authority will therefore publish the complete list of clarification question responses by </w:t>
      </w:r>
      <w:r w:rsidR="009F692E" w:rsidRPr="009F692E">
        <w:rPr>
          <w:b/>
          <w:u w:val="single"/>
        </w:rPr>
        <w:t>3</w:t>
      </w:r>
      <w:r w:rsidR="001657DC" w:rsidRPr="009F692E">
        <w:rPr>
          <w:b/>
          <w:u w:val="single"/>
        </w:rPr>
        <w:t xml:space="preserve"> August</w:t>
      </w:r>
      <w:r w:rsidR="00A375FA" w:rsidRPr="009F692E">
        <w:rPr>
          <w:b/>
          <w:u w:val="single"/>
        </w:rPr>
        <w:t xml:space="preserve"> </w:t>
      </w:r>
      <w:r w:rsidR="000776CE" w:rsidRPr="009F692E">
        <w:rPr>
          <w:b/>
          <w:u w:val="single"/>
        </w:rPr>
        <w:t>202</w:t>
      </w:r>
      <w:r w:rsidR="003C165B" w:rsidRPr="009F692E">
        <w:rPr>
          <w:b/>
          <w:u w:val="single"/>
        </w:rPr>
        <w:t>2</w:t>
      </w:r>
      <w:r w:rsidR="00F056CE" w:rsidRPr="009F692E">
        <w:rPr>
          <w:b/>
          <w:u w:val="single"/>
        </w:rPr>
        <w:t>.</w:t>
      </w:r>
    </w:p>
    <w:p w14:paraId="53A5BDA5" w14:textId="77777777" w:rsidR="00721655" w:rsidRDefault="00721655" w:rsidP="00B03431">
      <w:pPr>
        <w:pStyle w:val="Heading1"/>
        <w:spacing w:line="276" w:lineRule="auto"/>
      </w:pPr>
      <w:bookmarkStart w:id="29" w:name="_Toc531018420"/>
      <w:bookmarkStart w:id="30" w:name="_Toc531018528"/>
      <w:bookmarkStart w:id="31" w:name="_Toc31094942"/>
      <w:bookmarkEnd w:id="29"/>
      <w:bookmarkEnd w:id="30"/>
      <w:r>
        <w:t>Submission Process</w:t>
      </w:r>
      <w:bookmarkEnd w:id="31"/>
    </w:p>
    <w:p w14:paraId="38AE93D3" w14:textId="5F0BB806" w:rsidR="002A2186" w:rsidRDefault="003A0DE5" w:rsidP="00AE3DBA">
      <w:pPr>
        <w:pStyle w:val="Heading2"/>
        <w:spacing w:line="276" w:lineRule="auto"/>
      </w:pPr>
      <w:r>
        <w:t xml:space="preserve">Bidders may only submit one bid as the lead organisation however they may participate in other bids as delivery partners.  The Grant Agreement will be between the Home Office and winning Bidder(s). </w:t>
      </w:r>
    </w:p>
    <w:p w14:paraId="4DD1FEC6" w14:textId="77777777" w:rsidR="00F27710" w:rsidRDefault="00A474A6" w:rsidP="00AE3DBA">
      <w:pPr>
        <w:pStyle w:val="Heading2"/>
        <w:spacing w:line="276" w:lineRule="auto"/>
      </w:pPr>
      <w:r>
        <w:t xml:space="preserve">Bidders are strongly urged to ensure they retain an offline copy of any details they insert onto the </w:t>
      </w:r>
      <w:r w:rsidRPr="00AF4C38">
        <w:t>Jaggaer eSourcing portal</w:t>
      </w:r>
      <w:r>
        <w:t xml:space="preserve">. This will help protect against any loss of data. </w:t>
      </w:r>
    </w:p>
    <w:p w14:paraId="09C6704C" w14:textId="5EC7E439" w:rsidR="00F27710" w:rsidRPr="00E73E76" w:rsidRDefault="474EDC9F" w:rsidP="00AE3DBA">
      <w:pPr>
        <w:pStyle w:val="Heading2"/>
        <w:spacing w:line="276" w:lineRule="auto"/>
      </w:pPr>
      <w:r>
        <w:t>The Call for Proposal requires the completion of an Application Form; this must be completed</w:t>
      </w:r>
      <w:r w:rsidR="3EC681DF">
        <w:t xml:space="preserve"> offline</w:t>
      </w:r>
      <w:r>
        <w:t xml:space="preserve"> and responses </w:t>
      </w:r>
      <w:r w:rsidR="3EC681DF">
        <w:t xml:space="preserve">and associated attachments uploaded onto </w:t>
      </w:r>
      <w:r>
        <w:t xml:space="preserve">the Portal where requested. The Application Form contains all questions and is contained within a downloadable attachment, for completion. Once completed, </w:t>
      </w:r>
      <w:r w:rsidR="0903AB9A">
        <w:t xml:space="preserve">the </w:t>
      </w:r>
      <w:r>
        <w:t xml:space="preserve">document will contain all technical responses that will then be uploaded, saved and submitted. This Call for Proposal will be submitted on the Portal only. </w:t>
      </w:r>
    </w:p>
    <w:p w14:paraId="5C62932B" w14:textId="6F20FBB5" w:rsidR="00A474A6" w:rsidRDefault="00494415" w:rsidP="00AE3DBA">
      <w:pPr>
        <w:pStyle w:val="Heading2"/>
        <w:spacing w:line="276" w:lineRule="auto"/>
      </w:pPr>
      <w:r>
        <w:t>Please note any attachments requested must be submitted as General Attachments and the question number clearly marked. Bidders should note that the Jaggaer system functionality means on occasions where a response may require a yes/no response AND an attachment (to</w:t>
      </w:r>
      <w:r w:rsidRPr="00AF4C38">
        <w:t xml:space="preserve"> </w:t>
      </w:r>
      <w:r>
        <w:t>explain mitigation, for example) then the document needs to be attached as a General Attachment with the question number included.</w:t>
      </w:r>
    </w:p>
    <w:p w14:paraId="3486E254" w14:textId="221DB744" w:rsidR="00A13E12" w:rsidRPr="001E6F57" w:rsidRDefault="00A13E12" w:rsidP="00AE3DBA">
      <w:pPr>
        <w:pStyle w:val="Heading2"/>
        <w:spacing w:line="276" w:lineRule="auto"/>
      </w:pPr>
      <w:r>
        <w:t>For Bidders’ ease all</w:t>
      </w:r>
      <w:r w:rsidR="00845488">
        <w:t xml:space="preserve"> showstopper and</w:t>
      </w:r>
      <w:r>
        <w:t xml:space="preserve"> technical questions (</w:t>
      </w:r>
      <w:r w:rsidRPr="00512E54">
        <w:rPr>
          <w:b/>
          <w:bCs/>
        </w:rPr>
        <w:t xml:space="preserve">questions </w:t>
      </w:r>
      <w:r w:rsidRPr="00845488">
        <w:rPr>
          <w:b/>
          <w:bCs/>
        </w:rPr>
        <w:t>C1, C2, C3, C4, C5, C6</w:t>
      </w:r>
      <w:r w:rsidR="00845488" w:rsidRPr="00845488">
        <w:rPr>
          <w:b/>
          <w:bCs/>
        </w:rPr>
        <w:t>,</w:t>
      </w:r>
      <w:r w:rsidRPr="00845488">
        <w:rPr>
          <w:b/>
          <w:bCs/>
        </w:rPr>
        <w:t xml:space="preserve"> C7</w:t>
      </w:r>
      <w:r w:rsidR="00845488" w:rsidRPr="00845488">
        <w:rPr>
          <w:b/>
          <w:bCs/>
        </w:rPr>
        <w:t>, C8</w:t>
      </w:r>
      <w:r w:rsidR="00015E7F">
        <w:rPr>
          <w:b/>
          <w:bCs/>
        </w:rPr>
        <w:t>,</w:t>
      </w:r>
      <w:r w:rsidR="00845488" w:rsidRPr="00845488">
        <w:rPr>
          <w:b/>
          <w:bCs/>
        </w:rPr>
        <w:t xml:space="preserve"> C9</w:t>
      </w:r>
      <w:r w:rsidR="00015E7F">
        <w:rPr>
          <w:b/>
          <w:bCs/>
        </w:rPr>
        <w:t xml:space="preserve"> and C10</w:t>
      </w:r>
      <w:r>
        <w:t xml:space="preserve"> in Deliverability and Technical Capability: Part C) are to be completed in the Application Form. Bidders should respect where the Application Form stipulates a word limit because the Authority will only evaluate up to the stated word limit.</w:t>
      </w:r>
    </w:p>
    <w:p w14:paraId="7A9C6C1B" w14:textId="77777777" w:rsidR="001841D4" w:rsidRDefault="001841D4" w:rsidP="00AE3DBA">
      <w:pPr>
        <w:pStyle w:val="Heading2"/>
        <w:spacing w:line="276" w:lineRule="auto"/>
      </w:pPr>
      <w:r>
        <w:t xml:space="preserve">Proposals can be modified in the Portal at any time prior to the closing date for submission. Once the Call for Proposals has closed no further changes can be made. </w:t>
      </w:r>
    </w:p>
    <w:p w14:paraId="587E5801" w14:textId="0A32E8FC" w:rsidR="0024207B" w:rsidRDefault="00B64B35" w:rsidP="00AE3DBA">
      <w:pPr>
        <w:pStyle w:val="Heading2"/>
        <w:spacing w:line="276" w:lineRule="auto"/>
      </w:pPr>
      <w:r>
        <w:t xml:space="preserve">Full and final proposals must be submitted via the Portal by the submission deadline </w:t>
      </w:r>
      <w:r w:rsidRPr="00B839C4">
        <w:t xml:space="preserve">of </w:t>
      </w:r>
      <w:r w:rsidRPr="00042FCF">
        <w:rPr>
          <w:b/>
          <w:bCs/>
          <w:u w:val="single"/>
        </w:rPr>
        <w:t>1</w:t>
      </w:r>
      <w:r w:rsidR="00B66F54" w:rsidRPr="00042FCF">
        <w:rPr>
          <w:b/>
          <w:bCs/>
          <w:u w:val="single"/>
        </w:rPr>
        <w:t>3</w:t>
      </w:r>
      <w:r w:rsidRPr="00042FCF">
        <w:rPr>
          <w:b/>
          <w:bCs/>
          <w:u w:val="single"/>
        </w:rPr>
        <w:t xml:space="preserve">:00 noon </w:t>
      </w:r>
      <w:r w:rsidR="00042FCF" w:rsidRPr="00042FCF">
        <w:rPr>
          <w:b/>
          <w:bCs/>
          <w:u w:val="single"/>
        </w:rPr>
        <w:t>Fri</w:t>
      </w:r>
      <w:r w:rsidRPr="00042FCF">
        <w:rPr>
          <w:b/>
          <w:bCs/>
          <w:u w:val="single"/>
        </w:rPr>
        <w:t xml:space="preserve">day </w:t>
      </w:r>
      <w:r w:rsidR="00042FCF" w:rsidRPr="00042FCF">
        <w:rPr>
          <w:b/>
          <w:bCs/>
          <w:u w:val="single"/>
        </w:rPr>
        <w:t>5</w:t>
      </w:r>
      <w:r w:rsidRPr="00042FCF">
        <w:rPr>
          <w:b/>
          <w:bCs/>
          <w:u w:val="single"/>
        </w:rPr>
        <w:t xml:space="preserve"> </w:t>
      </w:r>
      <w:r w:rsidR="001657DC" w:rsidRPr="00042FCF">
        <w:rPr>
          <w:b/>
          <w:bCs/>
          <w:u w:val="single"/>
        </w:rPr>
        <w:t>August</w:t>
      </w:r>
      <w:r w:rsidRPr="00042FCF">
        <w:rPr>
          <w:b/>
          <w:bCs/>
          <w:u w:val="single"/>
        </w:rPr>
        <w:t xml:space="preserve"> 2022</w:t>
      </w:r>
      <w:r w:rsidRPr="00042FCF">
        <w:t>.</w:t>
      </w:r>
      <w:r w:rsidRPr="003A6088">
        <w:rPr>
          <w:b/>
          <w:bCs/>
        </w:rPr>
        <w:t xml:space="preserve"> </w:t>
      </w:r>
      <w:r w:rsidRPr="003A6088">
        <w:t>It is</w:t>
      </w:r>
      <w:r>
        <w:t xml:space="preserve"> the responsibility of the Bidder to ensure that their bid is submitted in a timely manner: The Authority does not undertake to consider bids submitted after that time. For avoidance of doubt, it is the time of receipt via the Portal (clock) that will be taken</w:t>
      </w:r>
      <w:r w:rsidR="002F1352">
        <w:t>.</w:t>
      </w:r>
      <w:r w:rsidR="00360E30">
        <w:t xml:space="preserve"> </w:t>
      </w:r>
    </w:p>
    <w:p w14:paraId="2E684D62" w14:textId="77777777" w:rsidR="00062BCF" w:rsidRDefault="00062BCF" w:rsidP="00062BCF">
      <w:pPr>
        <w:pStyle w:val="Heading2"/>
        <w:spacing w:line="276" w:lineRule="auto"/>
      </w:pPr>
      <w:r>
        <w:t>Applications will be acknowledged automatically via the Portal for each competition submission.</w:t>
      </w:r>
    </w:p>
    <w:p w14:paraId="0400537E" w14:textId="77777777" w:rsidR="00CC3095" w:rsidRDefault="00CC3095" w:rsidP="00AE3DBA">
      <w:pPr>
        <w:pStyle w:val="Heading2"/>
        <w:spacing w:line="276" w:lineRule="auto"/>
      </w:pPr>
      <w:r>
        <w:t>A compliant proposal must:</w:t>
      </w:r>
    </w:p>
    <w:p w14:paraId="1B8FB1C3" w14:textId="77777777" w:rsidR="00CC3095" w:rsidRDefault="00CC3095" w:rsidP="00AE3DBA">
      <w:pPr>
        <w:pStyle w:val="Heading3"/>
        <w:spacing w:line="276" w:lineRule="auto"/>
        <w:ind w:left="1361" w:hanging="1077"/>
      </w:pPr>
      <w:r>
        <w:t xml:space="preserve">reach the Authority no later than the submission deadline; </w:t>
      </w:r>
    </w:p>
    <w:p w14:paraId="72A34706" w14:textId="77777777" w:rsidR="00CC3095" w:rsidRDefault="00CC3095" w:rsidP="00AE3DBA">
      <w:pPr>
        <w:pStyle w:val="Heading3"/>
        <w:spacing w:line="276" w:lineRule="auto"/>
        <w:ind w:left="1361" w:hanging="1077"/>
      </w:pPr>
      <w:r>
        <w:t xml:space="preserve">include a fully completed and compliant application submitted via the Portal (including all requested attachments, Appendices, declarations etc); </w:t>
      </w:r>
    </w:p>
    <w:p w14:paraId="7CE8B26D" w14:textId="77777777" w:rsidR="00CC3095" w:rsidRDefault="00CC3095" w:rsidP="00AE3DBA">
      <w:pPr>
        <w:pStyle w:val="Heading3"/>
        <w:spacing w:line="276" w:lineRule="auto"/>
        <w:ind w:left="1361" w:hanging="1077"/>
      </w:pPr>
      <w:r>
        <w:t xml:space="preserve">confirm acceptance of the proposed Grant Agreement; </w:t>
      </w:r>
    </w:p>
    <w:p w14:paraId="06120C8B" w14:textId="77777777" w:rsidR="00CC3095" w:rsidRDefault="00CC3095" w:rsidP="00AE3DBA">
      <w:pPr>
        <w:pStyle w:val="Heading3"/>
        <w:spacing w:line="276" w:lineRule="auto"/>
        <w:ind w:left="1361" w:hanging="1077"/>
      </w:pPr>
      <w:r>
        <w:t>be free from virus, and capable of being opened in the format stated. Any Bid that cannot be opened because of a virus may be classified as non-compliant, subsequently rejected and lead to no award being made;</w:t>
      </w:r>
    </w:p>
    <w:p w14:paraId="7D77D73B" w14:textId="77777777" w:rsidR="00CC3095" w:rsidRDefault="00CC3095" w:rsidP="00AE3DBA">
      <w:pPr>
        <w:pStyle w:val="Heading3"/>
        <w:spacing w:line="276" w:lineRule="auto"/>
        <w:ind w:left="1361" w:hanging="1077"/>
      </w:pPr>
      <w:r>
        <w:t>contain a fully priced proposal that is capable of execution and which contains no material qualifications or conditionality; and</w:t>
      </w:r>
    </w:p>
    <w:p w14:paraId="0B21B9F4" w14:textId="06853FB8" w:rsidR="00AE3DBA" w:rsidRDefault="00CC3095" w:rsidP="00AE3DBA">
      <w:pPr>
        <w:pStyle w:val="Heading3"/>
        <w:spacing w:line="276" w:lineRule="auto"/>
        <w:ind w:left="1361" w:hanging="1077"/>
      </w:pPr>
      <w:r>
        <w:t>ensure that any attachments are in a form capable of acceptance by the Authority.</w:t>
      </w:r>
    </w:p>
    <w:p w14:paraId="13FFC565" w14:textId="439C18F4" w:rsidR="00B106F5" w:rsidRDefault="00B106F5" w:rsidP="00B03431">
      <w:pPr>
        <w:pStyle w:val="Heading2"/>
        <w:spacing w:line="276" w:lineRule="auto"/>
      </w:pPr>
      <w:r w:rsidRPr="00B106F5">
        <w:t xml:space="preserve">Bidders must complete and submit as an attachment the </w:t>
      </w:r>
      <w:r w:rsidRPr="000D255A">
        <w:t>Budget Toolkit</w:t>
      </w:r>
      <w:r w:rsidRPr="00B106F5">
        <w:t>; the required template is provided on the Portal</w:t>
      </w:r>
      <w:r>
        <w:t>.</w:t>
      </w:r>
    </w:p>
    <w:p w14:paraId="2F7CAE89" w14:textId="77777777" w:rsidR="001F62EA" w:rsidRDefault="001F62EA" w:rsidP="001F62EA">
      <w:pPr>
        <w:pStyle w:val="Heading2"/>
      </w:pPr>
      <w:r>
        <w:t>Bidders must note that the Authority will reject proposals that are:</w:t>
      </w:r>
    </w:p>
    <w:p w14:paraId="5D408C85" w14:textId="77777777" w:rsidR="001F62EA" w:rsidRDefault="001F62EA" w:rsidP="001F62EA">
      <w:pPr>
        <w:pStyle w:val="Heading3"/>
        <w:ind w:left="1361" w:hanging="1077"/>
      </w:pPr>
      <w:r>
        <w:t>incomplete (without proper explanation), and/or</w:t>
      </w:r>
    </w:p>
    <w:p w14:paraId="105BA07D" w14:textId="77777777" w:rsidR="001F62EA" w:rsidRDefault="001F62EA" w:rsidP="001F62EA">
      <w:pPr>
        <w:pStyle w:val="Heading3"/>
        <w:ind w:left="1361" w:hanging="1077"/>
      </w:pPr>
      <w:r>
        <w:t>non-compliant with the guidance provided, and/or</w:t>
      </w:r>
    </w:p>
    <w:p w14:paraId="26288A8B" w14:textId="77777777" w:rsidR="001F62EA" w:rsidRDefault="001F62EA" w:rsidP="001F62EA">
      <w:pPr>
        <w:pStyle w:val="Heading3"/>
        <w:ind w:left="1361" w:hanging="1077"/>
      </w:pPr>
      <w:r>
        <w:t>contain virus and/or incorrectly formatted</w:t>
      </w:r>
    </w:p>
    <w:p w14:paraId="033C1131" w14:textId="77777777" w:rsidR="00C72577" w:rsidRDefault="00C72577" w:rsidP="00C72577">
      <w:pPr>
        <w:pStyle w:val="Heading2"/>
      </w:pPr>
      <w:r>
        <w:t>Any error or misrepresentations discovered after award of a Grant Agreement may result in termination of the Grant Agreement.</w:t>
      </w:r>
    </w:p>
    <w:p w14:paraId="471FDA14" w14:textId="77777777" w:rsidR="00DA4C32" w:rsidRDefault="00DA4C32" w:rsidP="00DA4C32">
      <w:pPr>
        <w:pStyle w:val="Heading2"/>
      </w:pPr>
      <w:r>
        <w:t>Bidders should note the following:</w:t>
      </w:r>
    </w:p>
    <w:p w14:paraId="19C8D946" w14:textId="6FFD4DF1" w:rsidR="003C0340" w:rsidRDefault="00DA4C32" w:rsidP="00020783">
      <w:pPr>
        <w:pStyle w:val="Heading3"/>
        <w:spacing w:line="276" w:lineRule="auto"/>
        <w:ind w:left="1361" w:hanging="1077"/>
      </w:pPr>
      <w:r>
        <w:t xml:space="preserve">Responses should be concise and must fit within the specified word count provided for each question as outlined in the Technical Envelope. </w:t>
      </w:r>
    </w:p>
    <w:p w14:paraId="4AF18882" w14:textId="77777777" w:rsidR="00DA4C32" w:rsidRPr="00087483" w:rsidRDefault="00DA4C32" w:rsidP="0088275A">
      <w:pPr>
        <w:pStyle w:val="Heading3"/>
        <w:spacing w:line="276" w:lineRule="auto"/>
        <w:ind w:left="1361" w:hanging="1077"/>
      </w:pPr>
      <w:r>
        <w:t>Files can be attached but should only be submitted as an attachment where specifically requested. Anything attached that is not specifically requested will not be considered.</w:t>
      </w:r>
    </w:p>
    <w:p w14:paraId="2F0EBC3E" w14:textId="3DB8E941" w:rsidR="00DA4C32" w:rsidRPr="009F1B5C" w:rsidRDefault="00DA4C32" w:rsidP="0088275A">
      <w:pPr>
        <w:pStyle w:val="Heading3"/>
        <w:spacing w:line="276" w:lineRule="auto"/>
        <w:ind w:left="1361" w:hanging="1077"/>
        <w:rPr>
          <w:color w:val="000000" w:themeColor="text1"/>
        </w:rPr>
      </w:pPr>
      <w:r w:rsidRPr="3DF3BCA9">
        <w:rPr>
          <w:b/>
          <w:bCs/>
          <w:u w:val="single"/>
        </w:rPr>
        <w:t>The maximum file size per attachment is 2 MB</w:t>
      </w:r>
      <w:r>
        <w:t xml:space="preserve"> in order to maintain the performance of the </w:t>
      </w:r>
      <w:r w:rsidRPr="00497B36">
        <w:t>eSourcing system</w:t>
      </w:r>
      <w:r>
        <w:t xml:space="preserve">. It is possible some attachments may breach this limit so Bidders should test this aspect of the Portal (certainly for your last two-year accounts). If any Bidder encounters difficulty loading their account documents (due to file size) then they may include a ‘url’ link to where the attachment can be freely accessible on the organisation’s website. Bidders should test the link to ensure the accounts can be downloaded. </w:t>
      </w:r>
    </w:p>
    <w:p w14:paraId="6B4C311A" w14:textId="526898C1" w:rsidR="002B52C7" w:rsidRPr="00B106F5" w:rsidRDefault="00A76D0E" w:rsidP="00EC7972">
      <w:pPr>
        <w:pStyle w:val="Heading2"/>
        <w:spacing w:line="276" w:lineRule="auto"/>
      </w:pPr>
      <w:r w:rsidRPr="00A76D0E">
        <w:t>Bidders may withdraw their applications at any time after the final submission date by sending a notice of withdrawal to the Authority via the Portal and please include “</w:t>
      </w:r>
      <w:r>
        <w:t>Modern Slavery Innovation Fund Phase 3</w:t>
      </w:r>
      <w:r w:rsidRPr="00A76D0E">
        <w:t xml:space="preserve"> 2022/25</w:t>
      </w:r>
      <w:r w:rsidR="008A3C3D">
        <w:t xml:space="preserve"> </w:t>
      </w:r>
      <w:r w:rsidRPr="00A76D0E">
        <w:t>– Request to withdraw Application” in the subject title. Any such notice must be sent electronically using the messaging system within the Portal and the Authority will formally acknowledge your notice through the Portal</w:t>
      </w:r>
      <w:r w:rsidR="00BF32EE">
        <w:t>.</w:t>
      </w:r>
    </w:p>
    <w:p w14:paraId="50C4AB65" w14:textId="0C578115" w:rsidR="00BE05AF" w:rsidRDefault="5AB9AFBD" w:rsidP="00B03431">
      <w:pPr>
        <w:pStyle w:val="Heading2"/>
        <w:spacing w:line="276" w:lineRule="auto"/>
      </w:pPr>
      <w:r>
        <w:t xml:space="preserve">Bidders need to recognise that operating a diminishing </w:t>
      </w:r>
      <w:r w:rsidR="303F4C53">
        <w:t xml:space="preserve">funding </w:t>
      </w:r>
      <w:r>
        <w:t xml:space="preserve">pot </w:t>
      </w:r>
      <w:r w:rsidR="303F4C53">
        <w:t xml:space="preserve">will culminate in a residue of funding that is unlikely to match the funding contained within the final eligible Bid. In this instance the Authority will assess the bid and offer what funding remains to the Bidder but recognising elements of the bid may not be deliverable because the full funding is simply no longer available from the diminished pot. </w:t>
      </w:r>
      <w:r w:rsidR="1A5BF046">
        <w:t xml:space="preserve">In this instance, the Team will contact you to discuss which elements of the bid can be progressed without receiving full funding. </w:t>
      </w:r>
    </w:p>
    <w:p w14:paraId="7DD4C62F" w14:textId="50FF13D8" w:rsidR="002D26C5" w:rsidRDefault="006C0168" w:rsidP="00B03431">
      <w:pPr>
        <w:pStyle w:val="Heading2"/>
        <w:spacing w:line="276" w:lineRule="auto"/>
      </w:pPr>
      <w:r>
        <w:t xml:space="preserve">Call </w:t>
      </w:r>
      <w:r w:rsidR="00721655">
        <w:t xml:space="preserve">for Proposal </w:t>
      </w:r>
      <w:r>
        <w:t xml:space="preserve">requires the completion of an </w:t>
      </w:r>
      <w:r w:rsidR="005246AB">
        <w:t>off-line application form</w:t>
      </w:r>
      <w:r w:rsidR="00721655">
        <w:t xml:space="preserve">; this must be completed </w:t>
      </w:r>
      <w:r w:rsidR="005246AB">
        <w:t>off-line</w:t>
      </w:r>
      <w:r w:rsidR="00721655">
        <w:t xml:space="preserve"> and responses</w:t>
      </w:r>
      <w:r w:rsidR="005246AB">
        <w:t xml:space="preserve"> and attachments</w:t>
      </w:r>
      <w:r w:rsidR="00721655">
        <w:t xml:space="preserve"> </w:t>
      </w:r>
      <w:r w:rsidR="005246AB">
        <w:t>uploaded</w:t>
      </w:r>
      <w:r w:rsidR="00721655">
        <w:t xml:space="preserve"> in the Portal</w:t>
      </w:r>
      <w:r w:rsidR="00824E07">
        <w:t xml:space="preserve"> and where requested</w:t>
      </w:r>
      <w:r w:rsidR="00721655">
        <w:t>.</w:t>
      </w:r>
      <w:r w:rsidR="00E90761">
        <w:t xml:space="preserve"> </w:t>
      </w:r>
    </w:p>
    <w:p w14:paraId="7C614AB7" w14:textId="24070B4E" w:rsidR="00B24B49" w:rsidRDefault="002D26C5" w:rsidP="0011018F">
      <w:pPr>
        <w:pStyle w:val="Heading2"/>
        <w:spacing w:line="276" w:lineRule="auto"/>
      </w:pPr>
      <w:r>
        <w:t>Bidders should note that the Jaggaer system functionality means on occasion</w:t>
      </w:r>
      <w:r w:rsidR="00501C94">
        <w:t>s</w:t>
      </w:r>
      <w:r>
        <w:t xml:space="preserve"> where a response may require a yes/no response AND an attachment (to explain mitigation, for example) then the document needs to be attached at the appropriate section</w:t>
      </w:r>
      <w:r w:rsidR="00BD6926">
        <w:t xml:space="preserve">. </w:t>
      </w:r>
      <w:r w:rsidR="00BD6926" w:rsidRPr="009345DD">
        <w:t xml:space="preserve">Bidders should make sure that </w:t>
      </w:r>
      <w:r w:rsidR="00BD6926" w:rsidRPr="0021497C">
        <w:t xml:space="preserve">all required fields are completed as specified in each </w:t>
      </w:r>
      <w:r w:rsidR="00BD6926">
        <w:t xml:space="preserve">of </w:t>
      </w:r>
      <w:r w:rsidR="00BD6926" w:rsidRPr="006679D9">
        <w:t xml:space="preserve">the </w:t>
      </w:r>
      <w:r w:rsidR="006679D9" w:rsidRPr="006679D9">
        <w:t>5</w:t>
      </w:r>
      <w:r w:rsidR="00BD6926" w:rsidRPr="006679D9">
        <w:t xml:space="preserve"> questionnaire </w:t>
      </w:r>
      <w:r w:rsidR="00BD6926">
        <w:t>envelopes.</w:t>
      </w:r>
      <w:r w:rsidR="00BD6926" w:rsidRPr="0021497C">
        <w:t xml:space="preserve"> </w:t>
      </w:r>
    </w:p>
    <w:p w14:paraId="1B4159BF" w14:textId="0A56F397" w:rsidR="00B24B49" w:rsidRDefault="002D26C5" w:rsidP="00B24B49">
      <w:pPr>
        <w:pStyle w:val="Heading2"/>
        <w:spacing w:line="276" w:lineRule="auto"/>
      </w:pPr>
      <w:r>
        <w:t>For example</w:t>
      </w:r>
      <w:r w:rsidR="00D07ACD">
        <w:t>,</w:t>
      </w:r>
      <w:r>
        <w:t xml:space="preserve"> </w:t>
      </w:r>
      <w:r w:rsidR="00501C94">
        <w:t>question A4 (within the Compliance envelope) asks if there is any commercially sensitive information within your bid, seeking a yes/no response.</w:t>
      </w:r>
    </w:p>
    <w:p w14:paraId="4E2C32A5" w14:textId="6D2C6B15" w:rsidR="002D26C5" w:rsidRDefault="00501C94" w:rsidP="00B24B49">
      <w:pPr>
        <w:pStyle w:val="Heading2"/>
        <w:spacing w:line="276" w:lineRule="auto"/>
      </w:pPr>
      <w:r>
        <w:t xml:space="preserve">The next question </w:t>
      </w:r>
      <w:r w:rsidR="00E351F0">
        <w:t>“</w:t>
      </w:r>
      <w:r w:rsidRPr="00767FAD">
        <w:t>A4 – attachment</w:t>
      </w:r>
      <w:r>
        <w:t>” whilst not mandatory provides the opportunity for any Bidder who replied “yes” to provide an explanation of the commercially sensitive material within their bid.</w:t>
      </w:r>
    </w:p>
    <w:p w14:paraId="5A1DDF9B" w14:textId="3768FEEB" w:rsidR="00501C94" w:rsidRDefault="00501C94" w:rsidP="00B03431">
      <w:pPr>
        <w:pStyle w:val="Heading2"/>
        <w:spacing w:line="276" w:lineRule="auto"/>
      </w:pPr>
      <w:r>
        <w:t xml:space="preserve">For Bidders ease all </w:t>
      </w:r>
      <w:r w:rsidRPr="0021497C">
        <w:t xml:space="preserve">technical questions </w:t>
      </w:r>
      <w:r>
        <w:t xml:space="preserve">(within the Technical envelope) </w:t>
      </w:r>
      <w:r w:rsidRPr="0021497C">
        <w:t>are request</w:t>
      </w:r>
      <w:r w:rsidR="0002484C">
        <w:t>ed</w:t>
      </w:r>
      <w:r w:rsidRPr="0021497C">
        <w:t xml:space="preserve"> via </w:t>
      </w:r>
      <w:r>
        <w:t>attachments</w:t>
      </w:r>
      <w:r w:rsidRPr="0021497C">
        <w:t>. Bidders should nonetheless re</w:t>
      </w:r>
      <w:r>
        <w:t>s</w:t>
      </w:r>
      <w:r w:rsidRPr="0021497C">
        <w:t xml:space="preserve">pect </w:t>
      </w:r>
      <w:r>
        <w:t xml:space="preserve">where the question stipulates a </w:t>
      </w:r>
      <w:r w:rsidRPr="0021497C">
        <w:t>word limit because the Authority will only evaluate up to the stated word limit</w:t>
      </w:r>
      <w:r w:rsidR="007212E8">
        <w:t>.</w:t>
      </w:r>
    </w:p>
    <w:p w14:paraId="44C4CC2C" w14:textId="77777777" w:rsidR="003216E4" w:rsidRDefault="003216E4" w:rsidP="00B03431">
      <w:pPr>
        <w:pStyle w:val="Heading1"/>
        <w:spacing w:line="276" w:lineRule="auto"/>
      </w:pPr>
      <w:bookmarkStart w:id="32" w:name="_Toc31094943"/>
      <w:r>
        <w:t>tender structure</w:t>
      </w:r>
      <w:bookmarkEnd w:id="32"/>
    </w:p>
    <w:p w14:paraId="148B5389" w14:textId="702910DE" w:rsidR="007A3B03" w:rsidRDefault="003216E4" w:rsidP="00B03431">
      <w:pPr>
        <w:pStyle w:val="Heading2"/>
        <w:spacing w:line="276" w:lineRule="auto"/>
      </w:pPr>
      <w:r w:rsidRPr="00D52688">
        <w:t xml:space="preserve">There are 5 </w:t>
      </w:r>
      <w:r w:rsidR="007A3B03">
        <w:t xml:space="preserve">sections </w:t>
      </w:r>
      <w:r w:rsidRPr="00D52688">
        <w:t xml:space="preserve">to the </w:t>
      </w:r>
      <w:r w:rsidR="00E73E38">
        <w:t>g</w:t>
      </w:r>
      <w:r w:rsidRPr="00D52688">
        <w:t xml:space="preserve">rant scheme tender as shown in the table below. </w:t>
      </w:r>
      <w:r w:rsidR="007A3B03">
        <w:t xml:space="preserve">However, the functionality of the Jaggaer system means we must </w:t>
      </w:r>
      <w:r w:rsidR="007A42BB">
        <w:t xml:space="preserve">separate </w:t>
      </w:r>
      <w:r w:rsidR="007A3B03">
        <w:t xml:space="preserve">these into </w:t>
      </w:r>
      <w:r w:rsidR="007A42BB">
        <w:t xml:space="preserve">online </w:t>
      </w:r>
      <w:r w:rsidR="007A3B03">
        <w:t>envelopes. Therefore</w:t>
      </w:r>
      <w:r w:rsidR="007A42BB">
        <w:t>,</w:t>
      </w:r>
      <w:r w:rsidR="007A3B03">
        <w:t xml:space="preserve"> the sections contained within the “Evaluation Guidance” have been built into the online Jaggaer system as follows:</w:t>
      </w:r>
    </w:p>
    <w:p w14:paraId="5289A9F1" w14:textId="3245883C" w:rsidR="007A3B03" w:rsidRDefault="007A3B03" w:rsidP="00B03431">
      <w:pPr>
        <w:pStyle w:val="Heading3"/>
        <w:spacing w:line="276" w:lineRule="auto"/>
        <w:ind w:left="1361" w:hanging="1077"/>
      </w:pPr>
      <w:r>
        <w:t>Qualification Envelope contains Finance and Organisational Capability (section B of Guidance) questions and the Budget Toolkit (section D of Guidance).</w:t>
      </w:r>
    </w:p>
    <w:p w14:paraId="062FB811" w14:textId="74F5ADC8" w:rsidR="007A3B03" w:rsidRDefault="007A3B03" w:rsidP="00B03431">
      <w:pPr>
        <w:pStyle w:val="Heading3"/>
        <w:spacing w:line="276" w:lineRule="auto"/>
        <w:ind w:left="1361" w:hanging="1077"/>
      </w:pPr>
      <w:r>
        <w:t>Commercial Envelope contains Compliance (section A of Guidance) questions and Declaration (section E of Guidance) questions.</w:t>
      </w:r>
    </w:p>
    <w:p w14:paraId="38D25801" w14:textId="77777777" w:rsidR="007A42BB" w:rsidRDefault="007A3B03" w:rsidP="00B03431">
      <w:pPr>
        <w:pStyle w:val="Heading3"/>
        <w:spacing w:line="276" w:lineRule="auto"/>
        <w:ind w:left="1361" w:hanging="1077"/>
      </w:pPr>
      <w:r>
        <w:t xml:space="preserve">Technical Envelope contains the Business Deliverability (section C of the Guidance) questions.   </w:t>
      </w:r>
    </w:p>
    <w:p w14:paraId="2C815065" w14:textId="1A5091ED" w:rsidR="009E2196" w:rsidRDefault="007A42BB" w:rsidP="00B03431">
      <w:pPr>
        <w:pStyle w:val="Heading2"/>
        <w:spacing w:line="276" w:lineRule="auto"/>
      </w:pPr>
      <w:r>
        <w:t>Bidders</w:t>
      </w:r>
      <w:r w:rsidRPr="00D52688">
        <w:t xml:space="preserve"> must first Pass all</w:t>
      </w:r>
      <w:r>
        <w:t xml:space="preserve"> identified </w:t>
      </w:r>
      <w:r w:rsidRPr="00087483">
        <w:t>‘Showstopper’</w:t>
      </w:r>
      <w:r w:rsidRPr="00D52688">
        <w:t xml:space="preserve"> questions</w:t>
      </w:r>
      <w:r>
        <w:t xml:space="preserve">. </w:t>
      </w:r>
      <w:r w:rsidRPr="00D52688">
        <w:t xml:space="preserve">‘Showstopper’ </w:t>
      </w:r>
      <w:r>
        <w:t xml:space="preserve">questions </w:t>
      </w:r>
      <w:r w:rsidRPr="00D52688">
        <w:t xml:space="preserve">are </w:t>
      </w:r>
      <w:r>
        <w:t xml:space="preserve">deemed </w:t>
      </w:r>
      <w:r w:rsidRPr="00D52688">
        <w:t>critical to understanding organisational capability th</w:t>
      </w:r>
      <w:r>
        <w:t>erefore</w:t>
      </w:r>
      <w:r w:rsidRPr="00D52688">
        <w:t xml:space="preserve"> failure to Pass these </w:t>
      </w:r>
      <w:r>
        <w:t xml:space="preserve">questions </w:t>
      </w:r>
      <w:r w:rsidRPr="00D52688">
        <w:t>may lead to exclu</w:t>
      </w:r>
      <w:r>
        <w:t>sion from further consideration. As</w:t>
      </w:r>
      <w:r w:rsidR="006E2564">
        <w:t xml:space="preserve"> </w:t>
      </w:r>
      <w:r w:rsidR="0087110D">
        <w:t>well as passing all identified Showstopper question</w:t>
      </w:r>
      <w:r w:rsidR="009E2196">
        <w:t>s, Bidders should respect those Showstopper questions in the technical section that carry a minimum quality score of 60%.</w:t>
      </w:r>
    </w:p>
    <w:p w14:paraId="4CD97F49" w14:textId="550C749F" w:rsidR="003216E4" w:rsidRDefault="0087110D" w:rsidP="00B03431">
      <w:pPr>
        <w:pStyle w:val="Heading2"/>
        <w:spacing w:line="276" w:lineRule="auto"/>
      </w:pPr>
      <w:r>
        <w:t xml:space="preserve">Bidders must </w:t>
      </w:r>
      <w:r w:rsidR="009E2196">
        <w:t xml:space="preserve">also </w:t>
      </w:r>
      <w:r>
        <w:t xml:space="preserve">attain an overall score of 60% </w:t>
      </w:r>
      <w:r w:rsidRPr="009E2196">
        <w:rPr>
          <w:b/>
          <w:u w:val="single"/>
        </w:rPr>
        <w:t>after moderation for their technical submission</w:t>
      </w:r>
      <w:r w:rsidR="009E2196">
        <w:t xml:space="preserve"> to be eligible for funding</w:t>
      </w:r>
      <w:r>
        <w:t>.</w:t>
      </w:r>
      <w:r w:rsidR="009E2196">
        <w:t xml:space="preserve"> This is to protect the quality this funding will deliver.</w:t>
      </w:r>
    </w:p>
    <w:p w14:paraId="37F30852" w14:textId="2C9CD52F" w:rsidR="0087110D" w:rsidRDefault="0087110D" w:rsidP="00B03431">
      <w:pPr>
        <w:pStyle w:val="Heading2"/>
        <w:spacing w:line="276" w:lineRule="auto"/>
      </w:pPr>
      <w:r>
        <w:t>Online competition envelopes:</w:t>
      </w:r>
      <w:r>
        <w:br/>
        <w:t xml:space="preserve"> </w:t>
      </w:r>
    </w:p>
    <w:tbl>
      <w:tblPr>
        <w:tblpPr w:leftFromText="180" w:rightFromText="180" w:vertAnchor="text" w:tblpY="1"/>
        <w:tblOverlap w:val="never"/>
        <w:tblW w:w="8999" w:type="dxa"/>
        <w:tblCellMar>
          <w:left w:w="0" w:type="dxa"/>
          <w:right w:w="0" w:type="dxa"/>
        </w:tblCellMar>
        <w:tblLook w:val="0600" w:firstRow="0" w:lastRow="0" w:firstColumn="0" w:lastColumn="0" w:noHBand="1" w:noVBand="1"/>
      </w:tblPr>
      <w:tblGrid>
        <w:gridCol w:w="1828"/>
        <w:gridCol w:w="1766"/>
        <w:gridCol w:w="2061"/>
        <w:gridCol w:w="1843"/>
        <w:gridCol w:w="1501"/>
      </w:tblGrid>
      <w:tr w:rsidR="00B06162" w:rsidRPr="0084760D" w14:paraId="33FF6E65" w14:textId="77777777" w:rsidTr="00187383">
        <w:trPr>
          <w:trHeight w:val="246"/>
        </w:trPr>
        <w:tc>
          <w:tcPr>
            <w:tcW w:w="1828" w:type="dxa"/>
            <w:tcBorders>
              <w:top w:val="single" w:sz="12" w:space="0" w:color="000000"/>
              <w:left w:val="single" w:sz="12" w:space="0" w:color="000000"/>
              <w:bottom w:val="single" w:sz="4" w:space="0" w:color="000000"/>
              <w:right w:val="single" w:sz="4" w:space="0" w:color="000000"/>
            </w:tcBorders>
            <w:shd w:val="clear" w:color="auto" w:fill="FFFF99"/>
            <w:tcMar>
              <w:top w:w="7" w:type="dxa"/>
              <w:left w:w="7" w:type="dxa"/>
              <w:bottom w:w="0" w:type="dxa"/>
              <w:right w:w="7" w:type="dxa"/>
            </w:tcMar>
            <w:vAlign w:val="center"/>
          </w:tcPr>
          <w:p w14:paraId="419417F0" w14:textId="7829BB32" w:rsidR="00B06162" w:rsidRPr="0084760D" w:rsidRDefault="00B06162" w:rsidP="00B03431">
            <w:pPr>
              <w:pStyle w:val="Heading2"/>
              <w:numPr>
                <w:ilvl w:val="0"/>
                <w:numId w:val="0"/>
              </w:numPr>
              <w:spacing w:after="120" w:line="276" w:lineRule="auto"/>
              <w:ind w:left="57"/>
              <w:jc w:val="left"/>
              <w:rPr>
                <w:b/>
                <w:bCs/>
              </w:rPr>
            </w:pPr>
            <w:r>
              <w:rPr>
                <w:b/>
                <w:bCs/>
              </w:rPr>
              <w:t>Jaggaer Commercial Envelope</w:t>
            </w:r>
          </w:p>
        </w:tc>
        <w:tc>
          <w:tcPr>
            <w:tcW w:w="1766" w:type="dxa"/>
            <w:tcBorders>
              <w:top w:val="single" w:sz="12" w:space="0" w:color="000000"/>
              <w:left w:val="single" w:sz="4" w:space="0" w:color="000000"/>
              <w:bottom w:val="single" w:sz="4" w:space="0" w:color="000000"/>
              <w:right w:val="single" w:sz="4" w:space="0" w:color="000000"/>
            </w:tcBorders>
            <w:shd w:val="clear" w:color="auto" w:fill="FFFF99"/>
            <w:tcMar>
              <w:top w:w="7" w:type="dxa"/>
              <w:left w:w="7" w:type="dxa"/>
              <w:bottom w:w="0" w:type="dxa"/>
              <w:right w:w="7" w:type="dxa"/>
            </w:tcMar>
            <w:vAlign w:val="center"/>
          </w:tcPr>
          <w:p w14:paraId="696722E2" w14:textId="76B23402" w:rsidR="00B06162" w:rsidRPr="0084760D" w:rsidRDefault="00B06162" w:rsidP="00B03431">
            <w:pPr>
              <w:pStyle w:val="Heading2"/>
              <w:numPr>
                <w:ilvl w:val="0"/>
                <w:numId w:val="0"/>
              </w:numPr>
              <w:spacing w:after="120" w:line="276" w:lineRule="auto"/>
              <w:ind w:left="57"/>
              <w:jc w:val="left"/>
              <w:rPr>
                <w:b/>
                <w:bCs/>
              </w:rPr>
            </w:pPr>
            <w:r>
              <w:rPr>
                <w:b/>
                <w:bCs/>
              </w:rPr>
              <w:t>Jaggaer Qualification Envelope</w:t>
            </w:r>
          </w:p>
        </w:tc>
        <w:tc>
          <w:tcPr>
            <w:tcW w:w="2061" w:type="dxa"/>
            <w:tcBorders>
              <w:top w:val="single" w:sz="12" w:space="0" w:color="000000"/>
              <w:left w:val="single" w:sz="4" w:space="0" w:color="000000"/>
              <w:bottom w:val="single" w:sz="4" w:space="0" w:color="000000"/>
              <w:right w:val="single" w:sz="4" w:space="0" w:color="000000"/>
            </w:tcBorders>
            <w:shd w:val="clear" w:color="auto" w:fill="FFFF99"/>
            <w:tcMar>
              <w:top w:w="7" w:type="dxa"/>
              <w:left w:w="7" w:type="dxa"/>
              <w:bottom w:w="0" w:type="dxa"/>
              <w:right w:w="7" w:type="dxa"/>
            </w:tcMar>
            <w:vAlign w:val="center"/>
          </w:tcPr>
          <w:p w14:paraId="34B229FE" w14:textId="30DA1F01" w:rsidR="00B06162" w:rsidRPr="0084760D" w:rsidRDefault="00B06162" w:rsidP="00B03431">
            <w:pPr>
              <w:pStyle w:val="Heading2"/>
              <w:numPr>
                <w:ilvl w:val="0"/>
                <w:numId w:val="0"/>
              </w:numPr>
              <w:spacing w:after="120" w:line="276" w:lineRule="auto"/>
              <w:ind w:left="57"/>
              <w:jc w:val="left"/>
              <w:rPr>
                <w:b/>
                <w:bCs/>
              </w:rPr>
            </w:pPr>
            <w:r>
              <w:rPr>
                <w:b/>
                <w:bCs/>
              </w:rPr>
              <w:t>Jaggaer Technical Envelope</w:t>
            </w:r>
          </w:p>
        </w:tc>
        <w:tc>
          <w:tcPr>
            <w:tcW w:w="1843" w:type="dxa"/>
            <w:tcBorders>
              <w:top w:val="single" w:sz="12" w:space="0" w:color="000000"/>
              <w:left w:val="single" w:sz="4" w:space="0" w:color="000000"/>
              <w:bottom w:val="single" w:sz="4" w:space="0" w:color="000000"/>
              <w:right w:val="single" w:sz="4" w:space="0" w:color="000000"/>
            </w:tcBorders>
            <w:shd w:val="clear" w:color="auto" w:fill="FFFF99"/>
            <w:tcMar>
              <w:top w:w="7" w:type="dxa"/>
              <w:left w:w="7" w:type="dxa"/>
              <w:bottom w:w="0" w:type="dxa"/>
              <w:right w:w="7" w:type="dxa"/>
            </w:tcMar>
            <w:vAlign w:val="center"/>
          </w:tcPr>
          <w:p w14:paraId="3201D2B6" w14:textId="1A3C9084" w:rsidR="00B06162" w:rsidRPr="0084760D" w:rsidRDefault="00B06162" w:rsidP="00B03431">
            <w:pPr>
              <w:pStyle w:val="Heading2"/>
              <w:numPr>
                <w:ilvl w:val="0"/>
                <w:numId w:val="0"/>
              </w:numPr>
              <w:spacing w:after="120" w:line="276" w:lineRule="auto"/>
              <w:ind w:left="57"/>
              <w:jc w:val="left"/>
              <w:rPr>
                <w:b/>
                <w:bCs/>
              </w:rPr>
            </w:pPr>
            <w:r>
              <w:rPr>
                <w:b/>
                <w:bCs/>
              </w:rPr>
              <w:t>Jaggaer Qualification Envelope</w:t>
            </w:r>
          </w:p>
        </w:tc>
        <w:tc>
          <w:tcPr>
            <w:tcW w:w="1501" w:type="dxa"/>
            <w:tcBorders>
              <w:top w:val="single" w:sz="12" w:space="0" w:color="000000"/>
              <w:left w:val="single" w:sz="4" w:space="0" w:color="000000"/>
              <w:bottom w:val="single" w:sz="4" w:space="0" w:color="000000"/>
              <w:right w:val="single" w:sz="12" w:space="0" w:color="000000"/>
            </w:tcBorders>
            <w:shd w:val="clear" w:color="auto" w:fill="FFFF99"/>
            <w:tcMar>
              <w:top w:w="7" w:type="dxa"/>
              <w:left w:w="7" w:type="dxa"/>
              <w:bottom w:w="0" w:type="dxa"/>
              <w:right w:w="7" w:type="dxa"/>
            </w:tcMar>
            <w:vAlign w:val="center"/>
          </w:tcPr>
          <w:p w14:paraId="0AFD5701" w14:textId="7E99D944" w:rsidR="00B06162" w:rsidRPr="0084760D" w:rsidRDefault="00B06162" w:rsidP="00B03431">
            <w:pPr>
              <w:pStyle w:val="Heading2"/>
              <w:numPr>
                <w:ilvl w:val="0"/>
                <w:numId w:val="0"/>
              </w:numPr>
              <w:spacing w:after="120" w:line="276" w:lineRule="auto"/>
              <w:ind w:left="57"/>
              <w:jc w:val="left"/>
              <w:rPr>
                <w:b/>
                <w:bCs/>
              </w:rPr>
            </w:pPr>
            <w:r>
              <w:rPr>
                <w:b/>
                <w:bCs/>
              </w:rPr>
              <w:t>Jaggaer Commercial Envelope</w:t>
            </w:r>
          </w:p>
        </w:tc>
      </w:tr>
      <w:tr w:rsidR="00187383" w:rsidRPr="0084760D" w14:paraId="7D32B3E2" w14:textId="77777777" w:rsidTr="00187383">
        <w:trPr>
          <w:trHeight w:val="246"/>
        </w:trPr>
        <w:tc>
          <w:tcPr>
            <w:tcW w:w="1828" w:type="dxa"/>
            <w:tcBorders>
              <w:top w:val="single" w:sz="12" w:space="0" w:color="000000"/>
              <w:left w:val="single" w:sz="12" w:space="0" w:color="000000"/>
              <w:bottom w:val="single" w:sz="4" w:space="0" w:color="000000"/>
              <w:right w:val="single" w:sz="4" w:space="0" w:color="000000"/>
            </w:tcBorders>
            <w:shd w:val="clear" w:color="auto" w:fill="FFFF99"/>
            <w:tcMar>
              <w:top w:w="7" w:type="dxa"/>
              <w:left w:w="7" w:type="dxa"/>
              <w:bottom w:w="0" w:type="dxa"/>
              <w:right w:w="7" w:type="dxa"/>
            </w:tcMar>
            <w:vAlign w:val="center"/>
            <w:hideMark/>
          </w:tcPr>
          <w:p w14:paraId="4EF5026A" w14:textId="77777777" w:rsidR="003216E4" w:rsidRPr="0084760D" w:rsidRDefault="003216E4" w:rsidP="00B03431">
            <w:pPr>
              <w:pStyle w:val="Heading2"/>
              <w:numPr>
                <w:ilvl w:val="0"/>
                <w:numId w:val="0"/>
              </w:numPr>
              <w:spacing w:after="120" w:line="276" w:lineRule="auto"/>
              <w:ind w:left="57"/>
              <w:jc w:val="left"/>
            </w:pPr>
            <w:r w:rsidRPr="0084760D">
              <w:rPr>
                <w:b/>
                <w:bCs/>
              </w:rPr>
              <w:t>Part A</w:t>
            </w:r>
            <w:r>
              <w:rPr>
                <w:b/>
                <w:bCs/>
              </w:rPr>
              <w:t>: Compliance</w:t>
            </w:r>
          </w:p>
        </w:tc>
        <w:tc>
          <w:tcPr>
            <w:tcW w:w="1766" w:type="dxa"/>
            <w:tcBorders>
              <w:top w:val="single" w:sz="12" w:space="0" w:color="000000"/>
              <w:left w:val="single" w:sz="4" w:space="0" w:color="000000"/>
              <w:bottom w:val="single" w:sz="4" w:space="0" w:color="000000"/>
              <w:right w:val="single" w:sz="4" w:space="0" w:color="000000"/>
            </w:tcBorders>
            <w:shd w:val="clear" w:color="auto" w:fill="FFFF99"/>
            <w:tcMar>
              <w:top w:w="7" w:type="dxa"/>
              <w:left w:w="7" w:type="dxa"/>
              <w:bottom w:w="0" w:type="dxa"/>
              <w:right w:w="7" w:type="dxa"/>
            </w:tcMar>
            <w:vAlign w:val="center"/>
            <w:hideMark/>
          </w:tcPr>
          <w:p w14:paraId="286A6FC1" w14:textId="77777777" w:rsidR="003216E4" w:rsidRPr="0084760D" w:rsidRDefault="003216E4" w:rsidP="00B03431">
            <w:pPr>
              <w:pStyle w:val="Heading2"/>
              <w:numPr>
                <w:ilvl w:val="0"/>
                <w:numId w:val="0"/>
              </w:numPr>
              <w:spacing w:after="120" w:line="276" w:lineRule="auto"/>
              <w:ind w:left="57"/>
              <w:jc w:val="left"/>
            </w:pPr>
            <w:r w:rsidRPr="0084760D">
              <w:rPr>
                <w:b/>
                <w:bCs/>
              </w:rPr>
              <w:t>Part B</w:t>
            </w:r>
            <w:r>
              <w:rPr>
                <w:b/>
                <w:bCs/>
              </w:rPr>
              <w:t xml:space="preserve">:  </w:t>
            </w:r>
            <w:r w:rsidRPr="0084760D">
              <w:rPr>
                <w:b/>
                <w:bCs/>
              </w:rPr>
              <w:t>Financia</w:t>
            </w:r>
            <w:r>
              <w:rPr>
                <w:b/>
                <w:bCs/>
              </w:rPr>
              <w:t>l &amp; Organisational Capability</w:t>
            </w:r>
          </w:p>
        </w:tc>
        <w:tc>
          <w:tcPr>
            <w:tcW w:w="2061" w:type="dxa"/>
            <w:tcBorders>
              <w:top w:val="single" w:sz="12" w:space="0" w:color="000000"/>
              <w:left w:val="single" w:sz="4" w:space="0" w:color="000000"/>
              <w:bottom w:val="single" w:sz="4" w:space="0" w:color="000000"/>
              <w:right w:val="single" w:sz="4" w:space="0" w:color="000000"/>
            </w:tcBorders>
            <w:shd w:val="clear" w:color="auto" w:fill="FFFF99"/>
            <w:tcMar>
              <w:top w:w="7" w:type="dxa"/>
              <w:left w:w="7" w:type="dxa"/>
              <w:bottom w:w="0" w:type="dxa"/>
              <w:right w:w="7" w:type="dxa"/>
            </w:tcMar>
            <w:vAlign w:val="center"/>
            <w:hideMark/>
          </w:tcPr>
          <w:p w14:paraId="164E1163" w14:textId="77777777" w:rsidR="003216E4" w:rsidRPr="0084760D" w:rsidRDefault="003216E4" w:rsidP="00B03431">
            <w:pPr>
              <w:pStyle w:val="Heading2"/>
              <w:numPr>
                <w:ilvl w:val="0"/>
                <w:numId w:val="0"/>
              </w:numPr>
              <w:spacing w:after="120" w:line="276" w:lineRule="auto"/>
              <w:ind w:left="57"/>
              <w:jc w:val="left"/>
            </w:pPr>
            <w:r w:rsidRPr="0084760D">
              <w:rPr>
                <w:b/>
                <w:bCs/>
              </w:rPr>
              <w:t>Part C</w:t>
            </w:r>
            <w:r>
              <w:t xml:space="preserve">: </w:t>
            </w:r>
            <w:r w:rsidRPr="009C273F">
              <w:rPr>
                <w:b/>
              </w:rPr>
              <w:t>D</w:t>
            </w:r>
            <w:r w:rsidRPr="009C273F">
              <w:rPr>
                <w:b/>
                <w:bCs/>
              </w:rPr>
              <w:t>el</w:t>
            </w:r>
            <w:r>
              <w:rPr>
                <w:b/>
                <w:bCs/>
              </w:rPr>
              <w:t>iverability &amp; Technical Capability</w:t>
            </w:r>
          </w:p>
        </w:tc>
        <w:tc>
          <w:tcPr>
            <w:tcW w:w="1843" w:type="dxa"/>
            <w:tcBorders>
              <w:top w:val="single" w:sz="12" w:space="0" w:color="000000"/>
              <w:left w:val="single" w:sz="4" w:space="0" w:color="000000"/>
              <w:bottom w:val="single" w:sz="4" w:space="0" w:color="000000"/>
              <w:right w:val="single" w:sz="4" w:space="0" w:color="000000"/>
            </w:tcBorders>
            <w:shd w:val="clear" w:color="auto" w:fill="FFFF99"/>
            <w:tcMar>
              <w:top w:w="7" w:type="dxa"/>
              <w:left w:w="7" w:type="dxa"/>
              <w:bottom w:w="0" w:type="dxa"/>
              <w:right w:w="7" w:type="dxa"/>
            </w:tcMar>
            <w:vAlign w:val="center"/>
            <w:hideMark/>
          </w:tcPr>
          <w:p w14:paraId="4BFDC760" w14:textId="77777777" w:rsidR="003216E4" w:rsidRPr="0084760D" w:rsidRDefault="003216E4" w:rsidP="00B03431">
            <w:pPr>
              <w:pStyle w:val="Heading2"/>
              <w:numPr>
                <w:ilvl w:val="0"/>
                <w:numId w:val="0"/>
              </w:numPr>
              <w:spacing w:after="120" w:line="276" w:lineRule="auto"/>
              <w:ind w:left="57"/>
              <w:jc w:val="left"/>
              <w:rPr>
                <w:b/>
                <w:bCs/>
              </w:rPr>
            </w:pPr>
            <w:r w:rsidRPr="0084760D">
              <w:rPr>
                <w:b/>
                <w:bCs/>
              </w:rPr>
              <w:t>Part D</w:t>
            </w:r>
            <w:r>
              <w:rPr>
                <w:b/>
                <w:bCs/>
              </w:rPr>
              <w:t>:           Budget Proposal(s)</w:t>
            </w:r>
          </w:p>
        </w:tc>
        <w:tc>
          <w:tcPr>
            <w:tcW w:w="1501" w:type="dxa"/>
            <w:tcBorders>
              <w:top w:val="single" w:sz="12" w:space="0" w:color="000000"/>
              <w:left w:val="single" w:sz="4" w:space="0" w:color="000000"/>
              <w:bottom w:val="single" w:sz="4" w:space="0" w:color="000000"/>
              <w:right w:val="single" w:sz="12" w:space="0" w:color="000000"/>
            </w:tcBorders>
            <w:shd w:val="clear" w:color="auto" w:fill="FFFF99"/>
            <w:tcMar>
              <w:top w:w="7" w:type="dxa"/>
              <w:left w:w="7" w:type="dxa"/>
              <w:bottom w:w="0" w:type="dxa"/>
              <w:right w:w="7" w:type="dxa"/>
            </w:tcMar>
            <w:vAlign w:val="center"/>
            <w:hideMark/>
          </w:tcPr>
          <w:p w14:paraId="61D6817E" w14:textId="77777777" w:rsidR="003216E4" w:rsidRPr="0084760D" w:rsidRDefault="003216E4" w:rsidP="00B03431">
            <w:pPr>
              <w:pStyle w:val="Heading2"/>
              <w:numPr>
                <w:ilvl w:val="0"/>
                <w:numId w:val="0"/>
              </w:numPr>
              <w:spacing w:after="120" w:line="276" w:lineRule="auto"/>
              <w:ind w:left="57"/>
              <w:jc w:val="left"/>
            </w:pPr>
            <w:r w:rsidRPr="0084760D">
              <w:rPr>
                <w:b/>
                <w:bCs/>
              </w:rPr>
              <w:t>Part E</w:t>
            </w:r>
            <w:r>
              <w:rPr>
                <w:b/>
                <w:bCs/>
              </w:rPr>
              <w:t>: Declarations</w:t>
            </w:r>
          </w:p>
        </w:tc>
      </w:tr>
      <w:tr w:rsidR="00187383" w:rsidRPr="0084760D" w14:paraId="76176689" w14:textId="77777777" w:rsidTr="00187383">
        <w:trPr>
          <w:trHeight w:val="3487"/>
        </w:trPr>
        <w:tc>
          <w:tcPr>
            <w:tcW w:w="1828" w:type="dxa"/>
            <w:tcBorders>
              <w:top w:val="single" w:sz="4" w:space="0" w:color="000000"/>
              <w:left w:val="single" w:sz="12" w:space="0" w:color="000000"/>
              <w:bottom w:val="single" w:sz="12" w:space="0" w:color="000000"/>
              <w:right w:val="single" w:sz="4" w:space="0" w:color="000000"/>
            </w:tcBorders>
            <w:shd w:val="clear" w:color="auto" w:fill="auto"/>
            <w:tcMar>
              <w:top w:w="7" w:type="dxa"/>
              <w:left w:w="7" w:type="dxa"/>
              <w:bottom w:w="0" w:type="dxa"/>
              <w:right w:w="7" w:type="dxa"/>
            </w:tcMar>
            <w:vAlign w:val="center"/>
            <w:hideMark/>
          </w:tcPr>
          <w:p w14:paraId="722194AC" w14:textId="1BF95237" w:rsidR="00087483" w:rsidRDefault="003216E4" w:rsidP="00B03431">
            <w:pPr>
              <w:pStyle w:val="Heading2"/>
              <w:numPr>
                <w:ilvl w:val="0"/>
                <w:numId w:val="0"/>
              </w:numPr>
              <w:spacing w:after="0" w:line="276" w:lineRule="auto"/>
              <w:ind w:left="57"/>
              <w:jc w:val="left"/>
              <w:rPr>
                <w:sz w:val="20"/>
              </w:rPr>
            </w:pPr>
            <w:r w:rsidRPr="005D2824">
              <w:rPr>
                <w:sz w:val="20"/>
              </w:rPr>
              <w:t xml:space="preserve">These are a mixture of 'for information administrative', and 'showstopper' questions; all </w:t>
            </w:r>
            <w:r w:rsidR="00C16282">
              <w:rPr>
                <w:sz w:val="20"/>
              </w:rPr>
              <w:t>are Pass/</w:t>
            </w:r>
            <w:r w:rsidR="00087483">
              <w:rPr>
                <w:sz w:val="20"/>
              </w:rPr>
              <w:t>Fail and</w:t>
            </w:r>
            <w:r w:rsidR="00592CCB">
              <w:rPr>
                <w:sz w:val="20"/>
              </w:rPr>
              <w:t xml:space="preserve"> </w:t>
            </w:r>
            <w:r w:rsidR="00187383">
              <w:rPr>
                <w:sz w:val="20"/>
              </w:rPr>
              <w:t xml:space="preserve">some </w:t>
            </w:r>
            <w:r w:rsidR="00C16282">
              <w:rPr>
                <w:sz w:val="20"/>
              </w:rPr>
              <w:t>are auto-scored to i</w:t>
            </w:r>
            <w:r w:rsidR="00592CCB">
              <w:rPr>
                <w:sz w:val="20"/>
              </w:rPr>
              <w:t xml:space="preserve">dentify those who fail a Showstopper question. </w:t>
            </w:r>
          </w:p>
          <w:p w14:paraId="087C7F24" w14:textId="77777777" w:rsidR="00087483" w:rsidRDefault="00087483" w:rsidP="00B03431">
            <w:pPr>
              <w:pStyle w:val="Heading2"/>
              <w:numPr>
                <w:ilvl w:val="0"/>
                <w:numId w:val="0"/>
              </w:numPr>
              <w:spacing w:after="0" w:line="276" w:lineRule="auto"/>
              <w:ind w:left="57"/>
              <w:jc w:val="left"/>
              <w:rPr>
                <w:sz w:val="20"/>
              </w:rPr>
            </w:pPr>
          </w:p>
          <w:p w14:paraId="1D2BE1A3" w14:textId="0D517184" w:rsidR="00D9615A" w:rsidRDefault="00087483" w:rsidP="00B03431">
            <w:pPr>
              <w:pStyle w:val="Heading2"/>
              <w:numPr>
                <w:ilvl w:val="0"/>
                <w:numId w:val="0"/>
              </w:numPr>
              <w:spacing w:after="0" w:line="276" w:lineRule="auto"/>
              <w:ind w:left="57"/>
              <w:jc w:val="left"/>
              <w:rPr>
                <w:sz w:val="20"/>
                <w:szCs w:val="24"/>
              </w:rPr>
            </w:pPr>
            <w:r>
              <w:rPr>
                <w:sz w:val="20"/>
              </w:rPr>
              <w:t xml:space="preserve">There are no scores </w:t>
            </w:r>
            <w:r w:rsidR="00592CCB">
              <w:rPr>
                <w:sz w:val="20"/>
              </w:rPr>
              <w:t>within this section</w:t>
            </w:r>
            <w:r w:rsidR="007F3C22">
              <w:rPr>
                <w:sz w:val="20"/>
              </w:rPr>
              <w:t>.</w:t>
            </w:r>
            <w:r w:rsidR="003216E4" w:rsidRPr="005D2824">
              <w:rPr>
                <w:sz w:val="20"/>
              </w:rPr>
              <w:t xml:space="preserve"> </w:t>
            </w:r>
          </w:p>
        </w:tc>
        <w:tc>
          <w:tcPr>
            <w:tcW w:w="1766" w:type="dxa"/>
            <w:tcBorders>
              <w:top w:val="single" w:sz="4" w:space="0" w:color="000000"/>
              <w:left w:val="single" w:sz="4" w:space="0" w:color="000000"/>
              <w:bottom w:val="single" w:sz="12" w:space="0" w:color="000000"/>
              <w:right w:val="single" w:sz="4" w:space="0" w:color="000000"/>
            </w:tcBorders>
            <w:shd w:val="clear" w:color="auto" w:fill="auto"/>
            <w:tcMar>
              <w:top w:w="7" w:type="dxa"/>
              <w:left w:w="7" w:type="dxa"/>
              <w:bottom w:w="0" w:type="dxa"/>
              <w:right w:w="7" w:type="dxa"/>
            </w:tcMar>
            <w:vAlign w:val="center"/>
            <w:hideMark/>
          </w:tcPr>
          <w:p w14:paraId="607AFA13" w14:textId="6E60CEEB" w:rsidR="00203BCE" w:rsidRPr="0006691F" w:rsidRDefault="00CE7E77" w:rsidP="0006691F">
            <w:pPr>
              <w:pStyle w:val="Heading2"/>
              <w:numPr>
                <w:ilvl w:val="0"/>
                <w:numId w:val="0"/>
              </w:numPr>
              <w:spacing w:after="0" w:line="276" w:lineRule="auto"/>
              <w:ind w:left="57"/>
              <w:jc w:val="left"/>
              <w:rPr>
                <w:sz w:val="20"/>
              </w:rPr>
            </w:pPr>
            <w:r w:rsidRPr="0006691F">
              <w:rPr>
                <w:sz w:val="20"/>
              </w:rPr>
              <w:t xml:space="preserve">These </w:t>
            </w:r>
            <w:r w:rsidR="00203BCE" w:rsidRPr="0006691F">
              <w:rPr>
                <w:sz w:val="20"/>
              </w:rPr>
              <w:t xml:space="preserve">are weighted and scored questions, and account for </w:t>
            </w:r>
            <w:r w:rsidR="00203BCE" w:rsidRPr="00390B42">
              <w:rPr>
                <w:sz w:val="20"/>
                <w:u w:val="single"/>
              </w:rPr>
              <w:t>20% of the final ranking score</w:t>
            </w:r>
            <w:r w:rsidR="00390B42">
              <w:rPr>
                <w:sz w:val="20"/>
                <w:u w:val="single"/>
              </w:rPr>
              <w:t>.</w:t>
            </w:r>
          </w:p>
          <w:p w14:paraId="68D89500" w14:textId="77777777" w:rsidR="00203BCE" w:rsidRPr="0006691F" w:rsidRDefault="00203BCE" w:rsidP="0006691F">
            <w:pPr>
              <w:spacing w:line="276" w:lineRule="auto"/>
              <w:ind w:left="57"/>
              <w:rPr>
                <w:rFonts w:eastAsia="STZhongsong"/>
                <w:sz w:val="20"/>
                <w:szCs w:val="20"/>
              </w:rPr>
            </w:pPr>
          </w:p>
          <w:p w14:paraId="377BD97F" w14:textId="3DCF8E8D" w:rsidR="00087483" w:rsidRPr="005D2824" w:rsidRDefault="00203BCE" w:rsidP="0006691F">
            <w:pPr>
              <w:pStyle w:val="Heading2"/>
              <w:numPr>
                <w:ilvl w:val="0"/>
                <w:numId w:val="0"/>
              </w:numPr>
              <w:spacing w:after="0" w:line="276" w:lineRule="auto"/>
              <w:ind w:left="57"/>
              <w:jc w:val="left"/>
              <w:rPr>
                <w:sz w:val="20"/>
              </w:rPr>
            </w:pPr>
            <w:r w:rsidRPr="0006691F">
              <w:rPr>
                <w:sz w:val="20"/>
              </w:rPr>
              <w:t>This section contains showstopper questions.</w:t>
            </w:r>
          </w:p>
        </w:tc>
        <w:tc>
          <w:tcPr>
            <w:tcW w:w="2061" w:type="dxa"/>
            <w:tcBorders>
              <w:top w:val="single" w:sz="4" w:space="0" w:color="000000"/>
              <w:left w:val="single" w:sz="4" w:space="0" w:color="000000"/>
              <w:bottom w:val="single" w:sz="12" w:space="0" w:color="000000"/>
              <w:right w:val="single" w:sz="4" w:space="0" w:color="000000"/>
            </w:tcBorders>
            <w:shd w:val="clear" w:color="auto" w:fill="auto"/>
            <w:tcMar>
              <w:top w:w="7" w:type="dxa"/>
              <w:left w:w="7" w:type="dxa"/>
              <w:bottom w:w="0" w:type="dxa"/>
              <w:right w:w="7" w:type="dxa"/>
            </w:tcMar>
            <w:vAlign w:val="center"/>
            <w:hideMark/>
          </w:tcPr>
          <w:p w14:paraId="5FA85EB2" w14:textId="73B5BF8E" w:rsidR="005D389B" w:rsidRPr="005D389B" w:rsidRDefault="003216E4" w:rsidP="00B03431">
            <w:pPr>
              <w:pStyle w:val="Heading2"/>
              <w:numPr>
                <w:ilvl w:val="0"/>
                <w:numId w:val="0"/>
              </w:numPr>
              <w:spacing w:after="0" w:line="276" w:lineRule="auto"/>
              <w:ind w:left="57"/>
              <w:jc w:val="left"/>
              <w:rPr>
                <w:bCs/>
                <w:sz w:val="20"/>
                <w:u w:val="single"/>
              </w:rPr>
            </w:pPr>
            <w:r w:rsidRPr="005D2824">
              <w:rPr>
                <w:sz w:val="20"/>
              </w:rPr>
              <w:t xml:space="preserve">These are scored </w:t>
            </w:r>
            <w:r w:rsidR="00187383">
              <w:rPr>
                <w:sz w:val="20"/>
              </w:rPr>
              <w:t>with weighting outlined within the online questionnaire (and replicated in the Evaluation Guidance)</w:t>
            </w:r>
            <w:r w:rsidRPr="005D2824">
              <w:rPr>
                <w:sz w:val="20"/>
              </w:rPr>
              <w:t xml:space="preserve">, and account for </w:t>
            </w:r>
            <w:r w:rsidR="006C3971" w:rsidRPr="00390B42">
              <w:rPr>
                <w:sz w:val="20"/>
                <w:u w:val="single"/>
              </w:rPr>
              <w:t>8</w:t>
            </w:r>
            <w:r w:rsidR="00CE7E77" w:rsidRPr="00390B42">
              <w:rPr>
                <w:sz w:val="20"/>
                <w:u w:val="single"/>
              </w:rPr>
              <w:t>0</w:t>
            </w:r>
            <w:r w:rsidRPr="00390B42">
              <w:rPr>
                <w:bCs/>
                <w:sz w:val="20"/>
                <w:u w:val="single"/>
              </w:rPr>
              <w:t xml:space="preserve">% of the </w:t>
            </w:r>
            <w:r w:rsidR="00087483" w:rsidRPr="00390B42">
              <w:rPr>
                <w:bCs/>
                <w:sz w:val="20"/>
                <w:u w:val="single"/>
              </w:rPr>
              <w:t xml:space="preserve">overall </w:t>
            </w:r>
            <w:r w:rsidR="005D389B" w:rsidRPr="00390B42">
              <w:rPr>
                <w:bCs/>
                <w:sz w:val="20"/>
                <w:u w:val="single"/>
              </w:rPr>
              <w:t>assessment.</w:t>
            </w:r>
            <w:r w:rsidR="005D389B" w:rsidRPr="005D389B">
              <w:rPr>
                <w:bCs/>
                <w:sz w:val="20"/>
                <w:u w:val="single"/>
              </w:rPr>
              <w:t xml:space="preserve"> </w:t>
            </w:r>
          </w:p>
          <w:p w14:paraId="63E0210A" w14:textId="77777777" w:rsidR="005D389B" w:rsidRPr="005D389B" w:rsidRDefault="005D389B" w:rsidP="00B03431">
            <w:pPr>
              <w:pStyle w:val="Heading2"/>
              <w:numPr>
                <w:ilvl w:val="0"/>
                <w:numId w:val="0"/>
              </w:numPr>
              <w:spacing w:after="0" w:line="276" w:lineRule="auto"/>
              <w:ind w:left="57"/>
              <w:jc w:val="left"/>
              <w:rPr>
                <w:bCs/>
                <w:sz w:val="20"/>
                <w:u w:val="single"/>
              </w:rPr>
            </w:pPr>
          </w:p>
          <w:p w14:paraId="2553A838" w14:textId="13C4585F" w:rsidR="003216E4" w:rsidRPr="005D2824" w:rsidRDefault="00187383" w:rsidP="00B03431">
            <w:pPr>
              <w:pStyle w:val="Heading2"/>
              <w:numPr>
                <w:ilvl w:val="0"/>
                <w:numId w:val="0"/>
              </w:numPr>
              <w:spacing w:after="0" w:line="276" w:lineRule="auto"/>
              <w:ind w:left="57"/>
              <w:jc w:val="left"/>
              <w:rPr>
                <w:sz w:val="20"/>
              </w:rPr>
            </w:pPr>
            <w:r w:rsidRPr="008011C3">
              <w:rPr>
                <w:b/>
                <w:bCs/>
                <w:sz w:val="20"/>
                <w:u w:val="single"/>
              </w:rPr>
              <w:t xml:space="preserve">Note </w:t>
            </w:r>
            <w:r w:rsidR="005D389B" w:rsidRPr="008011C3">
              <w:rPr>
                <w:b/>
                <w:bCs/>
                <w:sz w:val="20"/>
                <w:u w:val="single"/>
              </w:rPr>
              <w:t xml:space="preserve">Bidders must </w:t>
            </w:r>
            <w:r w:rsidRPr="008011C3">
              <w:rPr>
                <w:b/>
                <w:bCs/>
                <w:sz w:val="20"/>
                <w:u w:val="single"/>
              </w:rPr>
              <w:t xml:space="preserve">attain an overall pass mark </w:t>
            </w:r>
            <w:r w:rsidR="0087110D" w:rsidRPr="008011C3">
              <w:rPr>
                <w:b/>
                <w:bCs/>
                <w:sz w:val="20"/>
                <w:u w:val="single"/>
              </w:rPr>
              <w:t>of 60</w:t>
            </w:r>
            <w:r w:rsidR="00C84454" w:rsidRPr="008011C3">
              <w:rPr>
                <w:b/>
                <w:bCs/>
                <w:sz w:val="20"/>
                <w:u w:val="single"/>
              </w:rPr>
              <w:t xml:space="preserve">% </w:t>
            </w:r>
            <w:r w:rsidR="005D389B" w:rsidRPr="008011C3">
              <w:rPr>
                <w:b/>
                <w:bCs/>
                <w:sz w:val="20"/>
                <w:u w:val="single"/>
              </w:rPr>
              <w:t>in</w:t>
            </w:r>
            <w:r w:rsidR="0036500E">
              <w:rPr>
                <w:b/>
                <w:bCs/>
                <w:sz w:val="20"/>
                <w:u w:val="single"/>
              </w:rPr>
              <w:t xml:space="preserve"> </w:t>
            </w:r>
            <w:r w:rsidR="005D389B" w:rsidRPr="008011C3">
              <w:rPr>
                <w:b/>
                <w:bCs/>
                <w:sz w:val="20"/>
                <w:u w:val="single"/>
              </w:rPr>
              <w:t xml:space="preserve">order to </w:t>
            </w:r>
            <w:r w:rsidRPr="008011C3">
              <w:rPr>
                <w:b/>
                <w:bCs/>
                <w:sz w:val="20"/>
                <w:u w:val="single"/>
              </w:rPr>
              <w:t>remain in the competition</w:t>
            </w:r>
            <w:r w:rsidR="007F3C22" w:rsidRPr="008011C3">
              <w:rPr>
                <w:b/>
                <w:bCs/>
                <w:sz w:val="20"/>
                <w:u w:val="single"/>
              </w:rPr>
              <w:t>.</w:t>
            </w:r>
            <w:r w:rsidR="007F3C22">
              <w:rPr>
                <w:b/>
                <w:bCs/>
                <w:sz w:val="20"/>
                <w:u w:val="single"/>
              </w:rPr>
              <w:t xml:space="preserve"> </w:t>
            </w: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7" w:type="dxa"/>
              <w:left w:w="7" w:type="dxa"/>
              <w:bottom w:w="0" w:type="dxa"/>
              <w:right w:w="7" w:type="dxa"/>
            </w:tcMar>
            <w:vAlign w:val="center"/>
            <w:hideMark/>
          </w:tcPr>
          <w:p w14:paraId="006C9258" w14:textId="5AEFE115" w:rsidR="00087483" w:rsidRDefault="00087483" w:rsidP="00B03431">
            <w:pPr>
              <w:pStyle w:val="Heading2"/>
              <w:numPr>
                <w:ilvl w:val="0"/>
                <w:numId w:val="0"/>
              </w:numPr>
              <w:spacing w:after="0" w:line="276" w:lineRule="auto"/>
              <w:ind w:left="57"/>
              <w:jc w:val="left"/>
              <w:rPr>
                <w:sz w:val="20"/>
              </w:rPr>
            </w:pPr>
            <w:r>
              <w:rPr>
                <w:sz w:val="20"/>
              </w:rPr>
              <w:t xml:space="preserve">This is where the budget toolkit should be uploaded. The toolkit carries a </w:t>
            </w:r>
            <w:r w:rsidR="003216E4" w:rsidRPr="005D2824">
              <w:rPr>
                <w:sz w:val="20"/>
              </w:rPr>
              <w:t>weighting of ‘</w:t>
            </w:r>
            <w:r w:rsidRPr="005D2824">
              <w:rPr>
                <w:sz w:val="20"/>
              </w:rPr>
              <w:t>zero’</w:t>
            </w:r>
            <w:r>
              <w:rPr>
                <w:sz w:val="20"/>
              </w:rPr>
              <w:t xml:space="preserve">. </w:t>
            </w:r>
          </w:p>
          <w:p w14:paraId="3F9ACC94" w14:textId="77777777" w:rsidR="00087483" w:rsidRDefault="00087483" w:rsidP="00B03431">
            <w:pPr>
              <w:pStyle w:val="Heading2"/>
              <w:numPr>
                <w:ilvl w:val="0"/>
                <w:numId w:val="0"/>
              </w:numPr>
              <w:spacing w:after="0" w:line="276" w:lineRule="auto"/>
              <w:ind w:left="57"/>
              <w:jc w:val="left"/>
              <w:rPr>
                <w:sz w:val="20"/>
              </w:rPr>
            </w:pPr>
          </w:p>
          <w:p w14:paraId="02A571E4" w14:textId="77777777" w:rsidR="00087483" w:rsidRDefault="0083310B" w:rsidP="00B03431">
            <w:pPr>
              <w:pStyle w:val="Heading2"/>
              <w:numPr>
                <w:ilvl w:val="0"/>
                <w:numId w:val="0"/>
              </w:numPr>
              <w:spacing w:after="0" w:line="276" w:lineRule="auto"/>
              <w:ind w:left="57"/>
              <w:jc w:val="left"/>
              <w:rPr>
                <w:sz w:val="20"/>
              </w:rPr>
            </w:pPr>
            <w:r>
              <w:rPr>
                <w:sz w:val="20"/>
              </w:rPr>
              <w:t xml:space="preserve">Budget proposals </w:t>
            </w:r>
            <w:r w:rsidR="003216E4" w:rsidRPr="005D2824">
              <w:rPr>
                <w:sz w:val="20"/>
              </w:rPr>
              <w:t>will be assessed for robustness, clarity and value</w:t>
            </w:r>
            <w:r w:rsidR="00087483">
              <w:rPr>
                <w:sz w:val="20"/>
              </w:rPr>
              <w:t xml:space="preserve"> </w:t>
            </w:r>
          </w:p>
          <w:p w14:paraId="7720E41C" w14:textId="77777777" w:rsidR="00087483" w:rsidRDefault="00087483" w:rsidP="00B03431">
            <w:pPr>
              <w:pStyle w:val="Heading2"/>
              <w:numPr>
                <w:ilvl w:val="0"/>
                <w:numId w:val="0"/>
              </w:numPr>
              <w:spacing w:after="0" w:line="276" w:lineRule="auto"/>
              <w:ind w:left="57"/>
              <w:jc w:val="left"/>
              <w:rPr>
                <w:sz w:val="20"/>
              </w:rPr>
            </w:pPr>
          </w:p>
          <w:p w14:paraId="15691FF9" w14:textId="200EE982" w:rsidR="003216E4" w:rsidRPr="005D2824" w:rsidRDefault="00087483" w:rsidP="00B03431">
            <w:pPr>
              <w:pStyle w:val="Heading2"/>
              <w:numPr>
                <w:ilvl w:val="0"/>
                <w:numId w:val="0"/>
              </w:numPr>
              <w:spacing w:after="0" w:line="276" w:lineRule="auto"/>
              <w:ind w:left="57"/>
              <w:jc w:val="left"/>
              <w:rPr>
                <w:sz w:val="20"/>
              </w:rPr>
            </w:pPr>
            <w:r>
              <w:rPr>
                <w:sz w:val="20"/>
              </w:rPr>
              <w:t>There are no scores within this section</w:t>
            </w:r>
            <w:r w:rsidR="007F3C22">
              <w:rPr>
                <w:sz w:val="20"/>
              </w:rPr>
              <w:t>.</w:t>
            </w:r>
            <w:r w:rsidR="003216E4" w:rsidRPr="005D2824">
              <w:rPr>
                <w:sz w:val="20"/>
              </w:rPr>
              <w:br/>
            </w:r>
            <w:r w:rsidR="003216E4" w:rsidRPr="005D2824">
              <w:rPr>
                <w:sz w:val="20"/>
              </w:rPr>
              <w:br/>
            </w:r>
          </w:p>
        </w:tc>
        <w:tc>
          <w:tcPr>
            <w:tcW w:w="1501" w:type="dxa"/>
            <w:tcBorders>
              <w:top w:val="single" w:sz="4" w:space="0" w:color="000000"/>
              <w:left w:val="single" w:sz="4" w:space="0" w:color="000000"/>
              <w:bottom w:val="single" w:sz="12" w:space="0" w:color="000000"/>
              <w:right w:val="single" w:sz="12" w:space="0" w:color="000000"/>
            </w:tcBorders>
            <w:shd w:val="clear" w:color="auto" w:fill="auto"/>
            <w:tcMar>
              <w:top w:w="7" w:type="dxa"/>
              <w:left w:w="7" w:type="dxa"/>
              <w:bottom w:w="0" w:type="dxa"/>
              <w:right w:w="7" w:type="dxa"/>
            </w:tcMar>
            <w:vAlign w:val="center"/>
            <w:hideMark/>
          </w:tcPr>
          <w:p w14:paraId="03D65140" w14:textId="77777777" w:rsidR="00087483" w:rsidRDefault="003216E4" w:rsidP="00B03431">
            <w:pPr>
              <w:pStyle w:val="Heading2"/>
              <w:numPr>
                <w:ilvl w:val="0"/>
                <w:numId w:val="0"/>
              </w:numPr>
              <w:spacing w:after="0" w:line="276" w:lineRule="auto"/>
              <w:ind w:left="57"/>
              <w:jc w:val="left"/>
              <w:rPr>
                <w:sz w:val="20"/>
              </w:rPr>
            </w:pPr>
            <w:r w:rsidRPr="005D2824">
              <w:rPr>
                <w:sz w:val="20"/>
              </w:rPr>
              <w:t>These are all showstopper statements, each with a ‘zero’ weighting</w:t>
            </w:r>
            <w:r w:rsidR="00C16282">
              <w:rPr>
                <w:sz w:val="20"/>
              </w:rPr>
              <w:t>. Again, all are Pass/Fail questions</w:t>
            </w:r>
            <w:r w:rsidR="00087483">
              <w:rPr>
                <w:sz w:val="20"/>
              </w:rPr>
              <w:t xml:space="preserve">. </w:t>
            </w:r>
          </w:p>
          <w:p w14:paraId="6F63F450" w14:textId="77777777" w:rsidR="00087483" w:rsidRDefault="00087483" w:rsidP="00B03431">
            <w:pPr>
              <w:pStyle w:val="Heading2"/>
              <w:numPr>
                <w:ilvl w:val="0"/>
                <w:numId w:val="0"/>
              </w:numPr>
              <w:spacing w:after="0" w:line="276" w:lineRule="auto"/>
              <w:ind w:left="57"/>
              <w:jc w:val="left"/>
              <w:rPr>
                <w:sz w:val="20"/>
              </w:rPr>
            </w:pPr>
          </w:p>
          <w:p w14:paraId="7CFC4CB3" w14:textId="540B7737" w:rsidR="003216E4" w:rsidRPr="005D2824" w:rsidRDefault="00087483" w:rsidP="00B03431">
            <w:pPr>
              <w:pStyle w:val="Heading2"/>
              <w:numPr>
                <w:ilvl w:val="0"/>
                <w:numId w:val="0"/>
              </w:numPr>
              <w:spacing w:after="0" w:line="276" w:lineRule="auto"/>
              <w:ind w:left="57"/>
              <w:jc w:val="left"/>
              <w:rPr>
                <w:sz w:val="20"/>
              </w:rPr>
            </w:pPr>
            <w:r>
              <w:rPr>
                <w:sz w:val="20"/>
              </w:rPr>
              <w:t>There are no scores within this section</w:t>
            </w:r>
            <w:r w:rsidR="003216E4" w:rsidRPr="005D2824">
              <w:rPr>
                <w:sz w:val="20"/>
              </w:rPr>
              <w:t xml:space="preserve"> </w:t>
            </w:r>
          </w:p>
        </w:tc>
      </w:tr>
    </w:tbl>
    <w:p w14:paraId="7AC58B2E" w14:textId="77777777" w:rsidR="003216E4" w:rsidRPr="00D52688" w:rsidRDefault="003216E4" w:rsidP="00B03431">
      <w:pPr>
        <w:pStyle w:val="Heading2"/>
        <w:numPr>
          <w:ilvl w:val="0"/>
          <w:numId w:val="0"/>
        </w:numPr>
        <w:spacing w:line="276" w:lineRule="auto"/>
      </w:pPr>
    </w:p>
    <w:p w14:paraId="077955D5" w14:textId="2968DA29" w:rsidR="003216E4" w:rsidRDefault="003216E4" w:rsidP="00B03431">
      <w:pPr>
        <w:pStyle w:val="Heading2"/>
        <w:spacing w:line="276" w:lineRule="auto"/>
      </w:pPr>
      <w:r w:rsidRPr="00D52688">
        <w:t>Only those questions in</w:t>
      </w:r>
      <w:r w:rsidR="00362C0A">
        <w:t xml:space="preserve"> Part B (20%) and </w:t>
      </w:r>
      <w:r w:rsidRPr="00D52688">
        <w:t>Part</w:t>
      </w:r>
      <w:r w:rsidR="00CE7E77">
        <w:t xml:space="preserve"> </w:t>
      </w:r>
      <w:r w:rsidR="006D776A">
        <w:t>C</w:t>
      </w:r>
      <w:r w:rsidR="00C526C2">
        <w:t xml:space="preserve"> </w:t>
      </w:r>
      <w:r w:rsidRPr="00D52688">
        <w:t xml:space="preserve">carry a </w:t>
      </w:r>
      <w:r w:rsidRPr="00390B42">
        <w:t>weighting (</w:t>
      </w:r>
      <w:r w:rsidR="00390B42" w:rsidRPr="00390B42">
        <w:t>80</w:t>
      </w:r>
      <w:r w:rsidRPr="00390B42">
        <w:t>%), and</w:t>
      </w:r>
      <w:r w:rsidR="00995612" w:rsidRPr="00390B42">
        <w:t xml:space="preserve"> assessment of this section </w:t>
      </w:r>
      <w:r w:rsidR="00187383" w:rsidRPr="00390B42">
        <w:t>carries the weighting defined in the online questionnaire</w:t>
      </w:r>
      <w:r w:rsidR="00187383">
        <w:t xml:space="preserve"> and will be scored against the evaluation criteria</w:t>
      </w:r>
      <w:r w:rsidR="00995612">
        <w:t>.</w:t>
      </w:r>
    </w:p>
    <w:p w14:paraId="54DE7211" w14:textId="611B4632" w:rsidR="00EE01A0" w:rsidRDefault="00EE01A0" w:rsidP="00B03431">
      <w:pPr>
        <w:pStyle w:val="Heading2"/>
        <w:spacing w:line="276" w:lineRule="auto"/>
      </w:pPr>
      <w:r>
        <w:t xml:space="preserve">Please note that </w:t>
      </w:r>
      <w:r w:rsidR="00CE7E77">
        <w:t xml:space="preserve">whilst </w:t>
      </w:r>
      <w:r w:rsidR="009E2196">
        <w:t>other envelopes (outlined in the Evaluation Guidance</w:t>
      </w:r>
      <w:r w:rsidR="001000C0">
        <w:t>)</w:t>
      </w:r>
      <w:r w:rsidR="009E2196">
        <w:t xml:space="preserve"> as p</w:t>
      </w:r>
      <w:r>
        <w:t>art</w:t>
      </w:r>
      <w:r w:rsidR="009E2196">
        <w:t>s</w:t>
      </w:r>
      <w:r w:rsidR="00AC6602">
        <w:t xml:space="preserve"> </w:t>
      </w:r>
      <w:r w:rsidR="005D389B">
        <w:t xml:space="preserve">A, </w:t>
      </w:r>
      <w:r w:rsidR="006761E0">
        <w:t>D</w:t>
      </w:r>
      <w:r w:rsidR="00243B14">
        <w:t xml:space="preserve"> </w:t>
      </w:r>
      <w:r w:rsidR="005D389B">
        <w:t xml:space="preserve">and E </w:t>
      </w:r>
      <w:r w:rsidR="00CE7E77">
        <w:t>carr</w:t>
      </w:r>
      <w:r w:rsidR="00995612">
        <w:t>y</w:t>
      </w:r>
      <w:r w:rsidR="00CE7E77">
        <w:t xml:space="preserve"> no score it is vital Bidders pay due attention because the </w:t>
      </w:r>
      <w:r w:rsidR="005D389B">
        <w:t xml:space="preserve">responses </w:t>
      </w:r>
      <w:r w:rsidR="00CE7E77">
        <w:t xml:space="preserve">each Bidder </w:t>
      </w:r>
      <w:r w:rsidR="005D389B">
        <w:t xml:space="preserve">submits </w:t>
      </w:r>
      <w:r w:rsidR="00CE7E77">
        <w:t>will be assessed and considered before any grant funding is awarded.</w:t>
      </w:r>
    </w:p>
    <w:p w14:paraId="479E0D43" w14:textId="632B63CE" w:rsidR="009263DF" w:rsidRDefault="00826388" w:rsidP="00B03431">
      <w:pPr>
        <w:pStyle w:val="Heading1"/>
        <w:spacing w:line="276" w:lineRule="auto"/>
      </w:pPr>
      <w:bookmarkStart w:id="33" w:name="_Toc31094944"/>
      <w:r>
        <w:t xml:space="preserve">AWARD </w:t>
      </w:r>
      <w:r w:rsidR="009263DF">
        <w:t>strategy</w:t>
      </w:r>
      <w:bookmarkEnd w:id="33"/>
      <w:r w:rsidR="009263DF">
        <w:t xml:space="preserve"> </w:t>
      </w:r>
    </w:p>
    <w:p w14:paraId="2A84F66B" w14:textId="4579E2A3" w:rsidR="00E0683D" w:rsidRPr="004C6306" w:rsidRDefault="00826388" w:rsidP="00B03431">
      <w:pPr>
        <w:pStyle w:val="Heading2"/>
        <w:spacing w:line="276" w:lineRule="auto"/>
      </w:pPr>
      <w:r>
        <w:t xml:space="preserve">This grant funding will be paid as specified in the Grant Agreement and will commence from the start date </w:t>
      </w:r>
      <w:r w:rsidRPr="006234DF">
        <w:t>1/</w:t>
      </w:r>
      <w:r w:rsidR="00001FC1" w:rsidRPr="006234DF">
        <w:t>1</w:t>
      </w:r>
      <w:r w:rsidR="006234DF" w:rsidRPr="006234DF">
        <w:t>1</w:t>
      </w:r>
      <w:r w:rsidRPr="006234DF">
        <w:t>/202</w:t>
      </w:r>
      <w:r w:rsidR="00001FC1" w:rsidRPr="006234DF">
        <w:t>2</w:t>
      </w:r>
      <w:r w:rsidR="003E0375">
        <w:t xml:space="preserve"> until </w:t>
      </w:r>
      <w:r w:rsidR="009F05FB">
        <w:t>31/3/2025</w:t>
      </w:r>
      <w:r w:rsidRPr="006234DF">
        <w:t>.</w:t>
      </w:r>
      <w:r>
        <w:t xml:space="preserve"> </w:t>
      </w:r>
    </w:p>
    <w:p w14:paraId="56C5F634" w14:textId="2391CC68" w:rsidR="00826388" w:rsidRPr="00B47BFE" w:rsidRDefault="00BF0729" w:rsidP="00B03431">
      <w:pPr>
        <w:pStyle w:val="Heading2"/>
        <w:spacing w:line="276" w:lineRule="auto"/>
        <w:rPr>
          <w:b/>
          <w:bCs/>
        </w:rPr>
      </w:pPr>
      <w:r>
        <w:t xml:space="preserve">The </w:t>
      </w:r>
      <w:r w:rsidR="00826388">
        <w:t xml:space="preserve">funding </w:t>
      </w:r>
      <w:r w:rsidR="00F7683B">
        <w:t xml:space="preserve">is contained within the </w:t>
      </w:r>
      <w:r w:rsidR="00826388">
        <w:t>20</w:t>
      </w:r>
      <w:r w:rsidR="00F576E7">
        <w:t>2</w:t>
      </w:r>
      <w:r w:rsidR="00001FC1">
        <w:t>2</w:t>
      </w:r>
      <w:r w:rsidR="00826388">
        <w:t>-2</w:t>
      </w:r>
      <w:r w:rsidR="00001FC1">
        <w:t>5</w:t>
      </w:r>
      <w:r w:rsidR="00826388">
        <w:t xml:space="preserve"> financial year</w:t>
      </w:r>
      <w:r w:rsidR="00B1460B">
        <w:t>s</w:t>
      </w:r>
      <w:r w:rsidR="00826388">
        <w:t xml:space="preserve"> (FY). </w:t>
      </w:r>
      <w:r w:rsidR="00F576E7">
        <w:t xml:space="preserve">The </w:t>
      </w:r>
      <w:r w:rsidR="00826388">
        <w:t xml:space="preserve">allocation </w:t>
      </w:r>
      <w:r w:rsidR="00EE106F">
        <w:t xml:space="preserve">agreed for each financial year </w:t>
      </w:r>
      <w:r w:rsidR="00826388">
        <w:t>cannot be transferred into the next FY and therefore al</w:t>
      </w:r>
      <w:r w:rsidR="004C19E5">
        <w:t>l</w:t>
      </w:r>
      <w:r w:rsidR="00826388">
        <w:t xml:space="preserve"> funding must be spent within the respective FY.</w:t>
      </w:r>
    </w:p>
    <w:p w14:paraId="7DD4D676" w14:textId="3145F5F9" w:rsidR="00B47BFE" w:rsidRPr="00826388" w:rsidRDefault="00B47BFE" w:rsidP="00B03431">
      <w:pPr>
        <w:pStyle w:val="Heading2"/>
        <w:spacing w:line="276" w:lineRule="auto"/>
        <w:rPr>
          <w:b/>
          <w:bCs/>
        </w:rPr>
      </w:pPr>
      <w:r>
        <w:t xml:space="preserve">For each award of funding there will be a separate Grant Agreement. </w:t>
      </w:r>
    </w:p>
    <w:p w14:paraId="49EE2AD5" w14:textId="59646A40" w:rsidR="00BF0729" w:rsidRPr="00D931F7" w:rsidRDefault="00826388" w:rsidP="00B03431">
      <w:pPr>
        <w:pStyle w:val="Heading2"/>
        <w:spacing w:line="276" w:lineRule="auto"/>
        <w:rPr>
          <w:b/>
          <w:bCs/>
        </w:rPr>
      </w:pPr>
      <w:r>
        <w:t xml:space="preserve">The funding is </w:t>
      </w:r>
      <w:r w:rsidR="00BF0729">
        <w:t xml:space="preserve">vitally important in supporting the achievement of our outcomes. </w:t>
      </w:r>
      <w:r w:rsidR="00BF0729" w:rsidRPr="00D931F7">
        <w:t xml:space="preserve">Specifically, </w:t>
      </w:r>
      <w:r w:rsidRPr="00D931F7">
        <w:t xml:space="preserve">to </w:t>
      </w:r>
      <w:r w:rsidR="00BF0729" w:rsidRPr="00D931F7">
        <w:t>support</w:t>
      </w:r>
      <w:r w:rsidRPr="00D931F7">
        <w:t xml:space="preserve"> </w:t>
      </w:r>
      <w:r w:rsidR="00BF0729" w:rsidRPr="00D931F7">
        <w:t>the following high-level outcomes:</w:t>
      </w:r>
    </w:p>
    <w:p w14:paraId="2C1D06B2" w14:textId="77777777" w:rsidR="008E22CE" w:rsidRPr="008E22CE" w:rsidRDefault="008E22CE" w:rsidP="00B03431">
      <w:pPr>
        <w:pStyle w:val="Heading3"/>
        <w:spacing w:line="276" w:lineRule="auto"/>
        <w:ind w:left="1361" w:hanging="1077"/>
        <w:rPr>
          <w:bCs/>
        </w:rPr>
      </w:pPr>
      <w:r w:rsidRPr="008E22CE">
        <w:rPr>
          <w:rFonts w:eastAsia="Arial" w:cs="Arial"/>
        </w:rPr>
        <w:t xml:space="preserve">Trialling innovative approaches on what works to tackle modern slavery internationally. </w:t>
      </w:r>
    </w:p>
    <w:p w14:paraId="1A5ED70D" w14:textId="77777777" w:rsidR="00D15C13" w:rsidRDefault="00D15C13" w:rsidP="00D931F7">
      <w:pPr>
        <w:pStyle w:val="Heading3"/>
        <w:spacing w:line="276" w:lineRule="auto"/>
        <w:ind w:left="1361" w:hanging="1077"/>
        <w:rPr>
          <w:rFonts w:eastAsia="Arial" w:cs="Arial"/>
        </w:rPr>
      </w:pPr>
      <w:r w:rsidRPr="00D15C13">
        <w:rPr>
          <w:rFonts w:eastAsia="Arial" w:cs="Arial"/>
        </w:rPr>
        <w:t>Preventing modern slavery by reducing the vulnerability to victimisation or offending in countries that feature highly in the UK National Referral Mechanism or transit countries along trafficking routes to the UK.</w:t>
      </w:r>
    </w:p>
    <w:p w14:paraId="678D1AC0" w14:textId="77777777" w:rsidR="00A221D8" w:rsidRPr="00A221D8" w:rsidRDefault="00A221D8" w:rsidP="00A221D8">
      <w:pPr>
        <w:pStyle w:val="Heading3"/>
        <w:spacing w:line="276" w:lineRule="auto"/>
        <w:ind w:left="1361" w:hanging="1077"/>
        <w:rPr>
          <w:bCs/>
        </w:rPr>
      </w:pPr>
      <w:r w:rsidRPr="00A221D8">
        <w:rPr>
          <w:rFonts w:eastAsia="Arial" w:cs="Arial"/>
        </w:rPr>
        <w:t>Strengthening partnerships to prevent and remedy modern slavery in supply chains, which will require either a geographic link with countries that are a high risk of modern slavery in UK Government procurement, or a public-private sector partnership linked to UK supply chains.</w:t>
      </w:r>
    </w:p>
    <w:p w14:paraId="2D7CC2B9" w14:textId="4294F523" w:rsidR="00BF0729" w:rsidRPr="00791822" w:rsidRDefault="00BF0729" w:rsidP="00791822">
      <w:pPr>
        <w:pStyle w:val="Heading2"/>
        <w:rPr>
          <w:bCs/>
        </w:rPr>
      </w:pPr>
      <w:r>
        <w:t xml:space="preserve">Each bid will be evaluated </w:t>
      </w:r>
      <w:r w:rsidRPr="00F62936">
        <w:t>on its own</w:t>
      </w:r>
      <w:r>
        <w:t xml:space="preserve"> technical</w:t>
      </w:r>
      <w:r w:rsidRPr="00F62936">
        <w:t xml:space="preserve"> merit</w:t>
      </w:r>
      <w:r w:rsidR="00F576E7">
        <w:t>, against the criteria specified in the questionnaire</w:t>
      </w:r>
      <w:r>
        <w:t>.</w:t>
      </w:r>
    </w:p>
    <w:p w14:paraId="264711B2" w14:textId="77777777" w:rsidR="00BF0729" w:rsidRPr="00B806EB" w:rsidRDefault="00BF0729" w:rsidP="00B03431">
      <w:pPr>
        <w:pStyle w:val="Heading2"/>
        <w:spacing w:line="276" w:lineRule="auto"/>
      </w:pPr>
      <w:r>
        <w:t xml:space="preserve">By electing to respond to this tender, you are hereby accepting the mechanism adopted by the Authority in awarding funding. </w:t>
      </w:r>
    </w:p>
    <w:p w14:paraId="0F7E8F04" w14:textId="77777777" w:rsidR="00721655" w:rsidRDefault="00721655" w:rsidP="00B03431">
      <w:pPr>
        <w:pStyle w:val="Heading1"/>
        <w:spacing w:line="276" w:lineRule="auto"/>
      </w:pPr>
      <w:bookmarkStart w:id="34" w:name="_Toc531018424"/>
      <w:bookmarkStart w:id="35" w:name="_Toc531018532"/>
      <w:bookmarkStart w:id="36" w:name="_Toc31094945"/>
      <w:bookmarkEnd w:id="34"/>
      <w:bookmarkEnd w:id="35"/>
      <w:r>
        <w:t>Assessment Process</w:t>
      </w:r>
      <w:bookmarkEnd w:id="36"/>
      <w:r w:rsidR="00E0683D">
        <w:t xml:space="preserve"> </w:t>
      </w:r>
    </w:p>
    <w:p w14:paraId="52E6B196" w14:textId="351D7CFC" w:rsidR="003D4E3F" w:rsidRDefault="00B47BFE" w:rsidP="00B03431">
      <w:pPr>
        <w:pStyle w:val="Heading2"/>
        <w:spacing w:line="276" w:lineRule="auto"/>
      </w:pPr>
      <w:r>
        <w:t>Th</w:t>
      </w:r>
      <w:r w:rsidR="00721655">
        <w:t>e</w:t>
      </w:r>
      <w:r w:rsidR="003D4E3F">
        <w:t xml:space="preserve"> following explains how the assessment process of (any) opened bid will be conducted.</w:t>
      </w:r>
    </w:p>
    <w:p w14:paraId="05414C85" w14:textId="7EDE16FC" w:rsidR="00721655" w:rsidRDefault="00791822" w:rsidP="00B03431">
      <w:pPr>
        <w:pStyle w:val="Heading2"/>
        <w:spacing w:line="276" w:lineRule="auto"/>
      </w:pPr>
      <w:r>
        <w:t xml:space="preserve">The </w:t>
      </w:r>
      <w:r w:rsidR="00721655">
        <w:t xml:space="preserve">Authority will initially examine </w:t>
      </w:r>
      <w:r w:rsidR="00B47BFE">
        <w:t xml:space="preserve">each </w:t>
      </w:r>
      <w:r w:rsidR="003D4E3F">
        <w:t xml:space="preserve">opened </w:t>
      </w:r>
      <w:r w:rsidR="00B47BFE">
        <w:t xml:space="preserve">bid submission </w:t>
      </w:r>
      <w:r w:rsidR="00721655">
        <w:t xml:space="preserve">for compliance and completeness and may seek clarification where necessary. Prior to detailed examination, the Authority will determine whether a bid substantially fulfils the conditions in the Call for Proposals documents. </w:t>
      </w:r>
    </w:p>
    <w:p w14:paraId="35214968" w14:textId="3EC52EF0" w:rsidR="00F67CE2" w:rsidRDefault="00663C07" w:rsidP="00B03431">
      <w:pPr>
        <w:pStyle w:val="Heading2"/>
        <w:spacing w:line="276" w:lineRule="auto"/>
      </w:pPr>
      <w:r>
        <w:t xml:space="preserve">If during this stage of the assessment it is apparent that requested attachments are missing from the Bidder’s response, the Authority </w:t>
      </w:r>
      <w:r w:rsidRPr="00721655">
        <w:rPr>
          <w:b/>
        </w:rPr>
        <w:t>may</w:t>
      </w:r>
      <w:r>
        <w:t xml:space="preserve"> take the decision to allow the late submission of the required attachments. If this be the case, the Bidder will be advised of the missing attachments </w:t>
      </w:r>
      <w:r w:rsidR="00B47BFE">
        <w:t xml:space="preserve">(from the specific bid), </w:t>
      </w:r>
      <w:r>
        <w:t xml:space="preserve">and arrangements made for their late submission, </w:t>
      </w:r>
      <w:r w:rsidR="00D9615A" w:rsidRPr="005C791F">
        <w:rPr>
          <w:rFonts w:cs="Arial"/>
        </w:rPr>
        <w:t>but this courtesy will be time bound meaning Bidders are advised to monitor their Portal account once their bids are submitted.</w:t>
      </w:r>
    </w:p>
    <w:p w14:paraId="5909F25F" w14:textId="77777777" w:rsidR="00721655" w:rsidRDefault="00721655" w:rsidP="00B03431">
      <w:pPr>
        <w:pStyle w:val="Heading2"/>
        <w:spacing w:line="276" w:lineRule="auto"/>
      </w:pPr>
      <w:r>
        <w:t>Otherwise, responses determined as not substantially fulfilling the conditions in the documents will be rejected.</w:t>
      </w:r>
    </w:p>
    <w:p w14:paraId="6DA40D50" w14:textId="77777777" w:rsidR="004501F8" w:rsidRPr="00EE3B12" w:rsidRDefault="2E026F23" w:rsidP="00B03431">
      <w:pPr>
        <w:pStyle w:val="Heading2"/>
        <w:spacing w:line="276" w:lineRule="auto"/>
      </w:pPr>
      <w:r>
        <w:t xml:space="preserve">Only then will proposals be passed for </w:t>
      </w:r>
      <w:r w:rsidR="23392884">
        <w:t xml:space="preserve">evaluation </w:t>
      </w:r>
      <w:r>
        <w:t xml:space="preserve">by a panel comprised of Home Office </w:t>
      </w:r>
      <w:r w:rsidR="23392884">
        <w:t>subject matter experts, and their representatives (</w:t>
      </w:r>
      <w:r>
        <w:t xml:space="preserve">“the Panel”). </w:t>
      </w:r>
      <w:r w:rsidR="491A74AC">
        <w:t>The Authority reserves the right to appoint independent external evaluators to provide additional support if required.</w:t>
      </w:r>
    </w:p>
    <w:p w14:paraId="499F97FE" w14:textId="57BBD3CD" w:rsidR="00823E45" w:rsidRDefault="005D2824" w:rsidP="00B03431">
      <w:pPr>
        <w:pStyle w:val="Heading2"/>
        <w:spacing w:line="276" w:lineRule="auto"/>
      </w:pPr>
      <w:r w:rsidRPr="00245769">
        <w:t xml:space="preserve">The Panel will evaluate proposals and make recommendations </w:t>
      </w:r>
      <w:r w:rsidR="00823E45">
        <w:t>in accordance with the procedure described in this paragraph</w:t>
      </w:r>
      <w:r>
        <w:t xml:space="preserve"> and according to the criteria</w:t>
      </w:r>
      <w:r w:rsidRPr="005D2824">
        <w:t xml:space="preserve"> </w:t>
      </w:r>
      <w:r w:rsidRPr="00245769">
        <w:t xml:space="preserve">described in the document entitled </w:t>
      </w:r>
      <w:r>
        <w:t>“</w:t>
      </w:r>
      <w:r w:rsidRPr="00245769">
        <w:t>Evaluation Criteria</w:t>
      </w:r>
      <w:r>
        <w:t>”</w:t>
      </w:r>
      <w:r w:rsidR="00823E45">
        <w:t>.</w:t>
      </w:r>
      <w:r w:rsidR="003216E4">
        <w:t xml:space="preserve"> T</w:t>
      </w:r>
      <w:r w:rsidR="00823E45">
        <w:t xml:space="preserve">he </w:t>
      </w:r>
      <w:r w:rsidR="00C5256D">
        <w:t xml:space="preserve">complete evaluation of all Bids </w:t>
      </w:r>
      <w:r w:rsidR="00823E45">
        <w:t>is a two-step process, comprising of:</w:t>
      </w:r>
    </w:p>
    <w:p w14:paraId="0A96D4B3" w14:textId="77777777" w:rsidR="00823E45" w:rsidRDefault="002A6FA7" w:rsidP="00B03431">
      <w:pPr>
        <w:pStyle w:val="Heading3"/>
        <w:spacing w:line="276" w:lineRule="auto"/>
        <w:ind w:left="1361" w:hanging="1077"/>
      </w:pPr>
      <w:r>
        <w:t>Preliminary E</w:t>
      </w:r>
      <w:r w:rsidR="00823E45">
        <w:t>valuation; and</w:t>
      </w:r>
    </w:p>
    <w:p w14:paraId="576AA04E" w14:textId="6EDF9726" w:rsidR="00823E45" w:rsidRDefault="00823E45" w:rsidP="00B03431">
      <w:pPr>
        <w:pStyle w:val="Heading3"/>
        <w:spacing w:line="276" w:lineRule="auto"/>
        <w:ind w:left="1361" w:hanging="1077"/>
      </w:pPr>
      <w:r>
        <w:t xml:space="preserve">Group consensus </w:t>
      </w:r>
      <w:r w:rsidR="000F6535">
        <w:t xml:space="preserve">assessment </w:t>
      </w:r>
      <w:r>
        <w:t>(moderation)</w:t>
      </w:r>
      <w:r w:rsidR="002A6FA7">
        <w:t>.</w:t>
      </w:r>
    </w:p>
    <w:p w14:paraId="3CADF8E4" w14:textId="2951FE99" w:rsidR="0087133F" w:rsidRDefault="114C7B3B" w:rsidP="00B03431">
      <w:pPr>
        <w:pStyle w:val="Heading2"/>
        <w:spacing w:line="276" w:lineRule="auto"/>
      </w:pPr>
      <w:r>
        <w:t xml:space="preserve">During the </w:t>
      </w:r>
      <w:r w:rsidR="6FE2A1CF">
        <w:t xml:space="preserve">technical </w:t>
      </w:r>
      <w:r>
        <w:t xml:space="preserve">evaluation process, each evaluator </w:t>
      </w:r>
      <w:r w:rsidR="003216E4">
        <w:t xml:space="preserve">on the Panel </w:t>
      </w:r>
      <w:r>
        <w:t xml:space="preserve">will separately (i.e. without conferring with other evaluators) scrutinise the quality of answers given by </w:t>
      </w:r>
      <w:r w:rsidR="23392884">
        <w:t xml:space="preserve">Bidders </w:t>
      </w:r>
      <w:r>
        <w:t xml:space="preserve">in their </w:t>
      </w:r>
      <w:r w:rsidR="4336FD15">
        <w:t xml:space="preserve">Bid </w:t>
      </w:r>
      <w:r>
        <w:t xml:space="preserve">Tender. Each evaluator will then </w:t>
      </w:r>
      <w:r w:rsidR="38B26BFC">
        <w:t xml:space="preserve">assess </w:t>
      </w:r>
      <w:r>
        <w:t xml:space="preserve">the answer in accordance with the </w:t>
      </w:r>
      <w:r w:rsidR="38B26BFC">
        <w:t>evidence</w:t>
      </w:r>
      <w:r>
        <w:t xml:space="preserve"> </w:t>
      </w:r>
      <w:r w:rsidR="1C90B3BA">
        <w:t xml:space="preserve">the Bidder submits that they believe is </w:t>
      </w:r>
      <w:r>
        <w:t>applicable to that question.</w:t>
      </w:r>
      <w:r w:rsidR="0DAE277C">
        <w:t xml:space="preserve"> It is not necessary that every panel member assesses every question, as subject matter experts may focus on specific question groupings, for example, commercial &amp; financial will assess Financial and Organisational Capability, and policy / technical leads with assess Deliverability and Technical Capability. </w:t>
      </w:r>
      <w:r w:rsidR="7F325F6B">
        <w:t xml:space="preserve">Assessment will only evaluate evidence outlined within the stated word limit. </w:t>
      </w:r>
      <w:r>
        <w:t xml:space="preserve">During the moderation, the Agent (or ‘Moderator’) will review the </w:t>
      </w:r>
      <w:r w:rsidR="38B26BFC">
        <w:t>assessment</w:t>
      </w:r>
      <w:r>
        <w:t xml:space="preserve"> by the individual evaluators before facilitating a group consensus marking (moderation) meeting. </w:t>
      </w:r>
    </w:p>
    <w:p w14:paraId="5605E757" w14:textId="4DD62ACD" w:rsidR="00823E45" w:rsidRDefault="00446615" w:rsidP="00B03431">
      <w:pPr>
        <w:pStyle w:val="Heading2"/>
        <w:spacing w:line="276" w:lineRule="auto"/>
      </w:pPr>
      <w:r>
        <w:t xml:space="preserve">This </w:t>
      </w:r>
      <w:r w:rsidR="0087133F">
        <w:t xml:space="preserve">moderation will ensure a second round of validation to assessment to ensure consistency and fairness to all Bids. </w:t>
      </w:r>
      <w:r w:rsidR="00823E45">
        <w:t xml:space="preserve">During the moderation meeting, the evaluators will discuss the independent </w:t>
      </w:r>
      <w:r w:rsidR="00E97A39">
        <w:t xml:space="preserve">assessments </w:t>
      </w:r>
      <w:r w:rsidR="00823E45">
        <w:t xml:space="preserve">until they reach a consensus regarding the </w:t>
      </w:r>
      <w:r w:rsidR="00964735">
        <w:t xml:space="preserve">overall score </w:t>
      </w:r>
      <w:r w:rsidR="00823E45">
        <w:t xml:space="preserve">that should be attributed to each </w:t>
      </w:r>
      <w:r w:rsidR="00D50E06">
        <w:t xml:space="preserve">Bidders </w:t>
      </w:r>
      <w:r w:rsidR="00964735">
        <w:t xml:space="preserve">response </w:t>
      </w:r>
      <w:r w:rsidR="00823E45">
        <w:t>to each question.</w:t>
      </w:r>
    </w:p>
    <w:p w14:paraId="3B88E320" w14:textId="31ECBE7A" w:rsidR="00823E45" w:rsidRDefault="00823E45" w:rsidP="00B03431">
      <w:pPr>
        <w:pStyle w:val="Heading2"/>
        <w:spacing w:line="276" w:lineRule="auto"/>
      </w:pPr>
      <w:r>
        <w:t>Once all</w:t>
      </w:r>
      <w:r w:rsidR="004C6306">
        <w:t xml:space="preserve"> </w:t>
      </w:r>
      <w:r>
        <w:t xml:space="preserve">responses to Part </w:t>
      </w:r>
      <w:r w:rsidR="006761E0">
        <w:t>C</w:t>
      </w:r>
      <w:r w:rsidR="00287228">
        <w:t xml:space="preserve"> </w:t>
      </w:r>
      <w:r w:rsidR="002A6FA7">
        <w:t>(</w:t>
      </w:r>
      <w:r>
        <w:t>have been evaluated and moderated in accordance with the information provided in the evaluation guidance document</w:t>
      </w:r>
      <w:r w:rsidR="00621597">
        <w:t>)</w:t>
      </w:r>
      <w:r>
        <w:t xml:space="preserve">, the final moderated </w:t>
      </w:r>
      <w:r w:rsidR="00E97A39">
        <w:t xml:space="preserve">assessment </w:t>
      </w:r>
      <w:r>
        <w:t xml:space="preserve">attributed to each question will be added together to provide a </w:t>
      </w:r>
      <w:r w:rsidR="00621597">
        <w:t xml:space="preserve">final </w:t>
      </w:r>
      <w:r w:rsidR="004136AA">
        <w:t>score</w:t>
      </w:r>
      <w:r w:rsidR="00B47BFE">
        <w:t xml:space="preserve"> per bid</w:t>
      </w:r>
      <w:r>
        <w:t xml:space="preserve">. </w:t>
      </w:r>
    </w:p>
    <w:p w14:paraId="3A12BA79" w14:textId="28F0D38B" w:rsidR="004136AA" w:rsidRDefault="004136AA" w:rsidP="00B03431">
      <w:pPr>
        <w:pStyle w:val="Heading2"/>
        <w:spacing w:line="276" w:lineRule="auto"/>
      </w:pPr>
      <w:r>
        <w:t>The scores of each Bid</w:t>
      </w:r>
      <w:r w:rsidR="00B47BFE">
        <w:t xml:space="preserve"> </w:t>
      </w:r>
      <w:r>
        <w:t>will then be listed to provide a ranking of scores.</w:t>
      </w:r>
      <w:r w:rsidR="00B47BFE">
        <w:t xml:space="preserve"> </w:t>
      </w:r>
    </w:p>
    <w:p w14:paraId="0D7E1965" w14:textId="77777777" w:rsidR="00823E45" w:rsidRDefault="002A6FA7" w:rsidP="00B03431">
      <w:pPr>
        <w:pStyle w:val="Heading2"/>
        <w:spacing w:line="276" w:lineRule="auto"/>
      </w:pPr>
      <w:r>
        <w:t xml:space="preserve">Please note there is no weighting (and therefore no score) attributed to financial elements of the bids. Assessment of the financial standing will take place concerning responses to section </w:t>
      </w:r>
      <w:r w:rsidRPr="00362C0A">
        <w:t>B</w:t>
      </w:r>
      <w:r>
        <w:t xml:space="preserve"> and the Budget Toolkit submitted in section D will be considered</w:t>
      </w:r>
      <w:r w:rsidR="00823E45">
        <w:t xml:space="preserve">. </w:t>
      </w:r>
    </w:p>
    <w:p w14:paraId="39A0F835" w14:textId="7D70140A" w:rsidR="00823E45" w:rsidRDefault="00823E45" w:rsidP="00B03431">
      <w:pPr>
        <w:pStyle w:val="Heading2"/>
        <w:spacing w:line="276" w:lineRule="auto"/>
      </w:pPr>
      <w:r>
        <w:t xml:space="preserve">The Authority reserve the right to challenge any information provided in response to </w:t>
      </w:r>
      <w:r w:rsidR="00964735">
        <w:t xml:space="preserve">any question posed </w:t>
      </w:r>
      <w:r>
        <w:t xml:space="preserve">and </w:t>
      </w:r>
      <w:r w:rsidR="00964735">
        <w:t xml:space="preserve">may </w:t>
      </w:r>
      <w:r>
        <w:t>request further information in support of any statements made therein.</w:t>
      </w:r>
    </w:p>
    <w:p w14:paraId="6F5ECBCA" w14:textId="77777777" w:rsidR="00721655" w:rsidRDefault="00721655" w:rsidP="00B03431">
      <w:pPr>
        <w:pStyle w:val="Heading2"/>
        <w:spacing w:line="276" w:lineRule="auto"/>
      </w:pPr>
      <w:r>
        <w:t xml:space="preserve">Prior knowledge of any aspect of a Bidder’s organisation or of its ability to meet the requirement </w:t>
      </w:r>
      <w:r w:rsidRPr="002A6FA7">
        <w:rPr>
          <w:b/>
        </w:rPr>
        <w:t>must not be assumed</w:t>
      </w:r>
      <w:r>
        <w:t xml:space="preserve"> and all responses should be completed in full, as applicable. Answers will only be evaluated up to any stated word limit.</w:t>
      </w:r>
    </w:p>
    <w:p w14:paraId="22BCE99D" w14:textId="2E207C16" w:rsidR="00AD100C" w:rsidRDefault="00721655" w:rsidP="00B03431">
      <w:pPr>
        <w:pStyle w:val="Heading2"/>
        <w:spacing w:line="276" w:lineRule="auto"/>
      </w:pPr>
      <w:r>
        <w:t xml:space="preserve">During the </w:t>
      </w:r>
      <w:r w:rsidR="002A6FA7">
        <w:t xml:space="preserve">evaluation </w:t>
      </w:r>
      <w:r>
        <w:t xml:space="preserve">period, the Authority may require a Bidder to provide further information or clarification regarding their proposal. The Bidder must confirm receipt of such request, </w:t>
      </w:r>
      <w:r w:rsidR="00AD100C">
        <w:t xml:space="preserve">within </w:t>
      </w:r>
      <w:r w:rsidR="002A6FA7">
        <w:rPr>
          <w:b/>
          <w:u w:val="single"/>
        </w:rPr>
        <w:t>24</w:t>
      </w:r>
      <w:r w:rsidR="00D9615A" w:rsidRPr="005C791F">
        <w:rPr>
          <w:b/>
          <w:u w:val="single"/>
        </w:rPr>
        <w:t xml:space="preserve"> hours</w:t>
      </w:r>
      <w:r w:rsidR="00D9615A" w:rsidRPr="005C791F">
        <w:t xml:space="preserve"> </w:t>
      </w:r>
      <w:r w:rsidR="00AD100C">
        <w:t xml:space="preserve">of issue and shall provide a binding response within </w:t>
      </w:r>
      <w:r w:rsidR="002A6FA7">
        <w:t xml:space="preserve">a further </w:t>
      </w:r>
      <w:r w:rsidR="002A6FA7">
        <w:rPr>
          <w:b/>
          <w:u w:val="single"/>
        </w:rPr>
        <w:t xml:space="preserve">24 </w:t>
      </w:r>
      <w:r w:rsidR="00D941BC">
        <w:rPr>
          <w:b/>
          <w:u w:val="single"/>
        </w:rPr>
        <w:t>h</w:t>
      </w:r>
      <w:r w:rsidR="0037414C">
        <w:rPr>
          <w:b/>
          <w:u w:val="single"/>
        </w:rPr>
        <w:t>ours</w:t>
      </w:r>
      <w:r w:rsidR="0037414C">
        <w:t xml:space="preserve"> of confirming the request</w:t>
      </w:r>
      <w:r w:rsidR="00AD100C">
        <w:t>, with all responses from Bidders being submitted via the Portal.</w:t>
      </w:r>
      <w:r w:rsidR="002A6FA7">
        <w:t xml:space="preserve"> If no reply is forthcoming during this </w:t>
      </w:r>
      <w:r w:rsidR="00995612">
        <w:t>period,</w:t>
      </w:r>
      <w:r w:rsidR="002A6FA7">
        <w:t xml:space="preserve"> then the Authority will evaluate without the Bidders clarity and scores will reflect this </w:t>
      </w:r>
      <w:r w:rsidR="00FA2E03">
        <w:t>position.</w:t>
      </w:r>
    </w:p>
    <w:p w14:paraId="445AEECC" w14:textId="77777777" w:rsidR="00721655" w:rsidRDefault="00721655" w:rsidP="00B03431">
      <w:pPr>
        <w:pStyle w:val="Heading2"/>
        <w:spacing w:line="276" w:lineRule="auto"/>
      </w:pPr>
      <w:r>
        <w:t xml:space="preserve">There will be </w:t>
      </w:r>
      <w:r w:rsidR="00D9615A" w:rsidRPr="005C791F">
        <w:rPr>
          <w:b/>
        </w:rPr>
        <w:t>no</w:t>
      </w:r>
      <w:r>
        <w:t xml:space="preserve"> appeals process and the decision of the Panel will be final.</w:t>
      </w:r>
    </w:p>
    <w:p w14:paraId="6F87DBE0" w14:textId="77777777" w:rsidR="00721655" w:rsidRDefault="00721655" w:rsidP="00B03431">
      <w:pPr>
        <w:pStyle w:val="Heading2"/>
        <w:spacing w:line="276" w:lineRule="auto"/>
      </w:pPr>
      <w:r>
        <w:t>The</w:t>
      </w:r>
      <w:r w:rsidR="00FA2E03">
        <w:t xml:space="preserve">re will be no </w:t>
      </w:r>
      <w:r>
        <w:t>Bidder</w:t>
      </w:r>
      <w:r w:rsidR="00FA2E03">
        <w:t xml:space="preserve"> </w:t>
      </w:r>
      <w:r>
        <w:t>presentations</w:t>
      </w:r>
      <w:r w:rsidR="00FA2E03">
        <w:t xml:space="preserve"> in relation to this competition.</w:t>
      </w:r>
    </w:p>
    <w:p w14:paraId="4A0B236D" w14:textId="1AC3A952" w:rsidR="00721655" w:rsidRDefault="00721655" w:rsidP="00B03431">
      <w:pPr>
        <w:pStyle w:val="Heading2"/>
        <w:spacing w:line="276" w:lineRule="auto"/>
      </w:pPr>
      <w:r>
        <w:t xml:space="preserve">In any event the Authority aims to notify each Bidder </w:t>
      </w:r>
      <w:r w:rsidR="009C1A35">
        <w:t xml:space="preserve">on the outcome of their Bid, </w:t>
      </w:r>
      <w:r>
        <w:t xml:space="preserve">through the Portal as </w:t>
      </w:r>
      <w:r w:rsidR="000F6535">
        <w:t>indicated in section 20</w:t>
      </w:r>
      <w:r w:rsidR="009C1A35">
        <w:t>.</w:t>
      </w:r>
    </w:p>
    <w:p w14:paraId="285ADA9A" w14:textId="7DF1E8FF" w:rsidR="009C273F" w:rsidRDefault="009C273F" w:rsidP="00B03431">
      <w:pPr>
        <w:pStyle w:val="Heading1"/>
        <w:spacing w:line="276" w:lineRule="auto"/>
      </w:pPr>
      <w:bookmarkStart w:id="37" w:name="_Toc531018455"/>
      <w:bookmarkStart w:id="38" w:name="_Toc531018563"/>
      <w:bookmarkStart w:id="39" w:name="_Toc31094946"/>
      <w:bookmarkEnd w:id="37"/>
      <w:bookmarkEnd w:id="38"/>
      <w:r>
        <w:t xml:space="preserve">Qualitative </w:t>
      </w:r>
      <w:r w:rsidR="00FA2E03">
        <w:t>EVALUATION</w:t>
      </w:r>
      <w:bookmarkEnd w:id="39"/>
    </w:p>
    <w:p w14:paraId="44847121" w14:textId="13A2CD21" w:rsidR="002C3672" w:rsidRDefault="002C3672" w:rsidP="00B03431">
      <w:pPr>
        <w:pStyle w:val="Heading2"/>
        <w:spacing w:line="276" w:lineRule="auto"/>
      </w:pPr>
      <w:r>
        <w:t xml:space="preserve">The purpose of the assessment is to evaluate the information Bidders submit in their responses to the questions posed </w:t>
      </w:r>
      <w:r w:rsidR="00570FFE">
        <w:t xml:space="preserve">concerning the Deliverability and Technical Capability </w:t>
      </w:r>
      <w:r>
        <w:t xml:space="preserve">of the online questionnaire. The </w:t>
      </w:r>
      <w:r w:rsidR="005B7AF0">
        <w:t>MSIF Statement of Outcomes</w:t>
      </w:r>
      <w:r w:rsidR="00722E28">
        <w:t xml:space="preserve"> </w:t>
      </w:r>
      <w:r w:rsidR="008F1B32">
        <w:t xml:space="preserve">2020-2021 </w:t>
      </w:r>
      <w:r>
        <w:t xml:space="preserve">(document) explains in greater details the intention of the funding but Bidders are also encouraged to pursue their own activity to evidence their bid. All </w:t>
      </w:r>
      <w:r w:rsidR="00822826">
        <w:t xml:space="preserve">Deliverability and Technical Capability </w:t>
      </w:r>
      <w:r>
        <w:t xml:space="preserve">responses </w:t>
      </w:r>
      <w:r w:rsidR="00822826">
        <w:t xml:space="preserve">are via </w:t>
      </w:r>
      <w:r>
        <w:t xml:space="preserve">attachments in order that Bidders can evidence the extent to which their response meets the requirements and desired outcomes. Each question has its own individual evaluation criteria &amp; assessment guidance, which can be found in the “Evaluation Guidance” document, as can the weighting of each question. </w:t>
      </w:r>
    </w:p>
    <w:p w14:paraId="2F6ED016" w14:textId="39C86E76" w:rsidR="00B211DE" w:rsidRDefault="00202E30" w:rsidP="00B03431">
      <w:pPr>
        <w:pStyle w:val="Heading2"/>
        <w:numPr>
          <w:ilvl w:val="0"/>
          <w:numId w:val="0"/>
        </w:numPr>
        <w:spacing w:line="276" w:lineRule="auto"/>
        <w:ind w:left="720"/>
      </w:pPr>
      <w:r w:rsidRPr="00202E30">
        <w:rPr>
          <w:rFonts w:eastAsia="Times New Roman" w:cs="Arial"/>
          <w:bCs/>
          <w:lang w:eastAsia="en-GB"/>
        </w:rPr>
        <w:t>Please note all bids must attain a final score of 60% or above (after moderation) to be eligible for funding</w:t>
      </w:r>
      <w:r w:rsidR="00965E92" w:rsidRPr="00202E30">
        <w:rPr>
          <w:rFonts w:eastAsia="Times New Roman" w:cs="Arial"/>
          <w:bCs/>
          <w:lang w:eastAsia="en-GB"/>
        </w:rPr>
        <w:t>.</w:t>
      </w:r>
      <w:r w:rsidR="00822826" w:rsidRPr="00202E30">
        <w:rPr>
          <w:rFonts w:eastAsia="Times New Roman" w:cs="Arial"/>
          <w:bCs/>
          <w:lang w:eastAsia="en-GB"/>
        </w:rPr>
        <w:t xml:space="preserve"> </w:t>
      </w:r>
      <w:r w:rsidR="00822826">
        <w:rPr>
          <w:rFonts w:eastAsia="Times New Roman" w:cs="Arial"/>
          <w:bCs/>
          <w:lang w:eastAsia="en-GB"/>
        </w:rPr>
        <w:t xml:space="preserve">As well as this there are also </w:t>
      </w:r>
      <w:r w:rsidR="009F05FB">
        <w:rPr>
          <w:rFonts w:eastAsia="Times New Roman" w:cs="Arial"/>
          <w:bCs/>
          <w:lang w:eastAsia="en-GB"/>
        </w:rPr>
        <w:t xml:space="preserve">5 </w:t>
      </w:r>
      <w:r w:rsidR="00822826">
        <w:rPr>
          <w:rFonts w:eastAsia="Times New Roman" w:cs="Arial"/>
          <w:bCs/>
          <w:lang w:eastAsia="en-GB"/>
        </w:rPr>
        <w:t xml:space="preserve">showstoppers identified questions within the Technical envelope. </w:t>
      </w:r>
    </w:p>
    <w:tbl>
      <w:tblPr>
        <w:tblW w:w="9341" w:type="dxa"/>
        <w:tblLook w:val="04A0" w:firstRow="1" w:lastRow="0" w:firstColumn="1" w:lastColumn="0" w:noHBand="0" w:noVBand="1"/>
      </w:tblPr>
      <w:tblGrid>
        <w:gridCol w:w="1261"/>
        <w:gridCol w:w="8080"/>
      </w:tblGrid>
      <w:tr w:rsidR="009C1A35" w:rsidRPr="001928C1" w14:paraId="794FF0C7" w14:textId="77777777" w:rsidTr="009C1A35">
        <w:trPr>
          <w:trHeight w:val="648"/>
        </w:trPr>
        <w:tc>
          <w:tcPr>
            <w:tcW w:w="1261" w:type="dxa"/>
            <w:tcBorders>
              <w:top w:val="single" w:sz="12" w:space="0" w:color="auto"/>
              <w:left w:val="single" w:sz="12" w:space="0" w:color="auto"/>
              <w:bottom w:val="single" w:sz="4" w:space="0" w:color="auto"/>
              <w:right w:val="single" w:sz="4" w:space="0" w:color="auto"/>
            </w:tcBorders>
            <w:shd w:val="clear" w:color="000000" w:fill="FFFF99"/>
            <w:vAlign w:val="center"/>
          </w:tcPr>
          <w:p w14:paraId="4931BBC0" w14:textId="27421137" w:rsidR="009C1A35" w:rsidRPr="001928C1" w:rsidRDefault="009C1A35" w:rsidP="00B03431">
            <w:pPr>
              <w:spacing w:line="276" w:lineRule="auto"/>
              <w:jc w:val="center"/>
              <w:rPr>
                <w:rFonts w:eastAsia="Times New Roman" w:cs="Arial"/>
                <w:b/>
                <w:bCs/>
                <w:color w:val="000000"/>
                <w:lang w:eastAsia="en-GB"/>
              </w:rPr>
            </w:pPr>
            <w:r>
              <w:rPr>
                <w:rFonts w:eastAsia="Times New Roman" w:cs="Arial"/>
                <w:b/>
                <w:bCs/>
                <w:color w:val="000000"/>
                <w:lang w:eastAsia="en-GB"/>
              </w:rPr>
              <w:t>Scoring</w:t>
            </w:r>
          </w:p>
        </w:tc>
        <w:tc>
          <w:tcPr>
            <w:tcW w:w="8080" w:type="dxa"/>
            <w:tcBorders>
              <w:top w:val="single" w:sz="12" w:space="0" w:color="auto"/>
              <w:left w:val="nil"/>
              <w:bottom w:val="single" w:sz="4" w:space="0" w:color="auto"/>
              <w:right w:val="single" w:sz="12" w:space="0" w:color="auto"/>
            </w:tcBorders>
            <w:shd w:val="clear" w:color="000000" w:fill="FFFF99"/>
            <w:vAlign w:val="center"/>
          </w:tcPr>
          <w:p w14:paraId="5BC03F79" w14:textId="76EFF37E" w:rsidR="009C1A35" w:rsidRPr="001928C1" w:rsidRDefault="009C1A35" w:rsidP="00B03431">
            <w:pPr>
              <w:spacing w:line="276" w:lineRule="auto"/>
              <w:jc w:val="center"/>
              <w:rPr>
                <w:rFonts w:eastAsia="Times New Roman" w:cs="Arial"/>
                <w:b/>
                <w:bCs/>
                <w:color w:val="000000"/>
                <w:lang w:eastAsia="en-GB"/>
              </w:rPr>
            </w:pPr>
            <w:r>
              <w:rPr>
                <w:rFonts w:eastAsia="Times New Roman" w:cs="Arial"/>
                <w:b/>
                <w:bCs/>
                <w:color w:val="000000"/>
                <w:lang w:eastAsia="en-GB"/>
              </w:rPr>
              <w:t>Evaluation Criteria</w:t>
            </w:r>
            <w:r w:rsidR="00E94AB0">
              <w:rPr>
                <w:rFonts w:eastAsia="Times New Roman" w:cs="Arial"/>
                <w:b/>
                <w:bCs/>
                <w:color w:val="000000"/>
                <w:lang w:eastAsia="en-GB"/>
              </w:rPr>
              <w:t xml:space="preserve"> – </w:t>
            </w:r>
          </w:p>
        </w:tc>
      </w:tr>
      <w:tr w:rsidR="009C1A35" w:rsidRPr="001928C1" w14:paraId="40040396" w14:textId="77777777" w:rsidTr="009C1A35">
        <w:trPr>
          <w:trHeight w:val="659"/>
        </w:trPr>
        <w:tc>
          <w:tcPr>
            <w:tcW w:w="1261" w:type="dxa"/>
            <w:tcBorders>
              <w:top w:val="nil"/>
              <w:left w:val="single" w:sz="12" w:space="0" w:color="auto"/>
              <w:bottom w:val="single" w:sz="4" w:space="0" w:color="auto"/>
              <w:right w:val="single" w:sz="4" w:space="0" w:color="auto"/>
            </w:tcBorders>
            <w:shd w:val="clear" w:color="auto" w:fill="auto"/>
            <w:vAlign w:val="center"/>
          </w:tcPr>
          <w:p w14:paraId="0AD4EABF" w14:textId="09190163" w:rsidR="009C1A35" w:rsidRPr="001928C1" w:rsidRDefault="009C1A35" w:rsidP="00B03431">
            <w:pPr>
              <w:spacing w:line="276" w:lineRule="auto"/>
              <w:jc w:val="center"/>
              <w:rPr>
                <w:rFonts w:eastAsia="Times New Roman" w:cs="Arial"/>
                <w:b/>
                <w:color w:val="000000"/>
                <w:lang w:eastAsia="en-GB"/>
              </w:rPr>
            </w:pPr>
            <w:r>
              <w:rPr>
                <w:rFonts w:eastAsia="Times New Roman" w:cs="Arial"/>
                <w:b/>
                <w:color w:val="000000"/>
                <w:lang w:eastAsia="en-GB"/>
              </w:rPr>
              <w:t>100</w:t>
            </w:r>
          </w:p>
        </w:tc>
        <w:tc>
          <w:tcPr>
            <w:tcW w:w="8080" w:type="dxa"/>
            <w:tcBorders>
              <w:top w:val="nil"/>
              <w:left w:val="single" w:sz="4" w:space="0" w:color="auto"/>
              <w:bottom w:val="single" w:sz="4" w:space="0" w:color="auto"/>
              <w:right w:val="single" w:sz="12" w:space="0" w:color="auto"/>
            </w:tcBorders>
            <w:shd w:val="clear" w:color="auto" w:fill="auto"/>
            <w:vAlign w:val="center"/>
          </w:tcPr>
          <w:p w14:paraId="6480E5FD" w14:textId="0ADC29A4" w:rsidR="009C1A35" w:rsidRPr="001928C1" w:rsidRDefault="00A518D4" w:rsidP="00B03431">
            <w:pPr>
              <w:spacing w:line="276" w:lineRule="auto"/>
              <w:rPr>
                <w:rFonts w:eastAsia="Times New Roman" w:cs="Arial"/>
                <w:color w:val="000000"/>
                <w:sz w:val="20"/>
                <w:lang w:eastAsia="en-GB"/>
              </w:rPr>
            </w:pPr>
            <w:r>
              <w:rPr>
                <w:b/>
                <w:bCs/>
                <w:color w:val="000000"/>
              </w:rPr>
              <w:t>Excellent</w:t>
            </w:r>
            <w:r w:rsidR="009C1A35">
              <w:rPr>
                <w:color w:val="000000"/>
              </w:rPr>
              <w:t xml:space="preserve"> - the response fully meets the requirements set out in the question</w:t>
            </w:r>
          </w:p>
        </w:tc>
      </w:tr>
      <w:tr w:rsidR="009C1A35" w:rsidRPr="001928C1" w14:paraId="062AFF2D" w14:textId="77777777" w:rsidTr="009C1A35">
        <w:trPr>
          <w:trHeight w:val="659"/>
        </w:trPr>
        <w:tc>
          <w:tcPr>
            <w:tcW w:w="1261" w:type="dxa"/>
            <w:tcBorders>
              <w:top w:val="nil"/>
              <w:left w:val="single" w:sz="12" w:space="0" w:color="auto"/>
              <w:bottom w:val="single" w:sz="4" w:space="0" w:color="auto"/>
              <w:right w:val="single" w:sz="4" w:space="0" w:color="auto"/>
            </w:tcBorders>
            <w:shd w:val="clear" w:color="auto" w:fill="auto"/>
            <w:vAlign w:val="center"/>
          </w:tcPr>
          <w:p w14:paraId="7D63B703" w14:textId="2F4C6953" w:rsidR="009C1A35" w:rsidRPr="001928C1" w:rsidRDefault="008A718D" w:rsidP="00B03431">
            <w:pPr>
              <w:spacing w:line="276" w:lineRule="auto"/>
              <w:jc w:val="center"/>
              <w:rPr>
                <w:rFonts w:eastAsia="Times New Roman" w:cs="Arial"/>
                <w:b/>
                <w:color w:val="000000"/>
                <w:lang w:eastAsia="en-GB"/>
              </w:rPr>
            </w:pPr>
            <w:r>
              <w:rPr>
                <w:rFonts w:eastAsia="Times New Roman" w:cs="Arial"/>
                <w:b/>
                <w:color w:val="000000"/>
                <w:lang w:eastAsia="en-GB"/>
              </w:rPr>
              <w:t>75</w:t>
            </w:r>
          </w:p>
        </w:tc>
        <w:tc>
          <w:tcPr>
            <w:tcW w:w="8080" w:type="dxa"/>
            <w:tcBorders>
              <w:top w:val="nil"/>
              <w:left w:val="single" w:sz="4" w:space="0" w:color="auto"/>
              <w:bottom w:val="single" w:sz="4" w:space="0" w:color="auto"/>
              <w:right w:val="single" w:sz="12" w:space="0" w:color="auto"/>
            </w:tcBorders>
            <w:shd w:val="clear" w:color="auto" w:fill="auto"/>
            <w:vAlign w:val="center"/>
          </w:tcPr>
          <w:p w14:paraId="7570DF14" w14:textId="4FDEEFE3" w:rsidR="009C1A35" w:rsidRDefault="009C1A35" w:rsidP="00B03431">
            <w:pPr>
              <w:spacing w:line="276" w:lineRule="auto"/>
              <w:rPr>
                <w:b/>
                <w:bCs/>
                <w:color w:val="000000"/>
              </w:rPr>
            </w:pPr>
            <w:r>
              <w:rPr>
                <w:b/>
                <w:bCs/>
                <w:color w:val="000000"/>
              </w:rPr>
              <w:t>Good evidence</w:t>
            </w:r>
            <w:r>
              <w:rPr>
                <w:color w:val="000000"/>
              </w:rPr>
              <w:t xml:space="preserve"> - the response provides a good level of information as set out in the question </w:t>
            </w:r>
          </w:p>
        </w:tc>
      </w:tr>
      <w:tr w:rsidR="009C1A35" w:rsidRPr="001928C1" w14:paraId="2A140E9E" w14:textId="77777777" w:rsidTr="009C1A35">
        <w:trPr>
          <w:trHeight w:val="659"/>
        </w:trPr>
        <w:tc>
          <w:tcPr>
            <w:tcW w:w="1261" w:type="dxa"/>
            <w:tcBorders>
              <w:top w:val="nil"/>
              <w:left w:val="single" w:sz="12" w:space="0" w:color="auto"/>
              <w:bottom w:val="single" w:sz="4" w:space="0" w:color="auto"/>
              <w:right w:val="single" w:sz="4" w:space="0" w:color="auto"/>
            </w:tcBorders>
            <w:shd w:val="clear" w:color="auto" w:fill="auto"/>
            <w:vAlign w:val="center"/>
          </w:tcPr>
          <w:p w14:paraId="76ECCE55" w14:textId="69F90177" w:rsidR="009C1A35" w:rsidRPr="001928C1" w:rsidRDefault="008A718D" w:rsidP="00B03431">
            <w:pPr>
              <w:spacing w:line="276" w:lineRule="auto"/>
              <w:jc w:val="center"/>
              <w:rPr>
                <w:rFonts w:eastAsia="Times New Roman" w:cs="Arial"/>
                <w:b/>
                <w:color w:val="000000"/>
                <w:lang w:eastAsia="en-GB"/>
              </w:rPr>
            </w:pPr>
            <w:r>
              <w:rPr>
                <w:rFonts w:eastAsia="Times New Roman" w:cs="Arial"/>
                <w:b/>
                <w:color w:val="000000"/>
                <w:lang w:eastAsia="en-GB"/>
              </w:rPr>
              <w:t>5</w:t>
            </w:r>
            <w:r w:rsidR="009C1A35">
              <w:rPr>
                <w:rFonts w:eastAsia="Times New Roman" w:cs="Arial"/>
                <w:b/>
                <w:color w:val="000000"/>
                <w:lang w:eastAsia="en-GB"/>
              </w:rPr>
              <w:t>0</w:t>
            </w:r>
          </w:p>
        </w:tc>
        <w:tc>
          <w:tcPr>
            <w:tcW w:w="8080" w:type="dxa"/>
            <w:tcBorders>
              <w:top w:val="nil"/>
              <w:left w:val="single" w:sz="4" w:space="0" w:color="auto"/>
              <w:bottom w:val="single" w:sz="4" w:space="0" w:color="auto"/>
              <w:right w:val="single" w:sz="12" w:space="0" w:color="auto"/>
            </w:tcBorders>
            <w:shd w:val="clear" w:color="auto" w:fill="auto"/>
            <w:vAlign w:val="center"/>
          </w:tcPr>
          <w:p w14:paraId="75B489B6" w14:textId="639AB595" w:rsidR="009C1A35" w:rsidRDefault="009C1A35" w:rsidP="00B03431">
            <w:pPr>
              <w:spacing w:line="276" w:lineRule="auto"/>
              <w:rPr>
                <w:b/>
                <w:bCs/>
                <w:color w:val="000000"/>
              </w:rPr>
            </w:pPr>
            <w:r>
              <w:rPr>
                <w:b/>
                <w:bCs/>
                <w:color w:val="000000"/>
              </w:rPr>
              <w:t>Satisfactory evidence</w:t>
            </w:r>
            <w:r>
              <w:rPr>
                <w:color w:val="000000"/>
              </w:rPr>
              <w:t xml:space="preserve"> - the response provides a satisfactory level of information as set out in the question  </w:t>
            </w:r>
          </w:p>
        </w:tc>
      </w:tr>
      <w:tr w:rsidR="009C1A35" w:rsidRPr="001928C1" w14:paraId="644FBA77" w14:textId="77777777" w:rsidTr="009C1A35">
        <w:trPr>
          <w:trHeight w:val="659"/>
        </w:trPr>
        <w:tc>
          <w:tcPr>
            <w:tcW w:w="1261" w:type="dxa"/>
            <w:tcBorders>
              <w:top w:val="nil"/>
              <w:left w:val="single" w:sz="12" w:space="0" w:color="auto"/>
              <w:bottom w:val="single" w:sz="4" w:space="0" w:color="auto"/>
              <w:right w:val="single" w:sz="4" w:space="0" w:color="auto"/>
            </w:tcBorders>
            <w:shd w:val="clear" w:color="auto" w:fill="auto"/>
            <w:vAlign w:val="center"/>
          </w:tcPr>
          <w:p w14:paraId="6E6A2727" w14:textId="644347BB" w:rsidR="009C1A35" w:rsidRPr="001928C1" w:rsidRDefault="009C1A35" w:rsidP="00B03431">
            <w:pPr>
              <w:spacing w:line="276" w:lineRule="auto"/>
              <w:jc w:val="center"/>
              <w:rPr>
                <w:rFonts w:eastAsia="Times New Roman" w:cs="Arial"/>
                <w:b/>
                <w:color w:val="000000"/>
                <w:lang w:eastAsia="en-GB"/>
              </w:rPr>
            </w:pPr>
            <w:r>
              <w:rPr>
                <w:rFonts w:eastAsia="Times New Roman" w:cs="Arial"/>
                <w:b/>
                <w:color w:val="000000"/>
                <w:lang w:eastAsia="en-GB"/>
              </w:rPr>
              <w:t>2</w:t>
            </w:r>
            <w:r w:rsidR="008A718D">
              <w:rPr>
                <w:rFonts w:eastAsia="Times New Roman" w:cs="Arial"/>
                <w:b/>
                <w:color w:val="000000"/>
                <w:lang w:eastAsia="en-GB"/>
              </w:rPr>
              <w:t>5</w:t>
            </w:r>
          </w:p>
        </w:tc>
        <w:tc>
          <w:tcPr>
            <w:tcW w:w="8080" w:type="dxa"/>
            <w:tcBorders>
              <w:top w:val="nil"/>
              <w:left w:val="single" w:sz="4" w:space="0" w:color="auto"/>
              <w:bottom w:val="single" w:sz="4" w:space="0" w:color="auto"/>
              <w:right w:val="single" w:sz="12" w:space="0" w:color="auto"/>
            </w:tcBorders>
            <w:shd w:val="clear" w:color="auto" w:fill="auto"/>
            <w:vAlign w:val="center"/>
          </w:tcPr>
          <w:p w14:paraId="796CF714" w14:textId="226E6B22" w:rsidR="009C1A35" w:rsidRDefault="00A518D4" w:rsidP="00B03431">
            <w:pPr>
              <w:spacing w:line="276" w:lineRule="auto"/>
              <w:rPr>
                <w:b/>
                <w:bCs/>
                <w:color w:val="000000"/>
              </w:rPr>
            </w:pPr>
            <w:r>
              <w:rPr>
                <w:b/>
                <w:bCs/>
                <w:color w:val="000000"/>
              </w:rPr>
              <w:t>Unsatisfactory</w:t>
            </w:r>
            <w:r w:rsidR="009C1A35">
              <w:rPr>
                <w:b/>
                <w:bCs/>
                <w:color w:val="000000"/>
              </w:rPr>
              <w:t xml:space="preserve"> evidence –</w:t>
            </w:r>
            <w:r w:rsidR="009C1A35">
              <w:rPr>
                <w:color w:val="000000"/>
              </w:rPr>
              <w:t xml:space="preserve"> the response provides very limited information required from the question</w:t>
            </w:r>
          </w:p>
        </w:tc>
      </w:tr>
      <w:tr w:rsidR="009C1A35" w:rsidRPr="001928C1" w14:paraId="1371D262" w14:textId="77777777" w:rsidTr="009C1A35">
        <w:trPr>
          <w:trHeight w:val="696"/>
        </w:trPr>
        <w:tc>
          <w:tcPr>
            <w:tcW w:w="1261" w:type="dxa"/>
            <w:tcBorders>
              <w:top w:val="nil"/>
              <w:left w:val="single" w:sz="12" w:space="0" w:color="auto"/>
              <w:bottom w:val="single" w:sz="4" w:space="0" w:color="auto"/>
              <w:right w:val="single" w:sz="4" w:space="0" w:color="auto"/>
            </w:tcBorders>
            <w:shd w:val="clear" w:color="auto" w:fill="auto"/>
            <w:vAlign w:val="center"/>
          </w:tcPr>
          <w:p w14:paraId="750A61D0" w14:textId="50CBEDD2" w:rsidR="009C1A35" w:rsidRPr="001928C1" w:rsidRDefault="009C1A35" w:rsidP="00B03431">
            <w:pPr>
              <w:spacing w:line="276" w:lineRule="auto"/>
              <w:jc w:val="center"/>
              <w:rPr>
                <w:rFonts w:eastAsia="Times New Roman" w:cs="Arial"/>
                <w:b/>
                <w:color w:val="000000"/>
                <w:lang w:eastAsia="en-GB"/>
              </w:rPr>
            </w:pPr>
            <w:r>
              <w:rPr>
                <w:rFonts w:eastAsia="Times New Roman" w:cs="Arial"/>
                <w:b/>
                <w:color w:val="000000"/>
                <w:lang w:eastAsia="en-GB"/>
              </w:rPr>
              <w:t>0</w:t>
            </w:r>
          </w:p>
        </w:tc>
        <w:tc>
          <w:tcPr>
            <w:tcW w:w="8080" w:type="dxa"/>
            <w:tcBorders>
              <w:top w:val="nil"/>
              <w:left w:val="single" w:sz="4" w:space="0" w:color="auto"/>
              <w:bottom w:val="single" w:sz="4" w:space="0" w:color="auto"/>
              <w:right w:val="single" w:sz="12" w:space="0" w:color="auto"/>
            </w:tcBorders>
            <w:shd w:val="clear" w:color="auto" w:fill="auto"/>
            <w:vAlign w:val="center"/>
          </w:tcPr>
          <w:p w14:paraId="74BD0B92" w14:textId="7AB734E9" w:rsidR="009C1A35" w:rsidRPr="001928C1" w:rsidRDefault="009C1A35" w:rsidP="00B03431">
            <w:pPr>
              <w:spacing w:line="276" w:lineRule="auto"/>
              <w:rPr>
                <w:rFonts w:eastAsia="Times New Roman" w:cs="Arial"/>
                <w:color w:val="000000"/>
                <w:sz w:val="20"/>
                <w:lang w:eastAsia="en-GB"/>
              </w:rPr>
            </w:pPr>
            <w:r>
              <w:rPr>
                <w:b/>
                <w:bCs/>
                <w:color w:val="000000"/>
              </w:rPr>
              <w:t>No evidence –</w:t>
            </w:r>
            <w:r>
              <w:rPr>
                <w:color w:val="000000"/>
              </w:rPr>
              <w:t xml:space="preserve"> the response is unsatisfactory, unclear, or incomplete</w:t>
            </w:r>
          </w:p>
        </w:tc>
      </w:tr>
    </w:tbl>
    <w:p w14:paraId="24A5F450" w14:textId="77777777" w:rsidR="00E94AB0" w:rsidRDefault="00E94AB0" w:rsidP="00B03431">
      <w:pPr>
        <w:pStyle w:val="Heading2"/>
        <w:numPr>
          <w:ilvl w:val="0"/>
          <w:numId w:val="0"/>
        </w:numPr>
        <w:spacing w:line="276" w:lineRule="auto"/>
        <w:ind w:left="720"/>
      </w:pPr>
    </w:p>
    <w:p w14:paraId="53710C7C" w14:textId="68E8FA5C" w:rsidR="00995612" w:rsidRDefault="00995612" w:rsidP="00B03431">
      <w:pPr>
        <w:pStyle w:val="Heading1"/>
        <w:spacing w:line="276" w:lineRule="auto"/>
      </w:pPr>
      <w:bookmarkStart w:id="40" w:name="_Toc31094947"/>
      <w:r>
        <w:t>FUNDING AWARD</w:t>
      </w:r>
      <w:bookmarkEnd w:id="40"/>
      <w:r>
        <w:t xml:space="preserve"> </w:t>
      </w:r>
    </w:p>
    <w:p w14:paraId="5B707511" w14:textId="1BD34F05" w:rsidR="00DB1083" w:rsidRPr="00467120" w:rsidRDefault="00DC086A" w:rsidP="00467120">
      <w:pPr>
        <w:pStyle w:val="Heading2"/>
      </w:pPr>
      <w:r>
        <w:t>The funding award will be offered to the winning Bidder</w:t>
      </w:r>
      <w:r w:rsidR="007C5261">
        <w:t>s</w:t>
      </w:r>
      <w:r>
        <w:t xml:space="preserve"> whose combined moderated scores for Part B and Part C </w:t>
      </w:r>
      <w:r w:rsidR="007C5261">
        <w:t>are</w:t>
      </w:r>
      <w:r>
        <w:t xml:space="preserve"> ranked highest and will therefore deliver the greatest quality for the outcomes this Funding is seeking to address</w:t>
      </w:r>
      <w:r w:rsidR="00947289">
        <w:t>.</w:t>
      </w:r>
      <w:bookmarkStart w:id="41" w:name="_Hlk29363060"/>
    </w:p>
    <w:p w14:paraId="0BC716E8" w14:textId="6FC66F89" w:rsidR="00915A67" w:rsidRPr="0013073D" w:rsidRDefault="00915A67" w:rsidP="00B03431">
      <w:pPr>
        <w:pStyle w:val="Heading1"/>
        <w:spacing w:line="276" w:lineRule="auto"/>
      </w:pPr>
      <w:bookmarkStart w:id="42" w:name="_Toc31094948"/>
      <w:bookmarkStart w:id="43" w:name="_Hlk31101178"/>
      <w:bookmarkEnd w:id="41"/>
      <w:r w:rsidRPr="0013073D">
        <w:t>Tie-Breaker</w:t>
      </w:r>
      <w:bookmarkEnd w:id="42"/>
    </w:p>
    <w:p w14:paraId="02BBBA77" w14:textId="27DFEADF" w:rsidR="00915A67" w:rsidRDefault="006E5ECF" w:rsidP="00B03431">
      <w:pPr>
        <w:pStyle w:val="Heading2"/>
        <w:spacing w:line="276" w:lineRule="auto"/>
      </w:pPr>
      <w:r>
        <w:t xml:space="preserve">For primary bids, in </w:t>
      </w:r>
      <w:r w:rsidR="00915A67">
        <w:t>the event of two or more bids both receiving an identical overall (moderated) score, the following tie-breaker sequence will be applied to differentiate and rank the bids:</w:t>
      </w:r>
    </w:p>
    <w:p w14:paraId="2AB1CFE2" w14:textId="5A8DAB2D" w:rsidR="00915A67" w:rsidRDefault="00915A67" w:rsidP="00B03431">
      <w:pPr>
        <w:pStyle w:val="Heading3"/>
        <w:spacing w:line="276" w:lineRule="auto"/>
        <w:ind w:left="1361" w:hanging="1077"/>
      </w:pPr>
      <w:r>
        <w:t xml:space="preserve">The response with the highest moderated score for question </w:t>
      </w:r>
      <w:r w:rsidR="0013073D">
        <w:t>C</w:t>
      </w:r>
      <w:r w:rsidR="00244F44">
        <w:t>2</w:t>
      </w:r>
      <w:r>
        <w:t xml:space="preserve"> will be ranked higher. If identical, then </w:t>
      </w:r>
    </w:p>
    <w:p w14:paraId="7E4A6309" w14:textId="205ED10D" w:rsidR="00915A67" w:rsidRDefault="00915A67" w:rsidP="00B03431">
      <w:pPr>
        <w:pStyle w:val="Heading3"/>
        <w:spacing w:line="276" w:lineRule="auto"/>
        <w:ind w:left="1361" w:hanging="1077"/>
      </w:pPr>
      <w:r>
        <w:t xml:space="preserve">The response with the highest moderated score for question </w:t>
      </w:r>
      <w:r w:rsidR="0013073D">
        <w:t>C</w:t>
      </w:r>
      <w:r w:rsidR="00244F44">
        <w:t>3</w:t>
      </w:r>
      <w:r>
        <w:t xml:space="preserve"> will be ranked higher. If identical, then </w:t>
      </w:r>
    </w:p>
    <w:p w14:paraId="5CFE0673" w14:textId="7695F404" w:rsidR="00915A67" w:rsidRDefault="00915A67" w:rsidP="00B03431">
      <w:pPr>
        <w:pStyle w:val="Heading3"/>
        <w:spacing w:line="276" w:lineRule="auto"/>
        <w:ind w:left="1361" w:hanging="1077"/>
      </w:pPr>
      <w:r>
        <w:t xml:space="preserve">The response with the highest moderated score for question </w:t>
      </w:r>
      <w:r w:rsidR="0013073D">
        <w:t>C</w:t>
      </w:r>
      <w:r w:rsidR="00244F44">
        <w:t>4</w:t>
      </w:r>
      <w:r w:rsidR="00287228">
        <w:t xml:space="preserve"> </w:t>
      </w:r>
      <w:r>
        <w:t xml:space="preserve">will be ranked higher. If identical, then </w:t>
      </w:r>
    </w:p>
    <w:p w14:paraId="3A80AB64" w14:textId="4D0411F0" w:rsidR="006E5ECF" w:rsidRDefault="006E5ECF" w:rsidP="00B03431">
      <w:pPr>
        <w:pStyle w:val="Heading3"/>
        <w:spacing w:line="276" w:lineRule="auto"/>
        <w:ind w:left="1361" w:hanging="1077"/>
      </w:pPr>
      <w:r>
        <w:t xml:space="preserve">The response with the highest moderated score for question </w:t>
      </w:r>
      <w:r w:rsidR="0013073D">
        <w:t>C</w:t>
      </w:r>
      <w:r w:rsidR="00244F44">
        <w:t>5</w:t>
      </w:r>
      <w:r>
        <w:t xml:space="preserve"> will be ranked higher. If identical, then </w:t>
      </w:r>
    </w:p>
    <w:p w14:paraId="47DE590C" w14:textId="6C30CD33" w:rsidR="009B5B6C" w:rsidRDefault="009B5B6C" w:rsidP="009B5B6C">
      <w:pPr>
        <w:pStyle w:val="Heading3"/>
        <w:spacing w:line="276" w:lineRule="auto"/>
        <w:ind w:left="1361" w:hanging="1077"/>
      </w:pPr>
      <w:r>
        <w:t xml:space="preserve">The response with the highest moderated score for question C6 will be ranked higher. If identical, then </w:t>
      </w:r>
    </w:p>
    <w:p w14:paraId="34D7097B" w14:textId="6A6296C7" w:rsidR="006E5ECF" w:rsidRDefault="006E5ECF" w:rsidP="00B03431">
      <w:pPr>
        <w:pStyle w:val="Heading3"/>
        <w:spacing w:line="276" w:lineRule="auto"/>
        <w:ind w:left="1361" w:hanging="1077"/>
      </w:pPr>
      <w:r>
        <w:t xml:space="preserve">The response with the lowest value of funding requested will be ranked highest. </w:t>
      </w:r>
    </w:p>
    <w:p w14:paraId="22597CA6" w14:textId="5076B908" w:rsidR="00915A67" w:rsidRPr="008848E6" w:rsidRDefault="006E5ECF" w:rsidP="00B03431">
      <w:pPr>
        <w:pStyle w:val="Heading2"/>
        <w:spacing w:line="276" w:lineRule="auto"/>
      </w:pPr>
      <w:r>
        <w:t xml:space="preserve">If after this consideration there remains two or more bids both receiving an identical overall (moderated) score, the sequence as outlined within section 11.1.1 to 11.1.5 will be invoked to differentiate and rank the </w:t>
      </w:r>
      <w:r w:rsidRPr="008848E6">
        <w:t>bids.</w:t>
      </w:r>
    </w:p>
    <w:p w14:paraId="5BBAE869" w14:textId="63241393" w:rsidR="001928C1" w:rsidRPr="008848E6" w:rsidRDefault="004E5C9E" w:rsidP="00B03431">
      <w:pPr>
        <w:pStyle w:val="Heading1"/>
        <w:spacing w:line="276" w:lineRule="auto"/>
      </w:pPr>
      <w:bookmarkStart w:id="44" w:name="_Toc31094949"/>
      <w:bookmarkEnd w:id="43"/>
      <w:r>
        <w:t>W</w:t>
      </w:r>
      <w:r w:rsidR="005B2D60">
        <w:t>HO IS ELIGIBLE TO BID</w:t>
      </w:r>
      <w:bookmarkStart w:id="45" w:name="_Toc531018458"/>
      <w:bookmarkStart w:id="46" w:name="_Toc531018566"/>
      <w:bookmarkEnd w:id="44"/>
      <w:bookmarkEnd w:id="45"/>
      <w:bookmarkEnd w:id="46"/>
    </w:p>
    <w:p w14:paraId="21A3A0FA" w14:textId="3312C0D5" w:rsidR="000176E8" w:rsidRPr="008848E6" w:rsidRDefault="000176E8" w:rsidP="000176E8">
      <w:pPr>
        <w:pStyle w:val="Heading2"/>
        <w:spacing w:line="276" w:lineRule="auto"/>
      </w:pPr>
      <w:r w:rsidRPr="008848E6">
        <w:t xml:space="preserve">Bids are permitted from non-statutory organisations that </w:t>
      </w:r>
      <w:r w:rsidR="008848E6" w:rsidRPr="008848E6">
        <w:t xml:space="preserve">are </w:t>
      </w:r>
      <w:r w:rsidR="008848E6" w:rsidRPr="008848E6">
        <w:rPr>
          <w:iCs/>
          <w:szCs w:val="22"/>
        </w:rPr>
        <w:t>from sectors including the voluntary and community sectors, statutory sector, not for profit and for-profit sector, governments, think tanks, academic institutions, other UK government departments and international organisations.</w:t>
      </w:r>
    </w:p>
    <w:p w14:paraId="1D636798" w14:textId="77777777" w:rsidR="000176E8" w:rsidRDefault="000176E8" w:rsidP="000176E8">
      <w:pPr>
        <w:pStyle w:val="Heading2"/>
        <w:spacing w:line="276" w:lineRule="auto"/>
      </w:pPr>
      <w:r>
        <w:t xml:space="preserve">The Authority will accept bids from a single organisation or a consortium for each of the lots. </w:t>
      </w:r>
    </w:p>
    <w:p w14:paraId="098A04B8" w14:textId="77777777" w:rsidR="000176E8" w:rsidRDefault="000176E8" w:rsidP="000176E8">
      <w:pPr>
        <w:pStyle w:val="Heading2"/>
        <w:spacing w:line="276" w:lineRule="auto"/>
      </w:pPr>
      <w:r>
        <w:t>In a consortium bid one organisation should be nominated as the Lead Organisation (proposing a delivery model with other organisations). The Lead Organisation should ensure it has agreement from all relevant organisations before bidding. The funding will be awarded to the Lead Organisation.</w:t>
      </w:r>
    </w:p>
    <w:p w14:paraId="0EE3B9CC" w14:textId="77777777" w:rsidR="000176E8" w:rsidRDefault="000176E8" w:rsidP="000176E8">
      <w:pPr>
        <w:pStyle w:val="Heading2"/>
        <w:spacing w:line="276" w:lineRule="auto"/>
      </w:pPr>
      <w:r>
        <w:t xml:space="preserve">Each organisation can participate in more than one bid as a delivery partner but may only be named as the Lead Organisation in one bid. </w:t>
      </w:r>
    </w:p>
    <w:p w14:paraId="515B8E5E" w14:textId="77777777" w:rsidR="000176E8" w:rsidRDefault="000176E8" w:rsidP="000176E8">
      <w:pPr>
        <w:pStyle w:val="Heading2"/>
        <w:spacing w:line="276" w:lineRule="auto"/>
      </w:pPr>
      <w:r>
        <w:t>Bids for funding are welcomed from single organisations or multi-organisation consortiums and partnerships. In the case of a consortium or partnership bid, one organisation shall be nominated as the lead and shall have agreement from all partner organisations before bidding (this agreement should be demonstrated in the form of a letter signed by all partner organisations). The Home Office funding will be awarded to the lead organisation and the Home Office will enter into a Grant Agreement with the lead organisation.</w:t>
      </w:r>
    </w:p>
    <w:p w14:paraId="2AB17C30" w14:textId="19A98482" w:rsidR="001B7666" w:rsidRDefault="001928C1" w:rsidP="00B03431">
      <w:pPr>
        <w:pStyle w:val="Heading2"/>
        <w:spacing w:line="276" w:lineRule="auto"/>
      </w:pPr>
      <w:r>
        <w:t>Financial Information</w:t>
      </w:r>
      <w:r w:rsidR="00E50D32">
        <w:t>, whilst not evaluated is assessed and therefore</w:t>
      </w:r>
      <w:r>
        <w:t xml:space="preserve"> should be provided</w:t>
      </w:r>
      <w:r w:rsidR="00947289">
        <w:t xml:space="preserve"> for each bid submit</w:t>
      </w:r>
      <w:r w:rsidR="000176E8">
        <w:t>ted</w:t>
      </w:r>
      <w:r>
        <w:t>.</w:t>
      </w:r>
      <w:r w:rsidR="00E40D87">
        <w:t xml:space="preserve"> The Online Quality Envelope contains financial information and outlines the criteria that may lead to bids being rejected. </w:t>
      </w:r>
      <w:r w:rsidR="001B7666">
        <w:t xml:space="preserve"> </w:t>
      </w:r>
    </w:p>
    <w:p w14:paraId="75F5F58E" w14:textId="77777777" w:rsidR="00FF40A8" w:rsidRDefault="001928C1" w:rsidP="00B03431">
      <w:pPr>
        <w:pStyle w:val="Heading1"/>
        <w:spacing w:line="276" w:lineRule="auto"/>
      </w:pPr>
      <w:bookmarkStart w:id="47" w:name="_Toc531018462"/>
      <w:bookmarkStart w:id="48" w:name="_Toc531018570"/>
      <w:bookmarkStart w:id="49" w:name="_Toc531018463"/>
      <w:bookmarkStart w:id="50" w:name="_Toc531018571"/>
      <w:bookmarkStart w:id="51" w:name="_Toc531018464"/>
      <w:bookmarkStart w:id="52" w:name="_Toc531018572"/>
      <w:bookmarkStart w:id="53" w:name="_Toc531018465"/>
      <w:bookmarkStart w:id="54" w:name="_Toc531018573"/>
      <w:bookmarkStart w:id="55" w:name="_Toc531018479"/>
      <w:bookmarkStart w:id="56" w:name="_Toc531018587"/>
      <w:bookmarkStart w:id="57" w:name="_Toc531018480"/>
      <w:bookmarkStart w:id="58" w:name="_Toc531018588"/>
      <w:bookmarkStart w:id="59" w:name="_Toc531018482"/>
      <w:bookmarkStart w:id="60" w:name="_Toc531018590"/>
      <w:bookmarkStart w:id="61" w:name="_Toc531018483"/>
      <w:bookmarkStart w:id="62" w:name="_Toc531018591"/>
      <w:bookmarkStart w:id="63" w:name="_Toc531018484"/>
      <w:bookmarkStart w:id="64" w:name="_Toc531018592"/>
      <w:bookmarkStart w:id="65" w:name="_Toc531018485"/>
      <w:bookmarkStart w:id="66" w:name="_Toc531018593"/>
      <w:bookmarkStart w:id="67" w:name="_Toc531018487"/>
      <w:bookmarkStart w:id="68" w:name="_Toc531018595"/>
      <w:bookmarkStart w:id="69" w:name="_Toc531018488"/>
      <w:bookmarkStart w:id="70" w:name="_Toc531018596"/>
      <w:bookmarkStart w:id="71" w:name="_Toc531018489"/>
      <w:bookmarkStart w:id="72" w:name="_Toc531018597"/>
      <w:bookmarkStart w:id="73" w:name="_Toc3109495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928C1">
        <w:t>Language</w:t>
      </w:r>
      <w:bookmarkEnd w:id="73"/>
    </w:p>
    <w:p w14:paraId="77DA4AA9" w14:textId="77777777" w:rsidR="001928C1" w:rsidRDefault="001928C1" w:rsidP="00B03431">
      <w:pPr>
        <w:pStyle w:val="Heading2"/>
        <w:spacing w:line="276" w:lineRule="auto"/>
      </w:pPr>
      <w:r w:rsidRPr="001A4589">
        <w:t xml:space="preserve">Responses shall be submitted in English. Any printed literature furnished by the Bidder </w:t>
      </w:r>
      <w:r w:rsidR="00AA48DC">
        <w:t xml:space="preserve">(that has been requested by the Authority and therefore forms part of the bidder response for evaluation), </w:t>
      </w:r>
      <w:r w:rsidRPr="001A4589">
        <w:t>may be</w:t>
      </w:r>
      <w:r>
        <w:t xml:space="preserve"> written in any other language, </w:t>
      </w:r>
      <w:r w:rsidRPr="001A4589">
        <w:t>but must be accompanied by an English translation of its relevant pages</w:t>
      </w:r>
      <w:r w:rsidR="00AA48DC">
        <w:t>; any translation will be at the Bidders expense</w:t>
      </w:r>
      <w:r w:rsidRPr="001A4589">
        <w:t>. In such a case, for the purpose of interpretation in relation to the bid, the English translation shall prevail</w:t>
      </w:r>
      <w:r>
        <w:t>.</w:t>
      </w:r>
    </w:p>
    <w:p w14:paraId="0C6F1BD3" w14:textId="77777777" w:rsidR="001928C1" w:rsidRDefault="001928C1" w:rsidP="00B03431">
      <w:pPr>
        <w:pStyle w:val="Heading1"/>
        <w:spacing w:line="276" w:lineRule="auto"/>
      </w:pPr>
      <w:bookmarkStart w:id="74" w:name="_Toc31094951"/>
      <w:r>
        <w:t>Confidentiality</w:t>
      </w:r>
      <w:bookmarkEnd w:id="74"/>
      <w:r>
        <w:t xml:space="preserve"> </w:t>
      </w:r>
    </w:p>
    <w:p w14:paraId="1D8B2CD2" w14:textId="77777777" w:rsidR="001928C1" w:rsidRDefault="001928C1" w:rsidP="00B03431">
      <w:pPr>
        <w:pStyle w:val="Heading2"/>
        <w:spacing w:line="276" w:lineRule="auto"/>
      </w:pPr>
      <w:r>
        <w:t>All information contained in this Call for Proposals, or which is communicated in further correspondence</w:t>
      </w:r>
      <w:r w:rsidR="00215201">
        <w:t xml:space="preserve"> </w:t>
      </w:r>
      <w:r>
        <w:t xml:space="preserve">is confidential and is provided to Bidders under the terms of the Official Secrets Act 1989 (except where it is already in the public domain). </w:t>
      </w:r>
    </w:p>
    <w:p w14:paraId="7F432C7B" w14:textId="77777777" w:rsidR="001928C1" w:rsidRDefault="001928C1" w:rsidP="00B03431">
      <w:pPr>
        <w:pStyle w:val="Heading2"/>
        <w:spacing w:line="276" w:lineRule="auto"/>
      </w:pPr>
      <w:r>
        <w:t>Bidders must not disclose any information supplied as part of this competitive process to any third party, member of staff or advisor, unless such person needs to receive the relevant information for the purposes of enabling a response to any document.</w:t>
      </w:r>
    </w:p>
    <w:p w14:paraId="4F0E73BA" w14:textId="77777777" w:rsidR="001928C1" w:rsidRDefault="001928C1" w:rsidP="00B03431">
      <w:pPr>
        <w:pStyle w:val="Heading2"/>
        <w:spacing w:line="276" w:lineRule="auto"/>
      </w:pPr>
      <w:r>
        <w:t>With the exception of FOIA requests, all information provided by Bidders (except where required in law) will not be disclosed to a third party without written permission</w:t>
      </w:r>
      <w:r w:rsidR="005B58F6">
        <w:t xml:space="preserve">, unless such third parties have been specifically appointed by the Authority as </w:t>
      </w:r>
      <w:r w:rsidR="005B58F6" w:rsidRPr="00F37022">
        <w:t>independent external evaluators provide additional support during evaluation of the bid responses</w:t>
      </w:r>
      <w:r w:rsidR="005B58F6">
        <w:t>.</w:t>
      </w:r>
    </w:p>
    <w:p w14:paraId="787A88F3" w14:textId="77777777" w:rsidR="001928C1" w:rsidRDefault="001928C1" w:rsidP="00B03431">
      <w:pPr>
        <w:pStyle w:val="Heading1"/>
        <w:spacing w:line="276" w:lineRule="auto"/>
      </w:pPr>
      <w:bookmarkStart w:id="75" w:name="_Toc31094952"/>
      <w:r>
        <w:t>Freedom of Information</w:t>
      </w:r>
      <w:bookmarkEnd w:id="75"/>
    </w:p>
    <w:p w14:paraId="0FE4BF14" w14:textId="77777777" w:rsidR="001928C1" w:rsidRDefault="001928C1" w:rsidP="00B03431">
      <w:pPr>
        <w:pStyle w:val="Heading2"/>
        <w:spacing w:line="276" w:lineRule="auto"/>
      </w:pPr>
      <w:r>
        <w:t>The Authority is committed to open government and to meeting its legal responsibilities under the Freedom of Information Act 2000 (the "Act"). Accordingly, all information submitted to the Authority – including as part of this Call for Proposals process – may be subject to disclosure to a third party in response to a FOIA request.</w:t>
      </w:r>
    </w:p>
    <w:p w14:paraId="55830BDA" w14:textId="77777777" w:rsidR="001928C1" w:rsidRDefault="001928C1" w:rsidP="00B03431">
      <w:pPr>
        <w:pStyle w:val="Heading2"/>
        <w:spacing w:line="276" w:lineRule="auto"/>
      </w:pPr>
      <w:r>
        <w:t>The Authority may also decide to include certain information in the publication scheme which it maintains under the Act. If a Bidder considers that any of the information to be included in their Proposal(s) is commercially sensitive, this should be clearly indicated in their Proposal. An explanation (in broad terms) as to what harm may result from disclosure if a request is received should also be provided, along with the time period applicable to that sensitivity.</w:t>
      </w:r>
    </w:p>
    <w:p w14:paraId="1F6A7CC5" w14:textId="77777777" w:rsidR="001928C1" w:rsidRDefault="001928C1" w:rsidP="00B03431">
      <w:pPr>
        <w:pStyle w:val="Heading2"/>
        <w:spacing w:line="276" w:lineRule="auto"/>
      </w:pPr>
      <w:r>
        <w:t xml:space="preserve">Bidders should be aware that, even where they indicate that information is commercially sensitive, the Authority may nonetheless be required to disclose it under the Act, if a request is received. </w:t>
      </w:r>
    </w:p>
    <w:p w14:paraId="53414B7C" w14:textId="77777777" w:rsidR="001928C1" w:rsidRDefault="001928C1" w:rsidP="00B03431">
      <w:pPr>
        <w:pStyle w:val="Heading2"/>
        <w:spacing w:line="276" w:lineRule="auto"/>
      </w:pPr>
      <w:r>
        <w:t>Please also note that the receipt of any material marked 'confidential' or equivalent by the Authority should not be taken to mean that the Authority accepts any duty of confidence by virtue of that marking.</w:t>
      </w:r>
    </w:p>
    <w:p w14:paraId="0AF9BD8D" w14:textId="77777777" w:rsidR="001928C1" w:rsidRDefault="001928C1" w:rsidP="00B03431">
      <w:pPr>
        <w:pStyle w:val="Heading2"/>
        <w:spacing w:line="276" w:lineRule="auto"/>
      </w:pPr>
      <w:r>
        <w:t>In submitting an application, the Bidder accepts and acknowledges that the decision to disclose information and the application of any exemptions under the Act will be at the Authority's sole discretion. The Authority will, however, act reasonably and proportionately in exercising its obligations.</w:t>
      </w:r>
    </w:p>
    <w:p w14:paraId="29E9741C" w14:textId="77777777" w:rsidR="001928C1" w:rsidRDefault="001928C1" w:rsidP="00B03431">
      <w:pPr>
        <w:pStyle w:val="Heading1"/>
        <w:spacing w:line="276" w:lineRule="auto"/>
      </w:pPr>
      <w:bookmarkStart w:id="76" w:name="_Toc31094953"/>
      <w:r>
        <w:t>Publicity</w:t>
      </w:r>
      <w:bookmarkEnd w:id="76"/>
    </w:p>
    <w:p w14:paraId="7C181E40" w14:textId="109A7733" w:rsidR="001928C1" w:rsidRDefault="001928C1" w:rsidP="00B03431">
      <w:pPr>
        <w:pStyle w:val="Heading2"/>
        <w:spacing w:line="276" w:lineRule="auto"/>
      </w:pPr>
      <w:r>
        <w:t>Bidders are reminded that</w:t>
      </w:r>
      <w:r w:rsidR="00F10525">
        <w:t xml:space="preserve"> they</w:t>
      </w:r>
      <w:r>
        <w:t xml:space="preserve"> are not permitted to undertake any publicity activities with any part of the media in relation to this Call for Proposals process without the express permission in writing of the Authority, including agreement on the format and content of any publicity.</w:t>
      </w:r>
    </w:p>
    <w:p w14:paraId="444D7369" w14:textId="77777777" w:rsidR="001928C1" w:rsidRDefault="001928C1" w:rsidP="00B03431">
      <w:pPr>
        <w:pStyle w:val="Heading2"/>
        <w:spacing w:line="276" w:lineRule="auto"/>
      </w:pPr>
      <w:r>
        <w:t>The Authority reserves the right to publish details of the successful Bidder(s), the value of any awar</w:t>
      </w:r>
      <w:r w:rsidR="00215201">
        <w:t xml:space="preserve">d </w:t>
      </w:r>
      <w:r>
        <w:t>and the Grant Agreement</w:t>
      </w:r>
      <w:r w:rsidR="00264676">
        <w:t xml:space="preserve">, </w:t>
      </w:r>
      <w:r w:rsidR="00264676" w:rsidRPr="00264676">
        <w:t>with messaging developed and agreed in collaboration with successful bidders.</w:t>
      </w:r>
    </w:p>
    <w:p w14:paraId="6A516E37" w14:textId="77777777" w:rsidR="001928C1" w:rsidRDefault="001928C1" w:rsidP="00B03431">
      <w:pPr>
        <w:pStyle w:val="Heading1"/>
        <w:spacing w:line="276" w:lineRule="auto"/>
      </w:pPr>
      <w:bookmarkStart w:id="77" w:name="_Toc31094954"/>
      <w:r>
        <w:t>Data Protection Act</w:t>
      </w:r>
      <w:bookmarkEnd w:id="77"/>
    </w:p>
    <w:p w14:paraId="50FE2379" w14:textId="77777777" w:rsidR="001928C1" w:rsidRDefault="001928C1" w:rsidP="00B03431">
      <w:pPr>
        <w:pStyle w:val="Heading2"/>
        <w:spacing w:line="276" w:lineRule="auto"/>
      </w:pPr>
      <w:r>
        <w:t xml:space="preserve">The Authority will use the information Bidders provide during the application </w:t>
      </w:r>
      <w:r w:rsidR="00215201">
        <w:t xml:space="preserve">evaluation </w:t>
      </w:r>
      <w:r>
        <w:t xml:space="preserve">and </w:t>
      </w:r>
      <w:r w:rsidR="00215201">
        <w:t xml:space="preserve">during </w:t>
      </w:r>
      <w:r>
        <w:t xml:space="preserve">the life of </w:t>
      </w:r>
      <w:r w:rsidR="00215201">
        <w:t xml:space="preserve">the </w:t>
      </w:r>
      <w:r>
        <w:t xml:space="preserve">grant </w:t>
      </w:r>
      <w:r w:rsidR="00215201">
        <w:t xml:space="preserve">funding </w:t>
      </w:r>
      <w:r>
        <w:t xml:space="preserve">(if awarded) to administer and analyse grants, and for the Authority’s own learning purposes. Information included in an application will be retained by the Authority. </w:t>
      </w:r>
    </w:p>
    <w:p w14:paraId="40A3BD96" w14:textId="119FB211" w:rsidR="001928C1" w:rsidRDefault="3F0C055B" w:rsidP="00B03431">
      <w:pPr>
        <w:pStyle w:val="Heading2"/>
        <w:spacing w:line="276" w:lineRule="auto"/>
      </w:pPr>
      <w:r>
        <w:t>Bidder contact details (organisational contact, telephone number, website, email address, etc) may be shared with delivery partners and/or the Authority, but will not be shared with other third parties</w:t>
      </w:r>
      <w:r w:rsidR="063DD72F">
        <w:t>, unless such third parties have been specifically appointed by the Authority as</w:t>
      </w:r>
      <w:r w:rsidR="770548A5">
        <w:t xml:space="preserve"> independent external evaluators provide additional support during evaluation of the bid responses.</w:t>
      </w:r>
      <w:r>
        <w:t xml:space="preserve"> The Authority may also use the information to contact Bidders by letter</w:t>
      </w:r>
      <w:r w:rsidR="09B3F575">
        <w:t xml:space="preserve">, </w:t>
      </w:r>
      <w:r>
        <w:t xml:space="preserve">or email. </w:t>
      </w:r>
    </w:p>
    <w:p w14:paraId="64ACFB28" w14:textId="1C432CC6" w:rsidR="001928C1" w:rsidRDefault="001928C1" w:rsidP="00B03431">
      <w:pPr>
        <w:pStyle w:val="Heading2"/>
        <w:spacing w:line="276" w:lineRule="auto"/>
      </w:pPr>
      <w:r>
        <w:t xml:space="preserve">We may share information with organisations and individuals with a legitimate interest in the </w:t>
      </w:r>
      <w:r w:rsidR="00523E84">
        <w:t>Modern Slavery Innovation Fund</w:t>
      </w:r>
      <w:r w:rsidR="006C1D46">
        <w:t>.</w:t>
      </w:r>
      <w:r>
        <w:t xml:space="preserve"> The Authority has a duty to protect public funds and for that reason the information may also be shared (in line with the Freedom of Information Act) with government departments, organisations providing matched funding or for the prevention and detection of crime. </w:t>
      </w:r>
    </w:p>
    <w:p w14:paraId="5B2C1B4D" w14:textId="77777777" w:rsidR="001928C1" w:rsidRDefault="001928C1" w:rsidP="00B03431">
      <w:pPr>
        <w:pStyle w:val="Heading1"/>
        <w:spacing w:line="276" w:lineRule="auto"/>
      </w:pPr>
      <w:bookmarkStart w:id="78" w:name="_Toc31094955"/>
      <w:r>
        <w:t>Copyright</w:t>
      </w:r>
      <w:bookmarkEnd w:id="78"/>
      <w:r>
        <w:t xml:space="preserve"> </w:t>
      </w:r>
    </w:p>
    <w:p w14:paraId="462036C8" w14:textId="77777777" w:rsidR="001928C1" w:rsidRDefault="001928C1" w:rsidP="00B03431">
      <w:pPr>
        <w:pStyle w:val="Heading2"/>
        <w:spacing w:line="276" w:lineRule="auto"/>
      </w:pPr>
      <w:r>
        <w:t xml:space="preserve">All documents issued by the Authority in connection with this Call for Proposals are the copyright of the Authority. Bidders shall not reproduce any part(s) in any material form (including photocopying or storing it in any medium by electronic means) without the written permission of the Authority, other than for use strictly for the purpose of preparing their responses/proposals. </w:t>
      </w:r>
    </w:p>
    <w:p w14:paraId="5CE28061" w14:textId="77777777" w:rsidR="001928C1" w:rsidRDefault="001928C1" w:rsidP="00B03431">
      <w:pPr>
        <w:pStyle w:val="Heading2"/>
        <w:spacing w:line="276" w:lineRule="auto"/>
      </w:pPr>
      <w:r>
        <w:t>Any document at any time issued shall remain the property of the Authority and must be returned or destroyed upon demand.</w:t>
      </w:r>
    </w:p>
    <w:p w14:paraId="7863EE63" w14:textId="77777777" w:rsidR="001928C1" w:rsidRDefault="001928C1" w:rsidP="00B03431">
      <w:pPr>
        <w:pStyle w:val="Heading1"/>
        <w:spacing w:line="276" w:lineRule="auto"/>
      </w:pPr>
      <w:bookmarkStart w:id="79" w:name="_Toc31094956"/>
      <w:r>
        <w:t>Costs of Bidding</w:t>
      </w:r>
      <w:bookmarkEnd w:id="79"/>
      <w:r>
        <w:t xml:space="preserve"> </w:t>
      </w:r>
    </w:p>
    <w:p w14:paraId="2CBD5469" w14:textId="77777777" w:rsidR="001928C1" w:rsidRDefault="001928C1" w:rsidP="00B03431">
      <w:pPr>
        <w:pStyle w:val="Heading2"/>
        <w:spacing w:line="276" w:lineRule="auto"/>
      </w:pPr>
      <w:r>
        <w:t xml:space="preserve">Bidders will be responsible for obtaining all information necessary for the preparation of their proposals. In addition, Bidders will bear all costs, expenses and liabilities incurred in connection with the preparation of such proposals and all further participation in the competitive process, regardless of whether such costs arise as a consequence, direct or indirect, of any amendments made by the Authority at any time. </w:t>
      </w:r>
    </w:p>
    <w:p w14:paraId="765C1124" w14:textId="77777777" w:rsidR="004A6793" w:rsidRDefault="001928C1" w:rsidP="00B03431">
      <w:pPr>
        <w:pStyle w:val="Heading2"/>
        <w:spacing w:line="276" w:lineRule="auto"/>
      </w:pPr>
      <w:r>
        <w:t xml:space="preserve">The Authority reserves the right not to proceed with the competition at any stage during the Call for Proposals process and shall not, in the event of discontinuance (whatever the cause) be liable for any costs incurred, directly or indirectly, by Bidders. </w:t>
      </w:r>
    </w:p>
    <w:p w14:paraId="450A797B" w14:textId="77777777" w:rsidR="001928C1" w:rsidRDefault="001928C1" w:rsidP="00B03431">
      <w:pPr>
        <w:pStyle w:val="Heading1"/>
        <w:spacing w:line="276" w:lineRule="auto"/>
      </w:pPr>
      <w:bookmarkStart w:id="80" w:name="_Toc31094957"/>
      <w:r>
        <w:t>Non-canvassing &amp; Non-collusion</w:t>
      </w:r>
      <w:bookmarkEnd w:id="80"/>
      <w:r>
        <w:t xml:space="preserve"> </w:t>
      </w:r>
    </w:p>
    <w:p w14:paraId="3DE330A3" w14:textId="37C85A76" w:rsidR="001928C1" w:rsidRDefault="001928C1" w:rsidP="00B03431">
      <w:pPr>
        <w:pStyle w:val="Heading2"/>
        <w:spacing w:line="276" w:lineRule="auto"/>
      </w:pPr>
      <w:r>
        <w:t xml:space="preserve">Any Bidder who, in connection with the </w:t>
      </w:r>
      <w:r w:rsidR="00BD279A">
        <w:t xml:space="preserve">Modern Slavery </w:t>
      </w:r>
      <w:r w:rsidR="006320E3">
        <w:t xml:space="preserve">Innovation </w:t>
      </w:r>
      <w:r w:rsidR="00BD279A">
        <w:t>Fund</w:t>
      </w:r>
      <w:r>
        <w:t xml:space="preserve"> and the associated Call for Proposals process:</w:t>
      </w:r>
    </w:p>
    <w:p w14:paraId="4FCDA598" w14:textId="77777777" w:rsidR="001928C1" w:rsidRDefault="001928C1" w:rsidP="00B03431">
      <w:pPr>
        <w:pStyle w:val="Heading3"/>
        <w:spacing w:line="276" w:lineRule="auto"/>
        <w:ind w:left="1361" w:hanging="1077"/>
      </w:pPr>
      <w:r>
        <w:t xml:space="preserve">Offers any inducement, fee or reward to any member or officer of the Authority or any person acting as an adviser for the Authority or in connection with the arrangements; </w:t>
      </w:r>
    </w:p>
    <w:p w14:paraId="1F56A3E5" w14:textId="77777777" w:rsidR="001928C1" w:rsidRDefault="001928C1" w:rsidP="00B03431">
      <w:pPr>
        <w:pStyle w:val="Heading3"/>
        <w:spacing w:line="276" w:lineRule="auto"/>
        <w:ind w:left="1361" w:hanging="1077"/>
      </w:pPr>
      <w:r>
        <w:t xml:space="preserve">Canvasses any of the persons referred to above in connection with the arrangements; </w:t>
      </w:r>
    </w:p>
    <w:p w14:paraId="59DA3C57" w14:textId="77777777" w:rsidR="001928C1" w:rsidRDefault="001928C1" w:rsidP="00B03431">
      <w:pPr>
        <w:pStyle w:val="Heading3"/>
        <w:spacing w:line="276" w:lineRule="auto"/>
        <w:ind w:left="1361" w:hanging="1077"/>
      </w:pPr>
      <w:r>
        <w:t xml:space="preserve">Does anything which would constitute a breach of the Prevention of Corruption Acts 1889 to 1916; </w:t>
      </w:r>
    </w:p>
    <w:p w14:paraId="2449BFA2" w14:textId="5A12BEA8" w:rsidR="001928C1" w:rsidRDefault="001928C1" w:rsidP="00B03431">
      <w:pPr>
        <w:pStyle w:val="Heading3"/>
        <w:spacing w:line="276" w:lineRule="auto"/>
        <w:ind w:left="1361" w:hanging="1077"/>
      </w:pPr>
      <w:r>
        <w:t xml:space="preserve">Contacts any officer or adviser of the Authority about any aspect of the arrangements, except as authorised by this process including (but without limitation) for the purposes of discussing the possible transfer to the employment of the Bidder of such officer for the purpose of the Grant Agreement or for soliciting information in connection with the Grant Agreements, </w:t>
      </w:r>
    </w:p>
    <w:p w14:paraId="3C495E27" w14:textId="77777777" w:rsidR="001928C1" w:rsidRDefault="001928C1" w:rsidP="00B03431">
      <w:pPr>
        <w:pStyle w:val="Heading2"/>
        <w:numPr>
          <w:ilvl w:val="0"/>
          <w:numId w:val="0"/>
        </w:numPr>
        <w:spacing w:line="276" w:lineRule="auto"/>
        <w:ind w:left="720"/>
      </w:pPr>
      <w:r w:rsidRPr="004A6793">
        <w:rPr>
          <w:b/>
        </w:rPr>
        <w:t>will be disqualified</w:t>
      </w:r>
      <w:r>
        <w:t xml:space="preserve"> from any further involvement in the competition. This is without prejudice to any other remedies available to the Authority and without prejudice to any criminal liability which such conduct by a Bidder may attract.</w:t>
      </w:r>
    </w:p>
    <w:p w14:paraId="65ADCFC3" w14:textId="77777777" w:rsidR="00EB2DDA" w:rsidRDefault="00EB2DDA" w:rsidP="00B03431">
      <w:pPr>
        <w:pStyle w:val="Heading1"/>
        <w:spacing w:line="276" w:lineRule="auto"/>
      </w:pPr>
      <w:bookmarkStart w:id="81" w:name="_Toc31094958"/>
      <w:r>
        <w:t>Indicative Timelines</w:t>
      </w:r>
      <w:bookmarkEnd w:id="81"/>
    </w:p>
    <w:p w14:paraId="580864A0" w14:textId="616F7780" w:rsidR="001928C1" w:rsidRDefault="001928C1" w:rsidP="00B03431">
      <w:pPr>
        <w:pStyle w:val="Heading2"/>
        <w:spacing w:line="276" w:lineRule="auto"/>
      </w:pPr>
      <w:r w:rsidRPr="00B675F1">
        <w:rPr>
          <w:szCs w:val="22"/>
        </w:rPr>
        <w:t xml:space="preserve">Please see the table below for </w:t>
      </w:r>
      <w:r w:rsidR="004A6793" w:rsidRPr="00B675F1">
        <w:rPr>
          <w:szCs w:val="22"/>
        </w:rPr>
        <w:t xml:space="preserve">indicative </w:t>
      </w:r>
      <w:r w:rsidRPr="00B675F1">
        <w:rPr>
          <w:szCs w:val="22"/>
        </w:rPr>
        <w:t>timelines</w:t>
      </w:r>
      <w:r w:rsidR="00B675F1" w:rsidRPr="00B675F1">
        <w:rPr>
          <w:szCs w:val="22"/>
        </w:rPr>
        <w:t xml:space="preserve"> </w:t>
      </w:r>
      <w:r w:rsidR="00B675F1" w:rsidRPr="00B675F1">
        <w:rPr>
          <w:rFonts w:cs="Arial"/>
          <w:szCs w:val="22"/>
        </w:rPr>
        <w:t>and note event milestone dates in February/March may alter and be brought forward if earlier activities can be concluded ahead of schedule</w:t>
      </w:r>
      <w:r>
        <w:t>:</w:t>
      </w:r>
    </w:p>
    <w:tbl>
      <w:tblPr>
        <w:tblW w:w="9086" w:type="dxa"/>
        <w:tblLook w:val="04A0" w:firstRow="1" w:lastRow="0" w:firstColumn="1" w:lastColumn="0" w:noHBand="0" w:noVBand="1"/>
      </w:tblPr>
      <w:tblGrid>
        <w:gridCol w:w="5296"/>
        <w:gridCol w:w="1769"/>
        <w:gridCol w:w="2021"/>
      </w:tblGrid>
      <w:tr w:rsidR="001928C1" w:rsidRPr="001928C1" w14:paraId="6159A725" w14:textId="77777777" w:rsidTr="000E0D95">
        <w:trPr>
          <w:trHeight w:val="618"/>
        </w:trPr>
        <w:tc>
          <w:tcPr>
            <w:tcW w:w="5296"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5092078" w14:textId="77777777" w:rsidR="001928C1" w:rsidRPr="001928C1" w:rsidRDefault="001928C1" w:rsidP="00B03431">
            <w:pPr>
              <w:spacing w:line="276" w:lineRule="auto"/>
              <w:rPr>
                <w:rFonts w:eastAsia="Times New Roman" w:cs="Arial"/>
                <w:b/>
                <w:bCs/>
                <w:color w:val="000000"/>
                <w:lang w:eastAsia="en-GB"/>
              </w:rPr>
            </w:pPr>
            <w:r>
              <w:rPr>
                <w:rFonts w:eastAsia="Times New Roman" w:cs="Arial"/>
                <w:b/>
                <w:bCs/>
                <w:color w:val="000000"/>
                <w:lang w:eastAsia="en-GB"/>
              </w:rPr>
              <w:t>Milestone</w:t>
            </w:r>
          </w:p>
        </w:tc>
        <w:tc>
          <w:tcPr>
            <w:tcW w:w="1769" w:type="dxa"/>
            <w:tcBorders>
              <w:top w:val="single" w:sz="4" w:space="0" w:color="auto"/>
              <w:left w:val="nil"/>
              <w:bottom w:val="single" w:sz="4" w:space="0" w:color="auto"/>
              <w:right w:val="single" w:sz="4" w:space="0" w:color="auto"/>
            </w:tcBorders>
            <w:shd w:val="clear" w:color="000000" w:fill="FFFF99"/>
            <w:vAlign w:val="center"/>
            <w:hideMark/>
          </w:tcPr>
          <w:p w14:paraId="5A2F8D55" w14:textId="77777777" w:rsidR="001928C1" w:rsidRPr="001928C1" w:rsidRDefault="001928C1" w:rsidP="00B03431">
            <w:pPr>
              <w:spacing w:line="276" w:lineRule="auto"/>
              <w:jc w:val="center"/>
              <w:rPr>
                <w:rFonts w:eastAsia="Times New Roman" w:cs="Arial"/>
                <w:b/>
                <w:bCs/>
                <w:color w:val="000000"/>
                <w:lang w:eastAsia="en-GB"/>
              </w:rPr>
            </w:pPr>
            <w:r>
              <w:rPr>
                <w:rFonts w:eastAsia="Times New Roman" w:cs="Arial"/>
                <w:b/>
                <w:bCs/>
                <w:color w:val="000000"/>
                <w:lang w:eastAsia="en-GB"/>
              </w:rPr>
              <w:t>Start Date</w:t>
            </w:r>
          </w:p>
        </w:tc>
        <w:tc>
          <w:tcPr>
            <w:tcW w:w="2021" w:type="dxa"/>
            <w:tcBorders>
              <w:top w:val="single" w:sz="4" w:space="0" w:color="auto"/>
              <w:left w:val="nil"/>
              <w:bottom w:val="single" w:sz="4" w:space="0" w:color="auto"/>
              <w:right w:val="single" w:sz="4" w:space="0" w:color="auto"/>
            </w:tcBorders>
            <w:shd w:val="clear" w:color="000000" w:fill="FFFF99"/>
            <w:vAlign w:val="center"/>
            <w:hideMark/>
          </w:tcPr>
          <w:p w14:paraId="6D4DEBBD" w14:textId="77777777" w:rsidR="001928C1" w:rsidRPr="001928C1" w:rsidRDefault="001928C1" w:rsidP="00B03431">
            <w:pPr>
              <w:spacing w:line="276" w:lineRule="auto"/>
              <w:jc w:val="center"/>
              <w:rPr>
                <w:rFonts w:eastAsia="Times New Roman" w:cs="Arial"/>
                <w:b/>
                <w:bCs/>
                <w:color w:val="000000"/>
                <w:lang w:eastAsia="en-GB"/>
              </w:rPr>
            </w:pPr>
            <w:r>
              <w:rPr>
                <w:rFonts w:eastAsia="Times New Roman" w:cs="Arial"/>
                <w:b/>
                <w:bCs/>
                <w:color w:val="000000"/>
                <w:lang w:eastAsia="en-GB"/>
              </w:rPr>
              <w:t>End Date</w:t>
            </w:r>
          </w:p>
        </w:tc>
      </w:tr>
      <w:tr w:rsidR="0029300B" w:rsidRPr="001928C1" w14:paraId="14AFE039" w14:textId="77777777" w:rsidTr="0029300B">
        <w:trPr>
          <w:trHeight w:val="499"/>
        </w:trPr>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177CAF8E" w14:textId="20EB7A98" w:rsidR="0029300B" w:rsidRPr="00C60BA6" w:rsidRDefault="0029300B" w:rsidP="00B03431">
            <w:pPr>
              <w:spacing w:line="276" w:lineRule="auto"/>
              <w:rPr>
                <w:rFonts w:eastAsia="Times New Roman" w:cs="Arial"/>
                <w:szCs w:val="22"/>
                <w:lang w:eastAsia="en-GB"/>
              </w:rPr>
            </w:pPr>
            <w:r>
              <w:rPr>
                <w:bCs/>
                <w:kern w:val="24"/>
                <w:szCs w:val="22"/>
              </w:rPr>
              <w:t>Call for Proposal (CfP)</w:t>
            </w:r>
            <w:r w:rsidRPr="00C60BA6">
              <w:rPr>
                <w:bCs/>
                <w:kern w:val="24"/>
                <w:szCs w:val="22"/>
              </w:rPr>
              <w:t xml:space="preserve"> via </w:t>
            </w:r>
            <w:r>
              <w:rPr>
                <w:bCs/>
                <w:kern w:val="24"/>
                <w:szCs w:val="22"/>
              </w:rPr>
              <w:t xml:space="preserve">Contract Finder advert and Jaggaer </w:t>
            </w:r>
            <w:r w:rsidRPr="00C60BA6">
              <w:rPr>
                <w:bCs/>
                <w:kern w:val="24"/>
                <w:szCs w:val="22"/>
              </w:rPr>
              <w:t>eSourcing portal</w:t>
            </w:r>
            <w:r w:rsidR="00D05ECF">
              <w:rPr>
                <w:bCs/>
                <w:kern w:val="24"/>
                <w:szCs w:val="22"/>
              </w:rPr>
              <w:t xml:space="preserve"> live</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2198C423" w14:textId="691ED321" w:rsidR="0029300B" w:rsidRPr="002416E0" w:rsidRDefault="00730331" w:rsidP="00B03431">
            <w:pPr>
              <w:spacing w:line="276" w:lineRule="auto"/>
              <w:jc w:val="center"/>
              <w:rPr>
                <w:rFonts w:eastAsia="Times New Roman" w:cs="Arial"/>
                <w:color w:val="000000"/>
                <w:szCs w:val="22"/>
                <w:highlight w:val="yellow"/>
                <w:lang w:eastAsia="en-GB"/>
              </w:rPr>
            </w:pPr>
            <w:r w:rsidRPr="0068684E">
              <w:rPr>
                <w:rFonts w:eastAsia="Times New Roman" w:cs="Arial"/>
                <w:color w:val="000000"/>
                <w:szCs w:val="22"/>
                <w:lang w:eastAsia="en-GB"/>
              </w:rPr>
              <w:t>0</w:t>
            </w:r>
            <w:r w:rsidR="00B90152" w:rsidRPr="0068684E">
              <w:rPr>
                <w:rFonts w:eastAsia="Times New Roman" w:cs="Arial"/>
                <w:color w:val="000000"/>
                <w:szCs w:val="22"/>
                <w:lang w:eastAsia="en-GB"/>
              </w:rPr>
              <w:t>5</w:t>
            </w:r>
            <w:r w:rsidR="0029300B" w:rsidRPr="0068684E">
              <w:rPr>
                <w:rFonts w:eastAsia="Times New Roman" w:cs="Arial"/>
                <w:color w:val="000000"/>
                <w:szCs w:val="22"/>
                <w:lang w:eastAsia="en-GB"/>
              </w:rPr>
              <w:t>/</w:t>
            </w:r>
            <w:r w:rsidRPr="0068684E">
              <w:rPr>
                <w:rFonts w:eastAsia="Times New Roman" w:cs="Arial"/>
                <w:color w:val="000000"/>
                <w:szCs w:val="22"/>
                <w:lang w:eastAsia="en-GB"/>
              </w:rPr>
              <w:t>07</w:t>
            </w:r>
            <w:r w:rsidR="0029300B" w:rsidRPr="0068684E">
              <w:rPr>
                <w:rFonts w:eastAsia="Times New Roman" w:cs="Arial"/>
                <w:color w:val="000000"/>
                <w:szCs w:val="22"/>
                <w:lang w:eastAsia="en-GB"/>
              </w:rPr>
              <w:t>/202</w:t>
            </w:r>
            <w:r w:rsidR="005262F2" w:rsidRPr="0068684E">
              <w:rPr>
                <w:rFonts w:eastAsia="Times New Roman" w:cs="Arial"/>
                <w:color w:val="000000"/>
                <w:szCs w:val="22"/>
                <w:lang w:eastAsia="en-GB"/>
              </w:rPr>
              <w:t>2</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2567A84A" w14:textId="05DCF797" w:rsidR="0029300B" w:rsidRPr="002416E0" w:rsidRDefault="00E46257" w:rsidP="00B03431">
            <w:pPr>
              <w:spacing w:line="276" w:lineRule="auto"/>
              <w:jc w:val="center"/>
              <w:rPr>
                <w:rFonts w:eastAsia="Times New Roman" w:cs="Arial"/>
                <w:color w:val="000000"/>
                <w:szCs w:val="22"/>
                <w:highlight w:val="yellow"/>
                <w:lang w:eastAsia="en-GB"/>
              </w:rPr>
            </w:pPr>
            <w:r w:rsidRPr="0068684E">
              <w:rPr>
                <w:rFonts w:eastAsia="Times New Roman" w:cs="Arial"/>
                <w:color w:val="000000"/>
                <w:szCs w:val="22"/>
                <w:lang w:eastAsia="en-GB"/>
              </w:rPr>
              <w:t>0</w:t>
            </w:r>
            <w:r w:rsidR="0068684E" w:rsidRPr="0068684E">
              <w:rPr>
                <w:rFonts w:eastAsia="Times New Roman" w:cs="Arial"/>
                <w:color w:val="000000"/>
                <w:szCs w:val="22"/>
                <w:lang w:eastAsia="en-GB"/>
              </w:rPr>
              <w:t>5</w:t>
            </w:r>
            <w:r w:rsidR="0029300B" w:rsidRPr="0068684E">
              <w:rPr>
                <w:rFonts w:eastAsia="Times New Roman" w:cs="Arial"/>
                <w:color w:val="000000"/>
                <w:szCs w:val="22"/>
                <w:lang w:eastAsia="en-GB"/>
              </w:rPr>
              <w:t>/0</w:t>
            </w:r>
            <w:r w:rsidRPr="0068684E">
              <w:rPr>
                <w:rFonts w:eastAsia="Times New Roman" w:cs="Arial"/>
                <w:color w:val="000000"/>
                <w:szCs w:val="22"/>
                <w:lang w:eastAsia="en-GB"/>
              </w:rPr>
              <w:t>8</w:t>
            </w:r>
            <w:r w:rsidR="0029300B" w:rsidRPr="0068684E">
              <w:rPr>
                <w:rFonts w:eastAsia="Times New Roman" w:cs="Arial"/>
                <w:color w:val="000000"/>
                <w:szCs w:val="22"/>
                <w:lang w:eastAsia="en-GB"/>
              </w:rPr>
              <w:t>/202</w:t>
            </w:r>
            <w:r w:rsidR="005262F2" w:rsidRPr="0068684E">
              <w:rPr>
                <w:rFonts w:eastAsia="Times New Roman" w:cs="Arial"/>
                <w:color w:val="000000"/>
                <w:szCs w:val="22"/>
                <w:lang w:eastAsia="en-GB"/>
              </w:rPr>
              <w:t>2</w:t>
            </w:r>
          </w:p>
        </w:tc>
      </w:tr>
      <w:tr w:rsidR="00C60BA6" w:rsidRPr="001928C1" w14:paraId="253DB313" w14:textId="77777777" w:rsidTr="000E0D95">
        <w:trPr>
          <w:trHeight w:val="499"/>
        </w:trPr>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3A39AD2B" w14:textId="77777777" w:rsidR="00C60BA6" w:rsidRPr="00C60BA6" w:rsidRDefault="00C60BA6" w:rsidP="00B03431">
            <w:pPr>
              <w:spacing w:line="276" w:lineRule="auto"/>
              <w:rPr>
                <w:rFonts w:eastAsia="Times New Roman" w:cs="Arial"/>
                <w:szCs w:val="22"/>
                <w:lang w:eastAsia="en-GB"/>
              </w:rPr>
            </w:pPr>
            <w:r w:rsidRPr="00C60BA6">
              <w:rPr>
                <w:rFonts w:cs="Arial"/>
                <w:bCs/>
                <w:szCs w:val="22"/>
              </w:rPr>
              <w:t xml:space="preserve">Clarification period </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51B528E1" w14:textId="5099F454" w:rsidR="00C60BA6" w:rsidRPr="002416E0" w:rsidRDefault="00E46257" w:rsidP="00B03431">
            <w:pPr>
              <w:spacing w:line="276" w:lineRule="auto"/>
              <w:jc w:val="center"/>
              <w:rPr>
                <w:rFonts w:eastAsia="Times New Roman" w:cs="Arial"/>
                <w:color w:val="000000"/>
                <w:szCs w:val="22"/>
                <w:highlight w:val="yellow"/>
                <w:lang w:eastAsia="en-GB"/>
              </w:rPr>
            </w:pPr>
            <w:r w:rsidRPr="0068684E">
              <w:rPr>
                <w:rFonts w:eastAsia="Times New Roman" w:cs="Arial"/>
                <w:color w:val="000000"/>
                <w:szCs w:val="22"/>
                <w:lang w:eastAsia="en-GB"/>
              </w:rPr>
              <w:t>0</w:t>
            </w:r>
            <w:r w:rsidR="00B90152" w:rsidRPr="0068684E">
              <w:rPr>
                <w:rFonts w:eastAsia="Times New Roman" w:cs="Arial"/>
                <w:color w:val="000000"/>
                <w:szCs w:val="22"/>
                <w:lang w:eastAsia="en-GB"/>
              </w:rPr>
              <w:t>5</w:t>
            </w:r>
            <w:r w:rsidR="0029300B" w:rsidRPr="0068684E">
              <w:rPr>
                <w:rFonts w:eastAsia="Times New Roman" w:cs="Arial"/>
                <w:color w:val="000000"/>
                <w:szCs w:val="22"/>
                <w:lang w:eastAsia="en-GB"/>
              </w:rPr>
              <w:t>/0</w:t>
            </w:r>
            <w:r w:rsidR="00B7640D" w:rsidRPr="0068684E">
              <w:rPr>
                <w:rFonts w:eastAsia="Times New Roman" w:cs="Arial"/>
                <w:color w:val="000000"/>
                <w:szCs w:val="22"/>
                <w:lang w:eastAsia="en-GB"/>
              </w:rPr>
              <w:t>7</w:t>
            </w:r>
            <w:r w:rsidR="0029300B" w:rsidRPr="0068684E">
              <w:rPr>
                <w:rFonts w:eastAsia="Times New Roman" w:cs="Arial"/>
                <w:color w:val="000000"/>
                <w:szCs w:val="22"/>
                <w:lang w:eastAsia="en-GB"/>
              </w:rPr>
              <w:t>/202</w:t>
            </w:r>
            <w:r w:rsidR="00AA7970" w:rsidRPr="0068684E">
              <w:rPr>
                <w:rFonts w:eastAsia="Times New Roman" w:cs="Arial"/>
                <w:color w:val="000000"/>
                <w:szCs w:val="22"/>
                <w:lang w:eastAsia="en-GB"/>
              </w:rPr>
              <w:t>2</w:t>
            </w:r>
            <w:r w:rsidR="0029300B" w:rsidRPr="0068684E">
              <w:rPr>
                <w:rFonts w:eastAsia="Times New Roman" w:cs="Arial"/>
                <w:color w:val="000000"/>
                <w:szCs w:val="22"/>
                <w:lang w:eastAsia="en-GB"/>
              </w:rPr>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2DEE2CE9" w14:textId="00C8C06E" w:rsidR="00C60BA6" w:rsidRPr="002416E0" w:rsidRDefault="00E46257" w:rsidP="00B03431">
            <w:pPr>
              <w:spacing w:line="276" w:lineRule="auto"/>
              <w:jc w:val="center"/>
              <w:rPr>
                <w:rFonts w:eastAsia="Times New Roman" w:cs="Arial"/>
                <w:color w:val="000000"/>
                <w:szCs w:val="22"/>
                <w:highlight w:val="yellow"/>
                <w:lang w:eastAsia="en-GB"/>
              </w:rPr>
            </w:pPr>
            <w:r w:rsidRPr="0068684E">
              <w:rPr>
                <w:rFonts w:eastAsia="Times New Roman" w:cs="Arial"/>
                <w:color w:val="000000"/>
                <w:szCs w:val="22"/>
                <w:lang w:eastAsia="en-GB"/>
              </w:rPr>
              <w:t>2</w:t>
            </w:r>
            <w:r w:rsidR="0068684E" w:rsidRPr="0068684E">
              <w:rPr>
                <w:rFonts w:eastAsia="Times New Roman" w:cs="Arial"/>
                <w:color w:val="000000"/>
                <w:szCs w:val="22"/>
                <w:lang w:eastAsia="en-GB"/>
              </w:rPr>
              <w:t>7</w:t>
            </w:r>
            <w:r w:rsidR="001C4A95" w:rsidRPr="0068684E">
              <w:rPr>
                <w:rFonts w:eastAsia="Times New Roman" w:cs="Arial"/>
                <w:color w:val="000000"/>
                <w:szCs w:val="22"/>
                <w:lang w:eastAsia="en-GB"/>
              </w:rPr>
              <w:t>/0</w:t>
            </w:r>
            <w:r w:rsidR="00B7640D" w:rsidRPr="0068684E">
              <w:rPr>
                <w:rFonts w:eastAsia="Times New Roman" w:cs="Arial"/>
                <w:color w:val="000000"/>
                <w:szCs w:val="22"/>
                <w:lang w:eastAsia="en-GB"/>
              </w:rPr>
              <w:t>7</w:t>
            </w:r>
            <w:r w:rsidR="001C4A95" w:rsidRPr="0068684E">
              <w:rPr>
                <w:rFonts w:eastAsia="Times New Roman" w:cs="Arial"/>
                <w:color w:val="000000"/>
                <w:szCs w:val="22"/>
                <w:lang w:eastAsia="en-GB"/>
              </w:rPr>
              <w:t>/202</w:t>
            </w:r>
            <w:r w:rsidR="00AA7970" w:rsidRPr="0068684E">
              <w:rPr>
                <w:rFonts w:eastAsia="Times New Roman" w:cs="Arial"/>
                <w:color w:val="000000"/>
                <w:szCs w:val="22"/>
                <w:lang w:eastAsia="en-GB"/>
              </w:rPr>
              <w:t>2</w:t>
            </w:r>
          </w:p>
        </w:tc>
      </w:tr>
      <w:tr w:rsidR="00C60BA6" w:rsidRPr="001928C1" w14:paraId="769AC9B9" w14:textId="77777777" w:rsidTr="00C60BA6">
        <w:trPr>
          <w:trHeight w:val="499"/>
        </w:trPr>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4B0B9DDE" w14:textId="77777777" w:rsidR="00C60BA6" w:rsidRPr="00C60BA6" w:rsidRDefault="00C60BA6" w:rsidP="00B03431">
            <w:pPr>
              <w:spacing w:line="276" w:lineRule="auto"/>
              <w:rPr>
                <w:rFonts w:eastAsia="Times New Roman" w:cs="Arial"/>
                <w:szCs w:val="22"/>
                <w:lang w:eastAsia="en-GB"/>
              </w:rPr>
            </w:pPr>
            <w:r w:rsidRPr="00C60BA6">
              <w:rPr>
                <w:rFonts w:cs="Arial"/>
                <w:bCs/>
                <w:szCs w:val="22"/>
              </w:rPr>
              <w:t>Bid submission deadline</w:t>
            </w:r>
          </w:p>
        </w:tc>
        <w:tc>
          <w:tcPr>
            <w:tcW w:w="3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42FCF" w14:textId="397CB5DB" w:rsidR="00C60BA6" w:rsidRPr="00C60BA6" w:rsidRDefault="00965E92" w:rsidP="00B03431">
            <w:pPr>
              <w:spacing w:line="276" w:lineRule="auto"/>
              <w:jc w:val="center"/>
              <w:rPr>
                <w:rFonts w:eastAsia="Times New Roman" w:cs="Arial"/>
                <w:color w:val="000000"/>
                <w:szCs w:val="22"/>
                <w:lang w:eastAsia="en-GB"/>
              </w:rPr>
            </w:pPr>
            <w:r>
              <w:rPr>
                <w:rFonts w:eastAsia="Times New Roman" w:cs="Arial"/>
                <w:color w:val="000000"/>
                <w:szCs w:val="22"/>
                <w:lang w:eastAsia="en-GB"/>
              </w:rPr>
              <w:t xml:space="preserve">13:00 </w:t>
            </w:r>
            <w:r w:rsidR="00E46257">
              <w:rPr>
                <w:rFonts w:eastAsia="Times New Roman" w:cs="Arial"/>
                <w:color w:val="000000"/>
                <w:szCs w:val="22"/>
                <w:lang w:eastAsia="en-GB"/>
              </w:rPr>
              <w:t>0</w:t>
            </w:r>
            <w:r w:rsidR="0068684E">
              <w:rPr>
                <w:rFonts w:eastAsia="Times New Roman" w:cs="Arial"/>
                <w:color w:val="000000"/>
                <w:szCs w:val="22"/>
                <w:lang w:eastAsia="en-GB"/>
              </w:rPr>
              <w:t>5</w:t>
            </w:r>
            <w:r w:rsidR="001C4A95">
              <w:rPr>
                <w:rFonts w:eastAsia="Times New Roman" w:cs="Arial"/>
                <w:color w:val="000000"/>
                <w:szCs w:val="22"/>
                <w:lang w:eastAsia="en-GB"/>
              </w:rPr>
              <w:t>/0</w:t>
            </w:r>
            <w:r w:rsidR="00E46257">
              <w:rPr>
                <w:rFonts w:eastAsia="Times New Roman" w:cs="Arial"/>
                <w:color w:val="000000"/>
                <w:szCs w:val="22"/>
                <w:lang w:eastAsia="en-GB"/>
              </w:rPr>
              <w:t>8</w:t>
            </w:r>
            <w:r w:rsidR="001C4A95">
              <w:rPr>
                <w:rFonts w:eastAsia="Times New Roman" w:cs="Arial"/>
                <w:color w:val="000000"/>
                <w:szCs w:val="22"/>
                <w:lang w:eastAsia="en-GB"/>
              </w:rPr>
              <w:t>/202</w:t>
            </w:r>
            <w:r w:rsidR="00E036EA">
              <w:rPr>
                <w:rFonts w:eastAsia="Times New Roman" w:cs="Arial"/>
                <w:color w:val="000000"/>
                <w:szCs w:val="22"/>
                <w:lang w:eastAsia="en-GB"/>
              </w:rPr>
              <w:t>2</w:t>
            </w:r>
          </w:p>
        </w:tc>
      </w:tr>
      <w:tr w:rsidR="00433CE1" w:rsidRPr="001928C1" w14:paraId="14715258" w14:textId="77777777" w:rsidTr="00CE36D5">
        <w:trPr>
          <w:trHeight w:val="499"/>
        </w:trPr>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2B39C0E2" w14:textId="77777777" w:rsidR="00433CE1" w:rsidRPr="00C60BA6" w:rsidRDefault="00433CE1" w:rsidP="00B03431">
            <w:pPr>
              <w:spacing w:line="276" w:lineRule="auto"/>
              <w:rPr>
                <w:rFonts w:eastAsia="Times New Roman" w:cs="Arial"/>
                <w:szCs w:val="22"/>
                <w:lang w:eastAsia="en-GB"/>
              </w:rPr>
            </w:pPr>
            <w:r>
              <w:rPr>
                <w:rFonts w:cs="Arial"/>
                <w:bCs/>
                <w:szCs w:val="22"/>
              </w:rPr>
              <w:t xml:space="preserve">Compliance Checks </w:t>
            </w:r>
          </w:p>
        </w:tc>
        <w:tc>
          <w:tcPr>
            <w:tcW w:w="3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938B5" w14:textId="6D148EC8" w:rsidR="00433CE1" w:rsidRPr="00C60BA6" w:rsidRDefault="00B7640D" w:rsidP="00B03431">
            <w:pPr>
              <w:spacing w:line="276" w:lineRule="auto"/>
              <w:jc w:val="center"/>
              <w:rPr>
                <w:rFonts w:eastAsia="Times New Roman" w:cs="Arial"/>
                <w:color w:val="000000"/>
                <w:szCs w:val="22"/>
                <w:lang w:eastAsia="en-GB"/>
              </w:rPr>
            </w:pPr>
            <w:r>
              <w:rPr>
                <w:rFonts w:eastAsia="Times New Roman" w:cs="Arial"/>
                <w:color w:val="000000"/>
                <w:szCs w:val="22"/>
                <w:lang w:eastAsia="en-GB"/>
              </w:rPr>
              <w:t>August</w:t>
            </w:r>
            <w:r w:rsidR="00433CE1">
              <w:rPr>
                <w:rFonts w:eastAsia="Times New Roman" w:cs="Arial"/>
                <w:color w:val="000000"/>
                <w:szCs w:val="22"/>
                <w:lang w:eastAsia="en-GB"/>
              </w:rPr>
              <w:t xml:space="preserve"> 2022</w:t>
            </w:r>
          </w:p>
        </w:tc>
      </w:tr>
      <w:tr w:rsidR="00CA7128" w:rsidRPr="001928C1" w14:paraId="69F47D7B" w14:textId="77777777" w:rsidTr="00CE36D5">
        <w:trPr>
          <w:trHeight w:val="499"/>
        </w:trPr>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5A70C499" w14:textId="56BE474C" w:rsidR="00CA7128" w:rsidRPr="00C60BA6" w:rsidRDefault="00CA7128" w:rsidP="00B03431">
            <w:pPr>
              <w:spacing w:line="276" w:lineRule="auto"/>
              <w:rPr>
                <w:rFonts w:eastAsia="Times New Roman" w:cs="Arial"/>
                <w:szCs w:val="22"/>
                <w:lang w:eastAsia="en-GB"/>
              </w:rPr>
            </w:pPr>
            <w:r>
              <w:rPr>
                <w:bCs/>
                <w:kern w:val="24"/>
                <w:szCs w:val="22"/>
              </w:rPr>
              <w:t>Individual Preliminary Evaluation of Bids</w:t>
            </w:r>
          </w:p>
        </w:tc>
        <w:tc>
          <w:tcPr>
            <w:tcW w:w="3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5B599" w14:textId="34A79218" w:rsidR="00CA7128" w:rsidRPr="00C60BA6" w:rsidRDefault="00E46257" w:rsidP="00B03431">
            <w:pPr>
              <w:spacing w:line="276" w:lineRule="auto"/>
              <w:jc w:val="center"/>
              <w:rPr>
                <w:rFonts w:eastAsia="Times New Roman" w:cs="Arial"/>
                <w:color w:val="000000"/>
                <w:szCs w:val="22"/>
                <w:lang w:eastAsia="en-GB"/>
              </w:rPr>
            </w:pPr>
            <w:r>
              <w:rPr>
                <w:rFonts w:eastAsia="Times New Roman" w:cs="Arial"/>
                <w:color w:val="000000"/>
                <w:szCs w:val="22"/>
                <w:lang w:eastAsia="en-GB"/>
              </w:rPr>
              <w:t>August</w:t>
            </w:r>
            <w:r w:rsidR="00433CE1">
              <w:rPr>
                <w:rFonts w:eastAsia="Times New Roman" w:cs="Arial"/>
                <w:color w:val="000000"/>
                <w:szCs w:val="22"/>
                <w:lang w:eastAsia="en-GB"/>
              </w:rPr>
              <w:t xml:space="preserve"> 2022</w:t>
            </w:r>
          </w:p>
        </w:tc>
      </w:tr>
      <w:tr w:rsidR="00CA7128" w:rsidRPr="001928C1" w14:paraId="1FA04F00" w14:textId="77777777" w:rsidTr="00CE36D5">
        <w:trPr>
          <w:trHeight w:val="499"/>
        </w:trPr>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637EBBC9" w14:textId="664D8EC5" w:rsidR="00CA7128" w:rsidRPr="00C60BA6" w:rsidRDefault="00CA7128" w:rsidP="00B03431">
            <w:pPr>
              <w:spacing w:line="276" w:lineRule="auto"/>
              <w:rPr>
                <w:rFonts w:eastAsia="Times New Roman" w:cs="Arial"/>
                <w:szCs w:val="22"/>
                <w:lang w:eastAsia="en-GB"/>
              </w:rPr>
            </w:pPr>
            <w:r w:rsidRPr="00C60BA6">
              <w:rPr>
                <w:bCs/>
                <w:kern w:val="24"/>
                <w:szCs w:val="22"/>
              </w:rPr>
              <w:t xml:space="preserve">Moderation of </w:t>
            </w:r>
            <w:r>
              <w:rPr>
                <w:bCs/>
                <w:kern w:val="24"/>
                <w:szCs w:val="22"/>
              </w:rPr>
              <w:t>Bidders</w:t>
            </w:r>
            <w:r w:rsidRPr="00C60BA6">
              <w:rPr>
                <w:bCs/>
                <w:kern w:val="24"/>
                <w:szCs w:val="22"/>
              </w:rPr>
              <w:t xml:space="preserve"> </w:t>
            </w:r>
          </w:p>
        </w:tc>
        <w:tc>
          <w:tcPr>
            <w:tcW w:w="3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6881C" w14:textId="4F640909" w:rsidR="00CA7128" w:rsidRPr="00C60BA6" w:rsidRDefault="00CA7128" w:rsidP="00B03431">
            <w:pPr>
              <w:spacing w:line="276" w:lineRule="auto"/>
              <w:jc w:val="center"/>
              <w:rPr>
                <w:rFonts w:eastAsia="Times New Roman" w:cs="Arial"/>
                <w:color w:val="000000"/>
                <w:szCs w:val="22"/>
                <w:lang w:eastAsia="en-GB"/>
              </w:rPr>
            </w:pPr>
            <w:r>
              <w:rPr>
                <w:rFonts w:eastAsia="Times New Roman" w:cs="Arial"/>
                <w:color w:val="000000"/>
                <w:szCs w:val="22"/>
                <w:lang w:eastAsia="en-GB"/>
              </w:rPr>
              <w:t>August 2022</w:t>
            </w:r>
          </w:p>
        </w:tc>
      </w:tr>
      <w:tr w:rsidR="000F04A3" w:rsidRPr="001928C1" w14:paraId="20BF9A83" w14:textId="77777777" w:rsidTr="00EF6840">
        <w:trPr>
          <w:trHeight w:val="499"/>
        </w:trPr>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0080A204" w14:textId="77777777" w:rsidR="000F04A3" w:rsidRPr="00C60BA6" w:rsidRDefault="000F04A3" w:rsidP="00B03431">
            <w:pPr>
              <w:spacing w:line="276" w:lineRule="auto"/>
              <w:rPr>
                <w:rFonts w:eastAsia="Times New Roman" w:cs="Arial"/>
                <w:szCs w:val="22"/>
                <w:lang w:eastAsia="en-GB"/>
              </w:rPr>
            </w:pPr>
            <w:r w:rsidRPr="00C60BA6">
              <w:rPr>
                <w:bCs/>
                <w:kern w:val="24"/>
                <w:szCs w:val="22"/>
              </w:rPr>
              <w:t>Governance</w:t>
            </w:r>
          </w:p>
        </w:tc>
        <w:tc>
          <w:tcPr>
            <w:tcW w:w="3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1D405" w14:textId="4EBD0D71" w:rsidR="000F04A3" w:rsidRPr="00C60BA6" w:rsidRDefault="0068684E" w:rsidP="00B03431">
            <w:pPr>
              <w:spacing w:line="276" w:lineRule="auto"/>
              <w:jc w:val="center"/>
              <w:rPr>
                <w:rFonts w:eastAsia="Times New Roman" w:cs="Arial"/>
                <w:color w:val="000000"/>
                <w:szCs w:val="22"/>
                <w:lang w:eastAsia="en-GB"/>
              </w:rPr>
            </w:pPr>
            <w:r w:rsidRPr="0068684E">
              <w:rPr>
                <w:rFonts w:eastAsia="Times New Roman" w:cs="Arial"/>
                <w:color w:val="000000"/>
                <w:szCs w:val="22"/>
                <w:lang w:eastAsia="en-GB"/>
              </w:rPr>
              <w:t xml:space="preserve">August – September </w:t>
            </w:r>
            <w:r w:rsidR="000F04A3" w:rsidRPr="0068684E">
              <w:rPr>
                <w:rFonts w:eastAsia="Times New Roman" w:cs="Arial"/>
                <w:color w:val="000000"/>
                <w:szCs w:val="22"/>
                <w:lang w:eastAsia="en-GB"/>
              </w:rPr>
              <w:t>20</w:t>
            </w:r>
            <w:r w:rsidR="004E536E" w:rsidRPr="0068684E">
              <w:rPr>
                <w:rFonts w:eastAsia="Times New Roman" w:cs="Arial"/>
                <w:color w:val="000000"/>
                <w:szCs w:val="22"/>
                <w:lang w:eastAsia="en-GB"/>
              </w:rPr>
              <w:t>2</w:t>
            </w:r>
            <w:r w:rsidR="002416E0" w:rsidRPr="0068684E">
              <w:rPr>
                <w:rFonts w:eastAsia="Times New Roman" w:cs="Arial"/>
                <w:color w:val="000000"/>
                <w:szCs w:val="22"/>
                <w:lang w:eastAsia="en-GB"/>
              </w:rPr>
              <w:t>2</w:t>
            </w:r>
            <w:r w:rsidR="000F04A3">
              <w:rPr>
                <w:rFonts w:eastAsia="Times New Roman" w:cs="Arial"/>
                <w:color w:val="000000"/>
                <w:szCs w:val="22"/>
                <w:lang w:eastAsia="en-GB"/>
              </w:rPr>
              <w:t xml:space="preserve"> </w:t>
            </w:r>
          </w:p>
        </w:tc>
      </w:tr>
      <w:tr w:rsidR="000F04A3" w:rsidRPr="001928C1" w14:paraId="74096770" w14:textId="77777777" w:rsidTr="00C60BA6">
        <w:trPr>
          <w:trHeight w:val="499"/>
        </w:trPr>
        <w:tc>
          <w:tcPr>
            <w:tcW w:w="5296" w:type="dxa"/>
            <w:tcBorders>
              <w:top w:val="single" w:sz="4" w:space="0" w:color="auto"/>
              <w:left w:val="single" w:sz="4" w:space="0" w:color="auto"/>
              <w:bottom w:val="single" w:sz="4" w:space="0" w:color="auto"/>
              <w:right w:val="single" w:sz="4" w:space="0" w:color="auto"/>
            </w:tcBorders>
            <w:shd w:val="clear" w:color="auto" w:fill="auto"/>
            <w:vAlign w:val="center"/>
          </w:tcPr>
          <w:p w14:paraId="71974D22" w14:textId="0D7FD05C" w:rsidR="000F04A3" w:rsidRPr="00C60BA6" w:rsidRDefault="000F04A3" w:rsidP="00B03431">
            <w:pPr>
              <w:spacing w:line="276" w:lineRule="auto"/>
              <w:rPr>
                <w:bCs/>
                <w:kern w:val="24"/>
                <w:szCs w:val="22"/>
              </w:rPr>
            </w:pPr>
            <w:r w:rsidRPr="00C60BA6">
              <w:rPr>
                <w:rFonts w:cs="Arial"/>
                <w:bCs/>
                <w:szCs w:val="22"/>
              </w:rPr>
              <w:t xml:space="preserve">Grant </w:t>
            </w:r>
            <w:r>
              <w:rPr>
                <w:rFonts w:cs="Arial"/>
                <w:bCs/>
                <w:szCs w:val="22"/>
              </w:rPr>
              <w:t>A</w:t>
            </w:r>
            <w:r w:rsidRPr="00C60BA6">
              <w:rPr>
                <w:rFonts w:cs="Arial"/>
                <w:bCs/>
                <w:szCs w:val="22"/>
              </w:rPr>
              <w:t xml:space="preserve">greement </w:t>
            </w:r>
            <w:r>
              <w:rPr>
                <w:rFonts w:cs="Arial"/>
                <w:bCs/>
                <w:szCs w:val="22"/>
              </w:rPr>
              <w:t xml:space="preserve">released to successful Bidders (for signature) </w:t>
            </w:r>
          </w:p>
        </w:tc>
        <w:tc>
          <w:tcPr>
            <w:tcW w:w="3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6FE5F" w14:textId="0120199E" w:rsidR="000F04A3" w:rsidRPr="00C60BA6" w:rsidRDefault="00E036EA" w:rsidP="00B03431">
            <w:pPr>
              <w:spacing w:line="276" w:lineRule="auto"/>
              <w:jc w:val="center"/>
              <w:rPr>
                <w:rFonts w:eastAsia="Times New Roman" w:cs="Arial"/>
                <w:color w:val="000000"/>
                <w:szCs w:val="22"/>
                <w:lang w:eastAsia="en-GB"/>
              </w:rPr>
            </w:pPr>
            <w:r>
              <w:rPr>
                <w:rFonts w:eastAsia="Times New Roman" w:cs="Arial"/>
                <w:color w:val="000000"/>
                <w:szCs w:val="22"/>
                <w:lang w:eastAsia="en-GB"/>
              </w:rPr>
              <w:t>September</w:t>
            </w:r>
            <w:r w:rsidR="001A1466">
              <w:rPr>
                <w:rFonts w:eastAsia="Times New Roman" w:cs="Arial"/>
                <w:color w:val="000000"/>
                <w:szCs w:val="22"/>
                <w:lang w:eastAsia="en-GB"/>
              </w:rPr>
              <w:t xml:space="preserve"> </w:t>
            </w:r>
            <w:r w:rsidR="00E46257">
              <w:rPr>
                <w:rFonts w:eastAsia="Times New Roman" w:cs="Arial"/>
                <w:color w:val="000000"/>
                <w:szCs w:val="22"/>
                <w:lang w:eastAsia="en-GB"/>
              </w:rPr>
              <w:t xml:space="preserve">– October </w:t>
            </w:r>
            <w:r w:rsidR="001A1466">
              <w:rPr>
                <w:rFonts w:eastAsia="Times New Roman" w:cs="Arial"/>
                <w:color w:val="000000"/>
                <w:szCs w:val="22"/>
                <w:lang w:eastAsia="en-GB"/>
              </w:rPr>
              <w:t>202</w:t>
            </w:r>
            <w:r>
              <w:rPr>
                <w:rFonts w:eastAsia="Times New Roman" w:cs="Arial"/>
                <w:color w:val="000000"/>
                <w:szCs w:val="22"/>
                <w:lang w:eastAsia="en-GB"/>
              </w:rPr>
              <w:t>2</w:t>
            </w:r>
            <w:r w:rsidR="001A1466">
              <w:rPr>
                <w:rFonts w:eastAsia="Times New Roman" w:cs="Arial"/>
                <w:color w:val="000000"/>
                <w:szCs w:val="22"/>
                <w:lang w:eastAsia="en-GB"/>
              </w:rPr>
              <w:t xml:space="preserve"> </w:t>
            </w:r>
          </w:p>
        </w:tc>
      </w:tr>
    </w:tbl>
    <w:p w14:paraId="79EA4090" w14:textId="77777777" w:rsidR="004A6793" w:rsidRDefault="004A6793" w:rsidP="00B03431">
      <w:pPr>
        <w:pStyle w:val="Heading1"/>
        <w:numPr>
          <w:ilvl w:val="0"/>
          <w:numId w:val="0"/>
        </w:numPr>
        <w:spacing w:line="276" w:lineRule="auto"/>
        <w:ind w:left="720"/>
      </w:pPr>
    </w:p>
    <w:p w14:paraId="2ABBDAE3" w14:textId="77777777" w:rsidR="001928C1" w:rsidRDefault="001928C1" w:rsidP="00B03431">
      <w:pPr>
        <w:pStyle w:val="Heading1"/>
        <w:spacing w:line="276" w:lineRule="auto"/>
      </w:pPr>
      <w:bookmarkStart w:id="82" w:name="_Toc31094959"/>
      <w:r>
        <w:t>Feedback</w:t>
      </w:r>
      <w:bookmarkEnd w:id="82"/>
    </w:p>
    <w:p w14:paraId="03C8F2A3" w14:textId="77777777" w:rsidR="001928C1" w:rsidRDefault="001928C1" w:rsidP="00B03431">
      <w:pPr>
        <w:pStyle w:val="Heading2"/>
        <w:spacing w:line="276" w:lineRule="auto"/>
      </w:pPr>
      <w:r>
        <w:t>The Authority will be as open as possible with Bidders throughout this process. The Authority is committed to utilising feedback from Bidders as part of its Lessons Learnt processes to provide continuous improvement in future competitive awards.</w:t>
      </w:r>
    </w:p>
    <w:p w14:paraId="4F110538" w14:textId="77777777" w:rsidR="00D9615A" w:rsidRDefault="00F35B74" w:rsidP="00B03431">
      <w:pPr>
        <w:pStyle w:val="Heading1"/>
        <w:spacing w:line="276" w:lineRule="auto"/>
      </w:pPr>
      <w:bookmarkStart w:id="83" w:name="_Toc531018608"/>
      <w:bookmarkStart w:id="84" w:name="_Toc531018609"/>
      <w:bookmarkStart w:id="85" w:name="_Toc531018610"/>
      <w:bookmarkStart w:id="86" w:name="_Toc531018611"/>
      <w:bookmarkStart w:id="87" w:name="_Toc531018612"/>
      <w:bookmarkStart w:id="88" w:name="_Toc531018613"/>
      <w:bookmarkStart w:id="89" w:name="_Toc531018614"/>
      <w:bookmarkStart w:id="90" w:name="_Toc531018615"/>
      <w:bookmarkStart w:id="91" w:name="_Toc531018616"/>
      <w:bookmarkStart w:id="92" w:name="_Toc531018617"/>
      <w:bookmarkStart w:id="93" w:name="_Toc531018618"/>
      <w:bookmarkStart w:id="94" w:name="_Toc531018619"/>
      <w:bookmarkStart w:id="95" w:name="_Toc531018620"/>
      <w:bookmarkStart w:id="96" w:name="_Toc531018621"/>
      <w:bookmarkStart w:id="97" w:name="_Toc531018622"/>
      <w:bookmarkStart w:id="98" w:name="_Toc531018623"/>
      <w:bookmarkStart w:id="99" w:name="_Toc531018624"/>
      <w:bookmarkStart w:id="100" w:name="_Toc531018625"/>
      <w:bookmarkStart w:id="101" w:name="_Toc531018626"/>
      <w:bookmarkStart w:id="102" w:name="_Toc531018627"/>
      <w:bookmarkStart w:id="103" w:name="_Toc531018628"/>
      <w:bookmarkStart w:id="104" w:name="_Toc531018629"/>
      <w:bookmarkStart w:id="105" w:name="_Toc531018630"/>
      <w:bookmarkStart w:id="106" w:name="_Toc531018631"/>
      <w:bookmarkStart w:id="107" w:name="_Toc531018632"/>
      <w:bookmarkStart w:id="108" w:name="_Toc531018633"/>
      <w:bookmarkStart w:id="109" w:name="_Toc531018634"/>
      <w:bookmarkStart w:id="110" w:name="_Toc531018635"/>
      <w:bookmarkStart w:id="111" w:name="_Toc3109496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551ABE">
        <w:t>Definitions and abbreviations</w:t>
      </w:r>
      <w:bookmarkEnd w:id="111"/>
    </w:p>
    <w:p w14:paraId="5B022369" w14:textId="0B9E9B27" w:rsidR="00D9615A" w:rsidRDefault="00F35B74" w:rsidP="00B03431">
      <w:pPr>
        <w:pStyle w:val="Heading2"/>
        <w:spacing w:line="276" w:lineRule="auto"/>
      </w:pPr>
      <w:bookmarkStart w:id="112" w:name="_Toc495957311"/>
      <w:bookmarkStart w:id="113" w:name="_Toc518504464"/>
      <w:bookmarkStart w:id="114" w:name="_Toc518505624"/>
      <w:r>
        <w:t xml:space="preserve">In addition to using terms defined in the Grant Agreement, additional terms are used throughout the document only. </w:t>
      </w:r>
      <w:r w:rsidRPr="00BF458B">
        <w:t>The following is a list of the</w:t>
      </w:r>
      <w:r>
        <w:t>se</w:t>
      </w:r>
      <w:r w:rsidRPr="00BF458B">
        <w:t xml:space="preserve"> </w:t>
      </w:r>
      <w:r>
        <w:t>specific</w:t>
      </w:r>
      <w:r w:rsidRPr="00BF458B">
        <w:t xml:space="preserve"> definitions</w:t>
      </w:r>
      <w:bookmarkEnd w:id="112"/>
      <w:r>
        <w:t>:</w:t>
      </w:r>
      <w:bookmarkEnd w:id="113"/>
      <w:bookmarkEnd w:id="114"/>
      <w:r w:rsidRPr="00BF458B">
        <w:t xml:space="preserve"> </w:t>
      </w:r>
    </w:p>
    <w:p w14:paraId="5EB2EB80" w14:textId="77777777" w:rsidR="00B675F1" w:rsidRDefault="00B675F1" w:rsidP="00B03431">
      <w:pPr>
        <w:pStyle w:val="Heading2"/>
        <w:numPr>
          <w:ilvl w:val="0"/>
          <w:numId w:val="0"/>
        </w:numPr>
        <w:spacing w:line="276" w:lineRule="auto"/>
        <w:ind w:left="720"/>
      </w:pP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5737"/>
      </w:tblGrid>
      <w:tr w:rsidR="00F35B74" w:rsidRPr="00BD6EF5" w14:paraId="6B4DD656" w14:textId="77777777" w:rsidTr="004B4A84">
        <w:trPr>
          <w:trHeight w:val="397"/>
          <w:tblHeader/>
          <w:jc w:val="center"/>
        </w:trPr>
        <w:tc>
          <w:tcPr>
            <w:tcW w:w="1734" w:type="pct"/>
            <w:shd w:val="clear" w:color="auto" w:fill="C0C0C0"/>
            <w:vAlign w:val="center"/>
          </w:tcPr>
          <w:p w14:paraId="7C156CD3" w14:textId="77777777" w:rsidR="00F35B74" w:rsidRPr="00BD6EF5" w:rsidRDefault="00F35B74" w:rsidP="00B03431">
            <w:pPr>
              <w:spacing w:line="276" w:lineRule="auto"/>
              <w:rPr>
                <w:rFonts w:cs="Arial"/>
                <w:b/>
              </w:rPr>
            </w:pPr>
            <w:r w:rsidRPr="00BD6EF5">
              <w:rPr>
                <w:rFonts w:cs="Arial"/>
                <w:b/>
              </w:rPr>
              <w:t>Term</w:t>
            </w:r>
          </w:p>
        </w:tc>
        <w:tc>
          <w:tcPr>
            <w:tcW w:w="3266" w:type="pct"/>
            <w:shd w:val="clear" w:color="auto" w:fill="C0C0C0"/>
            <w:vAlign w:val="center"/>
          </w:tcPr>
          <w:p w14:paraId="5CFCDA41" w14:textId="77777777" w:rsidR="00F35B74" w:rsidRPr="00BD6EF5" w:rsidRDefault="00F35B74" w:rsidP="00B03431">
            <w:pPr>
              <w:spacing w:line="276" w:lineRule="auto"/>
              <w:rPr>
                <w:rFonts w:cs="Arial"/>
                <w:b/>
              </w:rPr>
            </w:pPr>
            <w:r w:rsidRPr="00BD6EF5">
              <w:rPr>
                <w:rFonts w:cs="Arial"/>
                <w:b/>
              </w:rPr>
              <w:t>Definition</w:t>
            </w:r>
          </w:p>
        </w:tc>
      </w:tr>
      <w:tr w:rsidR="00F35B74" w:rsidRPr="00BD6EF5" w14:paraId="65FC6D7B" w14:textId="77777777" w:rsidTr="004B4A84">
        <w:trPr>
          <w:trHeight w:val="397"/>
          <w:jc w:val="center"/>
        </w:trPr>
        <w:tc>
          <w:tcPr>
            <w:tcW w:w="1734" w:type="pct"/>
          </w:tcPr>
          <w:p w14:paraId="2424A292" w14:textId="77777777" w:rsidR="00F35B74" w:rsidRPr="00BD6EF5" w:rsidRDefault="00F35B74" w:rsidP="00B03431">
            <w:pPr>
              <w:spacing w:before="120" w:after="120" w:line="276" w:lineRule="auto"/>
              <w:rPr>
                <w:rFonts w:cs="Arial"/>
              </w:rPr>
            </w:pPr>
            <w:r w:rsidRPr="00BD6EF5">
              <w:rPr>
                <w:rFonts w:cs="Arial"/>
              </w:rPr>
              <w:t>Bidder</w:t>
            </w:r>
          </w:p>
        </w:tc>
        <w:tc>
          <w:tcPr>
            <w:tcW w:w="3266" w:type="pct"/>
          </w:tcPr>
          <w:p w14:paraId="2C7D824C" w14:textId="77777777" w:rsidR="00F35B74" w:rsidRPr="00BD6EF5" w:rsidRDefault="00F35B74" w:rsidP="00B03431">
            <w:pPr>
              <w:spacing w:before="120" w:after="120" w:line="276" w:lineRule="auto"/>
              <w:rPr>
                <w:rFonts w:cs="Arial"/>
              </w:rPr>
            </w:pPr>
            <w:r w:rsidRPr="00BD6EF5">
              <w:rPr>
                <w:rFonts w:cs="Arial"/>
              </w:rPr>
              <w:t>The organisation or consortium that is submitting the Request for Proposal (RFP) seeking Funding from the Authority.</w:t>
            </w:r>
          </w:p>
        </w:tc>
      </w:tr>
      <w:tr w:rsidR="00F35B74" w:rsidRPr="00BD6EF5" w14:paraId="75D13481" w14:textId="77777777" w:rsidTr="004B4A84">
        <w:trPr>
          <w:trHeight w:val="397"/>
          <w:jc w:val="center"/>
        </w:trPr>
        <w:tc>
          <w:tcPr>
            <w:tcW w:w="1734" w:type="pct"/>
          </w:tcPr>
          <w:p w14:paraId="2000F9A7" w14:textId="77777777" w:rsidR="00F35B74" w:rsidRPr="00BD6EF5" w:rsidRDefault="00F35B74" w:rsidP="00B03431">
            <w:pPr>
              <w:spacing w:before="120" w:after="120" w:line="276" w:lineRule="auto"/>
              <w:rPr>
                <w:rFonts w:cs="Arial"/>
              </w:rPr>
            </w:pPr>
            <w:r w:rsidRPr="00BD6EF5">
              <w:rPr>
                <w:rFonts w:cs="Arial"/>
              </w:rPr>
              <w:t>Call for Proposals/Request for Proposals (CFP/RFP)</w:t>
            </w:r>
          </w:p>
          <w:p w14:paraId="607639B5" w14:textId="77777777" w:rsidR="00F35B74" w:rsidRPr="00BD6EF5" w:rsidRDefault="00F35B74" w:rsidP="00B03431">
            <w:pPr>
              <w:spacing w:before="120" w:after="120" w:line="276" w:lineRule="auto"/>
              <w:rPr>
                <w:rFonts w:cs="Arial"/>
              </w:rPr>
            </w:pPr>
          </w:p>
        </w:tc>
        <w:tc>
          <w:tcPr>
            <w:tcW w:w="3266" w:type="pct"/>
          </w:tcPr>
          <w:p w14:paraId="3290BDE1" w14:textId="77777777" w:rsidR="00F35B74" w:rsidRPr="00BD6EF5" w:rsidRDefault="00F35B74" w:rsidP="00B03431">
            <w:pPr>
              <w:spacing w:before="120" w:after="120" w:line="276" w:lineRule="auto"/>
              <w:rPr>
                <w:rFonts w:cs="Arial"/>
              </w:rPr>
            </w:pPr>
            <w:r w:rsidRPr="00BD6EF5">
              <w:rPr>
                <w:rFonts w:cs="Arial"/>
              </w:rPr>
              <w:t>The Call for Proposal or Request for Proposal issued to Bidders in order to capture Bidder responses in the form of online questionnaires and bidding sheets. The Portal uses the term Request for Proposals (RFP) which is interchangeable with the term Call For Proposals (CFP).</w:t>
            </w:r>
          </w:p>
        </w:tc>
      </w:tr>
      <w:tr w:rsidR="00822826" w:rsidRPr="00BD6EF5" w14:paraId="7B819F96" w14:textId="77777777" w:rsidTr="004B4A84">
        <w:trPr>
          <w:trHeight w:val="397"/>
          <w:jc w:val="center"/>
        </w:trPr>
        <w:tc>
          <w:tcPr>
            <w:tcW w:w="1734" w:type="pct"/>
          </w:tcPr>
          <w:p w14:paraId="6B166455" w14:textId="757872F7" w:rsidR="00822826" w:rsidRPr="00BD6EF5" w:rsidRDefault="00822826" w:rsidP="00B03431">
            <w:pPr>
              <w:spacing w:before="120" w:after="120" w:line="276" w:lineRule="auto"/>
              <w:rPr>
                <w:rFonts w:cs="Arial"/>
              </w:rPr>
            </w:pPr>
            <w:r>
              <w:rPr>
                <w:rFonts w:cs="Arial"/>
              </w:rPr>
              <w:t>Commercial Envelope</w:t>
            </w:r>
          </w:p>
        </w:tc>
        <w:tc>
          <w:tcPr>
            <w:tcW w:w="3266" w:type="pct"/>
          </w:tcPr>
          <w:p w14:paraId="55140145" w14:textId="635C50D8" w:rsidR="00822826" w:rsidRPr="00BD6EF5" w:rsidRDefault="00822826" w:rsidP="00B03431">
            <w:pPr>
              <w:spacing w:before="120" w:after="120" w:line="276" w:lineRule="auto"/>
              <w:rPr>
                <w:rFonts w:cs="Arial"/>
              </w:rPr>
            </w:pPr>
            <w:r>
              <w:rPr>
                <w:rFonts w:cs="Arial"/>
              </w:rPr>
              <w:t>The Jaggaer envelope that contains the online compliance and declaration questions contained within the Evaluation Guidance document.</w:t>
            </w:r>
          </w:p>
        </w:tc>
      </w:tr>
      <w:tr w:rsidR="00F35B74" w:rsidRPr="00BD6EF5" w14:paraId="45E08003"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75D83BE9" w14:textId="77777777" w:rsidR="00F35B74" w:rsidRPr="00BD6EF5" w:rsidRDefault="00F35B74" w:rsidP="00B03431">
            <w:pPr>
              <w:spacing w:line="276" w:lineRule="auto"/>
              <w:rPr>
                <w:rFonts w:cs="Arial"/>
              </w:rPr>
            </w:pPr>
            <w:r>
              <w:rPr>
                <w:rFonts w:cs="Arial"/>
              </w:rPr>
              <w:t>Evaluation Guidance</w:t>
            </w:r>
          </w:p>
        </w:tc>
        <w:tc>
          <w:tcPr>
            <w:tcW w:w="3266" w:type="pct"/>
            <w:tcBorders>
              <w:top w:val="single" w:sz="4" w:space="0" w:color="auto"/>
              <w:left w:val="single" w:sz="4" w:space="0" w:color="auto"/>
              <w:bottom w:val="single" w:sz="4" w:space="0" w:color="auto"/>
              <w:right w:val="single" w:sz="4" w:space="0" w:color="auto"/>
            </w:tcBorders>
            <w:vAlign w:val="center"/>
          </w:tcPr>
          <w:p w14:paraId="037F4E03" w14:textId="5D4DD8B5" w:rsidR="00F35B74" w:rsidRPr="00BD6EF5" w:rsidRDefault="00F35B74" w:rsidP="00B03431">
            <w:pPr>
              <w:spacing w:before="120" w:after="120" w:line="276" w:lineRule="auto"/>
              <w:rPr>
                <w:rFonts w:cs="Arial"/>
              </w:rPr>
            </w:pPr>
            <w:r w:rsidRPr="00BD6EF5">
              <w:rPr>
                <w:rFonts w:cs="Arial"/>
              </w:rPr>
              <w:t xml:space="preserve">The </w:t>
            </w:r>
            <w:r>
              <w:rPr>
                <w:rFonts w:cs="Arial"/>
              </w:rPr>
              <w:t>on-line document describing the assessment</w:t>
            </w:r>
            <w:r w:rsidRPr="00BD6EF5">
              <w:rPr>
                <w:rFonts w:cs="Arial"/>
              </w:rPr>
              <w:t xml:space="preserve"> criteria which will be used by the Authority to </w:t>
            </w:r>
            <w:r w:rsidR="0078488E">
              <w:rPr>
                <w:rFonts w:cs="Arial"/>
              </w:rPr>
              <w:t>assess</w:t>
            </w:r>
            <w:r w:rsidR="0078488E" w:rsidRPr="00BD6EF5">
              <w:rPr>
                <w:rFonts w:cs="Arial"/>
              </w:rPr>
              <w:t xml:space="preserve"> </w:t>
            </w:r>
            <w:r w:rsidRPr="00BD6EF5">
              <w:rPr>
                <w:rFonts w:cs="Arial"/>
              </w:rPr>
              <w:t>the responses</w:t>
            </w:r>
            <w:r>
              <w:rPr>
                <w:rFonts w:cs="Arial"/>
              </w:rPr>
              <w:t xml:space="preserve"> which it receives</w:t>
            </w:r>
            <w:r w:rsidRPr="00BD6EF5">
              <w:rPr>
                <w:rFonts w:cs="Arial"/>
              </w:rPr>
              <w:t>.</w:t>
            </w:r>
          </w:p>
        </w:tc>
      </w:tr>
      <w:tr w:rsidR="00A474A6" w:rsidRPr="00BD6EF5" w14:paraId="151C8B33"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2C312D1E" w14:textId="2B5D2B48" w:rsidR="00A474A6" w:rsidRDefault="00A474A6" w:rsidP="00B03431">
            <w:pPr>
              <w:spacing w:line="276" w:lineRule="auto"/>
              <w:rPr>
                <w:rFonts w:cs="Arial"/>
              </w:rPr>
            </w:pPr>
            <w:r>
              <w:rPr>
                <w:rFonts w:cs="Arial"/>
              </w:rPr>
              <w:t>Jaggaer</w:t>
            </w:r>
          </w:p>
        </w:tc>
        <w:tc>
          <w:tcPr>
            <w:tcW w:w="3266" w:type="pct"/>
            <w:tcBorders>
              <w:top w:val="single" w:sz="4" w:space="0" w:color="auto"/>
              <w:left w:val="single" w:sz="4" w:space="0" w:color="auto"/>
              <w:bottom w:val="single" w:sz="4" w:space="0" w:color="auto"/>
              <w:right w:val="single" w:sz="4" w:space="0" w:color="auto"/>
            </w:tcBorders>
            <w:vAlign w:val="center"/>
          </w:tcPr>
          <w:p w14:paraId="759CA2C0" w14:textId="21401069" w:rsidR="00A474A6" w:rsidRPr="00BD6EF5" w:rsidRDefault="00A474A6" w:rsidP="00B03431">
            <w:pPr>
              <w:spacing w:before="120" w:after="120" w:line="276" w:lineRule="auto"/>
              <w:rPr>
                <w:rFonts w:cs="Arial"/>
              </w:rPr>
            </w:pPr>
            <w:r>
              <w:rPr>
                <w:rFonts w:cs="Arial"/>
              </w:rPr>
              <w:t>The Home Office eSourcing platform.</w:t>
            </w:r>
          </w:p>
        </w:tc>
      </w:tr>
      <w:tr w:rsidR="00F35B74" w:rsidRPr="00BD6EF5" w14:paraId="241A5BC3"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509BD266" w14:textId="77777777" w:rsidR="00F35B74" w:rsidRPr="00BD6EF5" w:rsidRDefault="00F35B74" w:rsidP="00B03431">
            <w:pPr>
              <w:spacing w:line="276" w:lineRule="auto"/>
              <w:rPr>
                <w:rFonts w:cs="Arial"/>
                <w:bCs/>
              </w:rPr>
            </w:pPr>
            <w:r w:rsidRPr="00BD6EF5">
              <w:rPr>
                <w:rFonts w:cs="Arial"/>
                <w:bCs/>
              </w:rPr>
              <w:t>Portal</w:t>
            </w:r>
          </w:p>
        </w:tc>
        <w:tc>
          <w:tcPr>
            <w:tcW w:w="3266" w:type="pct"/>
            <w:tcBorders>
              <w:top w:val="single" w:sz="4" w:space="0" w:color="auto"/>
              <w:left w:val="single" w:sz="4" w:space="0" w:color="auto"/>
              <w:bottom w:val="single" w:sz="4" w:space="0" w:color="auto"/>
              <w:right w:val="single" w:sz="4" w:space="0" w:color="auto"/>
            </w:tcBorders>
            <w:vAlign w:val="center"/>
          </w:tcPr>
          <w:p w14:paraId="04E36EB2" w14:textId="362E7091" w:rsidR="00F35B74" w:rsidRPr="00BD6EF5" w:rsidRDefault="00F35B74" w:rsidP="00B03431">
            <w:pPr>
              <w:spacing w:before="120" w:after="120" w:line="276" w:lineRule="auto"/>
              <w:rPr>
                <w:rFonts w:cs="Arial"/>
              </w:rPr>
            </w:pPr>
            <w:r w:rsidRPr="00BD6EF5">
              <w:rPr>
                <w:rFonts w:cs="Arial"/>
              </w:rPr>
              <w:t xml:space="preserve">The </w:t>
            </w:r>
            <w:r w:rsidR="0029300B">
              <w:rPr>
                <w:rFonts w:cs="Arial"/>
              </w:rPr>
              <w:t xml:space="preserve">Jaggaer </w:t>
            </w:r>
            <w:r w:rsidRPr="00BD6EF5">
              <w:rPr>
                <w:rFonts w:cs="Arial"/>
              </w:rPr>
              <w:t>eSourcing capability through which the CFP is being managed.</w:t>
            </w:r>
          </w:p>
        </w:tc>
      </w:tr>
      <w:tr w:rsidR="00F35B74" w:rsidRPr="00BD6EF5" w14:paraId="45048983"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223F0B0D" w14:textId="77777777" w:rsidR="00F35B74" w:rsidRPr="00BD6EF5" w:rsidRDefault="00F35B74" w:rsidP="00B03431">
            <w:pPr>
              <w:spacing w:line="276" w:lineRule="auto"/>
              <w:rPr>
                <w:rFonts w:cs="Arial"/>
                <w:bCs/>
              </w:rPr>
            </w:pPr>
            <w:r w:rsidRPr="00BD6EF5">
              <w:rPr>
                <w:rFonts w:cs="Arial"/>
                <w:bCs/>
              </w:rPr>
              <w:t>Project</w:t>
            </w:r>
          </w:p>
        </w:tc>
        <w:tc>
          <w:tcPr>
            <w:tcW w:w="3266" w:type="pct"/>
            <w:tcBorders>
              <w:top w:val="single" w:sz="4" w:space="0" w:color="auto"/>
              <w:left w:val="single" w:sz="4" w:space="0" w:color="auto"/>
              <w:bottom w:val="single" w:sz="4" w:space="0" w:color="auto"/>
              <w:right w:val="single" w:sz="4" w:space="0" w:color="auto"/>
            </w:tcBorders>
            <w:vAlign w:val="center"/>
          </w:tcPr>
          <w:p w14:paraId="6797C8F0" w14:textId="5620BD5B" w:rsidR="00F35B74" w:rsidRPr="00D31460" w:rsidRDefault="00F35B74" w:rsidP="00B03431">
            <w:pPr>
              <w:spacing w:before="120" w:after="120" w:line="276" w:lineRule="auto"/>
              <w:rPr>
                <w:rFonts w:cs="Arial"/>
              </w:rPr>
            </w:pPr>
            <w:r w:rsidRPr="00D31460">
              <w:rPr>
                <w:rFonts w:cs="Arial"/>
              </w:rPr>
              <w:t xml:space="preserve">The outcomes described in the </w:t>
            </w:r>
            <w:r w:rsidR="00D43D4C">
              <w:rPr>
                <w:rFonts w:cs="Arial"/>
              </w:rPr>
              <w:t xml:space="preserve">Bidders Guidance </w:t>
            </w:r>
            <w:r w:rsidRPr="00D31460">
              <w:rPr>
                <w:rFonts w:cs="Arial"/>
              </w:rPr>
              <w:t xml:space="preserve">to support the delivery of the </w:t>
            </w:r>
            <w:r w:rsidR="00DE18FE">
              <w:rPr>
                <w:rFonts w:cs="Arial"/>
              </w:rPr>
              <w:t>Modern Slavery Innovation Fund</w:t>
            </w:r>
            <w:r w:rsidR="001A1466">
              <w:rPr>
                <w:rFonts w:cs="Arial"/>
              </w:rPr>
              <w:t xml:space="preserve"> </w:t>
            </w:r>
            <w:r w:rsidR="00DB39F8">
              <w:rPr>
                <w:rFonts w:cs="Arial"/>
              </w:rPr>
              <w:t>grant funding scheme</w:t>
            </w:r>
            <w:r>
              <w:rPr>
                <w:rFonts w:cs="Arial"/>
              </w:rPr>
              <w:t>.</w:t>
            </w:r>
          </w:p>
        </w:tc>
      </w:tr>
      <w:tr w:rsidR="0029300B" w:rsidRPr="00BD6EF5" w14:paraId="366954A8"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2423BE80" w14:textId="627EB57B" w:rsidR="0029300B" w:rsidRPr="00BD6EF5" w:rsidRDefault="0029300B" w:rsidP="00B03431">
            <w:pPr>
              <w:spacing w:line="276" w:lineRule="auto"/>
              <w:rPr>
                <w:rFonts w:cs="Arial"/>
                <w:bCs/>
              </w:rPr>
            </w:pPr>
            <w:r>
              <w:rPr>
                <w:rFonts w:cs="Arial"/>
              </w:rPr>
              <w:t>Prospectus</w:t>
            </w:r>
          </w:p>
        </w:tc>
        <w:tc>
          <w:tcPr>
            <w:tcW w:w="3266" w:type="pct"/>
            <w:tcBorders>
              <w:top w:val="single" w:sz="4" w:space="0" w:color="auto"/>
              <w:left w:val="single" w:sz="4" w:space="0" w:color="auto"/>
              <w:bottom w:val="single" w:sz="4" w:space="0" w:color="auto"/>
              <w:right w:val="single" w:sz="4" w:space="0" w:color="auto"/>
            </w:tcBorders>
            <w:vAlign w:val="center"/>
          </w:tcPr>
          <w:p w14:paraId="0A4FE74E" w14:textId="5B30B2B8" w:rsidR="0029300B" w:rsidRPr="00D31460" w:rsidRDefault="0029300B" w:rsidP="00B03431">
            <w:pPr>
              <w:spacing w:before="120" w:after="120" w:line="276" w:lineRule="auto"/>
              <w:rPr>
                <w:rFonts w:cs="Arial"/>
              </w:rPr>
            </w:pPr>
            <w:r>
              <w:rPr>
                <w:rFonts w:cs="Arial"/>
              </w:rPr>
              <w:t>The document describing the Authority’s outcomes in relation to this Project</w:t>
            </w:r>
          </w:p>
        </w:tc>
      </w:tr>
      <w:tr w:rsidR="00F35B74" w:rsidRPr="00BD6EF5" w14:paraId="182AFD59"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5A1C36C3" w14:textId="77777777" w:rsidR="00F35B74" w:rsidRPr="00BD6EF5" w:rsidRDefault="00F35B74" w:rsidP="00B03431">
            <w:pPr>
              <w:spacing w:line="276" w:lineRule="auto"/>
              <w:rPr>
                <w:rFonts w:cs="Arial"/>
              </w:rPr>
            </w:pPr>
            <w:r w:rsidRPr="00BD6EF5">
              <w:rPr>
                <w:rFonts w:cs="Arial"/>
                <w:bCs/>
              </w:rPr>
              <w:t>Proposal</w:t>
            </w:r>
          </w:p>
        </w:tc>
        <w:tc>
          <w:tcPr>
            <w:tcW w:w="3266" w:type="pct"/>
            <w:tcBorders>
              <w:top w:val="single" w:sz="4" w:space="0" w:color="auto"/>
              <w:left w:val="single" w:sz="4" w:space="0" w:color="auto"/>
              <w:bottom w:val="single" w:sz="4" w:space="0" w:color="auto"/>
              <w:right w:val="single" w:sz="4" w:space="0" w:color="auto"/>
            </w:tcBorders>
            <w:vAlign w:val="center"/>
          </w:tcPr>
          <w:p w14:paraId="076DBE52" w14:textId="77777777" w:rsidR="00F35B74" w:rsidRPr="00D31460" w:rsidRDefault="00F35B74" w:rsidP="00B03431">
            <w:pPr>
              <w:spacing w:before="120" w:after="120" w:line="276" w:lineRule="auto"/>
              <w:rPr>
                <w:rFonts w:cs="Arial"/>
              </w:rPr>
            </w:pPr>
            <w:r w:rsidRPr="00D31460">
              <w:rPr>
                <w:rFonts w:cs="Arial"/>
              </w:rPr>
              <w:t>A completed bid, including cost proposals, which is to be submitted to the Authority by a Bidder by the due date</w:t>
            </w:r>
            <w:r>
              <w:rPr>
                <w:rFonts w:cs="Arial"/>
              </w:rPr>
              <w:t>.</w:t>
            </w:r>
          </w:p>
        </w:tc>
      </w:tr>
      <w:tr w:rsidR="00822826" w:rsidRPr="00BD6EF5" w14:paraId="2308A432"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5B812C91" w14:textId="49C84708" w:rsidR="00822826" w:rsidRPr="00BD6EF5" w:rsidRDefault="00822826" w:rsidP="00B03431">
            <w:pPr>
              <w:spacing w:line="276" w:lineRule="auto"/>
              <w:rPr>
                <w:rFonts w:cs="Arial"/>
                <w:bCs/>
              </w:rPr>
            </w:pPr>
            <w:r>
              <w:rPr>
                <w:rFonts w:cs="Arial"/>
                <w:bCs/>
              </w:rPr>
              <w:t>Qualification Envelope</w:t>
            </w:r>
          </w:p>
        </w:tc>
        <w:tc>
          <w:tcPr>
            <w:tcW w:w="3266" w:type="pct"/>
            <w:tcBorders>
              <w:top w:val="single" w:sz="4" w:space="0" w:color="auto"/>
              <w:left w:val="single" w:sz="4" w:space="0" w:color="auto"/>
              <w:bottom w:val="single" w:sz="4" w:space="0" w:color="auto"/>
              <w:right w:val="single" w:sz="4" w:space="0" w:color="auto"/>
            </w:tcBorders>
            <w:vAlign w:val="center"/>
          </w:tcPr>
          <w:p w14:paraId="059793AA" w14:textId="6D5A7317" w:rsidR="00822826" w:rsidRPr="00D31460" w:rsidRDefault="00822826" w:rsidP="00B03431">
            <w:pPr>
              <w:spacing w:before="120" w:after="120" w:line="276" w:lineRule="auto"/>
              <w:rPr>
                <w:rFonts w:cs="Arial"/>
              </w:rPr>
            </w:pPr>
            <w:r>
              <w:rPr>
                <w:rFonts w:cs="Arial"/>
              </w:rPr>
              <w:t>The Jaggaer envelope that contains the online finance questions and the budget toolkit questions contained within the Evaluation Guidance document</w:t>
            </w:r>
          </w:p>
        </w:tc>
      </w:tr>
      <w:tr w:rsidR="00F35B74" w:rsidRPr="00BD6EF5" w14:paraId="619A4DAF"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089FDF11" w14:textId="0E3B68C0" w:rsidR="00F35B74" w:rsidRDefault="00DE18FE" w:rsidP="00B03431">
            <w:pPr>
              <w:spacing w:line="276" w:lineRule="auto"/>
              <w:rPr>
                <w:rFonts w:cs="Arial"/>
              </w:rPr>
            </w:pPr>
            <w:r>
              <w:rPr>
                <w:rFonts w:cs="Arial"/>
              </w:rPr>
              <w:t>MSIF</w:t>
            </w:r>
            <w:r w:rsidR="00D43D4C">
              <w:rPr>
                <w:rFonts w:cs="Arial"/>
              </w:rPr>
              <w:t xml:space="preserve"> </w:t>
            </w:r>
          </w:p>
        </w:tc>
        <w:tc>
          <w:tcPr>
            <w:tcW w:w="3266" w:type="pct"/>
            <w:tcBorders>
              <w:top w:val="single" w:sz="4" w:space="0" w:color="auto"/>
              <w:left w:val="single" w:sz="4" w:space="0" w:color="auto"/>
              <w:bottom w:val="single" w:sz="4" w:space="0" w:color="auto"/>
              <w:right w:val="single" w:sz="4" w:space="0" w:color="auto"/>
            </w:tcBorders>
            <w:vAlign w:val="center"/>
          </w:tcPr>
          <w:p w14:paraId="783D4559" w14:textId="46011179" w:rsidR="00F35B74" w:rsidRDefault="00DE18FE" w:rsidP="00B03431">
            <w:pPr>
              <w:spacing w:before="120" w:after="120" w:line="276" w:lineRule="auto"/>
              <w:rPr>
                <w:rFonts w:cs="Arial"/>
              </w:rPr>
            </w:pPr>
            <w:r>
              <w:rPr>
                <w:rFonts w:cs="Arial"/>
              </w:rPr>
              <w:t xml:space="preserve">Modern Slavery Innovation </w:t>
            </w:r>
            <w:r w:rsidR="00D43D4C">
              <w:rPr>
                <w:rFonts w:cs="Arial"/>
              </w:rPr>
              <w:t xml:space="preserve">Fund </w:t>
            </w:r>
          </w:p>
        </w:tc>
      </w:tr>
      <w:tr w:rsidR="00822826" w:rsidRPr="00BD6EF5" w14:paraId="09A8A938"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670CC7AC" w14:textId="2DEC1630" w:rsidR="00822826" w:rsidRDefault="00822826" w:rsidP="00B03431">
            <w:pPr>
              <w:spacing w:line="276" w:lineRule="auto"/>
              <w:rPr>
                <w:rFonts w:cs="Arial"/>
              </w:rPr>
            </w:pPr>
            <w:r>
              <w:rPr>
                <w:rFonts w:cs="Arial"/>
              </w:rPr>
              <w:t>Technical Envelope</w:t>
            </w:r>
          </w:p>
        </w:tc>
        <w:tc>
          <w:tcPr>
            <w:tcW w:w="3266" w:type="pct"/>
            <w:tcBorders>
              <w:top w:val="single" w:sz="4" w:space="0" w:color="auto"/>
              <w:left w:val="single" w:sz="4" w:space="0" w:color="auto"/>
              <w:bottom w:val="single" w:sz="4" w:space="0" w:color="auto"/>
              <w:right w:val="single" w:sz="4" w:space="0" w:color="auto"/>
            </w:tcBorders>
            <w:vAlign w:val="center"/>
          </w:tcPr>
          <w:p w14:paraId="70550B8A" w14:textId="4680F08B" w:rsidR="00822826" w:rsidRDefault="00822826" w:rsidP="00B03431">
            <w:pPr>
              <w:spacing w:before="120" w:after="120" w:line="276" w:lineRule="auto"/>
              <w:rPr>
                <w:rFonts w:cs="Arial"/>
              </w:rPr>
            </w:pPr>
            <w:r>
              <w:rPr>
                <w:rFonts w:cs="Arial"/>
              </w:rPr>
              <w:t xml:space="preserve">The Jaggaer envelope that contains the online </w:t>
            </w:r>
            <w:r w:rsidRPr="00822826">
              <w:t>D</w:t>
            </w:r>
            <w:r w:rsidRPr="00822826">
              <w:rPr>
                <w:bCs/>
              </w:rPr>
              <w:t>eliverability &amp; Technical</w:t>
            </w:r>
            <w:r>
              <w:rPr>
                <w:b/>
                <w:bCs/>
              </w:rPr>
              <w:t xml:space="preserve"> </w:t>
            </w:r>
            <w:r>
              <w:rPr>
                <w:rFonts w:cs="Arial"/>
              </w:rPr>
              <w:t>questions contained within the Evaluation Guidance document</w:t>
            </w:r>
          </w:p>
        </w:tc>
      </w:tr>
      <w:tr w:rsidR="00F35B74" w:rsidRPr="00BD6EF5" w14:paraId="0BB40742" w14:textId="77777777" w:rsidTr="004B4A84">
        <w:trPr>
          <w:trHeight w:val="397"/>
          <w:jc w:val="center"/>
        </w:trPr>
        <w:tc>
          <w:tcPr>
            <w:tcW w:w="1734" w:type="pct"/>
            <w:tcBorders>
              <w:top w:val="single" w:sz="4" w:space="0" w:color="auto"/>
              <w:left w:val="single" w:sz="4" w:space="0" w:color="auto"/>
              <w:bottom w:val="single" w:sz="4" w:space="0" w:color="auto"/>
              <w:right w:val="single" w:sz="4" w:space="0" w:color="auto"/>
            </w:tcBorders>
            <w:vAlign w:val="center"/>
          </w:tcPr>
          <w:p w14:paraId="77A31135" w14:textId="77777777" w:rsidR="00F35B74" w:rsidRPr="00BD6EF5" w:rsidRDefault="00F35B74" w:rsidP="00B03431">
            <w:pPr>
              <w:spacing w:line="276" w:lineRule="auto"/>
              <w:rPr>
                <w:rFonts w:cs="Arial"/>
              </w:rPr>
            </w:pPr>
            <w:r w:rsidRPr="00BD6EF5">
              <w:rPr>
                <w:rFonts w:cs="Arial"/>
              </w:rPr>
              <w:t>Value for Money</w:t>
            </w:r>
          </w:p>
        </w:tc>
        <w:tc>
          <w:tcPr>
            <w:tcW w:w="3266" w:type="pct"/>
            <w:tcBorders>
              <w:top w:val="single" w:sz="4" w:space="0" w:color="auto"/>
              <w:left w:val="single" w:sz="4" w:space="0" w:color="auto"/>
              <w:bottom w:val="single" w:sz="4" w:space="0" w:color="auto"/>
              <w:right w:val="single" w:sz="4" w:space="0" w:color="auto"/>
            </w:tcBorders>
            <w:vAlign w:val="center"/>
          </w:tcPr>
          <w:p w14:paraId="45D807E7" w14:textId="77777777" w:rsidR="00F35B74" w:rsidRPr="00BD6EF5" w:rsidRDefault="00F35B74" w:rsidP="00B03431">
            <w:pPr>
              <w:spacing w:before="120" w:after="120" w:line="276" w:lineRule="auto"/>
              <w:rPr>
                <w:rFonts w:cs="Arial"/>
              </w:rPr>
            </w:pPr>
            <w:r w:rsidRPr="00BD6EF5">
              <w:rPr>
                <w:rFonts w:cs="Arial"/>
              </w:rPr>
              <w:t>Means the optimum combination of whole life cost and quality to meet the outcomes</w:t>
            </w:r>
            <w:r>
              <w:rPr>
                <w:rFonts w:cs="Arial"/>
              </w:rPr>
              <w:t>.</w:t>
            </w:r>
          </w:p>
        </w:tc>
      </w:tr>
    </w:tbl>
    <w:p w14:paraId="1D72C2A3" w14:textId="77777777" w:rsidR="00D9615A" w:rsidRDefault="00D9615A" w:rsidP="00B03431">
      <w:pPr>
        <w:pStyle w:val="Heading1"/>
        <w:numPr>
          <w:ilvl w:val="0"/>
          <w:numId w:val="0"/>
        </w:numPr>
        <w:spacing w:line="276" w:lineRule="auto"/>
        <w:ind w:left="720" w:hanging="720"/>
      </w:pPr>
    </w:p>
    <w:sectPr w:rsidR="00D9615A" w:rsidSect="00BE33C3">
      <w:headerReference w:type="default" r:id="rId13"/>
      <w:footerReference w:type="default" r:id="rId14"/>
      <w:endnotePr>
        <w:numFmt w:val="decimal"/>
      </w:endnotePr>
      <w:pgSz w:w="11906" w:h="16838" w:code="9"/>
      <w:pgMar w:top="1440" w:right="1440" w:bottom="1559" w:left="1440" w:header="425" w:footer="43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3A0F" w14:textId="77777777" w:rsidR="00646026" w:rsidRDefault="00646026">
      <w:pPr>
        <w:spacing w:line="20" w:lineRule="exact"/>
      </w:pPr>
    </w:p>
  </w:endnote>
  <w:endnote w:type="continuationSeparator" w:id="0">
    <w:p w14:paraId="4AEA35B5" w14:textId="77777777" w:rsidR="00646026" w:rsidRDefault="00646026">
      <w:pPr>
        <w:spacing w:line="20" w:lineRule="exact"/>
      </w:pPr>
      <w:r>
        <w:t xml:space="preserve"> </w:t>
      </w:r>
    </w:p>
  </w:endnote>
  <w:endnote w:type="continuationNotice" w:id="1">
    <w:p w14:paraId="2E952007" w14:textId="77777777" w:rsidR="00646026" w:rsidRDefault="0064602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142352"/>
      <w:docPartObj>
        <w:docPartGallery w:val="Page Numbers (Bottom of Page)"/>
        <w:docPartUnique/>
      </w:docPartObj>
    </w:sdtPr>
    <w:sdtEndPr>
      <w:rPr>
        <w:noProof/>
      </w:rPr>
    </w:sdtEndPr>
    <w:sdtContent>
      <w:p w14:paraId="5451F657" w14:textId="75ECD1E7" w:rsidR="007A3B03" w:rsidRDefault="007A3B03"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6723ACCC" wp14:editId="5B58BA38">
                  <wp:simplePos x="0" y="0"/>
                  <wp:positionH relativeFrom="column">
                    <wp:posOffset>-28575</wp:posOffset>
                  </wp:positionH>
                  <wp:positionV relativeFrom="paragraph">
                    <wp:posOffset>46355</wp:posOffset>
                  </wp:positionV>
                  <wp:extent cx="5743575" cy="952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F75E869">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25pt,3.65pt" to="450pt,4.4pt" w14:anchorId="61ED3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">
                  <o:lock v:ext="edit" shapetype="f"/>
                </v:line>
              </w:pict>
            </mc:Fallback>
          </mc:AlternateContent>
        </w:r>
      </w:p>
      <w:p w14:paraId="67645B38" w14:textId="77777777" w:rsidR="007A3B03" w:rsidRPr="00985B4D" w:rsidRDefault="007A3B03" w:rsidP="00985B4D">
        <w:pPr>
          <w:pStyle w:val="Footer"/>
          <w:jc w:val="center"/>
          <w:rPr>
            <w:sz w:val="20"/>
            <w:szCs w:val="20"/>
          </w:rPr>
        </w:pPr>
        <w:r w:rsidRPr="00985B4D">
          <w:rPr>
            <w:sz w:val="20"/>
            <w:szCs w:val="20"/>
          </w:rPr>
          <w:t>OFFICIAL</w:t>
        </w:r>
      </w:p>
      <w:p w14:paraId="100C579A" w14:textId="77777777" w:rsidR="007A3B03" w:rsidRPr="00985B4D" w:rsidRDefault="007A3B03">
        <w:pPr>
          <w:pStyle w:val="Footer"/>
          <w:rPr>
            <w:sz w:val="20"/>
            <w:szCs w:val="20"/>
          </w:rPr>
        </w:pPr>
      </w:p>
      <w:p w14:paraId="65C55894" w14:textId="77777777" w:rsidR="007A3B03" w:rsidRDefault="007A3B03"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Pr>
            <w:noProof/>
            <w:sz w:val="20"/>
            <w:szCs w:val="20"/>
          </w:rPr>
          <w:t>19</w:t>
        </w:r>
        <w:r w:rsidRPr="00985B4D">
          <w:rPr>
            <w:noProof/>
            <w:sz w:val="20"/>
            <w:szCs w:val="20"/>
          </w:rPr>
          <w:fldChar w:fldCharType="end"/>
        </w:r>
      </w:p>
    </w:sdtContent>
  </w:sdt>
  <w:p w14:paraId="5EE401B3" w14:textId="77777777" w:rsidR="007A3B03" w:rsidRPr="002933F8" w:rsidRDefault="007A3B03"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C721" w14:textId="77777777" w:rsidR="00646026" w:rsidRDefault="00646026">
      <w:r>
        <w:separator/>
      </w:r>
    </w:p>
  </w:footnote>
  <w:footnote w:type="continuationSeparator" w:id="0">
    <w:p w14:paraId="0FCBC055" w14:textId="77777777" w:rsidR="00646026" w:rsidRDefault="00646026">
      <w:r>
        <w:continuationSeparator/>
      </w:r>
    </w:p>
  </w:footnote>
  <w:footnote w:type="continuationNotice" w:id="1">
    <w:p w14:paraId="4ED7178A" w14:textId="77777777" w:rsidR="00646026" w:rsidRDefault="00646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B35F" w14:textId="77777777" w:rsidR="007A3B03" w:rsidRDefault="007A3B03" w:rsidP="000A736E">
    <w:pPr>
      <w:tabs>
        <w:tab w:val="center" w:pos="4153"/>
        <w:tab w:val="right" w:pos="8306"/>
      </w:tabs>
      <w:jc w:val="center"/>
      <w:rPr>
        <w:sz w:val="20"/>
        <w:szCs w:val="20"/>
      </w:rPr>
    </w:pPr>
    <w:r>
      <w:rPr>
        <w:noProof/>
        <w:szCs w:val="22"/>
        <w:lang w:eastAsia="en-GB"/>
      </w:rPr>
      <w:drawing>
        <wp:anchor distT="0" distB="0" distL="114300" distR="114300" simplePos="0" relativeHeight="251658242" behindDoc="1" locked="0" layoutInCell="1" allowOverlap="1" wp14:anchorId="1D6C1762" wp14:editId="56C9C784">
          <wp:simplePos x="0" y="0"/>
          <wp:positionH relativeFrom="margin">
            <wp:posOffset>-289560</wp:posOffset>
          </wp:positionH>
          <wp:positionV relativeFrom="paragraph">
            <wp:posOffset>6985</wp:posOffset>
          </wp:positionV>
          <wp:extent cx="1104900" cy="477973"/>
          <wp:effectExtent l="0" t="0" r="0" b="0"/>
          <wp:wrapNone/>
          <wp:docPr id="15" name="Picture 18"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ome-Office_RGB_AW"/>
                  <pic:cNvPicPr>
                    <a:picLocks noChangeAspect="1" noChangeArrowheads="1"/>
                  </pic:cNvPicPr>
                </pic:nvPicPr>
                <pic:blipFill>
                  <a:blip r:embed="rId1" cstate="print"/>
                  <a:srcRect/>
                  <a:stretch>
                    <a:fillRect/>
                  </a:stretch>
                </pic:blipFill>
                <pic:spPr bwMode="auto">
                  <a:xfrm>
                    <a:off x="0" y="0"/>
                    <a:ext cx="1104900" cy="477973"/>
                  </a:xfrm>
                  <a:prstGeom prst="rect">
                    <a:avLst/>
                  </a:prstGeom>
                  <a:noFill/>
                  <a:ln w="9525">
                    <a:noFill/>
                    <a:miter lim="800000"/>
                    <a:headEnd/>
                    <a:tailEnd/>
                  </a:ln>
                </pic:spPr>
              </pic:pic>
            </a:graphicData>
          </a:graphic>
        </wp:anchor>
      </w:drawing>
    </w:r>
    <w:r w:rsidRPr="00F44D62">
      <w:rPr>
        <w:sz w:val="20"/>
        <w:szCs w:val="20"/>
      </w:rPr>
      <w:t>OFFICIAL</w:t>
    </w:r>
  </w:p>
  <w:p w14:paraId="060FE7C8" w14:textId="6450AD13" w:rsidR="007A3B03" w:rsidRPr="00CF5CE4" w:rsidRDefault="0067168B" w:rsidP="000A736E">
    <w:pPr>
      <w:tabs>
        <w:tab w:val="center" w:pos="4153"/>
        <w:tab w:val="right" w:pos="8306"/>
      </w:tabs>
      <w:jc w:val="center"/>
      <w:rPr>
        <w:sz w:val="20"/>
        <w:szCs w:val="20"/>
      </w:rPr>
    </w:pPr>
    <w:r w:rsidRPr="00CF5CE4">
      <w:rPr>
        <w:sz w:val="20"/>
        <w:szCs w:val="20"/>
      </w:rPr>
      <w:t xml:space="preserve">General </w:t>
    </w:r>
    <w:r w:rsidR="007A3B03" w:rsidRPr="00CF5CE4">
      <w:rPr>
        <w:sz w:val="20"/>
        <w:szCs w:val="20"/>
      </w:rPr>
      <w:t>Instructions to Bidders</w:t>
    </w:r>
  </w:p>
  <w:p w14:paraId="2B3B93D6" w14:textId="190B1181" w:rsidR="007A3B03" w:rsidRDefault="0067168B" w:rsidP="000A736E">
    <w:pPr>
      <w:pStyle w:val="Header"/>
      <w:jc w:val="center"/>
      <w:rPr>
        <w:rFonts w:cs="Arial"/>
        <w:sz w:val="20"/>
        <w:szCs w:val="20"/>
      </w:rPr>
    </w:pPr>
    <w:r w:rsidRPr="00CF5CE4">
      <w:rPr>
        <w:rFonts w:cs="Arial"/>
        <w:sz w:val="20"/>
        <w:szCs w:val="20"/>
      </w:rPr>
      <w:t xml:space="preserve">Modern Slavery Innovation Fund </w:t>
    </w:r>
    <w:r w:rsidR="000C213C" w:rsidRPr="00CF5CE4">
      <w:rPr>
        <w:rFonts w:cs="Arial"/>
        <w:sz w:val="20"/>
        <w:szCs w:val="20"/>
      </w:rPr>
      <w:t>Phase 3</w:t>
    </w:r>
  </w:p>
  <w:p w14:paraId="27A34AB7" w14:textId="65E98791" w:rsidR="007A3B03" w:rsidRPr="00074357" w:rsidRDefault="007A3B03" w:rsidP="00074357">
    <w:pPr>
      <w:pStyle w:val="Header"/>
    </w:pPr>
    <w:r>
      <w:rPr>
        <w:noProof/>
        <w:lang w:eastAsia="en-GB"/>
      </w:rPr>
      <mc:AlternateContent>
        <mc:Choice Requires="wps">
          <w:drawing>
            <wp:anchor distT="4294967291" distB="4294967291" distL="114300" distR="114300" simplePos="0" relativeHeight="251658241" behindDoc="0" locked="0" layoutInCell="1" allowOverlap="1" wp14:anchorId="15F806A5" wp14:editId="3A86F172">
              <wp:simplePos x="0" y="0"/>
              <wp:positionH relativeFrom="column">
                <wp:posOffset>-304800</wp:posOffset>
              </wp:positionH>
              <wp:positionV relativeFrom="paragraph">
                <wp:posOffset>98424</wp:posOffset>
              </wp:positionV>
              <wp:extent cx="60483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http://schemas.openxmlformats.org/drawingml/2006/main">
          <w:pict w14:anchorId="08984BF9">
            <v:line id="Straight Connector 1"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color="black [3040]" from="-24pt,7.75pt" to="452.25pt,7.75pt" w14:anchorId="44545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DD55C1"/>
    <w:multiLevelType w:val="multilevel"/>
    <w:tmpl w:val="424CB4F0"/>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B56762"/>
    <w:multiLevelType w:val="multilevel"/>
    <w:tmpl w:val="C958C18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15:restartNumberingAfterBreak="0">
    <w:nsid w:val="0AC849A1"/>
    <w:multiLevelType w:val="multilevel"/>
    <w:tmpl w:val="C77C945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65218A"/>
    <w:multiLevelType w:val="hybridMultilevel"/>
    <w:tmpl w:val="BDDA09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E749B3"/>
    <w:multiLevelType w:val="hybridMultilevel"/>
    <w:tmpl w:val="4376871E"/>
    <w:lvl w:ilvl="0" w:tplc="B18CEEA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861FFC"/>
    <w:multiLevelType w:val="multilevel"/>
    <w:tmpl w:val="8960B74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15038"/>
    <w:multiLevelType w:val="multilevel"/>
    <w:tmpl w:val="767E518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3"/>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4E2937C6"/>
    <w:multiLevelType w:val="multilevel"/>
    <w:tmpl w:val="EDE02C1A"/>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28" w15:restartNumberingAfterBreak="0">
    <w:nsid w:val="4F385D34"/>
    <w:multiLevelType w:val="hybridMultilevel"/>
    <w:tmpl w:val="A98AB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4FEA0973"/>
    <w:multiLevelType w:val="hybridMultilevel"/>
    <w:tmpl w:val="6C32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965CCA"/>
    <w:multiLevelType w:val="multilevel"/>
    <w:tmpl w:val="1332CCD4"/>
    <w:name w:val="Appendicies Heading List"/>
    <w:numStyleLink w:val="111111"/>
  </w:abstractNum>
  <w:abstractNum w:abstractNumId="31" w15:restartNumberingAfterBreak="0">
    <w:nsid w:val="51200365"/>
    <w:multiLevelType w:val="multilevel"/>
    <w:tmpl w:val="8AB8491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3"/>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53AF3166"/>
    <w:multiLevelType w:val="multilevel"/>
    <w:tmpl w:val="933021BE"/>
    <w:lvl w:ilvl="0">
      <w:start w:val="4"/>
      <w:numFmt w:val="decimal"/>
      <w:lvlText w:val="%1."/>
      <w:lvlJc w:val="left"/>
      <w:pPr>
        <w:ind w:left="360" w:firstLine="0"/>
      </w:pPr>
      <w:rPr>
        <w:vertAlign w:val="baseline"/>
      </w:rPr>
    </w:lvl>
    <w:lvl w:ilvl="1">
      <w:start w:val="1"/>
      <w:numFmt w:val="decimal"/>
      <w:lvlText w:val="%1.%2."/>
      <w:lvlJc w:val="left"/>
      <w:pPr>
        <w:ind w:left="432" w:firstLine="0"/>
      </w:pPr>
      <w:rPr>
        <w:b w:val="0"/>
        <w:i/>
        <w:color w:val="000000"/>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33" w15:restartNumberingAfterBreak="0">
    <w:nsid w:val="54D121BC"/>
    <w:multiLevelType w:val="multilevel"/>
    <w:tmpl w:val="767E518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3"/>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EC02372"/>
    <w:multiLevelType w:val="multilevel"/>
    <w:tmpl w:val="2BCA6176"/>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4166EA3"/>
    <w:multiLevelType w:val="multilevel"/>
    <w:tmpl w:val="4374117A"/>
    <w:lvl w:ilvl="0">
      <w:start w:val="1"/>
      <w:numFmt w:val="bullet"/>
      <w:lvlText w:val="●"/>
      <w:lvlJc w:val="left"/>
      <w:pPr>
        <w:ind w:left="420" w:firstLine="60"/>
      </w:pPr>
      <w:rPr>
        <w:rFonts w:ascii="Arial" w:eastAsia="Arial" w:hAnsi="Arial" w:cs="Arial"/>
        <w:sz w:val="20"/>
        <w:szCs w:val="20"/>
        <w:vertAlign w:val="baseline"/>
      </w:rPr>
    </w:lvl>
    <w:lvl w:ilvl="1">
      <w:start w:val="2"/>
      <w:numFmt w:val="bullet"/>
      <w:lvlText w:val="-"/>
      <w:lvlJc w:val="left"/>
      <w:pPr>
        <w:ind w:left="1140" w:firstLine="780"/>
      </w:pPr>
      <w:rPr>
        <w:rFonts w:ascii="Arial" w:eastAsia="Arial" w:hAnsi="Arial" w:cs="Arial"/>
        <w:vertAlign w:val="baseline"/>
      </w:rPr>
    </w:lvl>
    <w:lvl w:ilvl="2">
      <w:start w:val="1"/>
      <w:numFmt w:val="bullet"/>
      <w:lvlText w:val="▪"/>
      <w:lvlJc w:val="left"/>
      <w:pPr>
        <w:ind w:left="1860" w:firstLine="1500"/>
      </w:pPr>
      <w:rPr>
        <w:rFonts w:ascii="Arial" w:eastAsia="Arial" w:hAnsi="Arial" w:cs="Arial"/>
        <w:sz w:val="20"/>
        <w:szCs w:val="20"/>
        <w:vertAlign w:val="baseline"/>
      </w:rPr>
    </w:lvl>
    <w:lvl w:ilvl="3">
      <w:start w:val="1"/>
      <w:numFmt w:val="bullet"/>
      <w:lvlText w:val="▪"/>
      <w:lvlJc w:val="left"/>
      <w:pPr>
        <w:ind w:left="2580" w:firstLine="2220"/>
      </w:pPr>
      <w:rPr>
        <w:rFonts w:ascii="Arial" w:eastAsia="Arial" w:hAnsi="Arial" w:cs="Arial"/>
        <w:sz w:val="20"/>
        <w:szCs w:val="20"/>
        <w:vertAlign w:val="baseline"/>
      </w:rPr>
    </w:lvl>
    <w:lvl w:ilvl="4">
      <w:start w:val="1"/>
      <w:numFmt w:val="bullet"/>
      <w:lvlText w:val="▪"/>
      <w:lvlJc w:val="left"/>
      <w:pPr>
        <w:ind w:left="3300" w:firstLine="2940"/>
      </w:pPr>
      <w:rPr>
        <w:rFonts w:ascii="Arial" w:eastAsia="Arial" w:hAnsi="Arial" w:cs="Arial"/>
        <w:sz w:val="20"/>
        <w:szCs w:val="20"/>
        <w:vertAlign w:val="baseline"/>
      </w:rPr>
    </w:lvl>
    <w:lvl w:ilvl="5">
      <w:start w:val="1"/>
      <w:numFmt w:val="bullet"/>
      <w:lvlText w:val="▪"/>
      <w:lvlJc w:val="left"/>
      <w:pPr>
        <w:ind w:left="4020" w:firstLine="3660"/>
      </w:pPr>
      <w:rPr>
        <w:rFonts w:ascii="Arial" w:eastAsia="Arial" w:hAnsi="Arial" w:cs="Arial"/>
        <w:sz w:val="20"/>
        <w:szCs w:val="20"/>
        <w:vertAlign w:val="baseline"/>
      </w:rPr>
    </w:lvl>
    <w:lvl w:ilvl="6">
      <w:start w:val="1"/>
      <w:numFmt w:val="bullet"/>
      <w:lvlText w:val="▪"/>
      <w:lvlJc w:val="left"/>
      <w:pPr>
        <w:ind w:left="4740" w:firstLine="4380"/>
      </w:pPr>
      <w:rPr>
        <w:rFonts w:ascii="Arial" w:eastAsia="Arial" w:hAnsi="Arial" w:cs="Arial"/>
        <w:sz w:val="20"/>
        <w:szCs w:val="20"/>
        <w:vertAlign w:val="baseline"/>
      </w:rPr>
    </w:lvl>
    <w:lvl w:ilvl="7">
      <w:start w:val="1"/>
      <w:numFmt w:val="bullet"/>
      <w:lvlText w:val="▪"/>
      <w:lvlJc w:val="left"/>
      <w:pPr>
        <w:ind w:left="5460" w:firstLine="5100"/>
      </w:pPr>
      <w:rPr>
        <w:rFonts w:ascii="Arial" w:eastAsia="Arial" w:hAnsi="Arial" w:cs="Arial"/>
        <w:sz w:val="20"/>
        <w:szCs w:val="20"/>
        <w:vertAlign w:val="baseline"/>
      </w:rPr>
    </w:lvl>
    <w:lvl w:ilvl="8">
      <w:start w:val="1"/>
      <w:numFmt w:val="bullet"/>
      <w:lvlText w:val="▪"/>
      <w:lvlJc w:val="left"/>
      <w:pPr>
        <w:ind w:left="6180" w:firstLine="5820"/>
      </w:pPr>
      <w:rPr>
        <w:rFonts w:ascii="Arial" w:eastAsia="Arial" w:hAnsi="Arial" w:cs="Arial"/>
        <w:sz w:val="20"/>
        <w:szCs w:val="20"/>
        <w:vertAlign w:val="baseline"/>
      </w:rPr>
    </w:lvl>
  </w:abstractNum>
  <w:abstractNum w:abstractNumId="40" w15:restartNumberingAfterBreak="0">
    <w:nsid w:val="642C3302"/>
    <w:multiLevelType w:val="multilevel"/>
    <w:tmpl w:val="278A1C38"/>
    <w:lvl w:ilvl="0">
      <w:start w:val="4"/>
      <w:numFmt w:val="decimal"/>
      <w:lvlText w:val="%1"/>
      <w:lvlJc w:val="left"/>
      <w:pPr>
        <w:ind w:left="360" w:hanging="360"/>
      </w:pPr>
      <w:rPr>
        <w:rFonts w:hint="default"/>
        <w:b w:val="0"/>
      </w:rPr>
    </w:lvl>
    <w:lvl w:ilvl="1">
      <w:start w:val="1"/>
      <w:numFmt w:val="decimal"/>
      <w:lvlText w:val="%1.%2"/>
      <w:lvlJc w:val="left"/>
      <w:pPr>
        <w:ind w:left="349" w:hanging="36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1047" w:hanging="1080"/>
      </w:pPr>
      <w:rPr>
        <w:rFonts w:hint="default"/>
        <w:b w:val="0"/>
      </w:rPr>
    </w:lvl>
    <w:lvl w:ilvl="4">
      <w:start w:val="1"/>
      <w:numFmt w:val="decimal"/>
      <w:lvlText w:val="%1.%2.%3.%4.%5"/>
      <w:lvlJc w:val="left"/>
      <w:pPr>
        <w:ind w:left="1036" w:hanging="1080"/>
      </w:pPr>
      <w:rPr>
        <w:rFonts w:hint="default"/>
        <w:b w:val="0"/>
      </w:rPr>
    </w:lvl>
    <w:lvl w:ilvl="5">
      <w:start w:val="1"/>
      <w:numFmt w:val="decimal"/>
      <w:lvlText w:val="%1.%2.%3.%4.%5.%6"/>
      <w:lvlJc w:val="left"/>
      <w:pPr>
        <w:ind w:left="1385" w:hanging="1440"/>
      </w:pPr>
      <w:rPr>
        <w:rFonts w:hint="default"/>
        <w:b w:val="0"/>
      </w:rPr>
    </w:lvl>
    <w:lvl w:ilvl="6">
      <w:start w:val="1"/>
      <w:numFmt w:val="decimal"/>
      <w:lvlText w:val="%1.%2.%3.%4.%5.%6.%7"/>
      <w:lvlJc w:val="left"/>
      <w:pPr>
        <w:ind w:left="1374" w:hanging="1440"/>
      </w:pPr>
      <w:rPr>
        <w:rFonts w:hint="default"/>
        <w:b w:val="0"/>
      </w:rPr>
    </w:lvl>
    <w:lvl w:ilvl="7">
      <w:start w:val="1"/>
      <w:numFmt w:val="decimal"/>
      <w:lvlText w:val="%1.%2.%3.%4.%5.%6.%7.%8"/>
      <w:lvlJc w:val="left"/>
      <w:pPr>
        <w:ind w:left="1723" w:hanging="1800"/>
      </w:pPr>
      <w:rPr>
        <w:rFonts w:hint="default"/>
        <w:b w:val="0"/>
      </w:rPr>
    </w:lvl>
    <w:lvl w:ilvl="8">
      <w:start w:val="1"/>
      <w:numFmt w:val="decimal"/>
      <w:lvlText w:val="%1.%2.%3.%4.%5.%6.%7.%8.%9"/>
      <w:lvlJc w:val="left"/>
      <w:pPr>
        <w:ind w:left="1712" w:hanging="1800"/>
      </w:pPr>
      <w:rPr>
        <w:rFonts w:hint="default"/>
        <w:b w:val="0"/>
      </w:rPr>
    </w:lvl>
  </w:abstractNum>
  <w:abstractNum w:abstractNumId="41" w15:restartNumberingAfterBreak="0">
    <w:nsid w:val="6A5B0273"/>
    <w:multiLevelType w:val="hybridMultilevel"/>
    <w:tmpl w:val="29AA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B21811"/>
    <w:multiLevelType w:val="hybridMultilevel"/>
    <w:tmpl w:val="F04AFAAA"/>
    <w:lvl w:ilvl="0" w:tplc="0152F2B6">
      <w:start w:val="1"/>
      <w:numFmt w:val="bullet"/>
      <w:lvlText w:val="•"/>
      <w:lvlJc w:val="left"/>
      <w:pPr>
        <w:tabs>
          <w:tab w:val="num" w:pos="360"/>
        </w:tabs>
        <w:ind w:left="360" w:hanging="360"/>
      </w:pPr>
      <w:rPr>
        <w:rFonts w:ascii="Times New Roman" w:hAnsi="Times New Roman" w:hint="default"/>
      </w:rPr>
    </w:lvl>
    <w:lvl w:ilvl="1" w:tplc="B3985DDE">
      <w:start w:val="1"/>
      <w:numFmt w:val="bullet"/>
      <w:lvlText w:val="•"/>
      <w:lvlJc w:val="left"/>
      <w:pPr>
        <w:tabs>
          <w:tab w:val="num" w:pos="1080"/>
        </w:tabs>
        <w:ind w:left="1080" w:hanging="360"/>
      </w:pPr>
      <w:rPr>
        <w:rFonts w:ascii="Times New Roman" w:hAnsi="Times New Roman" w:hint="default"/>
      </w:rPr>
    </w:lvl>
    <w:lvl w:ilvl="2" w:tplc="914C9432" w:tentative="1">
      <w:start w:val="1"/>
      <w:numFmt w:val="bullet"/>
      <w:lvlText w:val="•"/>
      <w:lvlJc w:val="left"/>
      <w:pPr>
        <w:tabs>
          <w:tab w:val="num" w:pos="1800"/>
        </w:tabs>
        <w:ind w:left="1800" w:hanging="360"/>
      </w:pPr>
      <w:rPr>
        <w:rFonts w:ascii="Times New Roman" w:hAnsi="Times New Roman" w:hint="default"/>
      </w:rPr>
    </w:lvl>
    <w:lvl w:ilvl="3" w:tplc="B2F8602C" w:tentative="1">
      <w:start w:val="1"/>
      <w:numFmt w:val="bullet"/>
      <w:lvlText w:val="•"/>
      <w:lvlJc w:val="left"/>
      <w:pPr>
        <w:tabs>
          <w:tab w:val="num" w:pos="2520"/>
        </w:tabs>
        <w:ind w:left="2520" w:hanging="360"/>
      </w:pPr>
      <w:rPr>
        <w:rFonts w:ascii="Times New Roman" w:hAnsi="Times New Roman" w:hint="default"/>
      </w:rPr>
    </w:lvl>
    <w:lvl w:ilvl="4" w:tplc="CEAE8320" w:tentative="1">
      <w:start w:val="1"/>
      <w:numFmt w:val="bullet"/>
      <w:lvlText w:val="•"/>
      <w:lvlJc w:val="left"/>
      <w:pPr>
        <w:tabs>
          <w:tab w:val="num" w:pos="3240"/>
        </w:tabs>
        <w:ind w:left="3240" w:hanging="360"/>
      </w:pPr>
      <w:rPr>
        <w:rFonts w:ascii="Times New Roman" w:hAnsi="Times New Roman" w:hint="default"/>
      </w:rPr>
    </w:lvl>
    <w:lvl w:ilvl="5" w:tplc="F02E9D9C" w:tentative="1">
      <w:start w:val="1"/>
      <w:numFmt w:val="bullet"/>
      <w:lvlText w:val="•"/>
      <w:lvlJc w:val="left"/>
      <w:pPr>
        <w:tabs>
          <w:tab w:val="num" w:pos="3960"/>
        </w:tabs>
        <w:ind w:left="3960" w:hanging="360"/>
      </w:pPr>
      <w:rPr>
        <w:rFonts w:ascii="Times New Roman" w:hAnsi="Times New Roman" w:hint="default"/>
      </w:rPr>
    </w:lvl>
    <w:lvl w:ilvl="6" w:tplc="0616E6CC" w:tentative="1">
      <w:start w:val="1"/>
      <w:numFmt w:val="bullet"/>
      <w:lvlText w:val="•"/>
      <w:lvlJc w:val="left"/>
      <w:pPr>
        <w:tabs>
          <w:tab w:val="num" w:pos="4680"/>
        </w:tabs>
        <w:ind w:left="4680" w:hanging="360"/>
      </w:pPr>
      <w:rPr>
        <w:rFonts w:ascii="Times New Roman" w:hAnsi="Times New Roman" w:hint="default"/>
      </w:rPr>
    </w:lvl>
    <w:lvl w:ilvl="7" w:tplc="DC44DD1E" w:tentative="1">
      <w:start w:val="1"/>
      <w:numFmt w:val="bullet"/>
      <w:lvlText w:val="•"/>
      <w:lvlJc w:val="left"/>
      <w:pPr>
        <w:tabs>
          <w:tab w:val="num" w:pos="5400"/>
        </w:tabs>
        <w:ind w:left="5400" w:hanging="360"/>
      </w:pPr>
      <w:rPr>
        <w:rFonts w:ascii="Times New Roman" w:hAnsi="Times New Roman" w:hint="default"/>
      </w:rPr>
    </w:lvl>
    <w:lvl w:ilvl="8" w:tplc="49C45E66" w:tentative="1">
      <w:start w:val="1"/>
      <w:numFmt w:val="bullet"/>
      <w:lvlText w:val="•"/>
      <w:lvlJc w:val="left"/>
      <w:pPr>
        <w:tabs>
          <w:tab w:val="num" w:pos="6120"/>
        </w:tabs>
        <w:ind w:left="6120" w:hanging="360"/>
      </w:pPr>
      <w:rPr>
        <w:rFonts w:ascii="Times New Roman" w:hAnsi="Times New Roman" w:hint="default"/>
      </w:rPr>
    </w:lvl>
  </w:abstractNum>
  <w:abstractNum w:abstractNumId="43" w15:restartNumberingAfterBreak="0">
    <w:nsid w:val="6F0E359D"/>
    <w:multiLevelType w:val="multilevel"/>
    <w:tmpl w:val="E91A0F28"/>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BC07CB"/>
    <w:multiLevelType w:val="multilevel"/>
    <w:tmpl w:val="6410373E"/>
    <w:lvl w:ilvl="0">
      <w:start w:val="1"/>
      <w:numFmt w:val="decimal"/>
      <w:lvlText w:val="%1."/>
      <w:lvlJc w:val="left"/>
      <w:pPr>
        <w:ind w:left="360" w:firstLine="0"/>
      </w:pPr>
      <w:rPr>
        <w:vertAlign w:val="baseline"/>
      </w:rPr>
    </w:lvl>
    <w:lvl w:ilvl="1">
      <w:start w:val="1"/>
      <w:numFmt w:val="decimal"/>
      <w:lvlText w:val="%1.%2."/>
      <w:lvlJc w:val="left"/>
      <w:pPr>
        <w:ind w:left="792" w:firstLine="360"/>
      </w:pPr>
      <w:rPr>
        <w:vertAlign w:val="baseline"/>
      </w:rPr>
    </w:lvl>
    <w:lvl w:ilvl="2">
      <w:start w:val="1"/>
      <w:numFmt w:val="bullet"/>
      <w:lvlText w:val="●"/>
      <w:lvlJc w:val="left"/>
      <w:pPr>
        <w:ind w:left="1224" w:firstLine="720"/>
      </w:pPr>
      <w:rPr>
        <w:rFonts w:ascii="Arial" w:eastAsia="Arial" w:hAnsi="Arial" w:cs="Arial"/>
        <w:vertAlign w:val="baseline"/>
      </w:rPr>
    </w:lvl>
    <w:lvl w:ilvl="3">
      <w:start w:val="1"/>
      <w:numFmt w:val="decimal"/>
      <w:lvlText w:val="%1.%2.●.%4."/>
      <w:lvlJc w:val="left"/>
      <w:pPr>
        <w:ind w:left="1728" w:firstLine="1080"/>
      </w:pPr>
      <w:rPr>
        <w:vertAlign w:val="baseline"/>
      </w:rPr>
    </w:lvl>
    <w:lvl w:ilvl="4">
      <w:start w:val="1"/>
      <w:numFmt w:val="decimal"/>
      <w:lvlText w:val="%1.%2.●.%4.%5."/>
      <w:lvlJc w:val="left"/>
      <w:pPr>
        <w:ind w:left="2232" w:firstLine="1440"/>
      </w:pPr>
      <w:rPr>
        <w:vertAlign w:val="baseline"/>
      </w:rPr>
    </w:lvl>
    <w:lvl w:ilvl="5">
      <w:start w:val="1"/>
      <w:numFmt w:val="decimal"/>
      <w:lvlText w:val="%1.%2.●.%4.%5.%6."/>
      <w:lvlJc w:val="left"/>
      <w:pPr>
        <w:ind w:left="2736" w:firstLine="1800"/>
      </w:pPr>
      <w:rPr>
        <w:vertAlign w:val="baseline"/>
      </w:rPr>
    </w:lvl>
    <w:lvl w:ilvl="6">
      <w:start w:val="1"/>
      <w:numFmt w:val="decimal"/>
      <w:lvlText w:val="%1.%2.●.%4.%5.%6.%7."/>
      <w:lvlJc w:val="left"/>
      <w:pPr>
        <w:ind w:left="3240" w:firstLine="2160"/>
      </w:pPr>
      <w:rPr>
        <w:vertAlign w:val="baseline"/>
      </w:rPr>
    </w:lvl>
    <w:lvl w:ilvl="7">
      <w:start w:val="1"/>
      <w:numFmt w:val="decimal"/>
      <w:lvlText w:val="%1.%2.●.%4.%5.%6.%7.%8."/>
      <w:lvlJc w:val="left"/>
      <w:pPr>
        <w:ind w:left="3744" w:firstLine="2519"/>
      </w:pPr>
      <w:rPr>
        <w:vertAlign w:val="baseline"/>
      </w:rPr>
    </w:lvl>
    <w:lvl w:ilvl="8">
      <w:start w:val="1"/>
      <w:numFmt w:val="decimal"/>
      <w:lvlText w:val="%1.%2.●.%4.%5.%6.%7.%8.%9."/>
      <w:lvlJc w:val="left"/>
      <w:pPr>
        <w:ind w:left="4320" w:firstLine="2880"/>
      </w:pPr>
      <w:rPr>
        <w:vertAlign w:val="baseline"/>
      </w:rPr>
    </w:lvl>
  </w:abstractNum>
  <w:abstractNum w:abstractNumId="45" w15:restartNumberingAfterBreak="0">
    <w:nsid w:val="72C40A63"/>
    <w:multiLevelType w:val="multilevel"/>
    <w:tmpl w:val="51AE138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6" w15:restartNumberingAfterBreak="0">
    <w:nsid w:val="79EF1A8E"/>
    <w:multiLevelType w:val="multilevel"/>
    <w:tmpl w:val="80941C1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5758"/>
        </w:tabs>
        <w:ind w:left="5758" w:hanging="1080"/>
      </w:pPr>
      <w:rPr>
        <w:rFonts w:hint="default"/>
        <w:b w:val="0"/>
        <w:caps w:val="0"/>
        <w:effect w:val="none"/>
      </w:rPr>
    </w:lvl>
    <w:lvl w:ilvl="3">
      <w:start w:val="1"/>
      <w:numFmt w:val="decimal"/>
      <w:pStyle w:val="Heading4"/>
      <w:lvlText w:val="%1.%2.%3.%4"/>
      <w:lvlJc w:val="left"/>
      <w:pPr>
        <w:tabs>
          <w:tab w:val="num" w:pos="2880"/>
        </w:tabs>
        <w:ind w:left="2880" w:hanging="1083"/>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16cid:durableId="1568028950">
    <w:abstractNumId w:val="7"/>
  </w:num>
  <w:num w:numId="2" w16cid:durableId="925648276">
    <w:abstractNumId w:val="19"/>
  </w:num>
  <w:num w:numId="3" w16cid:durableId="335041621">
    <w:abstractNumId w:val="20"/>
  </w:num>
  <w:num w:numId="4" w16cid:durableId="1968587910">
    <w:abstractNumId w:val="6"/>
  </w:num>
  <w:num w:numId="5" w16cid:durableId="249394440">
    <w:abstractNumId w:val="25"/>
  </w:num>
  <w:num w:numId="6" w16cid:durableId="127405387">
    <w:abstractNumId w:val="22"/>
  </w:num>
  <w:num w:numId="7" w16cid:durableId="751124428">
    <w:abstractNumId w:val="18"/>
  </w:num>
  <w:num w:numId="8" w16cid:durableId="901789981">
    <w:abstractNumId w:val="4"/>
  </w:num>
  <w:num w:numId="9" w16cid:durableId="1283266843">
    <w:abstractNumId w:val="3"/>
  </w:num>
  <w:num w:numId="10" w16cid:durableId="1407260406">
    <w:abstractNumId w:val="2"/>
  </w:num>
  <w:num w:numId="11" w16cid:durableId="19553305">
    <w:abstractNumId w:val="1"/>
  </w:num>
  <w:num w:numId="12" w16cid:durableId="1922715764">
    <w:abstractNumId w:val="0"/>
  </w:num>
  <w:num w:numId="13" w16cid:durableId="901477271">
    <w:abstractNumId w:val="47"/>
  </w:num>
  <w:num w:numId="14" w16cid:durableId="654532994">
    <w:abstractNumId w:val="13"/>
  </w:num>
  <w:num w:numId="15" w16cid:durableId="325792478">
    <w:abstractNumId w:val="38"/>
  </w:num>
  <w:num w:numId="16" w16cid:durableId="1029912355">
    <w:abstractNumId w:val="12"/>
  </w:num>
  <w:num w:numId="17" w16cid:durableId="2102680938">
    <w:abstractNumId w:val="23"/>
  </w:num>
  <w:num w:numId="18" w16cid:durableId="1663121557">
    <w:abstractNumId w:val="21"/>
  </w:num>
  <w:num w:numId="19" w16cid:durableId="1721318273">
    <w:abstractNumId w:val="34"/>
  </w:num>
  <w:num w:numId="20" w16cid:durableId="103690172">
    <w:abstractNumId w:val="17"/>
  </w:num>
  <w:num w:numId="21" w16cid:durableId="2042895655">
    <w:abstractNumId w:val="46"/>
  </w:num>
  <w:num w:numId="22" w16cid:durableId="655688511">
    <w:abstractNumId w:val="5"/>
  </w:num>
  <w:num w:numId="23" w16cid:durableId="1040470304">
    <w:abstractNumId w:val="39"/>
  </w:num>
  <w:num w:numId="24" w16cid:durableId="57940852">
    <w:abstractNumId w:val="45"/>
  </w:num>
  <w:num w:numId="25" w16cid:durableId="1447118834">
    <w:abstractNumId w:val="9"/>
  </w:num>
  <w:num w:numId="26" w16cid:durableId="1094473910">
    <w:abstractNumId w:val="44"/>
  </w:num>
  <w:num w:numId="27" w16cid:durableId="259222739">
    <w:abstractNumId w:val="27"/>
  </w:num>
  <w:num w:numId="28" w16cid:durableId="781190772">
    <w:abstractNumId w:val="16"/>
  </w:num>
  <w:num w:numId="29" w16cid:durableId="828789931">
    <w:abstractNumId w:val="32"/>
  </w:num>
  <w:num w:numId="30" w16cid:durableId="2045210993">
    <w:abstractNumId w:val="35"/>
  </w:num>
  <w:num w:numId="31" w16cid:durableId="1103569008">
    <w:abstractNumId w:val="31"/>
  </w:num>
  <w:num w:numId="32" w16cid:durableId="461920116">
    <w:abstractNumId w:val="11"/>
  </w:num>
  <w:num w:numId="33" w16cid:durableId="1474518924">
    <w:abstractNumId w:val="28"/>
  </w:num>
  <w:num w:numId="34" w16cid:durableId="1217208091">
    <w:abstractNumId w:val="29"/>
  </w:num>
  <w:num w:numId="35" w16cid:durableId="176887893">
    <w:abstractNumId w:val="8"/>
  </w:num>
  <w:num w:numId="36" w16cid:durableId="7690128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025027">
    <w:abstractNumId w:val="37"/>
  </w:num>
  <w:num w:numId="38" w16cid:durableId="977881430">
    <w:abstractNumId w:val="15"/>
  </w:num>
  <w:num w:numId="39" w16cid:durableId="1057823703">
    <w:abstractNumId w:val="24"/>
  </w:num>
  <w:num w:numId="40" w16cid:durableId="749277801">
    <w:abstractNumId w:val="33"/>
  </w:num>
  <w:num w:numId="41" w16cid:durableId="1784033768">
    <w:abstractNumId w:val="40"/>
  </w:num>
  <w:num w:numId="42" w16cid:durableId="1340110911">
    <w:abstractNumId w:val="43"/>
  </w:num>
  <w:num w:numId="43" w16cid:durableId="17546271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4138017">
    <w:abstractNumId w:val="10"/>
  </w:num>
  <w:num w:numId="45" w16cid:durableId="1410617424">
    <w:abstractNumId w:val="42"/>
  </w:num>
  <w:num w:numId="46" w16cid:durableId="1603685488">
    <w:abstractNumId w:val="41"/>
  </w:num>
  <w:num w:numId="47" w16cid:durableId="828055435">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A3173D-2A24-4043-AD12-B911CB26D42D}"/>
    <w:docVar w:name="dgnword-eventsink" w:val="564042944"/>
  </w:docVars>
  <w:rsids>
    <w:rsidRoot w:val="002E5436"/>
    <w:rsid w:val="000000C2"/>
    <w:rsid w:val="00000F92"/>
    <w:rsid w:val="00001043"/>
    <w:rsid w:val="000014F8"/>
    <w:rsid w:val="00001FC1"/>
    <w:rsid w:val="00002A5E"/>
    <w:rsid w:val="00002AC0"/>
    <w:rsid w:val="000033CA"/>
    <w:rsid w:val="00004DDC"/>
    <w:rsid w:val="00005DAF"/>
    <w:rsid w:val="00005E5B"/>
    <w:rsid w:val="0000639C"/>
    <w:rsid w:val="000067FA"/>
    <w:rsid w:val="000069DF"/>
    <w:rsid w:val="00007A30"/>
    <w:rsid w:val="00007FE3"/>
    <w:rsid w:val="000110CC"/>
    <w:rsid w:val="0001137D"/>
    <w:rsid w:val="00011988"/>
    <w:rsid w:val="0001281D"/>
    <w:rsid w:val="0001290B"/>
    <w:rsid w:val="00012987"/>
    <w:rsid w:val="0001386E"/>
    <w:rsid w:val="0001408F"/>
    <w:rsid w:val="00014A44"/>
    <w:rsid w:val="00015E7F"/>
    <w:rsid w:val="000176E8"/>
    <w:rsid w:val="00017AA8"/>
    <w:rsid w:val="00020611"/>
    <w:rsid w:val="00020783"/>
    <w:rsid w:val="00020818"/>
    <w:rsid w:val="000209FA"/>
    <w:rsid w:val="00020BA1"/>
    <w:rsid w:val="0002117B"/>
    <w:rsid w:val="000213ED"/>
    <w:rsid w:val="00022304"/>
    <w:rsid w:val="00022508"/>
    <w:rsid w:val="0002302C"/>
    <w:rsid w:val="0002409B"/>
    <w:rsid w:val="0002484C"/>
    <w:rsid w:val="00024AE7"/>
    <w:rsid w:val="00024B2F"/>
    <w:rsid w:val="00026CBD"/>
    <w:rsid w:val="00026E28"/>
    <w:rsid w:val="00027C05"/>
    <w:rsid w:val="000304B0"/>
    <w:rsid w:val="0003185C"/>
    <w:rsid w:val="000318CA"/>
    <w:rsid w:val="000318DD"/>
    <w:rsid w:val="0003263D"/>
    <w:rsid w:val="0003289F"/>
    <w:rsid w:val="00033742"/>
    <w:rsid w:val="00033AF4"/>
    <w:rsid w:val="00035A45"/>
    <w:rsid w:val="00035D39"/>
    <w:rsid w:val="00037CB6"/>
    <w:rsid w:val="0004097E"/>
    <w:rsid w:val="00040A60"/>
    <w:rsid w:val="00042FCF"/>
    <w:rsid w:val="000448F8"/>
    <w:rsid w:val="000459DD"/>
    <w:rsid w:val="000468F4"/>
    <w:rsid w:val="00051303"/>
    <w:rsid w:val="00052A65"/>
    <w:rsid w:val="00053DF7"/>
    <w:rsid w:val="0005401E"/>
    <w:rsid w:val="0005414E"/>
    <w:rsid w:val="00056F7F"/>
    <w:rsid w:val="000571E2"/>
    <w:rsid w:val="00060D0E"/>
    <w:rsid w:val="00062872"/>
    <w:rsid w:val="00062BCF"/>
    <w:rsid w:val="00063AC1"/>
    <w:rsid w:val="000645CC"/>
    <w:rsid w:val="000661C4"/>
    <w:rsid w:val="0006691F"/>
    <w:rsid w:val="00066C20"/>
    <w:rsid w:val="00066D70"/>
    <w:rsid w:val="0007040F"/>
    <w:rsid w:val="000715BF"/>
    <w:rsid w:val="000717BE"/>
    <w:rsid w:val="00071ADC"/>
    <w:rsid w:val="0007280F"/>
    <w:rsid w:val="00072D38"/>
    <w:rsid w:val="00072DE8"/>
    <w:rsid w:val="000734B6"/>
    <w:rsid w:val="00073667"/>
    <w:rsid w:val="00074357"/>
    <w:rsid w:val="00074D97"/>
    <w:rsid w:val="00074DC0"/>
    <w:rsid w:val="0007595C"/>
    <w:rsid w:val="000763EA"/>
    <w:rsid w:val="00076448"/>
    <w:rsid w:val="000776CE"/>
    <w:rsid w:val="000812AE"/>
    <w:rsid w:val="000816F5"/>
    <w:rsid w:val="0008330B"/>
    <w:rsid w:val="00083E30"/>
    <w:rsid w:val="0008441D"/>
    <w:rsid w:val="000857AE"/>
    <w:rsid w:val="00087483"/>
    <w:rsid w:val="00090D6B"/>
    <w:rsid w:val="000910A7"/>
    <w:rsid w:val="00091A4F"/>
    <w:rsid w:val="00092145"/>
    <w:rsid w:val="00092C56"/>
    <w:rsid w:val="00094E2D"/>
    <w:rsid w:val="000966AF"/>
    <w:rsid w:val="00096F76"/>
    <w:rsid w:val="00097716"/>
    <w:rsid w:val="00097EBA"/>
    <w:rsid w:val="000A0372"/>
    <w:rsid w:val="000A0BB0"/>
    <w:rsid w:val="000A0C5F"/>
    <w:rsid w:val="000A0D22"/>
    <w:rsid w:val="000A1031"/>
    <w:rsid w:val="000A1F0E"/>
    <w:rsid w:val="000A462F"/>
    <w:rsid w:val="000A4FF1"/>
    <w:rsid w:val="000A5E95"/>
    <w:rsid w:val="000A60B8"/>
    <w:rsid w:val="000A65E5"/>
    <w:rsid w:val="000A72F8"/>
    <w:rsid w:val="000A736E"/>
    <w:rsid w:val="000B12A9"/>
    <w:rsid w:val="000B1C66"/>
    <w:rsid w:val="000B20BF"/>
    <w:rsid w:val="000B29B2"/>
    <w:rsid w:val="000B4297"/>
    <w:rsid w:val="000B4955"/>
    <w:rsid w:val="000B5C9F"/>
    <w:rsid w:val="000B7957"/>
    <w:rsid w:val="000B7E75"/>
    <w:rsid w:val="000C0324"/>
    <w:rsid w:val="000C03A7"/>
    <w:rsid w:val="000C16BA"/>
    <w:rsid w:val="000C1D0A"/>
    <w:rsid w:val="000C213C"/>
    <w:rsid w:val="000C22E5"/>
    <w:rsid w:val="000C2484"/>
    <w:rsid w:val="000C2856"/>
    <w:rsid w:val="000C2D1C"/>
    <w:rsid w:val="000C2DDB"/>
    <w:rsid w:val="000C2E05"/>
    <w:rsid w:val="000C4AB9"/>
    <w:rsid w:val="000C5A20"/>
    <w:rsid w:val="000C68BF"/>
    <w:rsid w:val="000C6BD6"/>
    <w:rsid w:val="000C722C"/>
    <w:rsid w:val="000C7B95"/>
    <w:rsid w:val="000C7C2B"/>
    <w:rsid w:val="000D255A"/>
    <w:rsid w:val="000D3719"/>
    <w:rsid w:val="000D4605"/>
    <w:rsid w:val="000D576A"/>
    <w:rsid w:val="000D709D"/>
    <w:rsid w:val="000E031B"/>
    <w:rsid w:val="000E0D95"/>
    <w:rsid w:val="000E0FCC"/>
    <w:rsid w:val="000E4C53"/>
    <w:rsid w:val="000E56E3"/>
    <w:rsid w:val="000E5A20"/>
    <w:rsid w:val="000E6052"/>
    <w:rsid w:val="000E7FFE"/>
    <w:rsid w:val="000F0203"/>
    <w:rsid w:val="000F04A3"/>
    <w:rsid w:val="000F0617"/>
    <w:rsid w:val="000F232D"/>
    <w:rsid w:val="000F3348"/>
    <w:rsid w:val="000F3500"/>
    <w:rsid w:val="000F3E1D"/>
    <w:rsid w:val="000F3E7D"/>
    <w:rsid w:val="000F52E6"/>
    <w:rsid w:val="000F5F59"/>
    <w:rsid w:val="000F6535"/>
    <w:rsid w:val="000F6717"/>
    <w:rsid w:val="000F6723"/>
    <w:rsid w:val="001000C0"/>
    <w:rsid w:val="00100B77"/>
    <w:rsid w:val="00100EBA"/>
    <w:rsid w:val="001012BD"/>
    <w:rsid w:val="0010318E"/>
    <w:rsid w:val="001040CE"/>
    <w:rsid w:val="0010453E"/>
    <w:rsid w:val="00104FBA"/>
    <w:rsid w:val="00105257"/>
    <w:rsid w:val="0010577C"/>
    <w:rsid w:val="00105A63"/>
    <w:rsid w:val="00105FBC"/>
    <w:rsid w:val="00106F24"/>
    <w:rsid w:val="0011018F"/>
    <w:rsid w:val="001101BC"/>
    <w:rsid w:val="00110F67"/>
    <w:rsid w:val="0011130E"/>
    <w:rsid w:val="00113459"/>
    <w:rsid w:val="00113CF2"/>
    <w:rsid w:val="0011651F"/>
    <w:rsid w:val="00116D01"/>
    <w:rsid w:val="001170C3"/>
    <w:rsid w:val="001173D2"/>
    <w:rsid w:val="0012030B"/>
    <w:rsid w:val="00120681"/>
    <w:rsid w:val="00121C9D"/>
    <w:rsid w:val="001223EC"/>
    <w:rsid w:val="00122891"/>
    <w:rsid w:val="001230B9"/>
    <w:rsid w:val="00123FAD"/>
    <w:rsid w:val="001245F5"/>
    <w:rsid w:val="00124635"/>
    <w:rsid w:val="0012545B"/>
    <w:rsid w:val="001256D9"/>
    <w:rsid w:val="00125FEB"/>
    <w:rsid w:val="0012683D"/>
    <w:rsid w:val="0013073D"/>
    <w:rsid w:val="00130DFB"/>
    <w:rsid w:val="001313AB"/>
    <w:rsid w:val="00131436"/>
    <w:rsid w:val="00131682"/>
    <w:rsid w:val="00131AF8"/>
    <w:rsid w:val="00131F94"/>
    <w:rsid w:val="00132110"/>
    <w:rsid w:val="001321F1"/>
    <w:rsid w:val="00133ADF"/>
    <w:rsid w:val="00133CC3"/>
    <w:rsid w:val="00133FC1"/>
    <w:rsid w:val="001345B2"/>
    <w:rsid w:val="00134C60"/>
    <w:rsid w:val="00135690"/>
    <w:rsid w:val="001360AB"/>
    <w:rsid w:val="001368D7"/>
    <w:rsid w:val="00136BDD"/>
    <w:rsid w:val="00136D23"/>
    <w:rsid w:val="00136F05"/>
    <w:rsid w:val="0013718C"/>
    <w:rsid w:val="0013771E"/>
    <w:rsid w:val="00141017"/>
    <w:rsid w:val="001430F8"/>
    <w:rsid w:val="00143C0A"/>
    <w:rsid w:val="00144867"/>
    <w:rsid w:val="00144F3B"/>
    <w:rsid w:val="00145725"/>
    <w:rsid w:val="001457B9"/>
    <w:rsid w:val="0014580D"/>
    <w:rsid w:val="00146117"/>
    <w:rsid w:val="00146660"/>
    <w:rsid w:val="00147DA6"/>
    <w:rsid w:val="001500FF"/>
    <w:rsid w:val="0015454C"/>
    <w:rsid w:val="001548AC"/>
    <w:rsid w:val="00155429"/>
    <w:rsid w:val="00155D5B"/>
    <w:rsid w:val="00156231"/>
    <w:rsid w:val="0015696A"/>
    <w:rsid w:val="00156E2F"/>
    <w:rsid w:val="00157D99"/>
    <w:rsid w:val="00161998"/>
    <w:rsid w:val="00161A2F"/>
    <w:rsid w:val="0016322B"/>
    <w:rsid w:val="0016383C"/>
    <w:rsid w:val="001657DC"/>
    <w:rsid w:val="00166299"/>
    <w:rsid w:val="00166D44"/>
    <w:rsid w:val="00167C57"/>
    <w:rsid w:val="0017017C"/>
    <w:rsid w:val="00171A06"/>
    <w:rsid w:val="0017225B"/>
    <w:rsid w:val="00173352"/>
    <w:rsid w:val="0017368C"/>
    <w:rsid w:val="00175AE9"/>
    <w:rsid w:val="00176CBE"/>
    <w:rsid w:val="00176DF8"/>
    <w:rsid w:val="00177F16"/>
    <w:rsid w:val="00177FF1"/>
    <w:rsid w:val="0018020B"/>
    <w:rsid w:val="001802DD"/>
    <w:rsid w:val="00181D58"/>
    <w:rsid w:val="00181E75"/>
    <w:rsid w:val="00182BAE"/>
    <w:rsid w:val="001830E8"/>
    <w:rsid w:val="00183DAF"/>
    <w:rsid w:val="00183EB0"/>
    <w:rsid w:val="001841D4"/>
    <w:rsid w:val="001842F4"/>
    <w:rsid w:val="00184673"/>
    <w:rsid w:val="001854FD"/>
    <w:rsid w:val="001863E6"/>
    <w:rsid w:val="001866C8"/>
    <w:rsid w:val="00187383"/>
    <w:rsid w:val="0018756A"/>
    <w:rsid w:val="00190E21"/>
    <w:rsid w:val="001918B7"/>
    <w:rsid w:val="001928C1"/>
    <w:rsid w:val="00193B11"/>
    <w:rsid w:val="00193FB5"/>
    <w:rsid w:val="001962E6"/>
    <w:rsid w:val="00196880"/>
    <w:rsid w:val="001A02E0"/>
    <w:rsid w:val="001A0EEA"/>
    <w:rsid w:val="001A1466"/>
    <w:rsid w:val="001A1780"/>
    <w:rsid w:val="001A3C4D"/>
    <w:rsid w:val="001A44D1"/>
    <w:rsid w:val="001A544C"/>
    <w:rsid w:val="001A558B"/>
    <w:rsid w:val="001A59F0"/>
    <w:rsid w:val="001A77D3"/>
    <w:rsid w:val="001A78A7"/>
    <w:rsid w:val="001A7AAC"/>
    <w:rsid w:val="001A7AB1"/>
    <w:rsid w:val="001B0587"/>
    <w:rsid w:val="001B2EA8"/>
    <w:rsid w:val="001B323F"/>
    <w:rsid w:val="001B3C1C"/>
    <w:rsid w:val="001B485F"/>
    <w:rsid w:val="001B4B79"/>
    <w:rsid w:val="001B4D25"/>
    <w:rsid w:val="001B52D8"/>
    <w:rsid w:val="001B62DA"/>
    <w:rsid w:val="001B69D5"/>
    <w:rsid w:val="001B7109"/>
    <w:rsid w:val="001B7338"/>
    <w:rsid w:val="001B7509"/>
    <w:rsid w:val="001B7657"/>
    <w:rsid w:val="001B7666"/>
    <w:rsid w:val="001C1D96"/>
    <w:rsid w:val="001C210F"/>
    <w:rsid w:val="001C2D04"/>
    <w:rsid w:val="001C3804"/>
    <w:rsid w:val="001C4A95"/>
    <w:rsid w:val="001C4CDC"/>
    <w:rsid w:val="001C609B"/>
    <w:rsid w:val="001C63F8"/>
    <w:rsid w:val="001D0473"/>
    <w:rsid w:val="001D0D12"/>
    <w:rsid w:val="001D1ADF"/>
    <w:rsid w:val="001D1C5A"/>
    <w:rsid w:val="001D2BE8"/>
    <w:rsid w:val="001D3018"/>
    <w:rsid w:val="001D351E"/>
    <w:rsid w:val="001D3B47"/>
    <w:rsid w:val="001D514B"/>
    <w:rsid w:val="001D523C"/>
    <w:rsid w:val="001D54F2"/>
    <w:rsid w:val="001D59DC"/>
    <w:rsid w:val="001D5C65"/>
    <w:rsid w:val="001D6212"/>
    <w:rsid w:val="001E13B3"/>
    <w:rsid w:val="001E1EA0"/>
    <w:rsid w:val="001E378F"/>
    <w:rsid w:val="001E3BC9"/>
    <w:rsid w:val="001E42A1"/>
    <w:rsid w:val="001E49D6"/>
    <w:rsid w:val="001E5A92"/>
    <w:rsid w:val="001E69E2"/>
    <w:rsid w:val="001F0ADB"/>
    <w:rsid w:val="001F0B69"/>
    <w:rsid w:val="001F13E1"/>
    <w:rsid w:val="001F2926"/>
    <w:rsid w:val="001F2F1C"/>
    <w:rsid w:val="001F300D"/>
    <w:rsid w:val="001F3B05"/>
    <w:rsid w:val="001F4B65"/>
    <w:rsid w:val="001F5D00"/>
    <w:rsid w:val="001F62EA"/>
    <w:rsid w:val="001F77C2"/>
    <w:rsid w:val="00200401"/>
    <w:rsid w:val="002014DC"/>
    <w:rsid w:val="00201680"/>
    <w:rsid w:val="00202978"/>
    <w:rsid w:val="00202DAB"/>
    <w:rsid w:val="00202E30"/>
    <w:rsid w:val="00203BCE"/>
    <w:rsid w:val="00204498"/>
    <w:rsid w:val="00205CD6"/>
    <w:rsid w:val="00206015"/>
    <w:rsid w:val="00207FEA"/>
    <w:rsid w:val="00211372"/>
    <w:rsid w:val="002136EC"/>
    <w:rsid w:val="002138FD"/>
    <w:rsid w:val="0021497C"/>
    <w:rsid w:val="00215015"/>
    <w:rsid w:val="00215201"/>
    <w:rsid w:val="00217A36"/>
    <w:rsid w:val="00217B6C"/>
    <w:rsid w:val="0022047E"/>
    <w:rsid w:val="00220ACA"/>
    <w:rsid w:val="002222F1"/>
    <w:rsid w:val="002229A8"/>
    <w:rsid w:val="00222DE1"/>
    <w:rsid w:val="002235BF"/>
    <w:rsid w:val="0022388D"/>
    <w:rsid w:val="00224FFC"/>
    <w:rsid w:val="0022513D"/>
    <w:rsid w:val="0022577E"/>
    <w:rsid w:val="00225865"/>
    <w:rsid w:val="0022592F"/>
    <w:rsid w:val="00225A23"/>
    <w:rsid w:val="0022627D"/>
    <w:rsid w:val="002262A5"/>
    <w:rsid w:val="00226472"/>
    <w:rsid w:val="0022665B"/>
    <w:rsid w:val="002268D4"/>
    <w:rsid w:val="0022721A"/>
    <w:rsid w:val="00230DFE"/>
    <w:rsid w:val="0023145D"/>
    <w:rsid w:val="00232938"/>
    <w:rsid w:val="0023294F"/>
    <w:rsid w:val="00233206"/>
    <w:rsid w:val="00233E90"/>
    <w:rsid w:val="00234955"/>
    <w:rsid w:val="002351D5"/>
    <w:rsid w:val="00235462"/>
    <w:rsid w:val="002409D1"/>
    <w:rsid w:val="002409E2"/>
    <w:rsid w:val="002416E0"/>
    <w:rsid w:val="00241853"/>
    <w:rsid w:val="0024207B"/>
    <w:rsid w:val="00243547"/>
    <w:rsid w:val="00243B14"/>
    <w:rsid w:val="00244F44"/>
    <w:rsid w:val="00245014"/>
    <w:rsid w:val="00245492"/>
    <w:rsid w:val="00245B30"/>
    <w:rsid w:val="00246795"/>
    <w:rsid w:val="00246B5C"/>
    <w:rsid w:val="00246F74"/>
    <w:rsid w:val="00247CB0"/>
    <w:rsid w:val="00250446"/>
    <w:rsid w:val="00250877"/>
    <w:rsid w:val="00251900"/>
    <w:rsid w:val="00252E4F"/>
    <w:rsid w:val="00253ACE"/>
    <w:rsid w:val="002555EF"/>
    <w:rsid w:val="00255F6A"/>
    <w:rsid w:val="00257039"/>
    <w:rsid w:val="0025775F"/>
    <w:rsid w:val="00257B30"/>
    <w:rsid w:val="00257F38"/>
    <w:rsid w:val="002600C6"/>
    <w:rsid w:val="002601C4"/>
    <w:rsid w:val="002608F4"/>
    <w:rsid w:val="00260EF5"/>
    <w:rsid w:val="0026119D"/>
    <w:rsid w:val="002629B9"/>
    <w:rsid w:val="002630FA"/>
    <w:rsid w:val="002634FE"/>
    <w:rsid w:val="00264676"/>
    <w:rsid w:val="002649FC"/>
    <w:rsid w:val="00264A35"/>
    <w:rsid w:val="00265B58"/>
    <w:rsid w:val="00267FB2"/>
    <w:rsid w:val="0027062E"/>
    <w:rsid w:val="002723EE"/>
    <w:rsid w:val="002728EA"/>
    <w:rsid w:val="00273E03"/>
    <w:rsid w:val="00274391"/>
    <w:rsid w:val="00274416"/>
    <w:rsid w:val="00277524"/>
    <w:rsid w:val="00277EF6"/>
    <w:rsid w:val="00280436"/>
    <w:rsid w:val="00280B5B"/>
    <w:rsid w:val="00281874"/>
    <w:rsid w:val="002826D7"/>
    <w:rsid w:val="002847EB"/>
    <w:rsid w:val="002848C1"/>
    <w:rsid w:val="00284B59"/>
    <w:rsid w:val="0028697F"/>
    <w:rsid w:val="00286F62"/>
    <w:rsid w:val="00287228"/>
    <w:rsid w:val="002876FE"/>
    <w:rsid w:val="00287C83"/>
    <w:rsid w:val="00290AEE"/>
    <w:rsid w:val="00291584"/>
    <w:rsid w:val="00292429"/>
    <w:rsid w:val="00292E54"/>
    <w:rsid w:val="0029300B"/>
    <w:rsid w:val="002933F8"/>
    <w:rsid w:val="0029361F"/>
    <w:rsid w:val="00296078"/>
    <w:rsid w:val="00297D77"/>
    <w:rsid w:val="002A0829"/>
    <w:rsid w:val="002A08BF"/>
    <w:rsid w:val="002A2186"/>
    <w:rsid w:val="002A2B25"/>
    <w:rsid w:val="002A4E3E"/>
    <w:rsid w:val="002A5258"/>
    <w:rsid w:val="002A553F"/>
    <w:rsid w:val="002A6FA7"/>
    <w:rsid w:val="002A7D10"/>
    <w:rsid w:val="002A7DA6"/>
    <w:rsid w:val="002B0011"/>
    <w:rsid w:val="002B1E1B"/>
    <w:rsid w:val="002B407C"/>
    <w:rsid w:val="002B43BE"/>
    <w:rsid w:val="002B4FD0"/>
    <w:rsid w:val="002B52C7"/>
    <w:rsid w:val="002B55ED"/>
    <w:rsid w:val="002B5AEB"/>
    <w:rsid w:val="002B5C29"/>
    <w:rsid w:val="002B6278"/>
    <w:rsid w:val="002B6FD7"/>
    <w:rsid w:val="002B744B"/>
    <w:rsid w:val="002C0163"/>
    <w:rsid w:val="002C033A"/>
    <w:rsid w:val="002C1A44"/>
    <w:rsid w:val="002C1AF6"/>
    <w:rsid w:val="002C1DE8"/>
    <w:rsid w:val="002C1FCC"/>
    <w:rsid w:val="002C2B42"/>
    <w:rsid w:val="002C2D54"/>
    <w:rsid w:val="002C3316"/>
    <w:rsid w:val="002C3672"/>
    <w:rsid w:val="002C46CA"/>
    <w:rsid w:val="002C4729"/>
    <w:rsid w:val="002C519F"/>
    <w:rsid w:val="002C538F"/>
    <w:rsid w:val="002C671C"/>
    <w:rsid w:val="002D0A12"/>
    <w:rsid w:val="002D268A"/>
    <w:rsid w:val="002D26C5"/>
    <w:rsid w:val="002D2841"/>
    <w:rsid w:val="002D28DA"/>
    <w:rsid w:val="002D3A27"/>
    <w:rsid w:val="002D3C46"/>
    <w:rsid w:val="002D4966"/>
    <w:rsid w:val="002D4E85"/>
    <w:rsid w:val="002D682F"/>
    <w:rsid w:val="002D6E55"/>
    <w:rsid w:val="002D7AC9"/>
    <w:rsid w:val="002E05A6"/>
    <w:rsid w:val="002E0B4F"/>
    <w:rsid w:val="002E15A1"/>
    <w:rsid w:val="002E343D"/>
    <w:rsid w:val="002E5436"/>
    <w:rsid w:val="002E5B1A"/>
    <w:rsid w:val="002E6400"/>
    <w:rsid w:val="002E6541"/>
    <w:rsid w:val="002E6A59"/>
    <w:rsid w:val="002E76E8"/>
    <w:rsid w:val="002F1352"/>
    <w:rsid w:val="002F13FD"/>
    <w:rsid w:val="002F1C48"/>
    <w:rsid w:val="002F1F7F"/>
    <w:rsid w:val="002F3129"/>
    <w:rsid w:val="002F337C"/>
    <w:rsid w:val="002F42F4"/>
    <w:rsid w:val="002F6811"/>
    <w:rsid w:val="002F7AA1"/>
    <w:rsid w:val="0030038A"/>
    <w:rsid w:val="00300EB3"/>
    <w:rsid w:val="0030185A"/>
    <w:rsid w:val="003021EF"/>
    <w:rsid w:val="0030285B"/>
    <w:rsid w:val="00303F1A"/>
    <w:rsid w:val="0030439A"/>
    <w:rsid w:val="003047E0"/>
    <w:rsid w:val="0030606A"/>
    <w:rsid w:val="00306AE0"/>
    <w:rsid w:val="00307129"/>
    <w:rsid w:val="00310D8C"/>
    <w:rsid w:val="003137EC"/>
    <w:rsid w:val="00315091"/>
    <w:rsid w:val="00315C76"/>
    <w:rsid w:val="00315DFF"/>
    <w:rsid w:val="00317C06"/>
    <w:rsid w:val="00317E1A"/>
    <w:rsid w:val="0032065B"/>
    <w:rsid w:val="00320DE3"/>
    <w:rsid w:val="003216E4"/>
    <w:rsid w:val="00322361"/>
    <w:rsid w:val="00323541"/>
    <w:rsid w:val="00323EAA"/>
    <w:rsid w:val="00324061"/>
    <w:rsid w:val="003263C4"/>
    <w:rsid w:val="00330C5C"/>
    <w:rsid w:val="00331523"/>
    <w:rsid w:val="003316AA"/>
    <w:rsid w:val="00333D28"/>
    <w:rsid w:val="003341DC"/>
    <w:rsid w:val="0033483F"/>
    <w:rsid w:val="00335380"/>
    <w:rsid w:val="00336059"/>
    <w:rsid w:val="0033745A"/>
    <w:rsid w:val="003402CF"/>
    <w:rsid w:val="00341494"/>
    <w:rsid w:val="00343371"/>
    <w:rsid w:val="0034369B"/>
    <w:rsid w:val="003438D3"/>
    <w:rsid w:val="00343C78"/>
    <w:rsid w:val="00344DAA"/>
    <w:rsid w:val="00346A23"/>
    <w:rsid w:val="00347685"/>
    <w:rsid w:val="00347DB3"/>
    <w:rsid w:val="00352261"/>
    <w:rsid w:val="00353191"/>
    <w:rsid w:val="00353EC0"/>
    <w:rsid w:val="003548F8"/>
    <w:rsid w:val="003550DB"/>
    <w:rsid w:val="0035582E"/>
    <w:rsid w:val="0035590F"/>
    <w:rsid w:val="00355A15"/>
    <w:rsid w:val="0035728E"/>
    <w:rsid w:val="00357E6F"/>
    <w:rsid w:val="00360E30"/>
    <w:rsid w:val="003627B1"/>
    <w:rsid w:val="00362A29"/>
    <w:rsid w:val="00362C0A"/>
    <w:rsid w:val="00362E9E"/>
    <w:rsid w:val="003631FE"/>
    <w:rsid w:val="00363D74"/>
    <w:rsid w:val="00364FCA"/>
    <w:rsid w:val="0036500E"/>
    <w:rsid w:val="0036555C"/>
    <w:rsid w:val="0036574F"/>
    <w:rsid w:val="003660F6"/>
    <w:rsid w:val="00366100"/>
    <w:rsid w:val="00366F85"/>
    <w:rsid w:val="003673EC"/>
    <w:rsid w:val="00367E01"/>
    <w:rsid w:val="0037077B"/>
    <w:rsid w:val="00370AE0"/>
    <w:rsid w:val="003722DB"/>
    <w:rsid w:val="003729F0"/>
    <w:rsid w:val="00373767"/>
    <w:rsid w:val="0037414C"/>
    <w:rsid w:val="003747E1"/>
    <w:rsid w:val="0037496E"/>
    <w:rsid w:val="0037526E"/>
    <w:rsid w:val="00375558"/>
    <w:rsid w:val="003758D1"/>
    <w:rsid w:val="00375AE9"/>
    <w:rsid w:val="00376922"/>
    <w:rsid w:val="00376FF7"/>
    <w:rsid w:val="003770F8"/>
    <w:rsid w:val="0038049D"/>
    <w:rsid w:val="0038221B"/>
    <w:rsid w:val="003833FD"/>
    <w:rsid w:val="00386338"/>
    <w:rsid w:val="00386706"/>
    <w:rsid w:val="003874EB"/>
    <w:rsid w:val="003908EB"/>
    <w:rsid w:val="00390B42"/>
    <w:rsid w:val="00390BC3"/>
    <w:rsid w:val="0039193D"/>
    <w:rsid w:val="00395756"/>
    <w:rsid w:val="00396228"/>
    <w:rsid w:val="00396B62"/>
    <w:rsid w:val="00396D85"/>
    <w:rsid w:val="003A0CDA"/>
    <w:rsid w:val="003A0DE5"/>
    <w:rsid w:val="003A199A"/>
    <w:rsid w:val="003A21C8"/>
    <w:rsid w:val="003A2287"/>
    <w:rsid w:val="003A27CF"/>
    <w:rsid w:val="003A2C48"/>
    <w:rsid w:val="003A40A0"/>
    <w:rsid w:val="003A48E5"/>
    <w:rsid w:val="003A4DD7"/>
    <w:rsid w:val="003A7E8D"/>
    <w:rsid w:val="003B0599"/>
    <w:rsid w:val="003B4727"/>
    <w:rsid w:val="003B4B25"/>
    <w:rsid w:val="003B697F"/>
    <w:rsid w:val="003B73CC"/>
    <w:rsid w:val="003B74BC"/>
    <w:rsid w:val="003B780F"/>
    <w:rsid w:val="003C0340"/>
    <w:rsid w:val="003C165B"/>
    <w:rsid w:val="003C1CB5"/>
    <w:rsid w:val="003C371E"/>
    <w:rsid w:val="003C37C1"/>
    <w:rsid w:val="003C4135"/>
    <w:rsid w:val="003C4A81"/>
    <w:rsid w:val="003C54C9"/>
    <w:rsid w:val="003C59BE"/>
    <w:rsid w:val="003C638B"/>
    <w:rsid w:val="003C659B"/>
    <w:rsid w:val="003C7811"/>
    <w:rsid w:val="003C794E"/>
    <w:rsid w:val="003D0625"/>
    <w:rsid w:val="003D0626"/>
    <w:rsid w:val="003D0906"/>
    <w:rsid w:val="003D0A36"/>
    <w:rsid w:val="003D1C51"/>
    <w:rsid w:val="003D1E1C"/>
    <w:rsid w:val="003D2039"/>
    <w:rsid w:val="003D2902"/>
    <w:rsid w:val="003D2F60"/>
    <w:rsid w:val="003D3AF9"/>
    <w:rsid w:val="003D3C01"/>
    <w:rsid w:val="003D4366"/>
    <w:rsid w:val="003D4E3F"/>
    <w:rsid w:val="003D4F07"/>
    <w:rsid w:val="003D52B7"/>
    <w:rsid w:val="003D54A6"/>
    <w:rsid w:val="003D6D0B"/>
    <w:rsid w:val="003D7BA1"/>
    <w:rsid w:val="003D7D79"/>
    <w:rsid w:val="003D7F02"/>
    <w:rsid w:val="003E0109"/>
    <w:rsid w:val="003E0375"/>
    <w:rsid w:val="003E09E8"/>
    <w:rsid w:val="003E3E8C"/>
    <w:rsid w:val="003E4FA3"/>
    <w:rsid w:val="003E55B5"/>
    <w:rsid w:val="003E6AA3"/>
    <w:rsid w:val="003E6F28"/>
    <w:rsid w:val="003E7509"/>
    <w:rsid w:val="003F06FF"/>
    <w:rsid w:val="003F0B20"/>
    <w:rsid w:val="003F173A"/>
    <w:rsid w:val="003F18E8"/>
    <w:rsid w:val="003F1A52"/>
    <w:rsid w:val="003F1AFC"/>
    <w:rsid w:val="003F1C5D"/>
    <w:rsid w:val="003F1D3A"/>
    <w:rsid w:val="003F2375"/>
    <w:rsid w:val="003F396B"/>
    <w:rsid w:val="003F5761"/>
    <w:rsid w:val="003F601B"/>
    <w:rsid w:val="003F626A"/>
    <w:rsid w:val="003F730A"/>
    <w:rsid w:val="003F76DD"/>
    <w:rsid w:val="003F7E43"/>
    <w:rsid w:val="00400F7C"/>
    <w:rsid w:val="004013FF"/>
    <w:rsid w:val="00401C86"/>
    <w:rsid w:val="00401D2E"/>
    <w:rsid w:val="00402F0D"/>
    <w:rsid w:val="00404F9C"/>
    <w:rsid w:val="0040508D"/>
    <w:rsid w:val="00405A77"/>
    <w:rsid w:val="004072CB"/>
    <w:rsid w:val="0041133F"/>
    <w:rsid w:val="004126C0"/>
    <w:rsid w:val="004128DA"/>
    <w:rsid w:val="00412BDE"/>
    <w:rsid w:val="004136AA"/>
    <w:rsid w:val="00413A43"/>
    <w:rsid w:val="004147A7"/>
    <w:rsid w:val="00415016"/>
    <w:rsid w:val="0041576D"/>
    <w:rsid w:val="00416045"/>
    <w:rsid w:val="00416A1C"/>
    <w:rsid w:val="00416BD9"/>
    <w:rsid w:val="004212D2"/>
    <w:rsid w:val="00422823"/>
    <w:rsid w:val="0042508B"/>
    <w:rsid w:val="0042602C"/>
    <w:rsid w:val="00426AB4"/>
    <w:rsid w:val="00427A64"/>
    <w:rsid w:val="00427E35"/>
    <w:rsid w:val="00430054"/>
    <w:rsid w:val="004300D8"/>
    <w:rsid w:val="0043067F"/>
    <w:rsid w:val="004324B4"/>
    <w:rsid w:val="00432BCC"/>
    <w:rsid w:val="00433761"/>
    <w:rsid w:val="00433CE1"/>
    <w:rsid w:val="00436815"/>
    <w:rsid w:val="004371B9"/>
    <w:rsid w:val="004376F2"/>
    <w:rsid w:val="00437A7C"/>
    <w:rsid w:val="00437B73"/>
    <w:rsid w:val="004401D5"/>
    <w:rsid w:val="00442EDE"/>
    <w:rsid w:val="0044485F"/>
    <w:rsid w:val="00446615"/>
    <w:rsid w:val="00447F11"/>
    <w:rsid w:val="004501F8"/>
    <w:rsid w:val="00450340"/>
    <w:rsid w:val="004516D6"/>
    <w:rsid w:val="00451BD9"/>
    <w:rsid w:val="0045279B"/>
    <w:rsid w:val="00453EE6"/>
    <w:rsid w:val="0045425C"/>
    <w:rsid w:val="00454930"/>
    <w:rsid w:val="00454BEA"/>
    <w:rsid w:val="00456D72"/>
    <w:rsid w:val="00460D33"/>
    <w:rsid w:val="00461688"/>
    <w:rsid w:val="00462192"/>
    <w:rsid w:val="00462365"/>
    <w:rsid w:val="00462AEE"/>
    <w:rsid w:val="00462E6A"/>
    <w:rsid w:val="00463CCE"/>
    <w:rsid w:val="00464303"/>
    <w:rsid w:val="00465233"/>
    <w:rsid w:val="00465D12"/>
    <w:rsid w:val="0046605F"/>
    <w:rsid w:val="00467120"/>
    <w:rsid w:val="00467142"/>
    <w:rsid w:val="00470A2A"/>
    <w:rsid w:val="0047164F"/>
    <w:rsid w:val="004722DA"/>
    <w:rsid w:val="00472C8B"/>
    <w:rsid w:val="00472D26"/>
    <w:rsid w:val="00474564"/>
    <w:rsid w:val="00475B0A"/>
    <w:rsid w:val="00476DD5"/>
    <w:rsid w:val="00476F39"/>
    <w:rsid w:val="004771C4"/>
    <w:rsid w:val="0047784C"/>
    <w:rsid w:val="00477C7D"/>
    <w:rsid w:val="00477C85"/>
    <w:rsid w:val="00480506"/>
    <w:rsid w:val="00480E50"/>
    <w:rsid w:val="0048160B"/>
    <w:rsid w:val="00483C44"/>
    <w:rsid w:val="00483F4C"/>
    <w:rsid w:val="004850DC"/>
    <w:rsid w:val="00485E52"/>
    <w:rsid w:val="0048602B"/>
    <w:rsid w:val="004900A1"/>
    <w:rsid w:val="0049029E"/>
    <w:rsid w:val="004909B0"/>
    <w:rsid w:val="004910D6"/>
    <w:rsid w:val="004919FF"/>
    <w:rsid w:val="00491DA6"/>
    <w:rsid w:val="00492178"/>
    <w:rsid w:val="00492BBB"/>
    <w:rsid w:val="00494415"/>
    <w:rsid w:val="00494984"/>
    <w:rsid w:val="00495B05"/>
    <w:rsid w:val="00495DE3"/>
    <w:rsid w:val="0049608A"/>
    <w:rsid w:val="0049625F"/>
    <w:rsid w:val="00497B36"/>
    <w:rsid w:val="00497D0E"/>
    <w:rsid w:val="004A2161"/>
    <w:rsid w:val="004A225E"/>
    <w:rsid w:val="004A2893"/>
    <w:rsid w:val="004A2AF1"/>
    <w:rsid w:val="004A2D0B"/>
    <w:rsid w:val="004A2E7B"/>
    <w:rsid w:val="004A31F5"/>
    <w:rsid w:val="004A4371"/>
    <w:rsid w:val="004A48ED"/>
    <w:rsid w:val="004A4BB5"/>
    <w:rsid w:val="004A6544"/>
    <w:rsid w:val="004A6793"/>
    <w:rsid w:val="004A7873"/>
    <w:rsid w:val="004A7C21"/>
    <w:rsid w:val="004B21F8"/>
    <w:rsid w:val="004B27A8"/>
    <w:rsid w:val="004B3CE8"/>
    <w:rsid w:val="004B4A84"/>
    <w:rsid w:val="004B4E34"/>
    <w:rsid w:val="004B63AF"/>
    <w:rsid w:val="004B6951"/>
    <w:rsid w:val="004B72D0"/>
    <w:rsid w:val="004B7B71"/>
    <w:rsid w:val="004C0636"/>
    <w:rsid w:val="004C1460"/>
    <w:rsid w:val="004C19E5"/>
    <w:rsid w:val="004C3785"/>
    <w:rsid w:val="004C50CD"/>
    <w:rsid w:val="004C52C8"/>
    <w:rsid w:val="004C5A51"/>
    <w:rsid w:val="004C5C6B"/>
    <w:rsid w:val="004C62BB"/>
    <w:rsid w:val="004C6306"/>
    <w:rsid w:val="004D0392"/>
    <w:rsid w:val="004D0A59"/>
    <w:rsid w:val="004D1EED"/>
    <w:rsid w:val="004D22DF"/>
    <w:rsid w:val="004D267E"/>
    <w:rsid w:val="004D285A"/>
    <w:rsid w:val="004D2D01"/>
    <w:rsid w:val="004D2E32"/>
    <w:rsid w:val="004D2EA6"/>
    <w:rsid w:val="004D34B9"/>
    <w:rsid w:val="004D4D24"/>
    <w:rsid w:val="004D4D43"/>
    <w:rsid w:val="004D4E92"/>
    <w:rsid w:val="004D5500"/>
    <w:rsid w:val="004D6813"/>
    <w:rsid w:val="004E181D"/>
    <w:rsid w:val="004E1F9F"/>
    <w:rsid w:val="004E445C"/>
    <w:rsid w:val="004E536E"/>
    <w:rsid w:val="004E5AEE"/>
    <w:rsid w:val="004E5C9E"/>
    <w:rsid w:val="004E6F8A"/>
    <w:rsid w:val="004E6FB0"/>
    <w:rsid w:val="004E70A8"/>
    <w:rsid w:val="004E78BC"/>
    <w:rsid w:val="004F093B"/>
    <w:rsid w:val="004F1152"/>
    <w:rsid w:val="004F2229"/>
    <w:rsid w:val="004F2D68"/>
    <w:rsid w:val="004F4E7F"/>
    <w:rsid w:val="004F6B43"/>
    <w:rsid w:val="004F6EE0"/>
    <w:rsid w:val="004F70FF"/>
    <w:rsid w:val="004F7C2C"/>
    <w:rsid w:val="004F7C34"/>
    <w:rsid w:val="0050030B"/>
    <w:rsid w:val="0050062B"/>
    <w:rsid w:val="005009A0"/>
    <w:rsid w:val="0050116C"/>
    <w:rsid w:val="00501C94"/>
    <w:rsid w:val="00502154"/>
    <w:rsid w:val="00502279"/>
    <w:rsid w:val="00502366"/>
    <w:rsid w:val="00502DB6"/>
    <w:rsid w:val="00504BD4"/>
    <w:rsid w:val="00504FD0"/>
    <w:rsid w:val="0050537E"/>
    <w:rsid w:val="00505473"/>
    <w:rsid w:val="005054EC"/>
    <w:rsid w:val="00507D75"/>
    <w:rsid w:val="005147FE"/>
    <w:rsid w:val="00515D51"/>
    <w:rsid w:val="00517904"/>
    <w:rsid w:val="0052086C"/>
    <w:rsid w:val="00521CF2"/>
    <w:rsid w:val="00522AAC"/>
    <w:rsid w:val="0052365A"/>
    <w:rsid w:val="00523E84"/>
    <w:rsid w:val="005246AB"/>
    <w:rsid w:val="0052487A"/>
    <w:rsid w:val="00524E54"/>
    <w:rsid w:val="005250AF"/>
    <w:rsid w:val="005254D6"/>
    <w:rsid w:val="005258F9"/>
    <w:rsid w:val="005262F2"/>
    <w:rsid w:val="00527040"/>
    <w:rsid w:val="005272DD"/>
    <w:rsid w:val="00531417"/>
    <w:rsid w:val="00531BDA"/>
    <w:rsid w:val="0053220D"/>
    <w:rsid w:val="005334EA"/>
    <w:rsid w:val="00533F76"/>
    <w:rsid w:val="0053596A"/>
    <w:rsid w:val="0053635D"/>
    <w:rsid w:val="005364E3"/>
    <w:rsid w:val="00536C7F"/>
    <w:rsid w:val="00537648"/>
    <w:rsid w:val="005408C8"/>
    <w:rsid w:val="00544F99"/>
    <w:rsid w:val="0054502A"/>
    <w:rsid w:val="005451B2"/>
    <w:rsid w:val="005477CB"/>
    <w:rsid w:val="0055006C"/>
    <w:rsid w:val="00551203"/>
    <w:rsid w:val="00551397"/>
    <w:rsid w:val="005513B1"/>
    <w:rsid w:val="00551E38"/>
    <w:rsid w:val="00552BDE"/>
    <w:rsid w:val="00552D58"/>
    <w:rsid w:val="00556861"/>
    <w:rsid w:val="00556926"/>
    <w:rsid w:val="005571B2"/>
    <w:rsid w:val="00561720"/>
    <w:rsid w:val="00561AE0"/>
    <w:rsid w:val="00561BB6"/>
    <w:rsid w:val="00562034"/>
    <w:rsid w:val="00563F76"/>
    <w:rsid w:val="00564CCA"/>
    <w:rsid w:val="0056660C"/>
    <w:rsid w:val="00567287"/>
    <w:rsid w:val="00570FFE"/>
    <w:rsid w:val="005710E3"/>
    <w:rsid w:val="0057269C"/>
    <w:rsid w:val="00575006"/>
    <w:rsid w:val="005750D7"/>
    <w:rsid w:val="005750F5"/>
    <w:rsid w:val="00575636"/>
    <w:rsid w:val="00575662"/>
    <w:rsid w:val="005759DD"/>
    <w:rsid w:val="00576C34"/>
    <w:rsid w:val="005808D3"/>
    <w:rsid w:val="005809EA"/>
    <w:rsid w:val="00580B4C"/>
    <w:rsid w:val="00581816"/>
    <w:rsid w:val="00581887"/>
    <w:rsid w:val="005821EF"/>
    <w:rsid w:val="0058297A"/>
    <w:rsid w:val="0058409F"/>
    <w:rsid w:val="00584E24"/>
    <w:rsid w:val="00586640"/>
    <w:rsid w:val="00586CC2"/>
    <w:rsid w:val="005901D6"/>
    <w:rsid w:val="00590619"/>
    <w:rsid w:val="00590FFC"/>
    <w:rsid w:val="005924FF"/>
    <w:rsid w:val="005926C5"/>
    <w:rsid w:val="00592CCB"/>
    <w:rsid w:val="00592EA4"/>
    <w:rsid w:val="00593CFF"/>
    <w:rsid w:val="0059543C"/>
    <w:rsid w:val="005976A8"/>
    <w:rsid w:val="00597B02"/>
    <w:rsid w:val="005A0395"/>
    <w:rsid w:val="005A137B"/>
    <w:rsid w:val="005A1F60"/>
    <w:rsid w:val="005A2A39"/>
    <w:rsid w:val="005A49EA"/>
    <w:rsid w:val="005A7B60"/>
    <w:rsid w:val="005B0E6A"/>
    <w:rsid w:val="005B228D"/>
    <w:rsid w:val="005B28B1"/>
    <w:rsid w:val="005B2BA5"/>
    <w:rsid w:val="005B2D60"/>
    <w:rsid w:val="005B466A"/>
    <w:rsid w:val="005B4A89"/>
    <w:rsid w:val="005B58F6"/>
    <w:rsid w:val="005B7AF0"/>
    <w:rsid w:val="005C0826"/>
    <w:rsid w:val="005C1AB1"/>
    <w:rsid w:val="005C2951"/>
    <w:rsid w:val="005C3B95"/>
    <w:rsid w:val="005C53EE"/>
    <w:rsid w:val="005C6291"/>
    <w:rsid w:val="005C6503"/>
    <w:rsid w:val="005C791F"/>
    <w:rsid w:val="005D1196"/>
    <w:rsid w:val="005D138F"/>
    <w:rsid w:val="005D19D5"/>
    <w:rsid w:val="005D2362"/>
    <w:rsid w:val="005D250F"/>
    <w:rsid w:val="005D2824"/>
    <w:rsid w:val="005D389B"/>
    <w:rsid w:val="005D57E6"/>
    <w:rsid w:val="005D5BF5"/>
    <w:rsid w:val="005D72A5"/>
    <w:rsid w:val="005E00DA"/>
    <w:rsid w:val="005E0920"/>
    <w:rsid w:val="005E0AA2"/>
    <w:rsid w:val="005E14A9"/>
    <w:rsid w:val="005E17B0"/>
    <w:rsid w:val="005E2029"/>
    <w:rsid w:val="005E29A1"/>
    <w:rsid w:val="005E3FB7"/>
    <w:rsid w:val="005E4205"/>
    <w:rsid w:val="005E4793"/>
    <w:rsid w:val="005E4B73"/>
    <w:rsid w:val="005E4F6C"/>
    <w:rsid w:val="005E5DD9"/>
    <w:rsid w:val="005E6C3F"/>
    <w:rsid w:val="005E77ED"/>
    <w:rsid w:val="005E7C19"/>
    <w:rsid w:val="005F03AB"/>
    <w:rsid w:val="005F11AF"/>
    <w:rsid w:val="005F162D"/>
    <w:rsid w:val="005F2A14"/>
    <w:rsid w:val="005F2F66"/>
    <w:rsid w:val="005F3039"/>
    <w:rsid w:val="005F3867"/>
    <w:rsid w:val="005F3A22"/>
    <w:rsid w:val="005F3E1B"/>
    <w:rsid w:val="005F4239"/>
    <w:rsid w:val="005F52F5"/>
    <w:rsid w:val="005F607D"/>
    <w:rsid w:val="005F6763"/>
    <w:rsid w:val="005F6E6D"/>
    <w:rsid w:val="005F79C0"/>
    <w:rsid w:val="00600D97"/>
    <w:rsid w:val="00600EA9"/>
    <w:rsid w:val="00602361"/>
    <w:rsid w:val="00602E60"/>
    <w:rsid w:val="00603039"/>
    <w:rsid w:val="006032A6"/>
    <w:rsid w:val="0060374B"/>
    <w:rsid w:val="00603B58"/>
    <w:rsid w:val="00604AB1"/>
    <w:rsid w:val="00604C54"/>
    <w:rsid w:val="00605194"/>
    <w:rsid w:val="006052C6"/>
    <w:rsid w:val="006054F0"/>
    <w:rsid w:val="006061D3"/>
    <w:rsid w:val="006072D7"/>
    <w:rsid w:val="00610600"/>
    <w:rsid w:val="0061104D"/>
    <w:rsid w:val="006121F2"/>
    <w:rsid w:val="0061256D"/>
    <w:rsid w:val="00613C61"/>
    <w:rsid w:val="00613DAE"/>
    <w:rsid w:val="00614399"/>
    <w:rsid w:val="00616622"/>
    <w:rsid w:val="00616BD2"/>
    <w:rsid w:val="00617027"/>
    <w:rsid w:val="00617122"/>
    <w:rsid w:val="00621597"/>
    <w:rsid w:val="006231D2"/>
    <w:rsid w:val="0062320C"/>
    <w:rsid w:val="006234DF"/>
    <w:rsid w:val="00627B4B"/>
    <w:rsid w:val="00627D1B"/>
    <w:rsid w:val="00627DBA"/>
    <w:rsid w:val="0063134B"/>
    <w:rsid w:val="00631AE2"/>
    <w:rsid w:val="006320E3"/>
    <w:rsid w:val="0063265D"/>
    <w:rsid w:val="00632838"/>
    <w:rsid w:val="00633C58"/>
    <w:rsid w:val="00635B31"/>
    <w:rsid w:val="00635DC7"/>
    <w:rsid w:val="00636209"/>
    <w:rsid w:val="00636E2D"/>
    <w:rsid w:val="006373DB"/>
    <w:rsid w:val="006415BF"/>
    <w:rsid w:val="00641ACD"/>
    <w:rsid w:val="006434BF"/>
    <w:rsid w:val="0064354C"/>
    <w:rsid w:val="0064398F"/>
    <w:rsid w:val="00644149"/>
    <w:rsid w:val="006455A0"/>
    <w:rsid w:val="00645854"/>
    <w:rsid w:val="00646026"/>
    <w:rsid w:val="0064629E"/>
    <w:rsid w:val="00646588"/>
    <w:rsid w:val="00646B4C"/>
    <w:rsid w:val="00646C52"/>
    <w:rsid w:val="006502CE"/>
    <w:rsid w:val="00650B3E"/>
    <w:rsid w:val="00651870"/>
    <w:rsid w:val="00653D40"/>
    <w:rsid w:val="00654173"/>
    <w:rsid w:val="006549BE"/>
    <w:rsid w:val="00655F5C"/>
    <w:rsid w:val="00656F25"/>
    <w:rsid w:val="00657DE2"/>
    <w:rsid w:val="006600A8"/>
    <w:rsid w:val="00660E0B"/>
    <w:rsid w:val="0066199B"/>
    <w:rsid w:val="00663C07"/>
    <w:rsid w:val="006641E1"/>
    <w:rsid w:val="006645BF"/>
    <w:rsid w:val="00666D32"/>
    <w:rsid w:val="006675B4"/>
    <w:rsid w:val="006679D9"/>
    <w:rsid w:val="0067168B"/>
    <w:rsid w:val="006716E5"/>
    <w:rsid w:val="00671798"/>
    <w:rsid w:val="00671C2E"/>
    <w:rsid w:val="006721F9"/>
    <w:rsid w:val="00674105"/>
    <w:rsid w:val="00674201"/>
    <w:rsid w:val="006754B9"/>
    <w:rsid w:val="006761E0"/>
    <w:rsid w:val="006772C0"/>
    <w:rsid w:val="006775A5"/>
    <w:rsid w:val="00680539"/>
    <w:rsid w:val="00680C72"/>
    <w:rsid w:val="00680D7B"/>
    <w:rsid w:val="00682677"/>
    <w:rsid w:val="00683257"/>
    <w:rsid w:val="00683380"/>
    <w:rsid w:val="006849F7"/>
    <w:rsid w:val="00684B6B"/>
    <w:rsid w:val="00684CF6"/>
    <w:rsid w:val="00684FF6"/>
    <w:rsid w:val="0068585D"/>
    <w:rsid w:val="00685C6C"/>
    <w:rsid w:val="00685E8D"/>
    <w:rsid w:val="0068654E"/>
    <w:rsid w:val="0068678A"/>
    <w:rsid w:val="0068684E"/>
    <w:rsid w:val="0069053C"/>
    <w:rsid w:val="0069232F"/>
    <w:rsid w:val="0069239F"/>
    <w:rsid w:val="00692B52"/>
    <w:rsid w:val="00693060"/>
    <w:rsid w:val="00693308"/>
    <w:rsid w:val="006940AD"/>
    <w:rsid w:val="0069520A"/>
    <w:rsid w:val="00695F19"/>
    <w:rsid w:val="006968E6"/>
    <w:rsid w:val="00696BC2"/>
    <w:rsid w:val="006A0E9A"/>
    <w:rsid w:val="006A385C"/>
    <w:rsid w:val="006A3DBC"/>
    <w:rsid w:val="006A3F51"/>
    <w:rsid w:val="006A4316"/>
    <w:rsid w:val="006A4943"/>
    <w:rsid w:val="006A5228"/>
    <w:rsid w:val="006A6480"/>
    <w:rsid w:val="006B093E"/>
    <w:rsid w:val="006B0D8D"/>
    <w:rsid w:val="006B1974"/>
    <w:rsid w:val="006B1B7B"/>
    <w:rsid w:val="006B1F15"/>
    <w:rsid w:val="006B32CD"/>
    <w:rsid w:val="006B3676"/>
    <w:rsid w:val="006B3BD3"/>
    <w:rsid w:val="006B4F77"/>
    <w:rsid w:val="006B556B"/>
    <w:rsid w:val="006B5A7E"/>
    <w:rsid w:val="006B62D2"/>
    <w:rsid w:val="006C0168"/>
    <w:rsid w:val="006C01A8"/>
    <w:rsid w:val="006C0828"/>
    <w:rsid w:val="006C1D46"/>
    <w:rsid w:val="006C2069"/>
    <w:rsid w:val="006C2DC2"/>
    <w:rsid w:val="006C3957"/>
    <w:rsid w:val="006C3971"/>
    <w:rsid w:val="006C3BF0"/>
    <w:rsid w:val="006C3FE6"/>
    <w:rsid w:val="006C4352"/>
    <w:rsid w:val="006C466F"/>
    <w:rsid w:val="006C4DFC"/>
    <w:rsid w:val="006C7377"/>
    <w:rsid w:val="006D0085"/>
    <w:rsid w:val="006D0B91"/>
    <w:rsid w:val="006D2321"/>
    <w:rsid w:val="006D2324"/>
    <w:rsid w:val="006D3910"/>
    <w:rsid w:val="006D3AF0"/>
    <w:rsid w:val="006D3C3F"/>
    <w:rsid w:val="006D50D6"/>
    <w:rsid w:val="006D5BAD"/>
    <w:rsid w:val="006D5C57"/>
    <w:rsid w:val="006D6196"/>
    <w:rsid w:val="006D64A7"/>
    <w:rsid w:val="006D726C"/>
    <w:rsid w:val="006D7362"/>
    <w:rsid w:val="006D776A"/>
    <w:rsid w:val="006D7EE2"/>
    <w:rsid w:val="006E0B1C"/>
    <w:rsid w:val="006E11B9"/>
    <w:rsid w:val="006E13AE"/>
    <w:rsid w:val="006E23BD"/>
    <w:rsid w:val="006E2564"/>
    <w:rsid w:val="006E283B"/>
    <w:rsid w:val="006E28A2"/>
    <w:rsid w:val="006E2F54"/>
    <w:rsid w:val="006E5148"/>
    <w:rsid w:val="006E5B51"/>
    <w:rsid w:val="006E5ECF"/>
    <w:rsid w:val="006E5FFB"/>
    <w:rsid w:val="006E6BC1"/>
    <w:rsid w:val="006F098A"/>
    <w:rsid w:val="006F0C06"/>
    <w:rsid w:val="006F0CD0"/>
    <w:rsid w:val="006F0D23"/>
    <w:rsid w:val="006F2235"/>
    <w:rsid w:val="006F26E5"/>
    <w:rsid w:val="006F299C"/>
    <w:rsid w:val="006F3056"/>
    <w:rsid w:val="006F3934"/>
    <w:rsid w:val="006F46DC"/>
    <w:rsid w:val="006F490F"/>
    <w:rsid w:val="006F4F0B"/>
    <w:rsid w:val="006F5CE9"/>
    <w:rsid w:val="006F6878"/>
    <w:rsid w:val="006F6F85"/>
    <w:rsid w:val="006F79BE"/>
    <w:rsid w:val="006F7E02"/>
    <w:rsid w:val="006F7FA5"/>
    <w:rsid w:val="007003CC"/>
    <w:rsid w:val="00702C1F"/>
    <w:rsid w:val="00703535"/>
    <w:rsid w:val="007040BA"/>
    <w:rsid w:val="00704A4D"/>
    <w:rsid w:val="00704EAD"/>
    <w:rsid w:val="00705156"/>
    <w:rsid w:val="00705A47"/>
    <w:rsid w:val="00706FCC"/>
    <w:rsid w:val="0070713C"/>
    <w:rsid w:val="00710F6F"/>
    <w:rsid w:val="0071106E"/>
    <w:rsid w:val="007110A9"/>
    <w:rsid w:val="00711189"/>
    <w:rsid w:val="00711E78"/>
    <w:rsid w:val="00712555"/>
    <w:rsid w:val="0071418C"/>
    <w:rsid w:val="007145F1"/>
    <w:rsid w:val="00714B2C"/>
    <w:rsid w:val="0071545A"/>
    <w:rsid w:val="00716048"/>
    <w:rsid w:val="0072075C"/>
    <w:rsid w:val="0072081F"/>
    <w:rsid w:val="00720BC2"/>
    <w:rsid w:val="00720CE7"/>
    <w:rsid w:val="007212E8"/>
    <w:rsid w:val="00721655"/>
    <w:rsid w:val="007217F8"/>
    <w:rsid w:val="00722E28"/>
    <w:rsid w:val="00723DF7"/>
    <w:rsid w:val="00724885"/>
    <w:rsid w:val="00724CF1"/>
    <w:rsid w:val="007252CE"/>
    <w:rsid w:val="00730331"/>
    <w:rsid w:val="00731E34"/>
    <w:rsid w:val="00733ACF"/>
    <w:rsid w:val="00734473"/>
    <w:rsid w:val="00734D7C"/>
    <w:rsid w:val="0073540C"/>
    <w:rsid w:val="00735596"/>
    <w:rsid w:val="00735D7F"/>
    <w:rsid w:val="00736673"/>
    <w:rsid w:val="007377B6"/>
    <w:rsid w:val="00740B2E"/>
    <w:rsid w:val="007411D4"/>
    <w:rsid w:val="007420F6"/>
    <w:rsid w:val="00742F77"/>
    <w:rsid w:val="007435B9"/>
    <w:rsid w:val="00743726"/>
    <w:rsid w:val="00743940"/>
    <w:rsid w:val="00743993"/>
    <w:rsid w:val="00744CD1"/>
    <w:rsid w:val="00745FE8"/>
    <w:rsid w:val="0075008F"/>
    <w:rsid w:val="00753744"/>
    <w:rsid w:val="00753ABE"/>
    <w:rsid w:val="0075433F"/>
    <w:rsid w:val="0075444C"/>
    <w:rsid w:val="00754AC3"/>
    <w:rsid w:val="00755A73"/>
    <w:rsid w:val="00756064"/>
    <w:rsid w:val="007569B8"/>
    <w:rsid w:val="007575C9"/>
    <w:rsid w:val="007603EE"/>
    <w:rsid w:val="00760BF7"/>
    <w:rsid w:val="00760E17"/>
    <w:rsid w:val="0076128A"/>
    <w:rsid w:val="007617D8"/>
    <w:rsid w:val="00762532"/>
    <w:rsid w:val="0076371A"/>
    <w:rsid w:val="0076417D"/>
    <w:rsid w:val="00764B1C"/>
    <w:rsid w:val="00766408"/>
    <w:rsid w:val="007665C9"/>
    <w:rsid w:val="007667BD"/>
    <w:rsid w:val="007671ED"/>
    <w:rsid w:val="00767FAD"/>
    <w:rsid w:val="0077082E"/>
    <w:rsid w:val="00770F75"/>
    <w:rsid w:val="0077138F"/>
    <w:rsid w:val="0077174F"/>
    <w:rsid w:val="00772062"/>
    <w:rsid w:val="007723BF"/>
    <w:rsid w:val="00772404"/>
    <w:rsid w:val="0077247D"/>
    <w:rsid w:val="007734F9"/>
    <w:rsid w:val="00773C5A"/>
    <w:rsid w:val="007742BD"/>
    <w:rsid w:val="00775D4D"/>
    <w:rsid w:val="0078132F"/>
    <w:rsid w:val="00781B53"/>
    <w:rsid w:val="00781F72"/>
    <w:rsid w:val="0078378E"/>
    <w:rsid w:val="007838E0"/>
    <w:rsid w:val="00783A8D"/>
    <w:rsid w:val="00784548"/>
    <w:rsid w:val="0078488E"/>
    <w:rsid w:val="00784ABC"/>
    <w:rsid w:val="00786A8D"/>
    <w:rsid w:val="00787D62"/>
    <w:rsid w:val="00791568"/>
    <w:rsid w:val="00791822"/>
    <w:rsid w:val="00791F7F"/>
    <w:rsid w:val="00792151"/>
    <w:rsid w:val="00792660"/>
    <w:rsid w:val="00792A76"/>
    <w:rsid w:val="00792F41"/>
    <w:rsid w:val="007935DF"/>
    <w:rsid w:val="00793672"/>
    <w:rsid w:val="00793CFE"/>
    <w:rsid w:val="00793DF6"/>
    <w:rsid w:val="00793ED3"/>
    <w:rsid w:val="007949AD"/>
    <w:rsid w:val="00794B1A"/>
    <w:rsid w:val="007957E7"/>
    <w:rsid w:val="00795E42"/>
    <w:rsid w:val="00797375"/>
    <w:rsid w:val="00797CF2"/>
    <w:rsid w:val="007A1EDB"/>
    <w:rsid w:val="007A33B8"/>
    <w:rsid w:val="007A3B03"/>
    <w:rsid w:val="007A4212"/>
    <w:rsid w:val="007A42BB"/>
    <w:rsid w:val="007A5C92"/>
    <w:rsid w:val="007A6776"/>
    <w:rsid w:val="007A6779"/>
    <w:rsid w:val="007A7E53"/>
    <w:rsid w:val="007B04CA"/>
    <w:rsid w:val="007B09F7"/>
    <w:rsid w:val="007B13EB"/>
    <w:rsid w:val="007B22E8"/>
    <w:rsid w:val="007B3FCD"/>
    <w:rsid w:val="007B45C8"/>
    <w:rsid w:val="007B5019"/>
    <w:rsid w:val="007B52CD"/>
    <w:rsid w:val="007B6CC6"/>
    <w:rsid w:val="007B72FE"/>
    <w:rsid w:val="007B7B17"/>
    <w:rsid w:val="007C1482"/>
    <w:rsid w:val="007C1890"/>
    <w:rsid w:val="007C30A1"/>
    <w:rsid w:val="007C30EC"/>
    <w:rsid w:val="007C33F9"/>
    <w:rsid w:val="007C389F"/>
    <w:rsid w:val="007C43D4"/>
    <w:rsid w:val="007C4879"/>
    <w:rsid w:val="007C4966"/>
    <w:rsid w:val="007C5261"/>
    <w:rsid w:val="007C59BE"/>
    <w:rsid w:val="007C59F5"/>
    <w:rsid w:val="007C69BD"/>
    <w:rsid w:val="007C79FC"/>
    <w:rsid w:val="007C7F5A"/>
    <w:rsid w:val="007D04CE"/>
    <w:rsid w:val="007D04E2"/>
    <w:rsid w:val="007D10BB"/>
    <w:rsid w:val="007D1636"/>
    <w:rsid w:val="007D178A"/>
    <w:rsid w:val="007D18D9"/>
    <w:rsid w:val="007D1C75"/>
    <w:rsid w:val="007D269B"/>
    <w:rsid w:val="007D4124"/>
    <w:rsid w:val="007D431E"/>
    <w:rsid w:val="007D4AF7"/>
    <w:rsid w:val="007D5356"/>
    <w:rsid w:val="007D5C41"/>
    <w:rsid w:val="007D6207"/>
    <w:rsid w:val="007D7EEC"/>
    <w:rsid w:val="007E1C0F"/>
    <w:rsid w:val="007E3BEA"/>
    <w:rsid w:val="007E48CA"/>
    <w:rsid w:val="007E4D19"/>
    <w:rsid w:val="007E581E"/>
    <w:rsid w:val="007E5C7A"/>
    <w:rsid w:val="007E5ED3"/>
    <w:rsid w:val="007E66EB"/>
    <w:rsid w:val="007E6942"/>
    <w:rsid w:val="007E69D2"/>
    <w:rsid w:val="007E6A8B"/>
    <w:rsid w:val="007F062B"/>
    <w:rsid w:val="007F180C"/>
    <w:rsid w:val="007F255C"/>
    <w:rsid w:val="007F2AD6"/>
    <w:rsid w:val="007F3C22"/>
    <w:rsid w:val="007F48F8"/>
    <w:rsid w:val="007F48FD"/>
    <w:rsid w:val="007F521C"/>
    <w:rsid w:val="007F78F3"/>
    <w:rsid w:val="007F7976"/>
    <w:rsid w:val="007F7E50"/>
    <w:rsid w:val="00800097"/>
    <w:rsid w:val="008004E8"/>
    <w:rsid w:val="008011C3"/>
    <w:rsid w:val="0080204D"/>
    <w:rsid w:val="00802735"/>
    <w:rsid w:val="00803909"/>
    <w:rsid w:val="00804229"/>
    <w:rsid w:val="008042A5"/>
    <w:rsid w:val="008060D9"/>
    <w:rsid w:val="0080626B"/>
    <w:rsid w:val="0080699E"/>
    <w:rsid w:val="00806A74"/>
    <w:rsid w:val="00806CB2"/>
    <w:rsid w:val="00806DC0"/>
    <w:rsid w:val="00807060"/>
    <w:rsid w:val="008073BC"/>
    <w:rsid w:val="0081061A"/>
    <w:rsid w:val="008114A8"/>
    <w:rsid w:val="0081177C"/>
    <w:rsid w:val="00811C30"/>
    <w:rsid w:val="008129B3"/>
    <w:rsid w:val="00814033"/>
    <w:rsid w:val="0081457C"/>
    <w:rsid w:val="00816457"/>
    <w:rsid w:val="00816EAD"/>
    <w:rsid w:val="008174FC"/>
    <w:rsid w:val="0082007E"/>
    <w:rsid w:val="00821734"/>
    <w:rsid w:val="00822196"/>
    <w:rsid w:val="008227FE"/>
    <w:rsid w:val="00822826"/>
    <w:rsid w:val="0082305E"/>
    <w:rsid w:val="0082309F"/>
    <w:rsid w:val="0082339E"/>
    <w:rsid w:val="00823E45"/>
    <w:rsid w:val="0082468F"/>
    <w:rsid w:val="00824CD9"/>
    <w:rsid w:val="00824E07"/>
    <w:rsid w:val="00825DD7"/>
    <w:rsid w:val="00826388"/>
    <w:rsid w:val="008265C2"/>
    <w:rsid w:val="00826C12"/>
    <w:rsid w:val="0082702F"/>
    <w:rsid w:val="00827E8F"/>
    <w:rsid w:val="00830EA9"/>
    <w:rsid w:val="008311F8"/>
    <w:rsid w:val="00832831"/>
    <w:rsid w:val="0083310B"/>
    <w:rsid w:val="0083566B"/>
    <w:rsid w:val="00835C16"/>
    <w:rsid w:val="008367F3"/>
    <w:rsid w:val="00842735"/>
    <w:rsid w:val="00843256"/>
    <w:rsid w:val="008433A5"/>
    <w:rsid w:val="00843CA8"/>
    <w:rsid w:val="00843FCC"/>
    <w:rsid w:val="00845488"/>
    <w:rsid w:val="00845DE9"/>
    <w:rsid w:val="00846256"/>
    <w:rsid w:val="008465F9"/>
    <w:rsid w:val="00846FA9"/>
    <w:rsid w:val="0084760D"/>
    <w:rsid w:val="0085168A"/>
    <w:rsid w:val="008519A1"/>
    <w:rsid w:val="0085331D"/>
    <w:rsid w:val="00854513"/>
    <w:rsid w:val="00854AB1"/>
    <w:rsid w:val="008556F2"/>
    <w:rsid w:val="00855C40"/>
    <w:rsid w:val="00857FDE"/>
    <w:rsid w:val="008605AE"/>
    <w:rsid w:val="00860A89"/>
    <w:rsid w:val="00861D08"/>
    <w:rsid w:val="00862C72"/>
    <w:rsid w:val="00862E1D"/>
    <w:rsid w:val="00863339"/>
    <w:rsid w:val="008633FF"/>
    <w:rsid w:val="00863A04"/>
    <w:rsid w:val="00863F00"/>
    <w:rsid w:val="00864E1F"/>
    <w:rsid w:val="00867F30"/>
    <w:rsid w:val="00871033"/>
    <w:rsid w:val="0087110D"/>
    <w:rsid w:val="0087133F"/>
    <w:rsid w:val="00872790"/>
    <w:rsid w:val="00873477"/>
    <w:rsid w:val="00873E83"/>
    <w:rsid w:val="00874062"/>
    <w:rsid w:val="0087463E"/>
    <w:rsid w:val="00874B74"/>
    <w:rsid w:val="00874ED6"/>
    <w:rsid w:val="00877AA1"/>
    <w:rsid w:val="00880A98"/>
    <w:rsid w:val="00880C0D"/>
    <w:rsid w:val="00881157"/>
    <w:rsid w:val="0088161D"/>
    <w:rsid w:val="00881947"/>
    <w:rsid w:val="00882465"/>
    <w:rsid w:val="0088275A"/>
    <w:rsid w:val="008835FD"/>
    <w:rsid w:val="008848E6"/>
    <w:rsid w:val="00884CB6"/>
    <w:rsid w:val="0088504D"/>
    <w:rsid w:val="00886E82"/>
    <w:rsid w:val="0088773E"/>
    <w:rsid w:val="00887AFF"/>
    <w:rsid w:val="00887E9D"/>
    <w:rsid w:val="0089079C"/>
    <w:rsid w:val="00890886"/>
    <w:rsid w:val="00890F96"/>
    <w:rsid w:val="008916A4"/>
    <w:rsid w:val="00892612"/>
    <w:rsid w:val="00892DA3"/>
    <w:rsid w:val="00895880"/>
    <w:rsid w:val="00895A2B"/>
    <w:rsid w:val="00897111"/>
    <w:rsid w:val="008978F1"/>
    <w:rsid w:val="00897DB5"/>
    <w:rsid w:val="008A004A"/>
    <w:rsid w:val="008A17B5"/>
    <w:rsid w:val="008A20B1"/>
    <w:rsid w:val="008A3C3D"/>
    <w:rsid w:val="008A3F1A"/>
    <w:rsid w:val="008A3FCF"/>
    <w:rsid w:val="008A41ED"/>
    <w:rsid w:val="008A5BE7"/>
    <w:rsid w:val="008A5EAC"/>
    <w:rsid w:val="008A718D"/>
    <w:rsid w:val="008A74AE"/>
    <w:rsid w:val="008A7C5C"/>
    <w:rsid w:val="008B2760"/>
    <w:rsid w:val="008B287B"/>
    <w:rsid w:val="008B3007"/>
    <w:rsid w:val="008B3DC8"/>
    <w:rsid w:val="008B4EC5"/>
    <w:rsid w:val="008B5210"/>
    <w:rsid w:val="008B5BFC"/>
    <w:rsid w:val="008B68D9"/>
    <w:rsid w:val="008B7859"/>
    <w:rsid w:val="008C04DE"/>
    <w:rsid w:val="008C05F1"/>
    <w:rsid w:val="008C218B"/>
    <w:rsid w:val="008C297D"/>
    <w:rsid w:val="008C379B"/>
    <w:rsid w:val="008C5478"/>
    <w:rsid w:val="008C59EE"/>
    <w:rsid w:val="008C6917"/>
    <w:rsid w:val="008C6DD8"/>
    <w:rsid w:val="008C726D"/>
    <w:rsid w:val="008C764B"/>
    <w:rsid w:val="008C776B"/>
    <w:rsid w:val="008C7885"/>
    <w:rsid w:val="008C79DC"/>
    <w:rsid w:val="008C7BA4"/>
    <w:rsid w:val="008D01FD"/>
    <w:rsid w:val="008D0383"/>
    <w:rsid w:val="008D0824"/>
    <w:rsid w:val="008D17C0"/>
    <w:rsid w:val="008D1AFC"/>
    <w:rsid w:val="008D1F53"/>
    <w:rsid w:val="008D260B"/>
    <w:rsid w:val="008D28A6"/>
    <w:rsid w:val="008D29C1"/>
    <w:rsid w:val="008D3856"/>
    <w:rsid w:val="008D66D4"/>
    <w:rsid w:val="008D752C"/>
    <w:rsid w:val="008D7794"/>
    <w:rsid w:val="008E0B8A"/>
    <w:rsid w:val="008E22CE"/>
    <w:rsid w:val="008E31E8"/>
    <w:rsid w:val="008E3367"/>
    <w:rsid w:val="008E561D"/>
    <w:rsid w:val="008E5B1C"/>
    <w:rsid w:val="008E5C88"/>
    <w:rsid w:val="008E5D54"/>
    <w:rsid w:val="008E6D8C"/>
    <w:rsid w:val="008E735B"/>
    <w:rsid w:val="008E7734"/>
    <w:rsid w:val="008E7D6B"/>
    <w:rsid w:val="008F046A"/>
    <w:rsid w:val="008F04FD"/>
    <w:rsid w:val="008F0B3A"/>
    <w:rsid w:val="008F0B5B"/>
    <w:rsid w:val="008F0B5E"/>
    <w:rsid w:val="008F0BE4"/>
    <w:rsid w:val="008F0F5B"/>
    <w:rsid w:val="008F1B32"/>
    <w:rsid w:val="008F3470"/>
    <w:rsid w:val="008F48B8"/>
    <w:rsid w:val="008F4F1E"/>
    <w:rsid w:val="008F555F"/>
    <w:rsid w:val="008F55E9"/>
    <w:rsid w:val="008F7730"/>
    <w:rsid w:val="00900BFA"/>
    <w:rsid w:val="00900E6D"/>
    <w:rsid w:val="00900E71"/>
    <w:rsid w:val="00901D65"/>
    <w:rsid w:val="009021F5"/>
    <w:rsid w:val="009039F2"/>
    <w:rsid w:val="00903ED3"/>
    <w:rsid w:val="0090413A"/>
    <w:rsid w:val="009041CA"/>
    <w:rsid w:val="0090447A"/>
    <w:rsid w:val="00904C53"/>
    <w:rsid w:val="00905213"/>
    <w:rsid w:val="00905BFB"/>
    <w:rsid w:val="00905DFD"/>
    <w:rsid w:val="0090623D"/>
    <w:rsid w:val="009064EA"/>
    <w:rsid w:val="009066E0"/>
    <w:rsid w:val="00907A25"/>
    <w:rsid w:val="00910C56"/>
    <w:rsid w:val="00911C93"/>
    <w:rsid w:val="0091219A"/>
    <w:rsid w:val="00912B1E"/>
    <w:rsid w:val="00912C42"/>
    <w:rsid w:val="00912E7B"/>
    <w:rsid w:val="009141BA"/>
    <w:rsid w:val="0091531E"/>
    <w:rsid w:val="00915583"/>
    <w:rsid w:val="00915A67"/>
    <w:rsid w:val="00915B83"/>
    <w:rsid w:val="00916147"/>
    <w:rsid w:val="00916694"/>
    <w:rsid w:val="00916BB2"/>
    <w:rsid w:val="009175F3"/>
    <w:rsid w:val="00922A4C"/>
    <w:rsid w:val="00922AFB"/>
    <w:rsid w:val="00923000"/>
    <w:rsid w:val="0092333E"/>
    <w:rsid w:val="00923A8C"/>
    <w:rsid w:val="00923ACC"/>
    <w:rsid w:val="009252E9"/>
    <w:rsid w:val="009263DF"/>
    <w:rsid w:val="00926958"/>
    <w:rsid w:val="00926AFD"/>
    <w:rsid w:val="009312DB"/>
    <w:rsid w:val="009317B0"/>
    <w:rsid w:val="00932346"/>
    <w:rsid w:val="0093247C"/>
    <w:rsid w:val="00932D6C"/>
    <w:rsid w:val="00934359"/>
    <w:rsid w:val="009345DD"/>
    <w:rsid w:val="009372EF"/>
    <w:rsid w:val="009403DF"/>
    <w:rsid w:val="00940869"/>
    <w:rsid w:val="009425DE"/>
    <w:rsid w:val="0094294B"/>
    <w:rsid w:val="00943335"/>
    <w:rsid w:val="00943758"/>
    <w:rsid w:val="00943815"/>
    <w:rsid w:val="009448C5"/>
    <w:rsid w:val="0094509B"/>
    <w:rsid w:val="0094512F"/>
    <w:rsid w:val="0094670D"/>
    <w:rsid w:val="00947289"/>
    <w:rsid w:val="00947800"/>
    <w:rsid w:val="00947A04"/>
    <w:rsid w:val="00951437"/>
    <w:rsid w:val="009516F8"/>
    <w:rsid w:val="00951FEC"/>
    <w:rsid w:val="00952EBC"/>
    <w:rsid w:val="00953FE8"/>
    <w:rsid w:val="009572E2"/>
    <w:rsid w:val="00961529"/>
    <w:rsid w:val="00964735"/>
    <w:rsid w:val="00964906"/>
    <w:rsid w:val="00965E92"/>
    <w:rsid w:val="00965F55"/>
    <w:rsid w:val="00966119"/>
    <w:rsid w:val="00970943"/>
    <w:rsid w:val="00970C86"/>
    <w:rsid w:val="00970C97"/>
    <w:rsid w:val="00971A11"/>
    <w:rsid w:val="00972FF3"/>
    <w:rsid w:val="0097316F"/>
    <w:rsid w:val="009738CD"/>
    <w:rsid w:val="0097525F"/>
    <w:rsid w:val="0097705B"/>
    <w:rsid w:val="00977730"/>
    <w:rsid w:val="00977C91"/>
    <w:rsid w:val="00980568"/>
    <w:rsid w:val="009817B1"/>
    <w:rsid w:val="00981C12"/>
    <w:rsid w:val="0098237E"/>
    <w:rsid w:val="009828F5"/>
    <w:rsid w:val="00983620"/>
    <w:rsid w:val="00983AEF"/>
    <w:rsid w:val="009844D9"/>
    <w:rsid w:val="00984E74"/>
    <w:rsid w:val="00984F62"/>
    <w:rsid w:val="00985750"/>
    <w:rsid w:val="00985B4D"/>
    <w:rsid w:val="00986DDB"/>
    <w:rsid w:val="00986F95"/>
    <w:rsid w:val="009876EA"/>
    <w:rsid w:val="00990957"/>
    <w:rsid w:val="00990E3F"/>
    <w:rsid w:val="0099177E"/>
    <w:rsid w:val="00993750"/>
    <w:rsid w:val="00994412"/>
    <w:rsid w:val="009948BE"/>
    <w:rsid w:val="00995562"/>
    <w:rsid w:val="00995612"/>
    <w:rsid w:val="00995864"/>
    <w:rsid w:val="009958CA"/>
    <w:rsid w:val="009964D1"/>
    <w:rsid w:val="00996944"/>
    <w:rsid w:val="009979AD"/>
    <w:rsid w:val="00997A9A"/>
    <w:rsid w:val="00997E50"/>
    <w:rsid w:val="009A041A"/>
    <w:rsid w:val="009A0DA6"/>
    <w:rsid w:val="009A1D93"/>
    <w:rsid w:val="009A28B5"/>
    <w:rsid w:val="009A37CD"/>
    <w:rsid w:val="009A62D9"/>
    <w:rsid w:val="009B059A"/>
    <w:rsid w:val="009B0A14"/>
    <w:rsid w:val="009B0A8A"/>
    <w:rsid w:val="009B0E63"/>
    <w:rsid w:val="009B1232"/>
    <w:rsid w:val="009B2E39"/>
    <w:rsid w:val="009B3765"/>
    <w:rsid w:val="009B5B6C"/>
    <w:rsid w:val="009C1684"/>
    <w:rsid w:val="009C195F"/>
    <w:rsid w:val="009C1A35"/>
    <w:rsid w:val="009C1AEC"/>
    <w:rsid w:val="009C273F"/>
    <w:rsid w:val="009C2B62"/>
    <w:rsid w:val="009C3578"/>
    <w:rsid w:val="009C3DAF"/>
    <w:rsid w:val="009C3E01"/>
    <w:rsid w:val="009C426E"/>
    <w:rsid w:val="009C66B7"/>
    <w:rsid w:val="009C7606"/>
    <w:rsid w:val="009C7A84"/>
    <w:rsid w:val="009D08E6"/>
    <w:rsid w:val="009D12CD"/>
    <w:rsid w:val="009D4394"/>
    <w:rsid w:val="009D4B69"/>
    <w:rsid w:val="009D59BB"/>
    <w:rsid w:val="009D6B37"/>
    <w:rsid w:val="009D6E61"/>
    <w:rsid w:val="009D737E"/>
    <w:rsid w:val="009D7801"/>
    <w:rsid w:val="009E1BA0"/>
    <w:rsid w:val="009E1D87"/>
    <w:rsid w:val="009E2196"/>
    <w:rsid w:val="009E21EA"/>
    <w:rsid w:val="009E2289"/>
    <w:rsid w:val="009E22EF"/>
    <w:rsid w:val="009E2B2D"/>
    <w:rsid w:val="009E32F5"/>
    <w:rsid w:val="009E38B3"/>
    <w:rsid w:val="009E46E8"/>
    <w:rsid w:val="009E50BD"/>
    <w:rsid w:val="009E5BAE"/>
    <w:rsid w:val="009E7B35"/>
    <w:rsid w:val="009E7CA6"/>
    <w:rsid w:val="009F05FB"/>
    <w:rsid w:val="009F0B88"/>
    <w:rsid w:val="009F0C3F"/>
    <w:rsid w:val="009F0C62"/>
    <w:rsid w:val="009F0DAB"/>
    <w:rsid w:val="009F1A49"/>
    <w:rsid w:val="009F1B5C"/>
    <w:rsid w:val="009F44CA"/>
    <w:rsid w:val="009F4D36"/>
    <w:rsid w:val="009F5CFE"/>
    <w:rsid w:val="009F6148"/>
    <w:rsid w:val="009F626A"/>
    <w:rsid w:val="009F692E"/>
    <w:rsid w:val="009F6DE4"/>
    <w:rsid w:val="009F75FE"/>
    <w:rsid w:val="00A010A8"/>
    <w:rsid w:val="00A02564"/>
    <w:rsid w:val="00A04242"/>
    <w:rsid w:val="00A0470E"/>
    <w:rsid w:val="00A055F2"/>
    <w:rsid w:val="00A05DA3"/>
    <w:rsid w:val="00A061A4"/>
    <w:rsid w:val="00A0669E"/>
    <w:rsid w:val="00A06EEA"/>
    <w:rsid w:val="00A070B1"/>
    <w:rsid w:val="00A07665"/>
    <w:rsid w:val="00A07797"/>
    <w:rsid w:val="00A07BA2"/>
    <w:rsid w:val="00A1101B"/>
    <w:rsid w:val="00A11943"/>
    <w:rsid w:val="00A120C0"/>
    <w:rsid w:val="00A126CF"/>
    <w:rsid w:val="00A13177"/>
    <w:rsid w:val="00A13E12"/>
    <w:rsid w:val="00A1414A"/>
    <w:rsid w:val="00A150ED"/>
    <w:rsid w:val="00A15EAC"/>
    <w:rsid w:val="00A163C2"/>
    <w:rsid w:val="00A163D2"/>
    <w:rsid w:val="00A203DA"/>
    <w:rsid w:val="00A2067D"/>
    <w:rsid w:val="00A21F4F"/>
    <w:rsid w:val="00A221D8"/>
    <w:rsid w:val="00A23E44"/>
    <w:rsid w:val="00A24329"/>
    <w:rsid w:val="00A24FFA"/>
    <w:rsid w:val="00A25055"/>
    <w:rsid w:val="00A25079"/>
    <w:rsid w:val="00A2522F"/>
    <w:rsid w:val="00A2597B"/>
    <w:rsid w:val="00A25BB8"/>
    <w:rsid w:val="00A26DB5"/>
    <w:rsid w:val="00A27A35"/>
    <w:rsid w:val="00A27FD7"/>
    <w:rsid w:val="00A313E0"/>
    <w:rsid w:val="00A3180D"/>
    <w:rsid w:val="00A32389"/>
    <w:rsid w:val="00A326AA"/>
    <w:rsid w:val="00A32812"/>
    <w:rsid w:val="00A32EAE"/>
    <w:rsid w:val="00A33F0B"/>
    <w:rsid w:val="00A3630D"/>
    <w:rsid w:val="00A363DA"/>
    <w:rsid w:val="00A37384"/>
    <w:rsid w:val="00A375FA"/>
    <w:rsid w:val="00A37E73"/>
    <w:rsid w:val="00A4055F"/>
    <w:rsid w:val="00A425FC"/>
    <w:rsid w:val="00A42706"/>
    <w:rsid w:val="00A44393"/>
    <w:rsid w:val="00A46AE8"/>
    <w:rsid w:val="00A474A6"/>
    <w:rsid w:val="00A50293"/>
    <w:rsid w:val="00A5079C"/>
    <w:rsid w:val="00A518D4"/>
    <w:rsid w:val="00A520BB"/>
    <w:rsid w:val="00A524D9"/>
    <w:rsid w:val="00A52E1B"/>
    <w:rsid w:val="00A53C90"/>
    <w:rsid w:val="00A541E6"/>
    <w:rsid w:val="00A544DF"/>
    <w:rsid w:val="00A54C8F"/>
    <w:rsid w:val="00A5594A"/>
    <w:rsid w:val="00A55BEF"/>
    <w:rsid w:val="00A55D22"/>
    <w:rsid w:val="00A56D71"/>
    <w:rsid w:val="00A57066"/>
    <w:rsid w:val="00A5716D"/>
    <w:rsid w:val="00A576BD"/>
    <w:rsid w:val="00A57890"/>
    <w:rsid w:val="00A57B4E"/>
    <w:rsid w:val="00A61283"/>
    <w:rsid w:val="00A61E48"/>
    <w:rsid w:val="00A6219D"/>
    <w:rsid w:val="00A63F3F"/>
    <w:rsid w:val="00A64625"/>
    <w:rsid w:val="00A646DE"/>
    <w:rsid w:val="00A663F3"/>
    <w:rsid w:val="00A6701F"/>
    <w:rsid w:val="00A6748C"/>
    <w:rsid w:val="00A704E6"/>
    <w:rsid w:val="00A71591"/>
    <w:rsid w:val="00A7187A"/>
    <w:rsid w:val="00A72352"/>
    <w:rsid w:val="00A72AE0"/>
    <w:rsid w:val="00A7313B"/>
    <w:rsid w:val="00A73150"/>
    <w:rsid w:val="00A73E58"/>
    <w:rsid w:val="00A74FE3"/>
    <w:rsid w:val="00A75ACB"/>
    <w:rsid w:val="00A75B04"/>
    <w:rsid w:val="00A76D0E"/>
    <w:rsid w:val="00A77ACA"/>
    <w:rsid w:val="00A81243"/>
    <w:rsid w:val="00A83EF7"/>
    <w:rsid w:val="00A844CF"/>
    <w:rsid w:val="00A845EC"/>
    <w:rsid w:val="00A852B4"/>
    <w:rsid w:val="00A85300"/>
    <w:rsid w:val="00A86BC2"/>
    <w:rsid w:val="00A8726F"/>
    <w:rsid w:val="00A877A7"/>
    <w:rsid w:val="00A90772"/>
    <w:rsid w:val="00A913D3"/>
    <w:rsid w:val="00A91BED"/>
    <w:rsid w:val="00A93E74"/>
    <w:rsid w:val="00A94613"/>
    <w:rsid w:val="00A949A8"/>
    <w:rsid w:val="00A95521"/>
    <w:rsid w:val="00A959B8"/>
    <w:rsid w:val="00A9628B"/>
    <w:rsid w:val="00A96390"/>
    <w:rsid w:val="00A969D9"/>
    <w:rsid w:val="00A97360"/>
    <w:rsid w:val="00A97B0E"/>
    <w:rsid w:val="00A97BB0"/>
    <w:rsid w:val="00AA03D7"/>
    <w:rsid w:val="00AA196D"/>
    <w:rsid w:val="00AA220C"/>
    <w:rsid w:val="00AA31FA"/>
    <w:rsid w:val="00AA341B"/>
    <w:rsid w:val="00AA4352"/>
    <w:rsid w:val="00AA454B"/>
    <w:rsid w:val="00AA48DC"/>
    <w:rsid w:val="00AA4E19"/>
    <w:rsid w:val="00AA4F8E"/>
    <w:rsid w:val="00AA5C38"/>
    <w:rsid w:val="00AA7115"/>
    <w:rsid w:val="00AA7970"/>
    <w:rsid w:val="00AB0220"/>
    <w:rsid w:val="00AB1D5F"/>
    <w:rsid w:val="00AB262A"/>
    <w:rsid w:val="00AB2C25"/>
    <w:rsid w:val="00AB3C44"/>
    <w:rsid w:val="00AB45F7"/>
    <w:rsid w:val="00AB4B48"/>
    <w:rsid w:val="00AB4FFF"/>
    <w:rsid w:val="00AB55DE"/>
    <w:rsid w:val="00AB59DD"/>
    <w:rsid w:val="00AB656C"/>
    <w:rsid w:val="00AB65D2"/>
    <w:rsid w:val="00AB66B3"/>
    <w:rsid w:val="00AB6CFB"/>
    <w:rsid w:val="00AB6FDA"/>
    <w:rsid w:val="00AC095C"/>
    <w:rsid w:val="00AC0CBA"/>
    <w:rsid w:val="00AC10D7"/>
    <w:rsid w:val="00AC1B88"/>
    <w:rsid w:val="00AC28DE"/>
    <w:rsid w:val="00AC4A36"/>
    <w:rsid w:val="00AC5219"/>
    <w:rsid w:val="00AC6602"/>
    <w:rsid w:val="00AC67FD"/>
    <w:rsid w:val="00AC6A1B"/>
    <w:rsid w:val="00AC6CBD"/>
    <w:rsid w:val="00AC6FC7"/>
    <w:rsid w:val="00AD047E"/>
    <w:rsid w:val="00AD100C"/>
    <w:rsid w:val="00AD140B"/>
    <w:rsid w:val="00AD19B0"/>
    <w:rsid w:val="00AD203B"/>
    <w:rsid w:val="00AD3355"/>
    <w:rsid w:val="00AD376A"/>
    <w:rsid w:val="00AD4E32"/>
    <w:rsid w:val="00AD4EDD"/>
    <w:rsid w:val="00AD54FB"/>
    <w:rsid w:val="00AD5F2B"/>
    <w:rsid w:val="00AD6003"/>
    <w:rsid w:val="00AD6B19"/>
    <w:rsid w:val="00AD6C7F"/>
    <w:rsid w:val="00AD73DC"/>
    <w:rsid w:val="00AD7A89"/>
    <w:rsid w:val="00AE0361"/>
    <w:rsid w:val="00AE169A"/>
    <w:rsid w:val="00AE1835"/>
    <w:rsid w:val="00AE1C64"/>
    <w:rsid w:val="00AE2742"/>
    <w:rsid w:val="00AE2E10"/>
    <w:rsid w:val="00AE3547"/>
    <w:rsid w:val="00AE36E5"/>
    <w:rsid w:val="00AE3C65"/>
    <w:rsid w:val="00AE3DBA"/>
    <w:rsid w:val="00AE5D9B"/>
    <w:rsid w:val="00AE7E38"/>
    <w:rsid w:val="00AF0BC0"/>
    <w:rsid w:val="00AF13DD"/>
    <w:rsid w:val="00AF21E6"/>
    <w:rsid w:val="00AF2BB0"/>
    <w:rsid w:val="00AF4C38"/>
    <w:rsid w:val="00AF4EE9"/>
    <w:rsid w:val="00AF5288"/>
    <w:rsid w:val="00AF5D31"/>
    <w:rsid w:val="00AF655B"/>
    <w:rsid w:val="00AF75E2"/>
    <w:rsid w:val="00AF7B04"/>
    <w:rsid w:val="00B008C0"/>
    <w:rsid w:val="00B0302C"/>
    <w:rsid w:val="00B03431"/>
    <w:rsid w:val="00B059AF"/>
    <w:rsid w:val="00B06117"/>
    <w:rsid w:val="00B06162"/>
    <w:rsid w:val="00B06365"/>
    <w:rsid w:val="00B07692"/>
    <w:rsid w:val="00B07B6D"/>
    <w:rsid w:val="00B106F5"/>
    <w:rsid w:val="00B10F98"/>
    <w:rsid w:val="00B113DB"/>
    <w:rsid w:val="00B1155E"/>
    <w:rsid w:val="00B1289A"/>
    <w:rsid w:val="00B12987"/>
    <w:rsid w:val="00B13340"/>
    <w:rsid w:val="00B13763"/>
    <w:rsid w:val="00B1460B"/>
    <w:rsid w:val="00B15468"/>
    <w:rsid w:val="00B16D7E"/>
    <w:rsid w:val="00B20EFA"/>
    <w:rsid w:val="00B211DE"/>
    <w:rsid w:val="00B2273F"/>
    <w:rsid w:val="00B238B0"/>
    <w:rsid w:val="00B240CE"/>
    <w:rsid w:val="00B24B49"/>
    <w:rsid w:val="00B25132"/>
    <w:rsid w:val="00B2520D"/>
    <w:rsid w:val="00B25BB6"/>
    <w:rsid w:val="00B262F8"/>
    <w:rsid w:val="00B26779"/>
    <w:rsid w:val="00B27A67"/>
    <w:rsid w:val="00B316A1"/>
    <w:rsid w:val="00B319BF"/>
    <w:rsid w:val="00B3214C"/>
    <w:rsid w:val="00B325D1"/>
    <w:rsid w:val="00B3356B"/>
    <w:rsid w:val="00B33B3B"/>
    <w:rsid w:val="00B349C6"/>
    <w:rsid w:val="00B35AB6"/>
    <w:rsid w:val="00B35B5E"/>
    <w:rsid w:val="00B35BFC"/>
    <w:rsid w:val="00B366A1"/>
    <w:rsid w:val="00B37052"/>
    <w:rsid w:val="00B37E5C"/>
    <w:rsid w:val="00B40CCC"/>
    <w:rsid w:val="00B42707"/>
    <w:rsid w:val="00B432A0"/>
    <w:rsid w:val="00B46D5E"/>
    <w:rsid w:val="00B4720A"/>
    <w:rsid w:val="00B477F3"/>
    <w:rsid w:val="00B47BFE"/>
    <w:rsid w:val="00B50716"/>
    <w:rsid w:val="00B50FC5"/>
    <w:rsid w:val="00B511A9"/>
    <w:rsid w:val="00B521B4"/>
    <w:rsid w:val="00B55F78"/>
    <w:rsid w:val="00B56146"/>
    <w:rsid w:val="00B561E8"/>
    <w:rsid w:val="00B57549"/>
    <w:rsid w:val="00B60A7D"/>
    <w:rsid w:val="00B610E4"/>
    <w:rsid w:val="00B6150D"/>
    <w:rsid w:val="00B63BCB"/>
    <w:rsid w:val="00B63D1E"/>
    <w:rsid w:val="00B647B2"/>
    <w:rsid w:val="00B64B35"/>
    <w:rsid w:val="00B64C19"/>
    <w:rsid w:val="00B66F54"/>
    <w:rsid w:val="00B672E3"/>
    <w:rsid w:val="00B675F1"/>
    <w:rsid w:val="00B676A3"/>
    <w:rsid w:val="00B67970"/>
    <w:rsid w:val="00B67996"/>
    <w:rsid w:val="00B67EF7"/>
    <w:rsid w:val="00B67F11"/>
    <w:rsid w:val="00B70117"/>
    <w:rsid w:val="00B70DF7"/>
    <w:rsid w:val="00B714C0"/>
    <w:rsid w:val="00B720D3"/>
    <w:rsid w:val="00B723E8"/>
    <w:rsid w:val="00B7286F"/>
    <w:rsid w:val="00B72C7B"/>
    <w:rsid w:val="00B7431E"/>
    <w:rsid w:val="00B74E47"/>
    <w:rsid w:val="00B75629"/>
    <w:rsid w:val="00B758F6"/>
    <w:rsid w:val="00B7640D"/>
    <w:rsid w:val="00B764D2"/>
    <w:rsid w:val="00B765AB"/>
    <w:rsid w:val="00B768E2"/>
    <w:rsid w:val="00B769AD"/>
    <w:rsid w:val="00B77576"/>
    <w:rsid w:val="00B77AF6"/>
    <w:rsid w:val="00B81025"/>
    <w:rsid w:val="00B816C3"/>
    <w:rsid w:val="00B81D11"/>
    <w:rsid w:val="00B821E5"/>
    <w:rsid w:val="00B82CFC"/>
    <w:rsid w:val="00B82F46"/>
    <w:rsid w:val="00B839C4"/>
    <w:rsid w:val="00B858D2"/>
    <w:rsid w:val="00B85B44"/>
    <w:rsid w:val="00B86A19"/>
    <w:rsid w:val="00B87A58"/>
    <w:rsid w:val="00B87F80"/>
    <w:rsid w:val="00B90152"/>
    <w:rsid w:val="00B905EC"/>
    <w:rsid w:val="00B90C10"/>
    <w:rsid w:val="00B919C4"/>
    <w:rsid w:val="00B9252C"/>
    <w:rsid w:val="00B92749"/>
    <w:rsid w:val="00B92A35"/>
    <w:rsid w:val="00B92DEC"/>
    <w:rsid w:val="00B92F25"/>
    <w:rsid w:val="00B9498B"/>
    <w:rsid w:val="00B951B1"/>
    <w:rsid w:val="00B96277"/>
    <w:rsid w:val="00B979BD"/>
    <w:rsid w:val="00B97A23"/>
    <w:rsid w:val="00BA0EF4"/>
    <w:rsid w:val="00BA2CA8"/>
    <w:rsid w:val="00BA44DB"/>
    <w:rsid w:val="00BA4A84"/>
    <w:rsid w:val="00BA4C9A"/>
    <w:rsid w:val="00BA53B5"/>
    <w:rsid w:val="00BA5675"/>
    <w:rsid w:val="00BA5DB7"/>
    <w:rsid w:val="00BA68DB"/>
    <w:rsid w:val="00BA7ABE"/>
    <w:rsid w:val="00BB01A0"/>
    <w:rsid w:val="00BB0A71"/>
    <w:rsid w:val="00BB201E"/>
    <w:rsid w:val="00BB204C"/>
    <w:rsid w:val="00BB3430"/>
    <w:rsid w:val="00BB3E2D"/>
    <w:rsid w:val="00BB3E77"/>
    <w:rsid w:val="00BB57E0"/>
    <w:rsid w:val="00BB5C1E"/>
    <w:rsid w:val="00BB6DF6"/>
    <w:rsid w:val="00BB7AA8"/>
    <w:rsid w:val="00BC0359"/>
    <w:rsid w:val="00BC1EBF"/>
    <w:rsid w:val="00BC2E68"/>
    <w:rsid w:val="00BC44B6"/>
    <w:rsid w:val="00BC4B3C"/>
    <w:rsid w:val="00BC79C0"/>
    <w:rsid w:val="00BD1D37"/>
    <w:rsid w:val="00BD212B"/>
    <w:rsid w:val="00BD23A1"/>
    <w:rsid w:val="00BD26FC"/>
    <w:rsid w:val="00BD279A"/>
    <w:rsid w:val="00BD31A7"/>
    <w:rsid w:val="00BD42DB"/>
    <w:rsid w:val="00BD56B0"/>
    <w:rsid w:val="00BD5EB4"/>
    <w:rsid w:val="00BD6245"/>
    <w:rsid w:val="00BD6926"/>
    <w:rsid w:val="00BD7B89"/>
    <w:rsid w:val="00BE05AF"/>
    <w:rsid w:val="00BE1049"/>
    <w:rsid w:val="00BE1727"/>
    <w:rsid w:val="00BE17A9"/>
    <w:rsid w:val="00BE231E"/>
    <w:rsid w:val="00BE286A"/>
    <w:rsid w:val="00BE33C3"/>
    <w:rsid w:val="00BE407A"/>
    <w:rsid w:val="00BE5E72"/>
    <w:rsid w:val="00BE79A9"/>
    <w:rsid w:val="00BF004E"/>
    <w:rsid w:val="00BF0729"/>
    <w:rsid w:val="00BF0B43"/>
    <w:rsid w:val="00BF1413"/>
    <w:rsid w:val="00BF19C4"/>
    <w:rsid w:val="00BF1BE4"/>
    <w:rsid w:val="00BF32EE"/>
    <w:rsid w:val="00BF3A13"/>
    <w:rsid w:val="00BF3BAD"/>
    <w:rsid w:val="00BF3CBD"/>
    <w:rsid w:val="00BF411A"/>
    <w:rsid w:val="00BF423A"/>
    <w:rsid w:val="00BF4C2E"/>
    <w:rsid w:val="00BF6671"/>
    <w:rsid w:val="00BF67AA"/>
    <w:rsid w:val="00BF7AB3"/>
    <w:rsid w:val="00C0004D"/>
    <w:rsid w:val="00C00B5F"/>
    <w:rsid w:val="00C00D58"/>
    <w:rsid w:val="00C01292"/>
    <w:rsid w:val="00C02A15"/>
    <w:rsid w:val="00C02C4F"/>
    <w:rsid w:val="00C031DC"/>
    <w:rsid w:val="00C03264"/>
    <w:rsid w:val="00C0327F"/>
    <w:rsid w:val="00C0387E"/>
    <w:rsid w:val="00C15CB3"/>
    <w:rsid w:val="00C16282"/>
    <w:rsid w:val="00C1747F"/>
    <w:rsid w:val="00C20E79"/>
    <w:rsid w:val="00C226E8"/>
    <w:rsid w:val="00C233B8"/>
    <w:rsid w:val="00C25A13"/>
    <w:rsid w:val="00C25BEE"/>
    <w:rsid w:val="00C25CB1"/>
    <w:rsid w:val="00C26F1C"/>
    <w:rsid w:val="00C2799D"/>
    <w:rsid w:val="00C30E95"/>
    <w:rsid w:val="00C3280C"/>
    <w:rsid w:val="00C335BF"/>
    <w:rsid w:val="00C34F7F"/>
    <w:rsid w:val="00C356C1"/>
    <w:rsid w:val="00C35E26"/>
    <w:rsid w:val="00C36A8C"/>
    <w:rsid w:val="00C36C28"/>
    <w:rsid w:val="00C3701E"/>
    <w:rsid w:val="00C37854"/>
    <w:rsid w:val="00C4172C"/>
    <w:rsid w:val="00C41D38"/>
    <w:rsid w:val="00C4233A"/>
    <w:rsid w:val="00C438DB"/>
    <w:rsid w:val="00C44DC2"/>
    <w:rsid w:val="00C46471"/>
    <w:rsid w:val="00C4762E"/>
    <w:rsid w:val="00C50014"/>
    <w:rsid w:val="00C50927"/>
    <w:rsid w:val="00C509C6"/>
    <w:rsid w:val="00C50C01"/>
    <w:rsid w:val="00C50E68"/>
    <w:rsid w:val="00C5194B"/>
    <w:rsid w:val="00C51FC4"/>
    <w:rsid w:val="00C523E4"/>
    <w:rsid w:val="00C5250D"/>
    <w:rsid w:val="00C5256D"/>
    <w:rsid w:val="00C526C2"/>
    <w:rsid w:val="00C5443A"/>
    <w:rsid w:val="00C553F4"/>
    <w:rsid w:val="00C569A3"/>
    <w:rsid w:val="00C60BA6"/>
    <w:rsid w:val="00C60EDD"/>
    <w:rsid w:val="00C60FF1"/>
    <w:rsid w:val="00C60FFF"/>
    <w:rsid w:val="00C613B7"/>
    <w:rsid w:val="00C61512"/>
    <w:rsid w:val="00C6198B"/>
    <w:rsid w:val="00C61ED0"/>
    <w:rsid w:val="00C62E9C"/>
    <w:rsid w:val="00C644A6"/>
    <w:rsid w:val="00C64CE8"/>
    <w:rsid w:val="00C65C71"/>
    <w:rsid w:val="00C65E9D"/>
    <w:rsid w:val="00C67D1A"/>
    <w:rsid w:val="00C704B7"/>
    <w:rsid w:val="00C71A00"/>
    <w:rsid w:val="00C71D94"/>
    <w:rsid w:val="00C72577"/>
    <w:rsid w:val="00C73155"/>
    <w:rsid w:val="00C73D3B"/>
    <w:rsid w:val="00C7447E"/>
    <w:rsid w:val="00C74C5F"/>
    <w:rsid w:val="00C75267"/>
    <w:rsid w:val="00C75B3B"/>
    <w:rsid w:val="00C76852"/>
    <w:rsid w:val="00C77648"/>
    <w:rsid w:val="00C7767B"/>
    <w:rsid w:val="00C77D9C"/>
    <w:rsid w:val="00C81EC7"/>
    <w:rsid w:val="00C836E7"/>
    <w:rsid w:val="00C84454"/>
    <w:rsid w:val="00C847AF"/>
    <w:rsid w:val="00C84F5D"/>
    <w:rsid w:val="00C860DD"/>
    <w:rsid w:val="00C8752E"/>
    <w:rsid w:val="00C901B4"/>
    <w:rsid w:val="00C9096D"/>
    <w:rsid w:val="00C92F49"/>
    <w:rsid w:val="00C937CF"/>
    <w:rsid w:val="00C944BE"/>
    <w:rsid w:val="00C959C7"/>
    <w:rsid w:val="00CA2595"/>
    <w:rsid w:val="00CA3052"/>
    <w:rsid w:val="00CA3130"/>
    <w:rsid w:val="00CA3806"/>
    <w:rsid w:val="00CA3879"/>
    <w:rsid w:val="00CA39C7"/>
    <w:rsid w:val="00CA69F1"/>
    <w:rsid w:val="00CA7128"/>
    <w:rsid w:val="00CA72BD"/>
    <w:rsid w:val="00CA756E"/>
    <w:rsid w:val="00CA7D7C"/>
    <w:rsid w:val="00CB0B3E"/>
    <w:rsid w:val="00CB14F9"/>
    <w:rsid w:val="00CB1680"/>
    <w:rsid w:val="00CB3318"/>
    <w:rsid w:val="00CB41E9"/>
    <w:rsid w:val="00CB4C84"/>
    <w:rsid w:val="00CB6C6D"/>
    <w:rsid w:val="00CC05D0"/>
    <w:rsid w:val="00CC2078"/>
    <w:rsid w:val="00CC2B7F"/>
    <w:rsid w:val="00CC3095"/>
    <w:rsid w:val="00CC5CB2"/>
    <w:rsid w:val="00CD05BC"/>
    <w:rsid w:val="00CD10B1"/>
    <w:rsid w:val="00CD13CF"/>
    <w:rsid w:val="00CD2A38"/>
    <w:rsid w:val="00CD38F0"/>
    <w:rsid w:val="00CD3EE5"/>
    <w:rsid w:val="00CD4D5D"/>
    <w:rsid w:val="00CD5018"/>
    <w:rsid w:val="00CD70D0"/>
    <w:rsid w:val="00CD7168"/>
    <w:rsid w:val="00CD7426"/>
    <w:rsid w:val="00CE0116"/>
    <w:rsid w:val="00CE0187"/>
    <w:rsid w:val="00CE0AE1"/>
    <w:rsid w:val="00CE0C60"/>
    <w:rsid w:val="00CE0E02"/>
    <w:rsid w:val="00CE25D4"/>
    <w:rsid w:val="00CE285C"/>
    <w:rsid w:val="00CE2942"/>
    <w:rsid w:val="00CE2F49"/>
    <w:rsid w:val="00CE36D5"/>
    <w:rsid w:val="00CE43E0"/>
    <w:rsid w:val="00CE44DA"/>
    <w:rsid w:val="00CE5529"/>
    <w:rsid w:val="00CE5D7B"/>
    <w:rsid w:val="00CE6511"/>
    <w:rsid w:val="00CE76E2"/>
    <w:rsid w:val="00CE7BCF"/>
    <w:rsid w:val="00CE7E77"/>
    <w:rsid w:val="00CF09E4"/>
    <w:rsid w:val="00CF0F7A"/>
    <w:rsid w:val="00CF199D"/>
    <w:rsid w:val="00CF467F"/>
    <w:rsid w:val="00CF4BA4"/>
    <w:rsid w:val="00CF53F5"/>
    <w:rsid w:val="00CF5885"/>
    <w:rsid w:val="00CF5CE4"/>
    <w:rsid w:val="00CF67CB"/>
    <w:rsid w:val="00CF7A5C"/>
    <w:rsid w:val="00CF7B6A"/>
    <w:rsid w:val="00CF7DAD"/>
    <w:rsid w:val="00D01126"/>
    <w:rsid w:val="00D012D3"/>
    <w:rsid w:val="00D01822"/>
    <w:rsid w:val="00D01AF1"/>
    <w:rsid w:val="00D01FF9"/>
    <w:rsid w:val="00D02587"/>
    <w:rsid w:val="00D03382"/>
    <w:rsid w:val="00D038AC"/>
    <w:rsid w:val="00D04158"/>
    <w:rsid w:val="00D0465B"/>
    <w:rsid w:val="00D050C6"/>
    <w:rsid w:val="00D056A2"/>
    <w:rsid w:val="00D05ECF"/>
    <w:rsid w:val="00D07ACD"/>
    <w:rsid w:val="00D10428"/>
    <w:rsid w:val="00D10BD3"/>
    <w:rsid w:val="00D10BEA"/>
    <w:rsid w:val="00D116C2"/>
    <w:rsid w:val="00D12A9F"/>
    <w:rsid w:val="00D14853"/>
    <w:rsid w:val="00D15C13"/>
    <w:rsid w:val="00D16593"/>
    <w:rsid w:val="00D178E0"/>
    <w:rsid w:val="00D20119"/>
    <w:rsid w:val="00D202DB"/>
    <w:rsid w:val="00D20C5C"/>
    <w:rsid w:val="00D21E06"/>
    <w:rsid w:val="00D22BAD"/>
    <w:rsid w:val="00D23214"/>
    <w:rsid w:val="00D2423B"/>
    <w:rsid w:val="00D2563D"/>
    <w:rsid w:val="00D25E4D"/>
    <w:rsid w:val="00D2686C"/>
    <w:rsid w:val="00D26A0C"/>
    <w:rsid w:val="00D26A5E"/>
    <w:rsid w:val="00D2700C"/>
    <w:rsid w:val="00D27813"/>
    <w:rsid w:val="00D3248B"/>
    <w:rsid w:val="00D32B32"/>
    <w:rsid w:val="00D336B8"/>
    <w:rsid w:val="00D34B0F"/>
    <w:rsid w:val="00D353B7"/>
    <w:rsid w:val="00D37365"/>
    <w:rsid w:val="00D3778B"/>
    <w:rsid w:val="00D377C9"/>
    <w:rsid w:val="00D37F0C"/>
    <w:rsid w:val="00D4133C"/>
    <w:rsid w:val="00D41B5F"/>
    <w:rsid w:val="00D422FB"/>
    <w:rsid w:val="00D42A06"/>
    <w:rsid w:val="00D43D4C"/>
    <w:rsid w:val="00D440C9"/>
    <w:rsid w:val="00D44A45"/>
    <w:rsid w:val="00D462E5"/>
    <w:rsid w:val="00D47B67"/>
    <w:rsid w:val="00D50E06"/>
    <w:rsid w:val="00D5114F"/>
    <w:rsid w:val="00D52688"/>
    <w:rsid w:val="00D53AEA"/>
    <w:rsid w:val="00D53F84"/>
    <w:rsid w:val="00D56944"/>
    <w:rsid w:val="00D56954"/>
    <w:rsid w:val="00D57E19"/>
    <w:rsid w:val="00D61459"/>
    <w:rsid w:val="00D62E47"/>
    <w:rsid w:val="00D6583C"/>
    <w:rsid w:val="00D65F3D"/>
    <w:rsid w:val="00D66E8E"/>
    <w:rsid w:val="00D7073F"/>
    <w:rsid w:val="00D70A58"/>
    <w:rsid w:val="00D71937"/>
    <w:rsid w:val="00D7211C"/>
    <w:rsid w:val="00D7251E"/>
    <w:rsid w:val="00D72594"/>
    <w:rsid w:val="00D726E7"/>
    <w:rsid w:val="00D74BF3"/>
    <w:rsid w:val="00D74C4C"/>
    <w:rsid w:val="00D75C1C"/>
    <w:rsid w:val="00D75CD0"/>
    <w:rsid w:val="00D7720C"/>
    <w:rsid w:val="00D80252"/>
    <w:rsid w:val="00D81722"/>
    <w:rsid w:val="00D8251C"/>
    <w:rsid w:val="00D82545"/>
    <w:rsid w:val="00D82A24"/>
    <w:rsid w:val="00D82B69"/>
    <w:rsid w:val="00D82DB4"/>
    <w:rsid w:val="00D83B95"/>
    <w:rsid w:val="00D84101"/>
    <w:rsid w:val="00D846CA"/>
    <w:rsid w:val="00D84A3C"/>
    <w:rsid w:val="00D855DA"/>
    <w:rsid w:val="00D85C27"/>
    <w:rsid w:val="00D91661"/>
    <w:rsid w:val="00D92179"/>
    <w:rsid w:val="00D931F7"/>
    <w:rsid w:val="00D941BC"/>
    <w:rsid w:val="00D944F3"/>
    <w:rsid w:val="00D94567"/>
    <w:rsid w:val="00D9526E"/>
    <w:rsid w:val="00D9593A"/>
    <w:rsid w:val="00D9615A"/>
    <w:rsid w:val="00D9647E"/>
    <w:rsid w:val="00D96C9C"/>
    <w:rsid w:val="00D977CA"/>
    <w:rsid w:val="00DA03D6"/>
    <w:rsid w:val="00DA1859"/>
    <w:rsid w:val="00DA275A"/>
    <w:rsid w:val="00DA4C32"/>
    <w:rsid w:val="00DA570A"/>
    <w:rsid w:val="00DA5C32"/>
    <w:rsid w:val="00DA6D7B"/>
    <w:rsid w:val="00DA770E"/>
    <w:rsid w:val="00DB0BF5"/>
    <w:rsid w:val="00DB0CEC"/>
    <w:rsid w:val="00DB1083"/>
    <w:rsid w:val="00DB1185"/>
    <w:rsid w:val="00DB1613"/>
    <w:rsid w:val="00DB1857"/>
    <w:rsid w:val="00DB1A4D"/>
    <w:rsid w:val="00DB2E7E"/>
    <w:rsid w:val="00DB392E"/>
    <w:rsid w:val="00DB39F8"/>
    <w:rsid w:val="00DB3C6E"/>
    <w:rsid w:val="00DB3D51"/>
    <w:rsid w:val="00DB4212"/>
    <w:rsid w:val="00DB4281"/>
    <w:rsid w:val="00DB7133"/>
    <w:rsid w:val="00DC0208"/>
    <w:rsid w:val="00DC086A"/>
    <w:rsid w:val="00DC0BC0"/>
    <w:rsid w:val="00DC1EC1"/>
    <w:rsid w:val="00DC465C"/>
    <w:rsid w:val="00DC4F6F"/>
    <w:rsid w:val="00DC5A9A"/>
    <w:rsid w:val="00DC6E1E"/>
    <w:rsid w:val="00DC7340"/>
    <w:rsid w:val="00DD289C"/>
    <w:rsid w:val="00DD35E8"/>
    <w:rsid w:val="00DD433C"/>
    <w:rsid w:val="00DD4374"/>
    <w:rsid w:val="00DD6502"/>
    <w:rsid w:val="00DD6E07"/>
    <w:rsid w:val="00DD714C"/>
    <w:rsid w:val="00DD71D5"/>
    <w:rsid w:val="00DD78AA"/>
    <w:rsid w:val="00DE0CDD"/>
    <w:rsid w:val="00DE1254"/>
    <w:rsid w:val="00DE18FE"/>
    <w:rsid w:val="00DE29D7"/>
    <w:rsid w:val="00DE3681"/>
    <w:rsid w:val="00DE4B4B"/>
    <w:rsid w:val="00DE4B85"/>
    <w:rsid w:val="00DE543F"/>
    <w:rsid w:val="00DE5583"/>
    <w:rsid w:val="00DF55DF"/>
    <w:rsid w:val="00DF5A32"/>
    <w:rsid w:val="00DF61D8"/>
    <w:rsid w:val="00DF6DE2"/>
    <w:rsid w:val="00E004CF"/>
    <w:rsid w:val="00E0083E"/>
    <w:rsid w:val="00E016F0"/>
    <w:rsid w:val="00E024D2"/>
    <w:rsid w:val="00E030C9"/>
    <w:rsid w:val="00E036EA"/>
    <w:rsid w:val="00E042DD"/>
    <w:rsid w:val="00E0499C"/>
    <w:rsid w:val="00E05439"/>
    <w:rsid w:val="00E05F1D"/>
    <w:rsid w:val="00E0683D"/>
    <w:rsid w:val="00E10534"/>
    <w:rsid w:val="00E10E97"/>
    <w:rsid w:val="00E13035"/>
    <w:rsid w:val="00E13CFC"/>
    <w:rsid w:val="00E14310"/>
    <w:rsid w:val="00E20D35"/>
    <w:rsid w:val="00E22084"/>
    <w:rsid w:val="00E22707"/>
    <w:rsid w:val="00E22767"/>
    <w:rsid w:val="00E245A6"/>
    <w:rsid w:val="00E24BB6"/>
    <w:rsid w:val="00E2572E"/>
    <w:rsid w:val="00E25C2D"/>
    <w:rsid w:val="00E25C9F"/>
    <w:rsid w:val="00E265DD"/>
    <w:rsid w:val="00E2791D"/>
    <w:rsid w:val="00E32152"/>
    <w:rsid w:val="00E32A1D"/>
    <w:rsid w:val="00E33788"/>
    <w:rsid w:val="00E3410E"/>
    <w:rsid w:val="00E351F0"/>
    <w:rsid w:val="00E36D00"/>
    <w:rsid w:val="00E36D58"/>
    <w:rsid w:val="00E4045B"/>
    <w:rsid w:val="00E40D87"/>
    <w:rsid w:val="00E419D8"/>
    <w:rsid w:val="00E41D60"/>
    <w:rsid w:val="00E4209F"/>
    <w:rsid w:val="00E420B0"/>
    <w:rsid w:val="00E42A3E"/>
    <w:rsid w:val="00E442DA"/>
    <w:rsid w:val="00E450B0"/>
    <w:rsid w:val="00E451A2"/>
    <w:rsid w:val="00E46257"/>
    <w:rsid w:val="00E5020D"/>
    <w:rsid w:val="00E50B0C"/>
    <w:rsid w:val="00E50D32"/>
    <w:rsid w:val="00E50EC6"/>
    <w:rsid w:val="00E52887"/>
    <w:rsid w:val="00E53E5F"/>
    <w:rsid w:val="00E54063"/>
    <w:rsid w:val="00E54944"/>
    <w:rsid w:val="00E562D5"/>
    <w:rsid w:val="00E57A45"/>
    <w:rsid w:val="00E57A57"/>
    <w:rsid w:val="00E613F6"/>
    <w:rsid w:val="00E62E24"/>
    <w:rsid w:val="00E63261"/>
    <w:rsid w:val="00E63383"/>
    <w:rsid w:val="00E63412"/>
    <w:rsid w:val="00E6347A"/>
    <w:rsid w:val="00E63E21"/>
    <w:rsid w:val="00E66849"/>
    <w:rsid w:val="00E7010B"/>
    <w:rsid w:val="00E70BA3"/>
    <w:rsid w:val="00E7139A"/>
    <w:rsid w:val="00E7148B"/>
    <w:rsid w:val="00E71513"/>
    <w:rsid w:val="00E7184C"/>
    <w:rsid w:val="00E73E38"/>
    <w:rsid w:val="00E73F5A"/>
    <w:rsid w:val="00E74FE2"/>
    <w:rsid w:val="00E75FE8"/>
    <w:rsid w:val="00E8003D"/>
    <w:rsid w:val="00E826B1"/>
    <w:rsid w:val="00E83567"/>
    <w:rsid w:val="00E8360B"/>
    <w:rsid w:val="00E84294"/>
    <w:rsid w:val="00E84FBC"/>
    <w:rsid w:val="00E8555B"/>
    <w:rsid w:val="00E856E3"/>
    <w:rsid w:val="00E8578F"/>
    <w:rsid w:val="00E876BF"/>
    <w:rsid w:val="00E90397"/>
    <w:rsid w:val="00E90761"/>
    <w:rsid w:val="00E90BDB"/>
    <w:rsid w:val="00E9160D"/>
    <w:rsid w:val="00E91B23"/>
    <w:rsid w:val="00E91F9B"/>
    <w:rsid w:val="00E92407"/>
    <w:rsid w:val="00E9262A"/>
    <w:rsid w:val="00E927E9"/>
    <w:rsid w:val="00E94AB0"/>
    <w:rsid w:val="00E9766A"/>
    <w:rsid w:val="00E979EC"/>
    <w:rsid w:val="00E97A39"/>
    <w:rsid w:val="00EA0A6E"/>
    <w:rsid w:val="00EA0DDD"/>
    <w:rsid w:val="00EA1784"/>
    <w:rsid w:val="00EA1A81"/>
    <w:rsid w:val="00EA21BC"/>
    <w:rsid w:val="00EA3CBF"/>
    <w:rsid w:val="00EA5B4E"/>
    <w:rsid w:val="00EA6A93"/>
    <w:rsid w:val="00EB00EB"/>
    <w:rsid w:val="00EB1275"/>
    <w:rsid w:val="00EB2DDA"/>
    <w:rsid w:val="00EB3976"/>
    <w:rsid w:val="00EB3DA4"/>
    <w:rsid w:val="00EB512C"/>
    <w:rsid w:val="00EB5CE0"/>
    <w:rsid w:val="00EB6DB1"/>
    <w:rsid w:val="00EB7179"/>
    <w:rsid w:val="00EB75A7"/>
    <w:rsid w:val="00EC0BE9"/>
    <w:rsid w:val="00EC1B98"/>
    <w:rsid w:val="00EC212C"/>
    <w:rsid w:val="00EC3764"/>
    <w:rsid w:val="00EC3A14"/>
    <w:rsid w:val="00EC410D"/>
    <w:rsid w:val="00EC6507"/>
    <w:rsid w:val="00EC6DE8"/>
    <w:rsid w:val="00EC6E6E"/>
    <w:rsid w:val="00EC7972"/>
    <w:rsid w:val="00ED0214"/>
    <w:rsid w:val="00ED08E0"/>
    <w:rsid w:val="00ED0A35"/>
    <w:rsid w:val="00ED0E52"/>
    <w:rsid w:val="00ED1600"/>
    <w:rsid w:val="00ED208B"/>
    <w:rsid w:val="00ED2CB9"/>
    <w:rsid w:val="00ED3242"/>
    <w:rsid w:val="00ED3ECF"/>
    <w:rsid w:val="00ED4187"/>
    <w:rsid w:val="00ED4E6B"/>
    <w:rsid w:val="00ED6116"/>
    <w:rsid w:val="00ED6D4F"/>
    <w:rsid w:val="00EE01A0"/>
    <w:rsid w:val="00EE106F"/>
    <w:rsid w:val="00EE1A38"/>
    <w:rsid w:val="00EE2602"/>
    <w:rsid w:val="00EE264F"/>
    <w:rsid w:val="00EE2DA4"/>
    <w:rsid w:val="00EE2DEC"/>
    <w:rsid w:val="00EE3490"/>
    <w:rsid w:val="00EE3B12"/>
    <w:rsid w:val="00EE3CAE"/>
    <w:rsid w:val="00EE4132"/>
    <w:rsid w:val="00EE48B8"/>
    <w:rsid w:val="00EE6DC8"/>
    <w:rsid w:val="00EE7827"/>
    <w:rsid w:val="00EF0368"/>
    <w:rsid w:val="00EF1231"/>
    <w:rsid w:val="00EF14C7"/>
    <w:rsid w:val="00EF1874"/>
    <w:rsid w:val="00EF24CA"/>
    <w:rsid w:val="00EF2938"/>
    <w:rsid w:val="00EF3874"/>
    <w:rsid w:val="00EF5B11"/>
    <w:rsid w:val="00EF5E3B"/>
    <w:rsid w:val="00EF6840"/>
    <w:rsid w:val="00EF7CB5"/>
    <w:rsid w:val="00F00060"/>
    <w:rsid w:val="00F000D3"/>
    <w:rsid w:val="00F015C6"/>
    <w:rsid w:val="00F029CB"/>
    <w:rsid w:val="00F02EBE"/>
    <w:rsid w:val="00F03E4A"/>
    <w:rsid w:val="00F056CE"/>
    <w:rsid w:val="00F072DE"/>
    <w:rsid w:val="00F07323"/>
    <w:rsid w:val="00F0772F"/>
    <w:rsid w:val="00F10525"/>
    <w:rsid w:val="00F10B2A"/>
    <w:rsid w:val="00F10E1E"/>
    <w:rsid w:val="00F1110B"/>
    <w:rsid w:val="00F113C3"/>
    <w:rsid w:val="00F1392B"/>
    <w:rsid w:val="00F141A0"/>
    <w:rsid w:val="00F15160"/>
    <w:rsid w:val="00F15915"/>
    <w:rsid w:val="00F15FCB"/>
    <w:rsid w:val="00F16205"/>
    <w:rsid w:val="00F1633B"/>
    <w:rsid w:val="00F16BAA"/>
    <w:rsid w:val="00F170B6"/>
    <w:rsid w:val="00F172D8"/>
    <w:rsid w:val="00F17D6E"/>
    <w:rsid w:val="00F2043B"/>
    <w:rsid w:val="00F2104E"/>
    <w:rsid w:val="00F21A41"/>
    <w:rsid w:val="00F21DC2"/>
    <w:rsid w:val="00F23A48"/>
    <w:rsid w:val="00F242C1"/>
    <w:rsid w:val="00F26236"/>
    <w:rsid w:val="00F26367"/>
    <w:rsid w:val="00F267CA"/>
    <w:rsid w:val="00F27710"/>
    <w:rsid w:val="00F2778E"/>
    <w:rsid w:val="00F27AB5"/>
    <w:rsid w:val="00F30696"/>
    <w:rsid w:val="00F33F89"/>
    <w:rsid w:val="00F34D03"/>
    <w:rsid w:val="00F3576A"/>
    <w:rsid w:val="00F35B2B"/>
    <w:rsid w:val="00F35B74"/>
    <w:rsid w:val="00F37022"/>
    <w:rsid w:val="00F37B26"/>
    <w:rsid w:val="00F40131"/>
    <w:rsid w:val="00F40B47"/>
    <w:rsid w:val="00F42627"/>
    <w:rsid w:val="00F427A3"/>
    <w:rsid w:val="00F435B7"/>
    <w:rsid w:val="00F439AD"/>
    <w:rsid w:val="00F44D62"/>
    <w:rsid w:val="00F45A2A"/>
    <w:rsid w:val="00F4664B"/>
    <w:rsid w:val="00F468FE"/>
    <w:rsid w:val="00F46D91"/>
    <w:rsid w:val="00F476A1"/>
    <w:rsid w:val="00F4797E"/>
    <w:rsid w:val="00F51E2E"/>
    <w:rsid w:val="00F5336F"/>
    <w:rsid w:val="00F533A3"/>
    <w:rsid w:val="00F542C9"/>
    <w:rsid w:val="00F5660F"/>
    <w:rsid w:val="00F576E7"/>
    <w:rsid w:val="00F576F1"/>
    <w:rsid w:val="00F5771D"/>
    <w:rsid w:val="00F62936"/>
    <w:rsid w:val="00F62DC9"/>
    <w:rsid w:val="00F63ADB"/>
    <w:rsid w:val="00F6463B"/>
    <w:rsid w:val="00F64BA4"/>
    <w:rsid w:val="00F656D5"/>
    <w:rsid w:val="00F65C1B"/>
    <w:rsid w:val="00F6658F"/>
    <w:rsid w:val="00F668DE"/>
    <w:rsid w:val="00F66B95"/>
    <w:rsid w:val="00F67CE2"/>
    <w:rsid w:val="00F71408"/>
    <w:rsid w:val="00F71650"/>
    <w:rsid w:val="00F718BA"/>
    <w:rsid w:val="00F71D56"/>
    <w:rsid w:val="00F722CD"/>
    <w:rsid w:val="00F7471F"/>
    <w:rsid w:val="00F74C4E"/>
    <w:rsid w:val="00F7526B"/>
    <w:rsid w:val="00F7683B"/>
    <w:rsid w:val="00F80355"/>
    <w:rsid w:val="00F80404"/>
    <w:rsid w:val="00F80499"/>
    <w:rsid w:val="00F8156F"/>
    <w:rsid w:val="00F82382"/>
    <w:rsid w:val="00F8366A"/>
    <w:rsid w:val="00F8387B"/>
    <w:rsid w:val="00F83DD7"/>
    <w:rsid w:val="00F83FAC"/>
    <w:rsid w:val="00F844A3"/>
    <w:rsid w:val="00F85C06"/>
    <w:rsid w:val="00F87597"/>
    <w:rsid w:val="00F90E4C"/>
    <w:rsid w:val="00F92A14"/>
    <w:rsid w:val="00F946AC"/>
    <w:rsid w:val="00F950A3"/>
    <w:rsid w:val="00F95BC2"/>
    <w:rsid w:val="00FA0C0A"/>
    <w:rsid w:val="00FA0DAE"/>
    <w:rsid w:val="00FA0E10"/>
    <w:rsid w:val="00FA11A4"/>
    <w:rsid w:val="00FA27DB"/>
    <w:rsid w:val="00FA27DF"/>
    <w:rsid w:val="00FA2E03"/>
    <w:rsid w:val="00FA31BE"/>
    <w:rsid w:val="00FA427C"/>
    <w:rsid w:val="00FA43B4"/>
    <w:rsid w:val="00FA518F"/>
    <w:rsid w:val="00FA5C55"/>
    <w:rsid w:val="00FA6131"/>
    <w:rsid w:val="00FA78DA"/>
    <w:rsid w:val="00FA79DC"/>
    <w:rsid w:val="00FB0CC4"/>
    <w:rsid w:val="00FB1A3D"/>
    <w:rsid w:val="00FB1C94"/>
    <w:rsid w:val="00FB1E81"/>
    <w:rsid w:val="00FB1E93"/>
    <w:rsid w:val="00FB2431"/>
    <w:rsid w:val="00FB267F"/>
    <w:rsid w:val="00FB315D"/>
    <w:rsid w:val="00FB438E"/>
    <w:rsid w:val="00FB5EDD"/>
    <w:rsid w:val="00FC0100"/>
    <w:rsid w:val="00FC0D7C"/>
    <w:rsid w:val="00FC1A5A"/>
    <w:rsid w:val="00FC1C7D"/>
    <w:rsid w:val="00FC2283"/>
    <w:rsid w:val="00FC38BB"/>
    <w:rsid w:val="00FC3A1F"/>
    <w:rsid w:val="00FC3F7E"/>
    <w:rsid w:val="00FC4026"/>
    <w:rsid w:val="00FC7CF2"/>
    <w:rsid w:val="00FD0FBD"/>
    <w:rsid w:val="00FD1806"/>
    <w:rsid w:val="00FD330F"/>
    <w:rsid w:val="00FD4289"/>
    <w:rsid w:val="00FD4669"/>
    <w:rsid w:val="00FD50A3"/>
    <w:rsid w:val="00FD5489"/>
    <w:rsid w:val="00FD67FF"/>
    <w:rsid w:val="00FD6F08"/>
    <w:rsid w:val="00FD701F"/>
    <w:rsid w:val="00FD79CF"/>
    <w:rsid w:val="00FE008E"/>
    <w:rsid w:val="00FE038C"/>
    <w:rsid w:val="00FE03C0"/>
    <w:rsid w:val="00FE0D7E"/>
    <w:rsid w:val="00FE18AC"/>
    <w:rsid w:val="00FE2F95"/>
    <w:rsid w:val="00FE3819"/>
    <w:rsid w:val="00FE47C9"/>
    <w:rsid w:val="00FE591B"/>
    <w:rsid w:val="00FE6B16"/>
    <w:rsid w:val="00FE750D"/>
    <w:rsid w:val="00FE7B9A"/>
    <w:rsid w:val="00FE7D76"/>
    <w:rsid w:val="00FF0643"/>
    <w:rsid w:val="00FF352B"/>
    <w:rsid w:val="00FF40A8"/>
    <w:rsid w:val="00FF4D9A"/>
    <w:rsid w:val="00FF6476"/>
    <w:rsid w:val="00FF669B"/>
    <w:rsid w:val="063DD72F"/>
    <w:rsid w:val="0903AB9A"/>
    <w:rsid w:val="09B3F575"/>
    <w:rsid w:val="0DAE277C"/>
    <w:rsid w:val="114C7B3B"/>
    <w:rsid w:val="1A5BF046"/>
    <w:rsid w:val="1C90B3BA"/>
    <w:rsid w:val="23392884"/>
    <w:rsid w:val="2E026F23"/>
    <w:rsid w:val="303F4C53"/>
    <w:rsid w:val="30A0183A"/>
    <w:rsid w:val="38B26BFC"/>
    <w:rsid w:val="3BC21AA0"/>
    <w:rsid w:val="3EC681DF"/>
    <w:rsid w:val="3F0C055B"/>
    <w:rsid w:val="4336FD15"/>
    <w:rsid w:val="474EDC9F"/>
    <w:rsid w:val="491A74AC"/>
    <w:rsid w:val="50CB3773"/>
    <w:rsid w:val="568002B2"/>
    <w:rsid w:val="5AB9AFBD"/>
    <w:rsid w:val="6FE2A1CF"/>
    <w:rsid w:val="770548A5"/>
    <w:rsid w:val="7F325F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C8986"/>
  <w15:docId w15:val="{F2A9F620-E57B-4F7D-86EE-74DB4E6D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1"/>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1"/>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1"/>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1"/>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1"/>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aliases w:val="Fußnote,Podrozdział,Fußnotentextf,Footnote Text Char2,Footnote Text Char1 Char,Footnote Text Char Char Char,Footnote Text Char Char1,fn,Footnote Text Char Char,SFO Footnote Text,NDEDIU Footnote,ft,DSE note,single space,footnote text,f"/>
    <w:basedOn w:val="HouseStyleBase"/>
    <w:link w:val="FootnoteTextChar"/>
    <w:qFormat/>
    <w:rsid w:val="00AA7115"/>
    <w:pPr>
      <w:spacing w:after="60"/>
      <w:ind w:left="720" w:hanging="720"/>
    </w:pPr>
    <w:rPr>
      <w:sz w:val="16"/>
    </w:rPr>
  </w:style>
  <w:style w:type="character" w:styleId="FootnoteReference">
    <w:name w:val="footnote reference"/>
    <w:aliases w:val="ftref,BVI fnr,de nota al pie,16 Point,Superscript 6 Point,fr,Used by Word for Help footnote symbols,Car Car Char Car Char Car Car Char Car Char Char,SUPERS,BVI f,BVI fnr תו Char Char Char Char Char,BVI fnr Char Char Char Char Char"/>
    <w:basedOn w:val="DefaultParagraphFont"/>
    <w:link w:val="ftrefCharCharCharCharCharCharCharCharCharCharCharCharCharCharCharCharCharChar1CharCharCharCharCharCharCharCharCharChar"/>
    <w:qFormat/>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uiPriority w:val="39"/>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uiPriority w:val="39"/>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uiPriority w:val="39"/>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uiPriority w:val="39"/>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uiPriority w:val="39"/>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aliases w:val="Hyperlink RW"/>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List Paragraph2,Normal numbered,OBC Bullet,List Paragraph12,Bullet Style,Bullet,Párrafo de lista,Recommendation,List Paragrap,Text bullets 1"/>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aliases w:val="Fußnote Char,Podrozdział Char,Fußnotentextf Char,Footnote Text Char2 Char,Footnote Text Char1 Char Char,Footnote Text Char Char Char Char,Footnote Text Char Char1 Char,fn Char,Footnote Text Char Char Char1,SFO Footnote Text Char"/>
    <w:basedOn w:val="DefaultParagraphFont"/>
    <w:link w:val="FootnoteText"/>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apple-tab-span">
    <w:name w:val="apple-tab-span"/>
    <w:basedOn w:val="DefaultParagraphFont"/>
    <w:rsid w:val="00183DAF"/>
  </w:style>
  <w:style w:type="paragraph" w:customStyle="1" w:styleId="ColorfulList-Accent11">
    <w:name w:val="Colorful List - Accent 11"/>
    <w:aliases w:val="F5 List Paragraph,List Paragraph1,Dot pt,Ref,Use Case List Paragraph,Bullet List Paragraph,Equipment,Numbered Para 1,No Spacing1,List Paragraph Char Char Char,Indicator Text,Bullet Points,MAIN CONTENT,List Paragraph11,Bullet 1"/>
    <w:basedOn w:val="Normal"/>
    <w:link w:val="ColorfulList-Accent1Char"/>
    <w:uiPriority w:val="34"/>
    <w:qFormat/>
    <w:rsid w:val="00E57A57"/>
    <w:pPr>
      <w:ind w:left="720"/>
    </w:pPr>
    <w:rPr>
      <w:rFonts w:ascii="Calibri" w:eastAsia="Calibri" w:hAnsi="Calibri"/>
      <w:szCs w:val="20"/>
      <w:lang w:eastAsia="en-GB"/>
    </w:rPr>
  </w:style>
  <w:style w:type="character" w:customStyle="1" w:styleId="ColorfulList-Accent1Char">
    <w:name w:val="Colorful List - Accent 1 Char"/>
    <w:aliases w:val="F5 List Paragraph Char,List Paragraph1 Char,Dot pt Char,Ref Char,Use Case List Paragraph Char,Bullet List Paragraph Char,Equipment Char,Numbered Para 1 Char,No Spacing1 Char,List Paragraph Char Char Char Char,Bullet 1 Char"/>
    <w:link w:val="ColorfulList-Accent11"/>
    <w:uiPriority w:val="34"/>
    <w:qFormat/>
    <w:rsid w:val="00E57A57"/>
    <w:rPr>
      <w:rFonts w:ascii="Calibri" w:eastAsia="Calibri" w:hAnsi="Calibri"/>
      <w:sz w:val="22"/>
    </w:rPr>
  </w:style>
  <w:style w:type="character" w:customStyle="1" w:styleId="UnresolvedMention1">
    <w:name w:val="Unresolved Mention1"/>
    <w:basedOn w:val="DefaultParagraphFont"/>
    <w:uiPriority w:val="99"/>
    <w:semiHidden/>
    <w:unhideWhenUsed/>
    <w:rsid w:val="006F26E5"/>
    <w:rPr>
      <w:color w:val="808080"/>
      <w:shd w:val="clear" w:color="auto" w:fill="E6E6E6"/>
    </w:rPr>
  </w:style>
  <w:style w:type="paragraph" w:customStyle="1" w:styleId="11">
    <w:name w:val="1.1"/>
    <w:basedOn w:val="Normal"/>
    <w:link w:val="11Char"/>
    <w:qFormat/>
    <w:rsid w:val="00483C44"/>
    <w:pPr>
      <w:spacing w:line="276" w:lineRule="auto"/>
      <w:ind w:left="567" w:hanging="567"/>
      <w:contextualSpacing/>
      <w:jc w:val="both"/>
    </w:pPr>
    <w:rPr>
      <w:rFonts w:eastAsia="Arial" w:cs="Arial"/>
      <w:szCs w:val="22"/>
      <w:lang w:eastAsia="en-GB"/>
    </w:rPr>
  </w:style>
  <w:style w:type="character" w:customStyle="1" w:styleId="11Char">
    <w:name w:val="1.1 Char"/>
    <w:basedOn w:val="DefaultParagraphFont"/>
    <w:link w:val="11"/>
    <w:rsid w:val="00483C44"/>
    <w:rPr>
      <w:rFonts w:ascii="Arial" w:eastAsia="Arial" w:hAnsi="Arial" w:cs="Arial"/>
      <w:sz w:val="22"/>
      <w:szCs w:val="22"/>
    </w:rPr>
  </w:style>
  <w:style w:type="paragraph" w:customStyle="1" w:styleId="111">
    <w:name w:val="1.1.1"/>
    <w:basedOn w:val="Normal"/>
    <w:link w:val="111Char"/>
    <w:qFormat/>
    <w:rsid w:val="00483C44"/>
    <w:pPr>
      <w:spacing w:line="276" w:lineRule="auto"/>
      <w:ind w:left="-12" w:firstLine="1287"/>
      <w:contextualSpacing/>
      <w:jc w:val="both"/>
    </w:pPr>
    <w:rPr>
      <w:rFonts w:eastAsia="Arial" w:cs="Arial"/>
      <w:color w:val="000000"/>
      <w:szCs w:val="22"/>
      <w:lang w:eastAsia="en-GB"/>
    </w:rPr>
  </w:style>
  <w:style w:type="character" w:customStyle="1" w:styleId="1Char">
    <w:name w:val="1 Char"/>
    <w:basedOn w:val="DefaultParagraphFont"/>
    <w:rsid w:val="00483C44"/>
    <w:rPr>
      <w:b/>
      <w:sz w:val="22"/>
      <w:szCs w:val="22"/>
    </w:rPr>
  </w:style>
  <w:style w:type="character" w:customStyle="1" w:styleId="111Char">
    <w:name w:val="1.1.1 Char"/>
    <w:basedOn w:val="DefaultParagraphFont"/>
    <w:link w:val="111"/>
    <w:rsid w:val="00483C44"/>
    <w:rPr>
      <w:rFonts w:ascii="Arial" w:eastAsia="Arial" w:hAnsi="Arial" w:cs="Arial"/>
      <w:color w:val="000000"/>
      <w:sz w:val="22"/>
      <w:szCs w:val="22"/>
    </w:rPr>
  </w:style>
  <w:style w:type="paragraph" w:styleId="TOCHeading">
    <w:name w:val="TOC Heading"/>
    <w:basedOn w:val="Heading1"/>
    <w:next w:val="Normal"/>
    <w:uiPriority w:val="39"/>
    <w:unhideWhenUsed/>
    <w:qFormat/>
    <w:rsid w:val="002409E2"/>
    <w:pPr>
      <w:keepLines/>
      <w:numPr>
        <w:numId w:val="0"/>
      </w:numPr>
      <w:adjustRightInd/>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2409E2"/>
    <w:rPr>
      <w:color w:val="808080"/>
      <w:shd w:val="clear" w:color="auto" w:fill="E6E6E6"/>
    </w:rPr>
  </w:style>
  <w:style w:type="character" w:customStyle="1" w:styleId="UnresolvedMention3">
    <w:name w:val="Unresolved Mention3"/>
    <w:basedOn w:val="DefaultParagraphFont"/>
    <w:uiPriority w:val="99"/>
    <w:semiHidden/>
    <w:unhideWhenUsed/>
    <w:rsid w:val="00E22707"/>
    <w:rPr>
      <w:color w:val="808080"/>
      <w:shd w:val="clear" w:color="auto" w:fill="E6E6E6"/>
    </w:rPr>
  </w:style>
  <w:style w:type="character" w:customStyle="1" w:styleId="UnresolvedMention4">
    <w:name w:val="Unresolved Mention4"/>
    <w:basedOn w:val="DefaultParagraphFont"/>
    <w:uiPriority w:val="99"/>
    <w:semiHidden/>
    <w:unhideWhenUsed/>
    <w:rsid w:val="00BD5EB4"/>
    <w:rPr>
      <w:color w:val="808080"/>
      <w:shd w:val="clear" w:color="auto" w:fill="E6E6E6"/>
    </w:rPr>
  </w:style>
  <w:style w:type="paragraph" w:customStyle="1" w:styleId="Default">
    <w:name w:val="Default"/>
    <w:rsid w:val="00721655"/>
    <w:pPr>
      <w:autoSpaceDE w:val="0"/>
      <w:autoSpaceDN w:val="0"/>
      <w:adjustRightInd w:val="0"/>
    </w:pPr>
    <w:rPr>
      <w:rFonts w:ascii="Arial" w:eastAsia="Calibri" w:hAnsi="Arial" w:cs="Arial"/>
      <w:color w:val="000000"/>
      <w:sz w:val="24"/>
      <w:szCs w:val="24"/>
      <w:lang w:eastAsia="en-US"/>
    </w:rPr>
  </w:style>
  <w:style w:type="paragraph" w:customStyle="1" w:styleId="OtherHeading">
    <w:name w:val="Other Heading"/>
    <w:basedOn w:val="Normal"/>
    <w:link w:val="OtherHeadingChar"/>
    <w:autoRedefine/>
    <w:rsid w:val="00F35B74"/>
    <w:pPr>
      <w:widowControl w:val="0"/>
      <w:tabs>
        <w:tab w:val="left" w:pos="1745"/>
      </w:tabs>
    </w:pPr>
    <w:rPr>
      <w:rFonts w:eastAsia="Times New Roman" w:cs="Arial"/>
      <w:b/>
      <w:caps/>
      <w:sz w:val="24"/>
      <w:lang w:eastAsia="en-GB"/>
    </w:rPr>
  </w:style>
  <w:style w:type="character" w:customStyle="1" w:styleId="OtherHeadingChar">
    <w:name w:val="Other Heading Char"/>
    <w:basedOn w:val="DefaultParagraphFont"/>
    <w:link w:val="OtherHeading"/>
    <w:rsid w:val="00F35B74"/>
    <w:rPr>
      <w:rFonts w:ascii="Arial" w:hAnsi="Arial" w:cs="Arial"/>
      <w:b/>
      <w:caps/>
      <w:sz w:val="24"/>
      <w:szCs w:val="24"/>
    </w:rPr>
  </w:style>
  <w:style w:type="character" w:customStyle="1" w:styleId="UnresolvedMention5">
    <w:name w:val="Unresolved Mention5"/>
    <w:basedOn w:val="DefaultParagraphFont"/>
    <w:uiPriority w:val="99"/>
    <w:semiHidden/>
    <w:unhideWhenUsed/>
    <w:rsid w:val="002A0829"/>
    <w:rPr>
      <w:color w:val="808080"/>
      <w:shd w:val="clear" w:color="auto" w:fill="E6E6E6"/>
    </w:rPr>
  </w:style>
  <w:style w:type="character" w:customStyle="1" w:styleId="UnresolvedMention6">
    <w:name w:val="Unresolved Mention6"/>
    <w:basedOn w:val="DefaultParagraphFont"/>
    <w:uiPriority w:val="99"/>
    <w:semiHidden/>
    <w:unhideWhenUsed/>
    <w:rsid w:val="0011130E"/>
    <w:rPr>
      <w:color w:val="808080"/>
      <w:shd w:val="clear" w:color="auto" w:fill="E6E6E6"/>
    </w:rPr>
  </w:style>
  <w:style w:type="character" w:styleId="UnresolvedMention">
    <w:name w:val="Unresolved Mention"/>
    <w:basedOn w:val="DefaultParagraphFont"/>
    <w:uiPriority w:val="99"/>
    <w:unhideWhenUsed/>
    <w:rsid w:val="00E979EC"/>
    <w:rPr>
      <w:color w:val="605E5C"/>
      <w:shd w:val="clear" w:color="auto" w:fill="E1DFDD"/>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D931F7"/>
    <w:pPr>
      <w:spacing w:after="160" w:line="240" w:lineRule="exact"/>
      <w:jc w:val="both"/>
    </w:pPr>
    <w:rPr>
      <w:rFonts w:ascii="Times New Roman" w:eastAsia="Times New Roman" w:hAnsi="Times New Roman"/>
      <w:szCs w:val="20"/>
      <w:vertAlign w:val="superscript"/>
      <w:lang w:eastAsia="en-GB"/>
    </w:rPr>
  </w:style>
  <w:style w:type="character" w:styleId="Mention">
    <w:name w:val="Mention"/>
    <w:basedOn w:val="DefaultParagraphFont"/>
    <w:uiPriority w:val="99"/>
    <w:unhideWhenUsed/>
    <w:rsid w:val="005F3A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7745">
      <w:bodyDiv w:val="1"/>
      <w:marLeft w:val="0"/>
      <w:marRight w:val="0"/>
      <w:marTop w:val="0"/>
      <w:marBottom w:val="0"/>
      <w:divBdr>
        <w:top w:val="none" w:sz="0" w:space="0" w:color="auto"/>
        <w:left w:val="none" w:sz="0" w:space="0" w:color="auto"/>
        <w:bottom w:val="none" w:sz="0" w:space="0" w:color="auto"/>
        <w:right w:val="none" w:sz="0" w:space="0" w:color="auto"/>
      </w:divBdr>
    </w:div>
    <w:div w:id="31926784">
      <w:bodyDiv w:val="1"/>
      <w:marLeft w:val="0"/>
      <w:marRight w:val="0"/>
      <w:marTop w:val="0"/>
      <w:marBottom w:val="0"/>
      <w:divBdr>
        <w:top w:val="none" w:sz="0" w:space="0" w:color="auto"/>
        <w:left w:val="none" w:sz="0" w:space="0" w:color="auto"/>
        <w:bottom w:val="none" w:sz="0" w:space="0" w:color="auto"/>
        <w:right w:val="none" w:sz="0" w:space="0" w:color="auto"/>
      </w:divBdr>
    </w:div>
    <w:div w:id="95952388">
      <w:bodyDiv w:val="1"/>
      <w:marLeft w:val="0"/>
      <w:marRight w:val="0"/>
      <w:marTop w:val="0"/>
      <w:marBottom w:val="0"/>
      <w:divBdr>
        <w:top w:val="none" w:sz="0" w:space="0" w:color="auto"/>
        <w:left w:val="none" w:sz="0" w:space="0" w:color="auto"/>
        <w:bottom w:val="none" w:sz="0" w:space="0" w:color="auto"/>
        <w:right w:val="none" w:sz="0" w:space="0" w:color="auto"/>
      </w:divBdr>
    </w:div>
    <w:div w:id="100878786">
      <w:bodyDiv w:val="1"/>
      <w:marLeft w:val="0"/>
      <w:marRight w:val="0"/>
      <w:marTop w:val="0"/>
      <w:marBottom w:val="0"/>
      <w:divBdr>
        <w:top w:val="none" w:sz="0" w:space="0" w:color="auto"/>
        <w:left w:val="none" w:sz="0" w:space="0" w:color="auto"/>
        <w:bottom w:val="none" w:sz="0" w:space="0" w:color="auto"/>
        <w:right w:val="none" w:sz="0" w:space="0" w:color="auto"/>
      </w:divBdr>
    </w:div>
    <w:div w:id="134761511">
      <w:bodyDiv w:val="1"/>
      <w:marLeft w:val="0"/>
      <w:marRight w:val="0"/>
      <w:marTop w:val="0"/>
      <w:marBottom w:val="0"/>
      <w:divBdr>
        <w:top w:val="none" w:sz="0" w:space="0" w:color="auto"/>
        <w:left w:val="none" w:sz="0" w:space="0" w:color="auto"/>
        <w:bottom w:val="none" w:sz="0" w:space="0" w:color="auto"/>
        <w:right w:val="none" w:sz="0" w:space="0" w:color="auto"/>
      </w:divBdr>
    </w:div>
    <w:div w:id="193229576">
      <w:bodyDiv w:val="1"/>
      <w:marLeft w:val="0"/>
      <w:marRight w:val="0"/>
      <w:marTop w:val="0"/>
      <w:marBottom w:val="0"/>
      <w:divBdr>
        <w:top w:val="none" w:sz="0" w:space="0" w:color="auto"/>
        <w:left w:val="none" w:sz="0" w:space="0" w:color="auto"/>
        <w:bottom w:val="none" w:sz="0" w:space="0" w:color="auto"/>
        <w:right w:val="none" w:sz="0" w:space="0" w:color="auto"/>
      </w:divBdr>
    </w:div>
    <w:div w:id="275210403">
      <w:bodyDiv w:val="1"/>
      <w:marLeft w:val="0"/>
      <w:marRight w:val="0"/>
      <w:marTop w:val="0"/>
      <w:marBottom w:val="0"/>
      <w:divBdr>
        <w:top w:val="none" w:sz="0" w:space="0" w:color="auto"/>
        <w:left w:val="none" w:sz="0" w:space="0" w:color="auto"/>
        <w:bottom w:val="none" w:sz="0" w:space="0" w:color="auto"/>
        <w:right w:val="none" w:sz="0" w:space="0" w:color="auto"/>
      </w:divBdr>
    </w:div>
    <w:div w:id="386035048">
      <w:bodyDiv w:val="1"/>
      <w:marLeft w:val="0"/>
      <w:marRight w:val="0"/>
      <w:marTop w:val="0"/>
      <w:marBottom w:val="0"/>
      <w:divBdr>
        <w:top w:val="none" w:sz="0" w:space="0" w:color="auto"/>
        <w:left w:val="none" w:sz="0" w:space="0" w:color="auto"/>
        <w:bottom w:val="none" w:sz="0" w:space="0" w:color="auto"/>
        <w:right w:val="none" w:sz="0" w:space="0" w:color="auto"/>
      </w:divBdr>
    </w:div>
    <w:div w:id="445319907">
      <w:bodyDiv w:val="1"/>
      <w:marLeft w:val="0"/>
      <w:marRight w:val="0"/>
      <w:marTop w:val="0"/>
      <w:marBottom w:val="0"/>
      <w:divBdr>
        <w:top w:val="none" w:sz="0" w:space="0" w:color="auto"/>
        <w:left w:val="none" w:sz="0" w:space="0" w:color="auto"/>
        <w:bottom w:val="none" w:sz="0" w:space="0" w:color="auto"/>
        <w:right w:val="none" w:sz="0" w:space="0" w:color="auto"/>
      </w:divBdr>
    </w:div>
    <w:div w:id="490800125">
      <w:bodyDiv w:val="1"/>
      <w:marLeft w:val="0"/>
      <w:marRight w:val="0"/>
      <w:marTop w:val="0"/>
      <w:marBottom w:val="0"/>
      <w:divBdr>
        <w:top w:val="none" w:sz="0" w:space="0" w:color="auto"/>
        <w:left w:val="none" w:sz="0" w:space="0" w:color="auto"/>
        <w:bottom w:val="none" w:sz="0" w:space="0" w:color="auto"/>
        <w:right w:val="none" w:sz="0" w:space="0" w:color="auto"/>
      </w:divBdr>
    </w:div>
    <w:div w:id="547303511">
      <w:bodyDiv w:val="1"/>
      <w:marLeft w:val="0"/>
      <w:marRight w:val="0"/>
      <w:marTop w:val="0"/>
      <w:marBottom w:val="0"/>
      <w:divBdr>
        <w:top w:val="none" w:sz="0" w:space="0" w:color="auto"/>
        <w:left w:val="none" w:sz="0" w:space="0" w:color="auto"/>
        <w:bottom w:val="none" w:sz="0" w:space="0" w:color="auto"/>
        <w:right w:val="none" w:sz="0" w:space="0" w:color="auto"/>
      </w:divBdr>
    </w:div>
    <w:div w:id="588932575">
      <w:bodyDiv w:val="1"/>
      <w:marLeft w:val="0"/>
      <w:marRight w:val="0"/>
      <w:marTop w:val="0"/>
      <w:marBottom w:val="0"/>
      <w:divBdr>
        <w:top w:val="none" w:sz="0" w:space="0" w:color="auto"/>
        <w:left w:val="none" w:sz="0" w:space="0" w:color="auto"/>
        <w:bottom w:val="none" w:sz="0" w:space="0" w:color="auto"/>
        <w:right w:val="none" w:sz="0" w:space="0" w:color="auto"/>
      </w:divBdr>
    </w:div>
    <w:div w:id="628826441">
      <w:bodyDiv w:val="1"/>
      <w:marLeft w:val="0"/>
      <w:marRight w:val="0"/>
      <w:marTop w:val="0"/>
      <w:marBottom w:val="0"/>
      <w:divBdr>
        <w:top w:val="none" w:sz="0" w:space="0" w:color="auto"/>
        <w:left w:val="none" w:sz="0" w:space="0" w:color="auto"/>
        <w:bottom w:val="none" w:sz="0" w:space="0" w:color="auto"/>
        <w:right w:val="none" w:sz="0" w:space="0" w:color="auto"/>
      </w:divBdr>
    </w:div>
    <w:div w:id="681471277">
      <w:bodyDiv w:val="1"/>
      <w:marLeft w:val="0"/>
      <w:marRight w:val="0"/>
      <w:marTop w:val="0"/>
      <w:marBottom w:val="0"/>
      <w:divBdr>
        <w:top w:val="none" w:sz="0" w:space="0" w:color="auto"/>
        <w:left w:val="none" w:sz="0" w:space="0" w:color="auto"/>
        <w:bottom w:val="none" w:sz="0" w:space="0" w:color="auto"/>
        <w:right w:val="none" w:sz="0" w:space="0" w:color="auto"/>
      </w:divBdr>
    </w:div>
    <w:div w:id="755788930">
      <w:bodyDiv w:val="1"/>
      <w:marLeft w:val="0"/>
      <w:marRight w:val="0"/>
      <w:marTop w:val="0"/>
      <w:marBottom w:val="0"/>
      <w:divBdr>
        <w:top w:val="none" w:sz="0" w:space="0" w:color="auto"/>
        <w:left w:val="none" w:sz="0" w:space="0" w:color="auto"/>
        <w:bottom w:val="none" w:sz="0" w:space="0" w:color="auto"/>
        <w:right w:val="none" w:sz="0" w:space="0" w:color="auto"/>
      </w:divBdr>
    </w:div>
    <w:div w:id="778991156">
      <w:bodyDiv w:val="1"/>
      <w:marLeft w:val="0"/>
      <w:marRight w:val="0"/>
      <w:marTop w:val="0"/>
      <w:marBottom w:val="0"/>
      <w:divBdr>
        <w:top w:val="none" w:sz="0" w:space="0" w:color="auto"/>
        <w:left w:val="none" w:sz="0" w:space="0" w:color="auto"/>
        <w:bottom w:val="none" w:sz="0" w:space="0" w:color="auto"/>
        <w:right w:val="none" w:sz="0" w:space="0" w:color="auto"/>
      </w:divBdr>
    </w:div>
    <w:div w:id="795489909">
      <w:bodyDiv w:val="1"/>
      <w:marLeft w:val="0"/>
      <w:marRight w:val="0"/>
      <w:marTop w:val="0"/>
      <w:marBottom w:val="0"/>
      <w:divBdr>
        <w:top w:val="none" w:sz="0" w:space="0" w:color="auto"/>
        <w:left w:val="none" w:sz="0" w:space="0" w:color="auto"/>
        <w:bottom w:val="none" w:sz="0" w:space="0" w:color="auto"/>
        <w:right w:val="none" w:sz="0" w:space="0" w:color="auto"/>
      </w:divBdr>
    </w:div>
    <w:div w:id="838927025">
      <w:bodyDiv w:val="1"/>
      <w:marLeft w:val="0"/>
      <w:marRight w:val="0"/>
      <w:marTop w:val="0"/>
      <w:marBottom w:val="0"/>
      <w:divBdr>
        <w:top w:val="none" w:sz="0" w:space="0" w:color="auto"/>
        <w:left w:val="none" w:sz="0" w:space="0" w:color="auto"/>
        <w:bottom w:val="none" w:sz="0" w:space="0" w:color="auto"/>
        <w:right w:val="none" w:sz="0" w:space="0" w:color="auto"/>
      </w:divBdr>
    </w:div>
    <w:div w:id="885919704">
      <w:bodyDiv w:val="1"/>
      <w:marLeft w:val="0"/>
      <w:marRight w:val="0"/>
      <w:marTop w:val="0"/>
      <w:marBottom w:val="0"/>
      <w:divBdr>
        <w:top w:val="none" w:sz="0" w:space="0" w:color="auto"/>
        <w:left w:val="none" w:sz="0" w:space="0" w:color="auto"/>
        <w:bottom w:val="none" w:sz="0" w:space="0" w:color="auto"/>
        <w:right w:val="none" w:sz="0" w:space="0" w:color="auto"/>
      </w:divBdr>
    </w:div>
    <w:div w:id="982585698">
      <w:bodyDiv w:val="1"/>
      <w:marLeft w:val="0"/>
      <w:marRight w:val="0"/>
      <w:marTop w:val="0"/>
      <w:marBottom w:val="0"/>
      <w:divBdr>
        <w:top w:val="none" w:sz="0" w:space="0" w:color="auto"/>
        <w:left w:val="none" w:sz="0" w:space="0" w:color="auto"/>
        <w:bottom w:val="none" w:sz="0" w:space="0" w:color="auto"/>
        <w:right w:val="none" w:sz="0" w:space="0" w:color="auto"/>
      </w:divBdr>
    </w:div>
    <w:div w:id="1029649653">
      <w:bodyDiv w:val="1"/>
      <w:marLeft w:val="0"/>
      <w:marRight w:val="0"/>
      <w:marTop w:val="0"/>
      <w:marBottom w:val="0"/>
      <w:divBdr>
        <w:top w:val="none" w:sz="0" w:space="0" w:color="auto"/>
        <w:left w:val="none" w:sz="0" w:space="0" w:color="auto"/>
        <w:bottom w:val="none" w:sz="0" w:space="0" w:color="auto"/>
        <w:right w:val="none" w:sz="0" w:space="0" w:color="auto"/>
      </w:divBdr>
    </w:div>
    <w:div w:id="1123501866">
      <w:bodyDiv w:val="1"/>
      <w:marLeft w:val="0"/>
      <w:marRight w:val="0"/>
      <w:marTop w:val="0"/>
      <w:marBottom w:val="0"/>
      <w:divBdr>
        <w:top w:val="none" w:sz="0" w:space="0" w:color="auto"/>
        <w:left w:val="none" w:sz="0" w:space="0" w:color="auto"/>
        <w:bottom w:val="none" w:sz="0" w:space="0" w:color="auto"/>
        <w:right w:val="none" w:sz="0" w:space="0" w:color="auto"/>
      </w:divBdr>
    </w:div>
    <w:div w:id="1136028259">
      <w:bodyDiv w:val="1"/>
      <w:marLeft w:val="0"/>
      <w:marRight w:val="0"/>
      <w:marTop w:val="0"/>
      <w:marBottom w:val="0"/>
      <w:divBdr>
        <w:top w:val="none" w:sz="0" w:space="0" w:color="auto"/>
        <w:left w:val="none" w:sz="0" w:space="0" w:color="auto"/>
        <w:bottom w:val="none" w:sz="0" w:space="0" w:color="auto"/>
        <w:right w:val="none" w:sz="0" w:space="0" w:color="auto"/>
      </w:divBdr>
    </w:div>
    <w:div w:id="1171796079">
      <w:bodyDiv w:val="1"/>
      <w:marLeft w:val="0"/>
      <w:marRight w:val="0"/>
      <w:marTop w:val="0"/>
      <w:marBottom w:val="0"/>
      <w:divBdr>
        <w:top w:val="none" w:sz="0" w:space="0" w:color="auto"/>
        <w:left w:val="none" w:sz="0" w:space="0" w:color="auto"/>
        <w:bottom w:val="none" w:sz="0" w:space="0" w:color="auto"/>
        <w:right w:val="none" w:sz="0" w:space="0" w:color="auto"/>
      </w:divBdr>
    </w:div>
    <w:div w:id="1231892761">
      <w:bodyDiv w:val="1"/>
      <w:marLeft w:val="0"/>
      <w:marRight w:val="0"/>
      <w:marTop w:val="0"/>
      <w:marBottom w:val="0"/>
      <w:divBdr>
        <w:top w:val="none" w:sz="0" w:space="0" w:color="auto"/>
        <w:left w:val="none" w:sz="0" w:space="0" w:color="auto"/>
        <w:bottom w:val="none" w:sz="0" w:space="0" w:color="auto"/>
        <w:right w:val="none" w:sz="0" w:space="0" w:color="auto"/>
      </w:divBdr>
    </w:div>
    <w:div w:id="1303537670">
      <w:bodyDiv w:val="1"/>
      <w:marLeft w:val="0"/>
      <w:marRight w:val="0"/>
      <w:marTop w:val="0"/>
      <w:marBottom w:val="0"/>
      <w:divBdr>
        <w:top w:val="none" w:sz="0" w:space="0" w:color="auto"/>
        <w:left w:val="none" w:sz="0" w:space="0" w:color="auto"/>
        <w:bottom w:val="none" w:sz="0" w:space="0" w:color="auto"/>
        <w:right w:val="none" w:sz="0" w:space="0" w:color="auto"/>
      </w:divBdr>
    </w:div>
    <w:div w:id="1307513495">
      <w:bodyDiv w:val="1"/>
      <w:marLeft w:val="0"/>
      <w:marRight w:val="0"/>
      <w:marTop w:val="0"/>
      <w:marBottom w:val="0"/>
      <w:divBdr>
        <w:top w:val="none" w:sz="0" w:space="0" w:color="auto"/>
        <w:left w:val="none" w:sz="0" w:space="0" w:color="auto"/>
        <w:bottom w:val="none" w:sz="0" w:space="0" w:color="auto"/>
        <w:right w:val="none" w:sz="0" w:space="0" w:color="auto"/>
      </w:divBdr>
    </w:div>
    <w:div w:id="1336490480">
      <w:bodyDiv w:val="1"/>
      <w:marLeft w:val="0"/>
      <w:marRight w:val="0"/>
      <w:marTop w:val="0"/>
      <w:marBottom w:val="0"/>
      <w:divBdr>
        <w:top w:val="none" w:sz="0" w:space="0" w:color="auto"/>
        <w:left w:val="none" w:sz="0" w:space="0" w:color="auto"/>
        <w:bottom w:val="none" w:sz="0" w:space="0" w:color="auto"/>
        <w:right w:val="none" w:sz="0" w:space="0" w:color="auto"/>
      </w:divBdr>
    </w:div>
    <w:div w:id="1388603134">
      <w:bodyDiv w:val="1"/>
      <w:marLeft w:val="0"/>
      <w:marRight w:val="0"/>
      <w:marTop w:val="0"/>
      <w:marBottom w:val="0"/>
      <w:divBdr>
        <w:top w:val="none" w:sz="0" w:space="0" w:color="auto"/>
        <w:left w:val="none" w:sz="0" w:space="0" w:color="auto"/>
        <w:bottom w:val="none" w:sz="0" w:space="0" w:color="auto"/>
        <w:right w:val="none" w:sz="0" w:space="0" w:color="auto"/>
      </w:divBdr>
    </w:div>
    <w:div w:id="1451239746">
      <w:bodyDiv w:val="1"/>
      <w:marLeft w:val="0"/>
      <w:marRight w:val="0"/>
      <w:marTop w:val="0"/>
      <w:marBottom w:val="0"/>
      <w:divBdr>
        <w:top w:val="none" w:sz="0" w:space="0" w:color="auto"/>
        <w:left w:val="none" w:sz="0" w:space="0" w:color="auto"/>
        <w:bottom w:val="none" w:sz="0" w:space="0" w:color="auto"/>
        <w:right w:val="none" w:sz="0" w:space="0" w:color="auto"/>
      </w:divBdr>
    </w:div>
    <w:div w:id="1566918483">
      <w:bodyDiv w:val="1"/>
      <w:marLeft w:val="0"/>
      <w:marRight w:val="0"/>
      <w:marTop w:val="0"/>
      <w:marBottom w:val="0"/>
      <w:divBdr>
        <w:top w:val="none" w:sz="0" w:space="0" w:color="auto"/>
        <w:left w:val="none" w:sz="0" w:space="0" w:color="auto"/>
        <w:bottom w:val="none" w:sz="0" w:space="0" w:color="auto"/>
        <w:right w:val="none" w:sz="0" w:space="0" w:color="auto"/>
      </w:divBdr>
    </w:div>
    <w:div w:id="1597327740">
      <w:bodyDiv w:val="1"/>
      <w:marLeft w:val="0"/>
      <w:marRight w:val="0"/>
      <w:marTop w:val="0"/>
      <w:marBottom w:val="0"/>
      <w:divBdr>
        <w:top w:val="none" w:sz="0" w:space="0" w:color="auto"/>
        <w:left w:val="none" w:sz="0" w:space="0" w:color="auto"/>
        <w:bottom w:val="none" w:sz="0" w:space="0" w:color="auto"/>
        <w:right w:val="none" w:sz="0" w:space="0" w:color="auto"/>
      </w:divBdr>
    </w:div>
    <w:div w:id="1617373267">
      <w:bodyDiv w:val="1"/>
      <w:marLeft w:val="0"/>
      <w:marRight w:val="0"/>
      <w:marTop w:val="0"/>
      <w:marBottom w:val="0"/>
      <w:divBdr>
        <w:top w:val="none" w:sz="0" w:space="0" w:color="auto"/>
        <w:left w:val="none" w:sz="0" w:space="0" w:color="auto"/>
        <w:bottom w:val="none" w:sz="0" w:space="0" w:color="auto"/>
        <w:right w:val="none" w:sz="0" w:space="0" w:color="auto"/>
      </w:divBdr>
    </w:div>
    <w:div w:id="1669018298">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755130846">
      <w:bodyDiv w:val="1"/>
      <w:marLeft w:val="0"/>
      <w:marRight w:val="0"/>
      <w:marTop w:val="0"/>
      <w:marBottom w:val="0"/>
      <w:divBdr>
        <w:top w:val="none" w:sz="0" w:space="0" w:color="auto"/>
        <w:left w:val="none" w:sz="0" w:space="0" w:color="auto"/>
        <w:bottom w:val="none" w:sz="0" w:space="0" w:color="auto"/>
        <w:right w:val="none" w:sz="0" w:space="0" w:color="auto"/>
      </w:divBdr>
    </w:div>
    <w:div w:id="1776975353">
      <w:bodyDiv w:val="1"/>
      <w:marLeft w:val="0"/>
      <w:marRight w:val="0"/>
      <w:marTop w:val="0"/>
      <w:marBottom w:val="0"/>
      <w:divBdr>
        <w:top w:val="none" w:sz="0" w:space="0" w:color="auto"/>
        <w:left w:val="none" w:sz="0" w:space="0" w:color="auto"/>
        <w:bottom w:val="none" w:sz="0" w:space="0" w:color="auto"/>
        <w:right w:val="none" w:sz="0" w:space="0" w:color="auto"/>
      </w:divBdr>
    </w:div>
    <w:div w:id="1794011332">
      <w:bodyDiv w:val="1"/>
      <w:marLeft w:val="0"/>
      <w:marRight w:val="0"/>
      <w:marTop w:val="0"/>
      <w:marBottom w:val="0"/>
      <w:divBdr>
        <w:top w:val="none" w:sz="0" w:space="0" w:color="auto"/>
        <w:left w:val="none" w:sz="0" w:space="0" w:color="auto"/>
        <w:bottom w:val="none" w:sz="0" w:space="0" w:color="auto"/>
        <w:right w:val="none" w:sz="0" w:space="0" w:color="auto"/>
      </w:divBdr>
    </w:div>
    <w:div w:id="1803107555">
      <w:bodyDiv w:val="1"/>
      <w:marLeft w:val="0"/>
      <w:marRight w:val="0"/>
      <w:marTop w:val="0"/>
      <w:marBottom w:val="0"/>
      <w:divBdr>
        <w:top w:val="none" w:sz="0" w:space="0" w:color="auto"/>
        <w:left w:val="none" w:sz="0" w:space="0" w:color="auto"/>
        <w:bottom w:val="none" w:sz="0" w:space="0" w:color="auto"/>
        <w:right w:val="none" w:sz="0" w:space="0" w:color="auto"/>
      </w:divBdr>
    </w:div>
    <w:div w:id="1832988782">
      <w:bodyDiv w:val="1"/>
      <w:marLeft w:val="0"/>
      <w:marRight w:val="0"/>
      <w:marTop w:val="0"/>
      <w:marBottom w:val="0"/>
      <w:divBdr>
        <w:top w:val="none" w:sz="0" w:space="0" w:color="auto"/>
        <w:left w:val="none" w:sz="0" w:space="0" w:color="auto"/>
        <w:bottom w:val="none" w:sz="0" w:space="0" w:color="auto"/>
        <w:right w:val="none" w:sz="0" w:space="0" w:color="auto"/>
      </w:divBdr>
    </w:div>
    <w:div w:id="202311913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omeoffice.app.jagga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10</Value>
      <Value>17</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Significant</TermName>
          <TermId xmlns="http://schemas.microsoft.com/office/infopath/2007/PartnerControls">b8faeb8d-1a87-44bd-8153-bff3c10363ae</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Police Powers Unit (PPU)</TermName>
          <TermId xmlns="http://schemas.microsoft.com/office/infopath/2007/PartnerControls">9d67ddfa-b36d-46d5-99e4-67f4d47aaffb</TermId>
        </TermInfo>
      </Terms>
    </jb5e598af17141539648acf311d7477b>
    <lcf76f155ced4ddcb4097134ff3c332f xmlns="51d20f87-4344-4513-81d4-99f9ce39fabe">
      <Terms xmlns="http://schemas.microsoft.com/office/infopath/2007/PartnerControls"/>
    </lcf76f155ced4ddcb4097134ff3c332f>
    <SharedWithUsers xmlns="3b639a97-0ff6-4a15-934b-811491b3a8c7">
      <UserInfo>
        <DisplayName>Kim Bridger</DisplayName>
        <AccountId>1931</AccountId>
        <AccountType/>
      </UserInfo>
      <UserInfo>
        <DisplayName>Andrea Quattrin</DisplayName>
        <AccountId>173</AccountId>
        <AccountType/>
      </UserInfo>
      <UserInfo>
        <DisplayName>Ian Robinson</DisplayName>
        <AccountId>1441</AccountId>
        <AccountType/>
      </UserInfo>
      <UserInfo>
        <DisplayName>Helen Richardson</DisplayName>
        <AccountId>229</AccountId>
        <AccountType/>
      </UserInfo>
      <UserInfo>
        <DisplayName>Lalude Fadeke</DisplayName>
        <AccountId>1016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9357251ADF16824F91660FD17181AB4D" ma:contentTypeVersion="18" ma:contentTypeDescription="Create a new document." ma:contentTypeScope="" ma:versionID="e5b0b582945a1d556445b457e8474f55">
  <xsd:schema xmlns:xsd="http://www.w3.org/2001/XMLSchema" xmlns:xs="http://www.w3.org/2001/XMLSchema" xmlns:p="http://schemas.microsoft.com/office/2006/metadata/properties" xmlns:ns2="4e9417ab-6472-4075-af16-7dc6074df91e" xmlns:ns3="51d20f87-4344-4513-81d4-99f9ce39fabe" xmlns:ns4="3b639a97-0ff6-4a15-934b-811491b3a8c7" targetNamespace="http://schemas.microsoft.com/office/2006/metadata/properties" ma:root="true" ma:fieldsID="379e8b34eedbcfb911ce0639f58a8601" ns2:_="" ns3:_="" ns4:_="">
    <xsd:import namespace="4e9417ab-6472-4075-af16-7dc6074df91e"/>
    <xsd:import namespace="51d20f87-4344-4513-81d4-99f9ce39fabe"/>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d62ee0-3660-4fba-a068-6afdaedee86c}"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d62ee0-3660-4fba-a068-6afdaedee86c}"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20f87-4344-4513-81d4-99f9ce39fab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FB878-D218-4C75-9D01-F0009A6275A9}">
  <ds:schemaRefs>
    <ds:schemaRef ds:uri="Microsoft.SharePoint.Taxonomy.ContentTypeSync"/>
  </ds:schemaRefs>
</ds:datastoreItem>
</file>

<file path=customXml/itemProps2.xml><?xml version="1.0" encoding="utf-8"?>
<ds:datastoreItem xmlns:ds="http://schemas.openxmlformats.org/officeDocument/2006/customXml" ds:itemID="{66A6BD7F-ECBE-4E0C-8E00-C7E851DE7957}">
  <ds:schemaRefs>
    <ds:schemaRef ds:uri="http://schemas.microsoft.com/office/2006/metadata/properties"/>
    <ds:schemaRef ds:uri="http://schemas.microsoft.com/office/infopath/2007/PartnerControls"/>
    <ds:schemaRef ds:uri="4e9417ab-6472-4075-af16-7dc6074df91e"/>
    <ds:schemaRef ds:uri="51d20f87-4344-4513-81d4-99f9ce39fabe"/>
    <ds:schemaRef ds:uri="3b639a97-0ff6-4a15-934b-811491b3a8c7"/>
  </ds:schemaRefs>
</ds:datastoreItem>
</file>

<file path=customXml/itemProps3.xml><?xml version="1.0" encoding="utf-8"?>
<ds:datastoreItem xmlns:ds="http://schemas.openxmlformats.org/officeDocument/2006/customXml" ds:itemID="{278BF15A-3895-47A4-AC36-EB23835B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1d20f87-4344-4513-81d4-99f9ce39fabe"/>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FA48D-7C35-4259-A72E-FACC5CFA6787}">
  <ds:schemaRefs>
    <ds:schemaRef ds:uri="http://schemas.openxmlformats.org/officeDocument/2006/bibliography"/>
  </ds:schemaRefs>
</ds:datastoreItem>
</file>

<file path=customXml/itemProps5.xml><?xml version="1.0" encoding="utf-8"?>
<ds:datastoreItem xmlns:ds="http://schemas.openxmlformats.org/officeDocument/2006/customXml" ds:itemID="{7A3036DC-A354-49B2-9BFC-BCFC5FFF6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5912</Words>
  <Characters>33700</Characters>
  <Application>Microsoft Office Word</Application>
  <DocSecurity>4</DocSecurity>
  <Lines>280</Lines>
  <Paragraphs>79</Paragraphs>
  <ScaleCrop>false</ScaleCrop>
  <Company>Home Office</Company>
  <LinksUpToDate>false</LinksUpToDate>
  <CharactersWithSpaces>39533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Natalie Wharton</cp:lastModifiedBy>
  <cp:revision>245</cp:revision>
  <cp:lastPrinted>2020-01-13T10:21:00Z</cp:lastPrinted>
  <dcterms:created xsi:type="dcterms:W3CDTF">2022-06-09T08:08:00Z</dcterms:created>
  <dcterms:modified xsi:type="dcterms:W3CDTF">2022-07-05T18:50:00Z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0x010100A5BF1C78D9F64B679A5EBDE1C6598EBC01009357251ADF16824F91660FD17181AB4D</vt:lpwstr>
  </property>
  <property fmtid="{D5CDD505-2E9C-101B-9397-08002B2CF9AE}" pid="8" name="HOBusinessUnit">
    <vt:lpwstr>17;#Police Powers Unit (PPU)|9d67ddfa-b36d-46d5-99e4-67f4d47aaffb</vt:lpwstr>
  </property>
  <property fmtid="{D5CDD505-2E9C-101B-9397-08002B2CF9AE}" pid="9" name="HOCopyrightLevel">
    <vt:lpwstr>2;#Crown|69589897-2828-4761-976e-717fd8e631c9</vt:lpwstr>
  </property>
  <property fmtid="{D5CDD505-2E9C-101B-9397-08002B2CF9AE}" pid="10" name="HOGovernmentSecurityClassification">
    <vt:lpwstr>1;#Official|14c80daa-741b-422c-9722-f71693c9ede4</vt:lpwstr>
  </property>
  <property fmtid="{D5CDD505-2E9C-101B-9397-08002B2CF9AE}" pid="11" name="HOSiteType">
    <vt:lpwstr>10;#Policy – Significant|b8faeb8d-1a87-44bd-8153-bff3c10363ae</vt:lpwstr>
  </property>
  <property fmtid="{D5CDD505-2E9C-101B-9397-08002B2CF9AE}" pid="12" name="MediaServiceImageTags">
    <vt:lpwstr/>
  </property>
</Properties>
</file>