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0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544"/>
        <w:gridCol w:w="4110"/>
        <w:gridCol w:w="1228"/>
      </w:tblGrid>
      <w:tr w:rsidR="00BE6B62" w:rsidRPr="00A24900" w14:paraId="4863AABC" w14:textId="77777777" w:rsidTr="008D6EFD">
        <w:trPr>
          <w:cantSplit/>
          <w:trHeight w:val="70"/>
          <w:tblHeader/>
        </w:trPr>
        <w:tc>
          <w:tcPr>
            <w:tcW w:w="1843" w:type="dxa"/>
            <w:shd w:val="clear" w:color="auto" w:fill="FF99CC"/>
            <w:vAlign w:val="center"/>
          </w:tcPr>
          <w:p w14:paraId="4863AAB7" w14:textId="77777777" w:rsidR="00BE6B62" w:rsidRPr="00A24900" w:rsidRDefault="00BE6B62" w:rsidP="0043653C">
            <w:pPr>
              <w:pStyle w:val="TableHead"/>
              <w:keepNext/>
            </w:pPr>
            <w:bookmarkStart w:id="0" w:name="_GoBack"/>
            <w:bookmarkEnd w:id="0"/>
            <w:r>
              <w:t>Evaluation Area</w:t>
            </w:r>
          </w:p>
        </w:tc>
        <w:tc>
          <w:tcPr>
            <w:tcW w:w="2977" w:type="dxa"/>
            <w:shd w:val="clear" w:color="auto" w:fill="FF99CC"/>
            <w:vAlign w:val="center"/>
          </w:tcPr>
          <w:p w14:paraId="4863AAB8" w14:textId="77777777" w:rsidR="00BE6B62" w:rsidRPr="004468C0" w:rsidRDefault="00BE6B62" w:rsidP="0043653C">
            <w:pPr>
              <w:pStyle w:val="TableHead"/>
              <w:keepNext/>
            </w:pPr>
            <w:r w:rsidRPr="004468C0">
              <w:t>Evaluation intention</w:t>
            </w:r>
          </w:p>
        </w:tc>
        <w:tc>
          <w:tcPr>
            <w:tcW w:w="3544" w:type="dxa"/>
            <w:shd w:val="clear" w:color="auto" w:fill="FF99CC"/>
          </w:tcPr>
          <w:p w14:paraId="4863AAB9" w14:textId="77777777" w:rsidR="00BE6B62" w:rsidRPr="004468C0" w:rsidRDefault="00BE6B62" w:rsidP="0043653C">
            <w:pPr>
              <w:pStyle w:val="TableHead"/>
              <w:keepNext/>
            </w:pPr>
            <w:r>
              <w:t>Evaluation question</w:t>
            </w:r>
          </w:p>
        </w:tc>
        <w:tc>
          <w:tcPr>
            <w:tcW w:w="4110" w:type="dxa"/>
            <w:shd w:val="clear" w:color="auto" w:fill="FF99CC"/>
            <w:vAlign w:val="center"/>
          </w:tcPr>
          <w:p w14:paraId="4863AABA" w14:textId="77777777" w:rsidR="00BE6B62" w:rsidRPr="004468C0" w:rsidRDefault="00BE6B62" w:rsidP="0043653C">
            <w:pPr>
              <w:pStyle w:val="TableHead"/>
              <w:keepNext/>
            </w:pPr>
            <w:r w:rsidRPr="004468C0">
              <w:t>Evaluation criteria</w:t>
            </w:r>
          </w:p>
        </w:tc>
        <w:tc>
          <w:tcPr>
            <w:tcW w:w="1228" w:type="dxa"/>
            <w:shd w:val="clear" w:color="auto" w:fill="FF99CC"/>
            <w:vAlign w:val="center"/>
          </w:tcPr>
          <w:p w14:paraId="4863AABB" w14:textId="77777777" w:rsidR="00BE6B62" w:rsidRPr="00A24900" w:rsidRDefault="00BE6B62" w:rsidP="0043653C">
            <w:pPr>
              <w:pStyle w:val="TableHead"/>
              <w:keepNext/>
              <w:ind w:left="-108"/>
              <w:jc w:val="center"/>
            </w:pPr>
            <w:r>
              <w:t>Weight</w:t>
            </w:r>
          </w:p>
        </w:tc>
      </w:tr>
      <w:tr w:rsidR="00BE6B62" w:rsidRPr="004468C0" w14:paraId="4863AAC8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ABD" w14:textId="77777777" w:rsidR="00BE6B62" w:rsidRPr="004468C0" w:rsidRDefault="00BE6B62" w:rsidP="0043653C">
            <w:pPr>
              <w:pStyle w:val="Table"/>
            </w:pPr>
            <w:r>
              <w:t>D1 Overview</w:t>
            </w:r>
          </w:p>
        </w:tc>
        <w:tc>
          <w:tcPr>
            <w:tcW w:w="2977" w:type="dxa"/>
            <w:vAlign w:val="center"/>
          </w:tcPr>
          <w:p w14:paraId="4863AABE" w14:textId="77777777" w:rsidR="00BE6B62" w:rsidRPr="004468C0" w:rsidRDefault="00BE6B62" w:rsidP="0043653C">
            <w:pPr>
              <w:pStyle w:val="Table"/>
            </w:pPr>
            <w:r w:rsidRPr="005064B6">
              <w:t xml:space="preserve">This response is </w:t>
            </w:r>
            <w:r w:rsidRPr="00F628CF">
              <w:rPr>
                <w:b/>
              </w:rPr>
              <w:t>not evaluated</w:t>
            </w:r>
            <w:r w:rsidRPr="005064B6">
              <w:t xml:space="preserve"> and is used to contextualise the Bidder’s response.)</w:t>
            </w:r>
          </w:p>
        </w:tc>
        <w:tc>
          <w:tcPr>
            <w:tcW w:w="3544" w:type="dxa"/>
            <w:vAlign w:val="center"/>
          </w:tcPr>
          <w:p w14:paraId="4863AABF" w14:textId="77777777" w:rsidR="00BE6B62" w:rsidRDefault="00BE6B62" w:rsidP="0043653C">
            <w:pPr>
              <w:pStyle w:val="Table"/>
            </w:pPr>
            <w:r w:rsidRPr="005064B6">
              <w:t>Bidder must provide a concise summary highlighting the key aspects of their proposal, which is used to contextualise the Bidder’s response.</w:t>
            </w:r>
            <w:r>
              <w:t xml:space="preserve">  </w:t>
            </w:r>
          </w:p>
          <w:p w14:paraId="4863AAC0" w14:textId="77777777" w:rsidR="00BE6B62" w:rsidRPr="005064B6" w:rsidRDefault="00BE6B62" w:rsidP="0043653C">
            <w:pPr>
              <w:pStyle w:val="Table"/>
            </w:pPr>
          </w:p>
          <w:p w14:paraId="4863AAC1" w14:textId="77777777" w:rsidR="00BE6B62" w:rsidRPr="005064B6" w:rsidRDefault="00BE6B62" w:rsidP="0043653C">
            <w:pPr>
              <w:pStyle w:val="Table"/>
            </w:pPr>
            <w:r w:rsidRPr="00F628CF">
              <w:rPr>
                <w:b/>
              </w:rPr>
              <w:t>If relevant</w:t>
            </w:r>
            <w:r w:rsidRPr="005064B6">
              <w:t>, Bidders should also include a brief section on how their bid:</w:t>
            </w:r>
          </w:p>
          <w:p w14:paraId="4863AAC2" w14:textId="77777777" w:rsidR="00BE6B62" w:rsidRPr="005064B6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 w:rsidRPr="005064B6">
              <w:t>may support the Authority in meeting Government policy targets around SME’s, sustainability and skills development.</w:t>
            </w:r>
          </w:p>
          <w:p w14:paraId="4863AAC3" w14:textId="77777777" w:rsidR="00BE6B62" w:rsidRPr="005064B6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 w:rsidRPr="005064B6">
              <w:t>may utilise equipment compliant with the Energy Efficiency Directive (EED6) to deliver the service</w:t>
            </w:r>
          </w:p>
          <w:p w14:paraId="4863AAC4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 w:rsidRPr="005064B6">
              <w:t>can evidence a commitment to support the development of skills and apprenticeships through service delivery</w:t>
            </w:r>
          </w:p>
          <w:p w14:paraId="4863AAC5" w14:textId="77777777" w:rsidR="00BE6B62" w:rsidRPr="0037188A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 w:rsidRPr="005064B6">
              <w:t>has an ethical approach to supply chain management that supports outcomes such as prompt payment</w:t>
            </w:r>
            <w:r>
              <w:t>.</w:t>
            </w:r>
          </w:p>
        </w:tc>
        <w:tc>
          <w:tcPr>
            <w:tcW w:w="4110" w:type="dxa"/>
            <w:vAlign w:val="center"/>
          </w:tcPr>
          <w:p w14:paraId="4863AAC6" w14:textId="77777777" w:rsidR="00BE6B62" w:rsidRPr="004468C0" w:rsidRDefault="00BE6B62" w:rsidP="0043653C">
            <w:pPr>
              <w:pStyle w:val="Table"/>
            </w:pPr>
            <w:r w:rsidRPr="005064B6">
              <w:t>N/a</w:t>
            </w:r>
          </w:p>
        </w:tc>
        <w:tc>
          <w:tcPr>
            <w:tcW w:w="1228" w:type="dxa"/>
            <w:vAlign w:val="center"/>
          </w:tcPr>
          <w:p w14:paraId="4863AAC7" w14:textId="77777777" w:rsidR="00BE6B62" w:rsidRPr="004468C0" w:rsidRDefault="00BE6B62" w:rsidP="0043653C">
            <w:pPr>
              <w:pStyle w:val="Table"/>
              <w:ind w:left="74"/>
              <w:jc w:val="center"/>
            </w:pPr>
            <w:r w:rsidRPr="005064B6">
              <w:t>N/a</w:t>
            </w:r>
          </w:p>
        </w:tc>
      </w:tr>
      <w:tr w:rsidR="00BE6B62" w14:paraId="4863AAD4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AC9" w14:textId="77777777" w:rsidR="00BE6B62" w:rsidRDefault="00BE6B62" w:rsidP="0043653C">
            <w:pPr>
              <w:pStyle w:val="Table"/>
            </w:pPr>
            <w:r>
              <w:lastRenderedPageBreak/>
              <w:t xml:space="preserve">D2 Method statement (a) - </w:t>
            </w:r>
            <w:r w:rsidRPr="00534DF0">
              <w:t>Toolkit Design</w:t>
            </w:r>
          </w:p>
        </w:tc>
        <w:tc>
          <w:tcPr>
            <w:tcW w:w="2977" w:type="dxa"/>
            <w:vAlign w:val="center"/>
          </w:tcPr>
          <w:p w14:paraId="4863AACA" w14:textId="77777777" w:rsidR="00BE6B62" w:rsidRDefault="00BE6B62" w:rsidP="0043653C">
            <w:pPr>
              <w:pStyle w:val="Table"/>
            </w:pPr>
            <w:r>
              <w:t xml:space="preserve">Seeks to establish how the bidder will deliver successful outcomes in terms of </w:t>
            </w:r>
            <w:r w:rsidRPr="00534DF0">
              <w:rPr>
                <w:b/>
              </w:rPr>
              <w:t>Toolkit Design</w:t>
            </w:r>
          </w:p>
        </w:tc>
        <w:tc>
          <w:tcPr>
            <w:tcW w:w="3544" w:type="dxa"/>
            <w:vAlign w:val="center"/>
          </w:tcPr>
          <w:p w14:paraId="4863AACB" w14:textId="5C4BE030" w:rsidR="00BE6B62" w:rsidRPr="005064B6" w:rsidRDefault="00BE6B62" w:rsidP="00D33D1E">
            <w:pPr>
              <w:pStyle w:val="Table"/>
            </w:pPr>
            <w:r>
              <w:t xml:space="preserve">Method statement (a) - Describe with specific reference to the elements of the requirements in </w:t>
            </w:r>
            <w:r w:rsidR="00952622">
              <w:t>attachment 3</w:t>
            </w:r>
            <w:r>
              <w:t xml:space="preserve"> and the outcomes expected how you intend to deliver the requirements of the specification for </w:t>
            </w:r>
            <w:r w:rsidRPr="00534DF0">
              <w:rPr>
                <w:b/>
              </w:rPr>
              <w:t>Toolkit Design</w:t>
            </w:r>
            <w:r w:rsidDel="00534DF0">
              <w:t xml:space="preserve"> </w:t>
            </w:r>
            <w:r>
              <w:t>(</w:t>
            </w:r>
            <w:r w:rsidR="00D33D1E">
              <w:t>Milestone 1</w:t>
            </w:r>
            <w:r w:rsidR="008D581C">
              <w:t>, stage 1 and 2</w:t>
            </w:r>
            <w:r>
              <w:t>).</w:t>
            </w:r>
          </w:p>
        </w:tc>
        <w:tc>
          <w:tcPr>
            <w:tcW w:w="4110" w:type="dxa"/>
            <w:vAlign w:val="center"/>
          </w:tcPr>
          <w:p w14:paraId="4863AACC" w14:textId="77777777" w:rsidR="00BE6B62" w:rsidRDefault="00BE6B62" w:rsidP="0043653C">
            <w:pPr>
              <w:pStyle w:val="Table"/>
            </w:pPr>
            <w:r>
              <w:t>The Bidder’s response is relevant to this procurement in terms of:</w:t>
            </w:r>
          </w:p>
          <w:p w14:paraId="4863AACD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understanding of the requirement</w:t>
            </w:r>
          </w:p>
          <w:p w14:paraId="4863AACF" w14:textId="3E127633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demonstrating e</w:t>
            </w:r>
            <w:r w:rsidRPr="00727E9C">
              <w:t>xpertise and</w:t>
            </w:r>
            <w:r>
              <w:t xml:space="preserve"> </w:t>
            </w:r>
            <w:r w:rsidRPr="00727E9C">
              <w:t>knowledge of the existing evidence base on C</w:t>
            </w:r>
            <w:r>
              <w:t>arers Passports</w:t>
            </w:r>
            <w:r w:rsidR="00E31EBC">
              <w:t xml:space="preserve"> </w:t>
            </w:r>
          </w:p>
          <w:p w14:paraId="4863AAD0" w14:textId="25483547" w:rsidR="00BE6B62" w:rsidRDefault="00E31EBC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 xml:space="preserve">demonstrates </w:t>
            </w:r>
            <w:r w:rsidR="00BE6B62">
              <w:rPr>
                <w:rFonts w:cs="Calibri"/>
              </w:rPr>
              <w:t>c</w:t>
            </w:r>
            <w:r w:rsidR="00BE6B62" w:rsidRPr="001032C7">
              <w:rPr>
                <w:rFonts w:cs="Calibri"/>
              </w:rPr>
              <w:t>ontacts and credibility with those in health settings and local authorities, as well as employers</w:t>
            </w:r>
            <w:r>
              <w:rPr>
                <w:rFonts w:cs="Calibri"/>
              </w:rPr>
              <w:t xml:space="preserve"> and other relevant groups</w:t>
            </w:r>
            <w:r w:rsidR="00BE6B62" w:rsidRPr="001032C7">
              <w:rPr>
                <w:rFonts w:cs="Calibri"/>
              </w:rPr>
              <w:t xml:space="preserve">, who have </w:t>
            </w:r>
            <w:r>
              <w:rPr>
                <w:rFonts w:cs="Calibri"/>
              </w:rPr>
              <w:t>produced</w:t>
            </w:r>
            <w:r w:rsidR="00B43A68">
              <w:rPr>
                <w:rFonts w:cs="Calibri"/>
              </w:rPr>
              <w:t xml:space="preserve"> carers’ passport schemes</w:t>
            </w:r>
            <w:r w:rsidR="00BE6B62" w:rsidRPr="001032C7">
              <w:rPr>
                <w:rFonts w:cs="Calibri"/>
              </w:rPr>
              <w:t xml:space="preserve"> at the local level</w:t>
            </w:r>
          </w:p>
          <w:p w14:paraId="4863AAD1" w14:textId="5445C423" w:rsidR="00BE6B62" w:rsidRDefault="00E31EBC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having a credible approach to</w:t>
            </w:r>
            <w:r w:rsidR="00BE6B62">
              <w:t xml:space="preserve"> scoping,</w:t>
            </w:r>
            <w:r w:rsidR="00BE6B62" w:rsidRPr="005379A3">
              <w:t xml:space="preserve"> </w:t>
            </w:r>
            <w:r w:rsidR="00BE6B62">
              <w:t xml:space="preserve">collating and </w:t>
            </w:r>
            <w:r w:rsidR="00BE6B62" w:rsidRPr="005379A3">
              <w:t>assessing evidenc</w:t>
            </w:r>
            <w:r w:rsidR="00BE6B62">
              <w:t>e, including on Carers’ passport schemes,</w:t>
            </w:r>
            <w:r w:rsidR="00BE6B62" w:rsidRPr="005379A3">
              <w:t xml:space="preserve"> and drawing out </w:t>
            </w:r>
            <w:r>
              <w:t xml:space="preserve">valid </w:t>
            </w:r>
            <w:r w:rsidR="00723D0D">
              <w:t xml:space="preserve"> </w:t>
            </w:r>
            <w:r w:rsidR="00BE6B62" w:rsidRPr="005379A3">
              <w:t>recommendations</w:t>
            </w:r>
            <w:r w:rsidR="00325BC8">
              <w:t xml:space="preserve"> for the models of schemes that the passports should support,  </w:t>
            </w:r>
            <w:r w:rsidR="00BE6B62">
              <w:t xml:space="preserve"> based on best practice from that evidence base</w:t>
            </w:r>
          </w:p>
          <w:p w14:paraId="4863AAD2" w14:textId="5D1FC559" w:rsidR="00BE6B62" w:rsidRDefault="00BE6B62" w:rsidP="008D6EFD">
            <w:pPr>
              <w:pStyle w:val="Table"/>
              <w:ind w:left="317"/>
            </w:pPr>
          </w:p>
        </w:tc>
        <w:tc>
          <w:tcPr>
            <w:tcW w:w="1228" w:type="dxa"/>
            <w:vAlign w:val="center"/>
          </w:tcPr>
          <w:p w14:paraId="4863AAD3" w14:textId="6B696080" w:rsidR="00BE6B62" w:rsidRDefault="00E07417" w:rsidP="009C10DB">
            <w:pPr>
              <w:pStyle w:val="Table"/>
              <w:ind w:left="74"/>
              <w:jc w:val="center"/>
            </w:pPr>
            <w:r>
              <w:t>2</w:t>
            </w:r>
            <w:r w:rsidR="009C10DB">
              <w:t>0</w:t>
            </w:r>
            <w:r w:rsidR="00BE6B62" w:rsidRPr="005064B6">
              <w:t>%</w:t>
            </w:r>
          </w:p>
        </w:tc>
      </w:tr>
      <w:tr w:rsidR="00BE6B62" w14:paraId="4863AAE0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AD5" w14:textId="77777777" w:rsidR="00BE6B62" w:rsidRDefault="00BE6B62" w:rsidP="0043653C">
            <w:pPr>
              <w:pStyle w:val="Table"/>
            </w:pPr>
            <w:r>
              <w:lastRenderedPageBreak/>
              <w:t xml:space="preserve">D2 Method statement (b) - </w:t>
            </w:r>
          </w:p>
          <w:p w14:paraId="4863AAD6" w14:textId="41A15FEE" w:rsidR="00BE6B62" w:rsidRPr="00770682" w:rsidRDefault="00D92D75" w:rsidP="00D92D75">
            <w:pPr>
              <w:pStyle w:val="Table"/>
            </w:pPr>
            <w:r>
              <w:t xml:space="preserve">Develop the </w:t>
            </w:r>
            <w:r w:rsidR="00BE6B62" w:rsidRPr="00770682">
              <w:t>Toolkit</w:t>
            </w:r>
            <w:r>
              <w:t>, including guidance</w:t>
            </w:r>
            <w:r w:rsidR="00BE6B62" w:rsidRPr="00770682">
              <w:t xml:space="preserve"> </w:t>
            </w:r>
            <w:r w:rsidR="00903B3C">
              <w:t xml:space="preserve">and </w:t>
            </w:r>
            <w:r w:rsidR="00BE6B62" w:rsidRPr="00770682">
              <w:t>publication</w:t>
            </w:r>
            <w:r>
              <w:t xml:space="preserve"> proposal</w:t>
            </w:r>
          </w:p>
        </w:tc>
        <w:tc>
          <w:tcPr>
            <w:tcW w:w="2977" w:type="dxa"/>
            <w:vAlign w:val="center"/>
          </w:tcPr>
          <w:p w14:paraId="4863AAD7" w14:textId="206353FB" w:rsidR="00BE6B62" w:rsidRPr="00903B3C" w:rsidRDefault="00BE6B62" w:rsidP="00D92D75">
            <w:pPr>
              <w:pStyle w:val="Table"/>
            </w:pPr>
            <w:r w:rsidRPr="00903B3C">
              <w:t xml:space="preserve">Seeks to establish how the bidder will deliverer successful outcomes in terms of </w:t>
            </w:r>
            <w:r w:rsidR="00D92D75">
              <w:rPr>
                <w:b/>
              </w:rPr>
              <w:t xml:space="preserve">Developing </w:t>
            </w:r>
            <w:r w:rsidR="00903B3C" w:rsidRPr="00903B3C">
              <w:t xml:space="preserve">the </w:t>
            </w:r>
            <w:r w:rsidRPr="00903B3C">
              <w:t>Toolkit</w:t>
            </w:r>
            <w:r w:rsidR="00903B3C" w:rsidRPr="00903B3C">
              <w:t xml:space="preserve"> &amp; guidance; and </w:t>
            </w:r>
            <w:r w:rsidR="00325BC8">
              <w:t xml:space="preserve">your </w:t>
            </w:r>
            <w:r w:rsidR="00903B3C" w:rsidRPr="00903B3C">
              <w:t>proposals for Toolkit</w:t>
            </w:r>
            <w:r w:rsidR="008D6EFD">
              <w:t xml:space="preserve"> </w:t>
            </w:r>
            <w:r w:rsidRPr="00D92D75">
              <w:t>publication</w:t>
            </w:r>
          </w:p>
        </w:tc>
        <w:tc>
          <w:tcPr>
            <w:tcW w:w="3544" w:type="dxa"/>
            <w:vAlign w:val="center"/>
          </w:tcPr>
          <w:p w14:paraId="4863AAD8" w14:textId="17AEA58D" w:rsidR="00BE6B62" w:rsidRDefault="00BE6B62" w:rsidP="00D92D75">
            <w:pPr>
              <w:pStyle w:val="Table"/>
            </w:pPr>
            <w:r>
              <w:t xml:space="preserve">Method statement (b) - Describe with specific reference to the elements of the requirements in </w:t>
            </w:r>
            <w:r w:rsidR="00952622" w:rsidRPr="00952622">
              <w:t>attachment 3</w:t>
            </w:r>
            <w:r>
              <w:t xml:space="preserve"> and the outcomes expected how you intend to deliver the requirements of the specification </w:t>
            </w:r>
            <w:r w:rsidR="00D92D75">
              <w:t xml:space="preserve">to </w:t>
            </w:r>
            <w:r w:rsidR="00D92D75" w:rsidRPr="00D92D75">
              <w:rPr>
                <w:b/>
              </w:rPr>
              <w:t>Develop the</w:t>
            </w:r>
            <w:r w:rsidR="00D92D75">
              <w:t xml:space="preserve"> </w:t>
            </w:r>
            <w:r w:rsidRPr="00770682">
              <w:rPr>
                <w:b/>
              </w:rPr>
              <w:t>Toolkit</w:t>
            </w:r>
            <w:r w:rsidR="00903B3C">
              <w:rPr>
                <w:b/>
              </w:rPr>
              <w:t xml:space="preserve"> </w:t>
            </w:r>
            <w:r>
              <w:t>(</w:t>
            </w:r>
            <w:r w:rsidR="00D33D1E">
              <w:t>Milestone 2</w:t>
            </w:r>
            <w:r w:rsidR="008D581C">
              <w:t>, stage 3</w:t>
            </w:r>
            <w:r>
              <w:t>).</w:t>
            </w:r>
          </w:p>
        </w:tc>
        <w:tc>
          <w:tcPr>
            <w:tcW w:w="4110" w:type="dxa"/>
            <w:vAlign w:val="center"/>
          </w:tcPr>
          <w:p w14:paraId="4863AAD9" w14:textId="77777777" w:rsidR="00BE6B62" w:rsidRDefault="00BE6B62" w:rsidP="0043653C">
            <w:pPr>
              <w:pStyle w:val="Table"/>
            </w:pPr>
            <w:r>
              <w:t>The Bidder’s response is relevant to this procurement in terms of:</w:t>
            </w:r>
          </w:p>
          <w:p w14:paraId="4863AADA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understanding of the requirement</w:t>
            </w:r>
          </w:p>
          <w:p w14:paraId="4863AADC" w14:textId="4D255DC6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 xml:space="preserve">demonstrating </w:t>
            </w:r>
            <w:r w:rsidR="00903B3C">
              <w:t xml:space="preserve">credible approach to </w:t>
            </w:r>
            <w:r w:rsidR="008D581C">
              <w:t xml:space="preserve">fully </w:t>
            </w:r>
            <w:r w:rsidRPr="00733C90">
              <w:t xml:space="preserve">developing </w:t>
            </w:r>
            <w:r>
              <w:t>and delivering/supporting this kind of product</w:t>
            </w:r>
          </w:p>
          <w:p w14:paraId="4863AADD" w14:textId="2D8B47BA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 xml:space="preserve">having </w:t>
            </w:r>
            <w:r w:rsidR="00D33D1E">
              <w:t>a credible approach</w:t>
            </w:r>
            <w:r w:rsidRPr="00A204E9">
              <w:t xml:space="preserve"> to assess</w:t>
            </w:r>
            <w:r w:rsidR="00D33D1E">
              <w:t>ing</w:t>
            </w:r>
            <w:r w:rsidRPr="00A204E9">
              <w:t xml:space="preserve"> the evidence and bring</w:t>
            </w:r>
            <w:r w:rsidR="00D33D1E">
              <w:t>ing</w:t>
            </w:r>
            <w:r w:rsidRPr="00A204E9">
              <w:t xml:space="preserve"> together a finalised Toolkit product for publication</w:t>
            </w:r>
          </w:p>
          <w:p w14:paraId="4863AADE" w14:textId="534B7965" w:rsidR="00BE6B62" w:rsidRDefault="00BE6B62" w:rsidP="00325BC8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 xml:space="preserve">a suitable proposal for </w:t>
            </w:r>
            <w:r w:rsidR="00325BC8">
              <w:t xml:space="preserve">how you will securely host </w:t>
            </w:r>
            <w:r w:rsidRPr="00A204E9">
              <w:t>the Toolkit</w:t>
            </w:r>
            <w:r>
              <w:t xml:space="preserve"> (models, guidance, templates) online, be it on the contractor’s own website or another suitable site.</w:t>
            </w:r>
          </w:p>
        </w:tc>
        <w:tc>
          <w:tcPr>
            <w:tcW w:w="1228" w:type="dxa"/>
            <w:vAlign w:val="center"/>
          </w:tcPr>
          <w:p w14:paraId="4863AADF" w14:textId="77777777" w:rsidR="00BE6B62" w:rsidRDefault="00BE6B62" w:rsidP="0043653C">
            <w:pPr>
              <w:pStyle w:val="Table"/>
              <w:ind w:left="74"/>
              <w:jc w:val="center"/>
            </w:pPr>
            <w:r>
              <w:t>20%</w:t>
            </w:r>
          </w:p>
        </w:tc>
      </w:tr>
      <w:tr w:rsidR="00BE6B62" w14:paraId="4863AAED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AE1" w14:textId="117CF4D5" w:rsidR="00BE6B62" w:rsidRDefault="00BE6B62" w:rsidP="00D92D75">
            <w:pPr>
              <w:pStyle w:val="Table"/>
            </w:pPr>
            <w:r w:rsidRPr="00F90D16">
              <w:lastRenderedPageBreak/>
              <w:t>D2 Meth</w:t>
            </w:r>
            <w:r>
              <w:t>od statement (c</w:t>
            </w:r>
            <w:r w:rsidRPr="00F90D16">
              <w:t xml:space="preserve">) </w:t>
            </w:r>
            <w:r>
              <w:t>–</w:t>
            </w:r>
            <w:r w:rsidR="008D581C">
              <w:t>launch</w:t>
            </w:r>
            <w:r w:rsidR="00D92D75">
              <w:t xml:space="preserve"> Toolkit; </w:t>
            </w:r>
            <w:r w:rsidR="00D92D75" w:rsidRPr="00D92D75">
              <w:t>and encourage and support uptake/adoption</w:t>
            </w:r>
          </w:p>
        </w:tc>
        <w:tc>
          <w:tcPr>
            <w:tcW w:w="2977" w:type="dxa"/>
            <w:vAlign w:val="center"/>
          </w:tcPr>
          <w:p w14:paraId="4863AAE2" w14:textId="01C93A64" w:rsidR="00BE6B62" w:rsidRDefault="00BE6B62" w:rsidP="00325BC8">
            <w:pPr>
              <w:pStyle w:val="Table"/>
            </w:pPr>
            <w:r>
              <w:t xml:space="preserve">Seeks to establish how the bidder will deliver successful outcomes in terms of </w:t>
            </w:r>
            <w:r w:rsidRPr="00014201">
              <w:rPr>
                <w:b/>
              </w:rPr>
              <w:t xml:space="preserve">Toolkit </w:t>
            </w:r>
            <w:r w:rsidR="008D581C">
              <w:rPr>
                <w:b/>
              </w:rPr>
              <w:t>launch</w:t>
            </w:r>
            <w:r w:rsidR="00325BC8">
              <w:rPr>
                <w:b/>
              </w:rPr>
              <w:t>,</w:t>
            </w:r>
            <w:r w:rsidR="008D581C">
              <w:rPr>
                <w:b/>
              </w:rPr>
              <w:t xml:space="preserve"> </w:t>
            </w:r>
            <w:r w:rsidR="00325BC8">
              <w:rPr>
                <w:b/>
              </w:rPr>
              <w:t xml:space="preserve">and encourage and support </w:t>
            </w:r>
            <w:r w:rsidRPr="00014201">
              <w:rPr>
                <w:b/>
              </w:rPr>
              <w:t>uptake</w:t>
            </w:r>
            <w:r w:rsidR="00325BC8">
              <w:rPr>
                <w:b/>
              </w:rPr>
              <w:t xml:space="preserve"> and adoption</w:t>
            </w:r>
          </w:p>
        </w:tc>
        <w:tc>
          <w:tcPr>
            <w:tcW w:w="3544" w:type="dxa"/>
            <w:vAlign w:val="center"/>
          </w:tcPr>
          <w:p w14:paraId="4863AAE3" w14:textId="052851F9" w:rsidR="00BE6B62" w:rsidRDefault="00BE6B62" w:rsidP="00325BC8">
            <w:pPr>
              <w:pStyle w:val="Table"/>
            </w:pPr>
            <w:r>
              <w:t xml:space="preserve">Method statement (c) - Describe with specific reference to the elements of the requirements in </w:t>
            </w:r>
            <w:r w:rsidR="00952622">
              <w:t>attachment 3</w:t>
            </w:r>
            <w:r>
              <w:t xml:space="preserve"> and the outcomes expected how you intend to deliver the requirements of the specification for </w:t>
            </w:r>
            <w:r w:rsidRPr="00014201">
              <w:rPr>
                <w:b/>
              </w:rPr>
              <w:t>Toolkit</w:t>
            </w:r>
            <w:r w:rsidR="008D581C">
              <w:rPr>
                <w:b/>
              </w:rPr>
              <w:t xml:space="preserve"> launch,</w:t>
            </w:r>
            <w:r w:rsidRPr="00014201">
              <w:rPr>
                <w:b/>
              </w:rPr>
              <w:t xml:space="preserve"> </w:t>
            </w:r>
            <w:r w:rsidR="00325BC8">
              <w:rPr>
                <w:b/>
              </w:rPr>
              <w:t>and how you will encourage and support uptake and adoption</w:t>
            </w:r>
            <w:r w:rsidRPr="00014201">
              <w:rPr>
                <w:b/>
              </w:rPr>
              <w:t xml:space="preserve"> </w:t>
            </w:r>
            <w:r>
              <w:t>(</w:t>
            </w:r>
            <w:r w:rsidR="00903B3C">
              <w:t>Milestone 3</w:t>
            </w:r>
            <w:r w:rsidR="00325BC8">
              <w:t>, stage 4</w:t>
            </w:r>
            <w:r>
              <w:t>).</w:t>
            </w:r>
          </w:p>
        </w:tc>
        <w:tc>
          <w:tcPr>
            <w:tcW w:w="4110" w:type="dxa"/>
            <w:vAlign w:val="center"/>
          </w:tcPr>
          <w:p w14:paraId="4863AAE4" w14:textId="77777777" w:rsidR="00BE6B62" w:rsidRDefault="00BE6B62" w:rsidP="0043653C">
            <w:pPr>
              <w:pStyle w:val="Table"/>
            </w:pPr>
            <w:r>
              <w:t>The Bidder’s response is relevant to this procurement in terms of:</w:t>
            </w:r>
          </w:p>
          <w:p w14:paraId="4863AAE5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understanding of the requirement</w:t>
            </w:r>
          </w:p>
          <w:p w14:paraId="4863AAE7" w14:textId="26EF21C2" w:rsidR="00BE6B62" w:rsidRPr="0082393D" w:rsidRDefault="008D581C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 xml:space="preserve">demonstrates </w:t>
            </w:r>
            <w:r w:rsidR="00BE6B62">
              <w:rPr>
                <w:rFonts w:cs="Calibri"/>
              </w:rPr>
              <w:t>a na</w:t>
            </w:r>
            <w:r w:rsidR="00BE6B62" w:rsidRPr="00551BBF">
              <w:rPr>
                <w:rFonts w:cs="Calibri"/>
              </w:rPr>
              <w:t>tional</w:t>
            </w:r>
            <w:r w:rsidR="00BE6B62">
              <w:rPr>
                <w:rFonts w:cs="Calibri"/>
              </w:rPr>
              <w:t xml:space="preserve"> (England-wide)</w:t>
            </w:r>
            <w:r w:rsidR="00BE6B62" w:rsidRPr="00551BBF">
              <w:rPr>
                <w:rFonts w:cs="Calibri"/>
              </w:rPr>
              <w:t xml:space="preserve"> reputation among carers, policymakers, the NHS and local authorities with regard to how best to identify, support and value carers</w:t>
            </w:r>
          </w:p>
          <w:p w14:paraId="4863AAE8" w14:textId="66787392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an existing</w:t>
            </w:r>
            <w:r w:rsidR="00325BC8">
              <w:t xml:space="preserve"> or available</w:t>
            </w:r>
            <w:r>
              <w:t xml:space="preserve"> (ideally national) network to mobilise to this purpose</w:t>
            </w:r>
          </w:p>
          <w:p w14:paraId="4863AAE9" w14:textId="32CA6547" w:rsidR="00BE6B62" w:rsidRDefault="008D581C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a credible proposal for</w:t>
            </w:r>
            <w:r w:rsidR="00BE6B62" w:rsidRPr="009C6025">
              <w:t xml:space="preserve"> </w:t>
            </w:r>
            <w:r w:rsidR="00BE6B62">
              <w:t xml:space="preserve">mobilising its own network and/or other networks </w:t>
            </w:r>
          </w:p>
          <w:p w14:paraId="4863AAEA" w14:textId="26B17B21" w:rsidR="00BE6B62" w:rsidRDefault="008D581C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 xml:space="preserve">demonstrates </w:t>
            </w:r>
            <w:r w:rsidR="00BE6B62">
              <w:t>o</w:t>
            </w:r>
            <w:r w:rsidR="00BE6B62" w:rsidRPr="009C6025">
              <w:t>rganisational capability and capacity to organise</w:t>
            </w:r>
            <w:r w:rsidR="00BE6B62">
              <w:t xml:space="preserve"> network-wide communications</w:t>
            </w:r>
          </w:p>
          <w:p w14:paraId="7B9A0682" w14:textId="17D28D3C" w:rsidR="008D581C" w:rsidRDefault="008D581C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having a credible proposal</w:t>
            </w:r>
            <w:r w:rsidR="00BE6B62" w:rsidRPr="00204ED7">
              <w:t xml:space="preserve"> to monitor </w:t>
            </w:r>
            <w:r w:rsidR="00BE6B62">
              <w:t>uptake of passport schemes.</w:t>
            </w:r>
          </w:p>
          <w:p w14:paraId="79B8D71C" w14:textId="77777777" w:rsidR="008D581C" w:rsidRDefault="008D581C" w:rsidP="00275870">
            <w:pPr>
              <w:pStyle w:val="Table"/>
              <w:ind w:left="2880"/>
            </w:pPr>
          </w:p>
          <w:p w14:paraId="4863AAEB" w14:textId="0380E6FB" w:rsidR="00BE6B62" w:rsidRDefault="00BE6B62" w:rsidP="00275870">
            <w:pPr>
              <w:pStyle w:val="Table"/>
              <w:numPr>
                <w:ilvl w:val="3"/>
                <w:numId w:val="1"/>
              </w:numPr>
              <w:ind w:left="317" w:hanging="2847"/>
            </w:pPr>
          </w:p>
        </w:tc>
        <w:tc>
          <w:tcPr>
            <w:tcW w:w="1228" w:type="dxa"/>
            <w:vAlign w:val="center"/>
          </w:tcPr>
          <w:p w14:paraId="4863AAEC" w14:textId="77777777" w:rsidR="00BE6B62" w:rsidRDefault="00BE6B62" w:rsidP="0043653C">
            <w:pPr>
              <w:pStyle w:val="Table"/>
              <w:ind w:left="74"/>
              <w:jc w:val="center"/>
            </w:pPr>
            <w:r>
              <w:t>25%</w:t>
            </w:r>
          </w:p>
        </w:tc>
      </w:tr>
      <w:tr w:rsidR="00BE6B62" w:rsidRPr="004468C0" w14:paraId="4863AAF6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AEE" w14:textId="77777777" w:rsidR="00BE6B62" w:rsidRPr="00A2485C" w:rsidRDefault="00BE6B62" w:rsidP="0043653C">
            <w:pPr>
              <w:pStyle w:val="Table"/>
            </w:pPr>
            <w:r>
              <w:t>D3 Governance and Risk Management</w:t>
            </w:r>
          </w:p>
        </w:tc>
        <w:tc>
          <w:tcPr>
            <w:tcW w:w="2977" w:type="dxa"/>
            <w:vAlign w:val="center"/>
          </w:tcPr>
          <w:p w14:paraId="4863AAEF" w14:textId="77777777" w:rsidR="00BE6B62" w:rsidRPr="009A7DEF" w:rsidRDefault="00BE6B62" w:rsidP="0043653C">
            <w:pPr>
              <w:pStyle w:val="Table"/>
            </w:pPr>
            <w:r>
              <w:t>Seeks to identify what arrangements would be put in place to oversee the function and mitigate risk to the provider.</w:t>
            </w:r>
          </w:p>
        </w:tc>
        <w:tc>
          <w:tcPr>
            <w:tcW w:w="3544" w:type="dxa"/>
            <w:vAlign w:val="center"/>
          </w:tcPr>
          <w:p w14:paraId="4863AAF0" w14:textId="77777777" w:rsidR="00BE6B62" w:rsidRPr="002C1DE9" w:rsidRDefault="00BE6B62" w:rsidP="0043653C">
            <w:pPr>
              <w:pStyle w:val="Table"/>
            </w:pPr>
            <w:r>
              <w:t>Bidder</w:t>
            </w:r>
            <w:r w:rsidRPr="0033248C">
              <w:t xml:space="preserve"> to </w:t>
            </w:r>
            <w:r>
              <w:t xml:space="preserve">describe </w:t>
            </w:r>
            <w:r w:rsidRPr="0033248C">
              <w:t xml:space="preserve">the governance and </w:t>
            </w:r>
            <w:r>
              <w:t>risk management</w:t>
            </w:r>
            <w:r w:rsidRPr="0033248C">
              <w:t xml:space="preserve"> arrangements </w:t>
            </w:r>
            <w:r>
              <w:t xml:space="preserve">it </w:t>
            </w:r>
            <w:r w:rsidRPr="0033248C">
              <w:t>would put in place for safeguarding this function</w:t>
            </w:r>
          </w:p>
        </w:tc>
        <w:tc>
          <w:tcPr>
            <w:tcW w:w="4110" w:type="dxa"/>
            <w:vAlign w:val="center"/>
          </w:tcPr>
          <w:p w14:paraId="4863AAF1" w14:textId="77777777" w:rsidR="00BE6B62" w:rsidRDefault="00BE6B62" w:rsidP="0043653C">
            <w:pPr>
              <w:pStyle w:val="Table"/>
            </w:pPr>
            <w:r>
              <w:t>The Bidder’s response shows that it is:</w:t>
            </w:r>
          </w:p>
          <w:p w14:paraId="4863AAF2" w14:textId="5191DD1E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aware of the risks in providing the service</w:t>
            </w:r>
            <w:r w:rsidR="000007DA">
              <w:t xml:space="preserve"> and can manage these</w:t>
            </w:r>
            <w:r w:rsidR="00851DF1">
              <w:t xml:space="preserve"> risks</w:t>
            </w:r>
          </w:p>
          <w:p w14:paraId="4863AAF3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has sufficient plans in place to oversee the function and mitigate the risks</w:t>
            </w:r>
          </w:p>
          <w:p w14:paraId="4863AAF4" w14:textId="77777777" w:rsidR="00BE6B62" w:rsidRPr="0012747E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has a quality assurance regime that monitors, measures and assures quality outcomes</w:t>
            </w:r>
          </w:p>
        </w:tc>
        <w:tc>
          <w:tcPr>
            <w:tcW w:w="1228" w:type="dxa"/>
            <w:vAlign w:val="center"/>
          </w:tcPr>
          <w:p w14:paraId="4863AAF5" w14:textId="77777777" w:rsidR="00BE6B62" w:rsidRPr="004468C0" w:rsidRDefault="00E07417" w:rsidP="0043653C">
            <w:pPr>
              <w:pStyle w:val="Table"/>
              <w:ind w:left="74"/>
              <w:jc w:val="center"/>
            </w:pPr>
            <w:r>
              <w:t>10</w:t>
            </w:r>
            <w:r w:rsidR="00BE6B62">
              <w:t>%</w:t>
            </w:r>
          </w:p>
        </w:tc>
      </w:tr>
      <w:tr w:rsidR="00BE6B62" w:rsidDel="00204ED7" w14:paraId="4863AB06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AF7" w14:textId="77777777" w:rsidR="00BE6B62" w:rsidDel="00204ED7" w:rsidRDefault="00BE6B62" w:rsidP="0043653C">
            <w:pPr>
              <w:pStyle w:val="Table"/>
            </w:pPr>
            <w:r>
              <w:lastRenderedPageBreak/>
              <w:t>D4 - Project  Management</w:t>
            </w:r>
          </w:p>
        </w:tc>
        <w:tc>
          <w:tcPr>
            <w:tcW w:w="2977" w:type="dxa"/>
            <w:vAlign w:val="center"/>
          </w:tcPr>
          <w:p w14:paraId="4863AAF8" w14:textId="77777777" w:rsidR="00BE6B62" w:rsidDel="00204ED7" w:rsidRDefault="00BE6B62" w:rsidP="0043653C">
            <w:pPr>
              <w:pStyle w:val="Table"/>
            </w:pPr>
            <w:r w:rsidRPr="005C0A7E">
              <w:t xml:space="preserve">Seeks to establish that the </w:t>
            </w:r>
            <w:r>
              <w:t>bidde</w:t>
            </w:r>
            <w:r w:rsidRPr="005C0A7E">
              <w:t xml:space="preserve">r has the necessary management and project delivery methods and resources to successfully deliver the </w:t>
            </w:r>
            <w:r>
              <w:t>s</w:t>
            </w:r>
            <w:r w:rsidRPr="005C0A7E">
              <w:t>pecification</w:t>
            </w:r>
          </w:p>
        </w:tc>
        <w:tc>
          <w:tcPr>
            <w:tcW w:w="3544" w:type="dxa"/>
            <w:vAlign w:val="center"/>
          </w:tcPr>
          <w:p w14:paraId="4863AAF9" w14:textId="0DEF3E3E" w:rsidR="00BE6B62" w:rsidRPr="00087A86" w:rsidRDefault="00BE6B62" w:rsidP="0043653C">
            <w:pPr>
              <w:pStyle w:val="Table"/>
            </w:pPr>
            <w:r w:rsidRPr="00087A86">
              <w:t>The Bidder must outline the processes and resources it proposes to use in order to fulfil the Authority’s requirements:</w:t>
            </w:r>
          </w:p>
          <w:p w14:paraId="4863AAFA" w14:textId="77777777" w:rsidR="00BE6B62" w:rsidRPr="00087A86" w:rsidRDefault="00BE6B62" w:rsidP="0043653C">
            <w:pPr>
              <w:pStyle w:val="Table"/>
            </w:pPr>
          </w:p>
          <w:p w14:paraId="4863AAFB" w14:textId="77777777" w:rsidR="00BE6B62" w:rsidRPr="00087A86" w:rsidRDefault="00BE6B62" w:rsidP="0043653C">
            <w:pPr>
              <w:pStyle w:val="Table"/>
            </w:pPr>
            <w:r w:rsidRPr="00087A86">
              <w:t>Tenderer should demonstrate how it will:</w:t>
            </w:r>
          </w:p>
          <w:p w14:paraId="4863AAFC" w14:textId="77777777" w:rsidR="00BE6B62" w:rsidRPr="00087A86" w:rsidRDefault="00BE6B62" w:rsidP="00BE6B62">
            <w:pPr>
              <w:pStyle w:val="Table"/>
              <w:numPr>
                <w:ilvl w:val="0"/>
                <w:numId w:val="2"/>
              </w:numPr>
              <w:ind w:left="317" w:hanging="284"/>
            </w:pPr>
            <w:r w:rsidRPr="00087A86">
              <w:t>comply with the timetable;</w:t>
            </w:r>
          </w:p>
          <w:p w14:paraId="4863AAFD" w14:textId="0329D6CC" w:rsidR="00BE6B62" w:rsidRPr="00087A86" w:rsidRDefault="00BE6B62" w:rsidP="000007DA">
            <w:pPr>
              <w:pStyle w:val="Table"/>
              <w:ind w:left="33"/>
            </w:pPr>
          </w:p>
          <w:p w14:paraId="4863AAFE" w14:textId="77777777" w:rsidR="00BE6B62" w:rsidRPr="00087A86" w:rsidRDefault="00BE6B62" w:rsidP="00BE6B62">
            <w:pPr>
              <w:pStyle w:val="Table"/>
              <w:numPr>
                <w:ilvl w:val="0"/>
                <w:numId w:val="2"/>
              </w:numPr>
              <w:ind w:left="317" w:hanging="284"/>
            </w:pPr>
            <w:r w:rsidRPr="00087A86">
              <w:t>adhere to the required/proposed quality standards;</w:t>
            </w:r>
          </w:p>
          <w:p w14:paraId="4863AAFF" w14:textId="77777777" w:rsidR="00BE6B62" w:rsidRPr="00087A86" w:rsidDel="00204ED7" w:rsidRDefault="00BE6B62" w:rsidP="00BE6B62">
            <w:pPr>
              <w:pStyle w:val="Table"/>
              <w:numPr>
                <w:ilvl w:val="0"/>
                <w:numId w:val="2"/>
              </w:numPr>
              <w:ind w:left="317" w:hanging="284"/>
            </w:pPr>
            <w:r w:rsidRPr="00087A86">
              <w:t>monitor and report on the Authority’s management information requests and key performance indicators.</w:t>
            </w:r>
          </w:p>
        </w:tc>
        <w:tc>
          <w:tcPr>
            <w:tcW w:w="4110" w:type="dxa"/>
            <w:vAlign w:val="center"/>
          </w:tcPr>
          <w:p w14:paraId="4863AB00" w14:textId="77777777" w:rsidR="00BE6B62" w:rsidRDefault="00BE6B62" w:rsidP="0043653C">
            <w:pPr>
              <w:pStyle w:val="Table"/>
            </w:pPr>
            <w:r w:rsidRPr="005C0A7E">
              <w:t xml:space="preserve">The </w:t>
            </w:r>
            <w:r w:rsidR="00464520">
              <w:t>Bidder</w:t>
            </w:r>
            <w:r w:rsidRPr="005C0A7E">
              <w:t>’s response shows that it</w:t>
            </w:r>
            <w:r>
              <w:t>:</w:t>
            </w:r>
          </w:p>
          <w:p w14:paraId="4863AB01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</w:t>
            </w:r>
            <w:r w:rsidRPr="005C0A7E">
              <w:t>as provided sufficient resource to deliver the Method Statement proposals</w:t>
            </w:r>
          </w:p>
          <w:p w14:paraId="4863AB02" w14:textId="1D998932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</w:t>
            </w:r>
            <w:r w:rsidRPr="005C0A7E">
              <w:t>as assigned suitabl</w:t>
            </w:r>
            <w:r w:rsidR="000007DA">
              <w:t>e</w:t>
            </w:r>
            <w:r w:rsidR="008D6EFD">
              <w:t xml:space="preserve"> </w:t>
            </w:r>
            <w:r w:rsidRPr="005C0A7E">
              <w:t>resource for service delivery</w:t>
            </w:r>
          </w:p>
          <w:p w14:paraId="4863AB03" w14:textId="77777777" w:rsidR="00BE6B62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</w:t>
            </w:r>
            <w:r w:rsidRPr="005C0A7E">
              <w:t>as identified appropriate management of these resources</w:t>
            </w:r>
          </w:p>
          <w:p w14:paraId="4863AB04" w14:textId="77777777" w:rsidR="00BE6B62" w:rsidRPr="005C0A7E" w:rsidDel="00204ED7" w:rsidRDefault="00BE6B62" w:rsidP="00BE6B62">
            <w:pPr>
              <w:pStyle w:val="Table"/>
              <w:numPr>
                <w:ilvl w:val="3"/>
                <w:numId w:val="1"/>
              </w:numPr>
              <w:ind w:left="317" w:hanging="283"/>
            </w:pPr>
            <w:r>
              <w:t>h</w:t>
            </w:r>
            <w:r w:rsidRPr="005C0A7E">
              <w:t>as a resource plan that integrates with the method statement(s)</w:t>
            </w:r>
          </w:p>
        </w:tc>
        <w:tc>
          <w:tcPr>
            <w:tcW w:w="1228" w:type="dxa"/>
            <w:vAlign w:val="center"/>
          </w:tcPr>
          <w:p w14:paraId="4863AB05" w14:textId="50C2C00B" w:rsidR="00BE6B62" w:rsidDel="00204ED7" w:rsidRDefault="00E07417" w:rsidP="0043653C">
            <w:pPr>
              <w:pStyle w:val="Table"/>
              <w:ind w:left="74"/>
              <w:jc w:val="center"/>
            </w:pPr>
            <w:r>
              <w:t>10</w:t>
            </w:r>
            <w:r w:rsidR="00BE6B62">
              <w:t>%</w:t>
            </w:r>
          </w:p>
        </w:tc>
      </w:tr>
      <w:tr w:rsidR="0059227E" w:rsidDel="00204ED7" w14:paraId="4863AB0F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B07" w14:textId="77777777" w:rsidR="0059227E" w:rsidRPr="00464520" w:rsidRDefault="0059227E" w:rsidP="0043653C">
            <w:pPr>
              <w:pStyle w:val="Table"/>
            </w:pPr>
            <w:r w:rsidRPr="00464520">
              <w:t>D5 - Quality of proposed Project / Delivery Leads</w:t>
            </w:r>
            <w:r w:rsidR="001B7EF9" w:rsidRPr="00464520">
              <w:t xml:space="preserve"> &amp; team</w:t>
            </w:r>
          </w:p>
        </w:tc>
        <w:tc>
          <w:tcPr>
            <w:tcW w:w="2977" w:type="dxa"/>
            <w:vAlign w:val="center"/>
          </w:tcPr>
          <w:p w14:paraId="4863AB08" w14:textId="77777777" w:rsidR="0059227E" w:rsidRPr="005C0A7E" w:rsidRDefault="00464520" w:rsidP="0043653C">
            <w:pPr>
              <w:pStyle w:val="Table"/>
            </w:pPr>
            <w:r w:rsidRPr="00464520">
              <w:t>Seeks to establish that the Bid</w:t>
            </w:r>
            <w:r>
              <w:t>der's Project / Delivery Lead and key team</w:t>
            </w:r>
            <w:r w:rsidRPr="00464520">
              <w:t xml:space="preserve"> </w:t>
            </w:r>
            <w:r>
              <w:t xml:space="preserve">personnel </w:t>
            </w:r>
            <w:r w:rsidRPr="00464520">
              <w:t>have the appropriate skills, qualifications and expertise</w:t>
            </w:r>
          </w:p>
        </w:tc>
        <w:tc>
          <w:tcPr>
            <w:tcW w:w="3544" w:type="dxa"/>
            <w:vAlign w:val="center"/>
          </w:tcPr>
          <w:p w14:paraId="4863AB09" w14:textId="5B36182B" w:rsidR="0059227E" w:rsidRPr="00087A86" w:rsidRDefault="00464520" w:rsidP="00851DF1">
            <w:pPr>
              <w:pStyle w:val="Table"/>
            </w:pPr>
            <w:r w:rsidRPr="00464520">
              <w:t xml:space="preserve">Bidder must provide details of the </w:t>
            </w:r>
            <w:r>
              <w:t xml:space="preserve">Project / Delivery Lead and the </w:t>
            </w:r>
            <w:r w:rsidRPr="00464520">
              <w:t>key team members, highlighting the role each will undertake,</w:t>
            </w:r>
            <w:r>
              <w:t xml:space="preserve"> </w:t>
            </w:r>
            <w:r w:rsidR="000007DA">
              <w:t xml:space="preserve">and </w:t>
            </w:r>
            <w:r w:rsidRPr="00464520">
              <w:t xml:space="preserve">outlining their </w:t>
            </w:r>
            <w:r w:rsidR="00851DF1">
              <w:t>experience</w:t>
            </w:r>
            <w:r w:rsidRPr="00464520">
              <w:t>, skills and competencies</w:t>
            </w:r>
          </w:p>
        </w:tc>
        <w:tc>
          <w:tcPr>
            <w:tcW w:w="4110" w:type="dxa"/>
            <w:vAlign w:val="center"/>
          </w:tcPr>
          <w:p w14:paraId="4863AB0A" w14:textId="77777777" w:rsidR="00464520" w:rsidRDefault="00464520" w:rsidP="00464520">
            <w:pPr>
              <w:pStyle w:val="Table"/>
            </w:pPr>
            <w:r>
              <w:t>The Bidder’s response shows that it:</w:t>
            </w:r>
          </w:p>
          <w:p w14:paraId="4863AB0B" w14:textId="454A087B" w:rsidR="0059227E" w:rsidRDefault="00464520" w:rsidP="00464520">
            <w:pPr>
              <w:pStyle w:val="Table"/>
              <w:numPr>
                <w:ilvl w:val="0"/>
                <w:numId w:val="3"/>
              </w:numPr>
            </w:pPr>
            <w:r>
              <w:t>Has made Project / Delivery Lead arrangements that are suitable with individual(s) that have the appropriate expertise and leadership capability to manage the scope of the requirements</w:t>
            </w:r>
          </w:p>
          <w:p w14:paraId="4863AB0C" w14:textId="77777777" w:rsidR="00464520" w:rsidRDefault="00464520" w:rsidP="00464520">
            <w:pPr>
              <w:pStyle w:val="Table"/>
              <w:numPr>
                <w:ilvl w:val="0"/>
                <w:numId w:val="3"/>
              </w:numPr>
            </w:pPr>
            <w:r>
              <w:t xml:space="preserve">The team has resources with appropriate skills </w:t>
            </w:r>
          </w:p>
          <w:p w14:paraId="4863AB0D" w14:textId="77777777" w:rsidR="00464520" w:rsidRPr="005C0A7E" w:rsidRDefault="00464520" w:rsidP="00464520">
            <w:pPr>
              <w:pStyle w:val="Table"/>
              <w:numPr>
                <w:ilvl w:val="0"/>
                <w:numId w:val="3"/>
              </w:numPr>
            </w:pPr>
            <w:r>
              <w:t>The team demonstrates resources that have with appropriate experience and qualifications</w:t>
            </w:r>
          </w:p>
        </w:tc>
        <w:tc>
          <w:tcPr>
            <w:tcW w:w="1228" w:type="dxa"/>
            <w:vAlign w:val="center"/>
          </w:tcPr>
          <w:p w14:paraId="4863AB0E" w14:textId="77777777" w:rsidR="0059227E" w:rsidRDefault="00E07417" w:rsidP="0043653C">
            <w:pPr>
              <w:pStyle w:val="Table"/>
              <w:ind w:left="74"/>
              <w:jc w:val="center"/>
            </w:pPr>
            <w:r>
              <w:t>15%</w:t>
            </w:r>
          </w:p>
        </w:tc>
      </w:tr>
      <w:tr w:rsidR="00BE6B62" w14:paraId="4863AB17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B10" w14:textId="77777777" w:rsidR="00BE6B62" w:rsidRDefault="001B7EF9" w:rsidP="0043653C">
            <w:pPr>
              <w:pStyle w:val="Table"/>
            </w:pPr>
            <w:r>
              <w:lastRenderedPageBreak/>
              <w:t>D6</w:t>
            </w:r>
            <w:r w:rsidR="00BE6B62">
              <w:t xml:space="preserve"> Contract Transfer and Exit Strategy</w:t>
            </w:r>
          </w:p>
        </w:tc>
        <w:tc>
          <w:tcPr>
            <w:tcW w:w="2977" w:type="dxa"/>
            <w:vAlign w:val="center"/>
          </w:tcPr>
          <w:p w14:paraId="4863AB11" w14:textId="77777777" w:rsidR="00BE6B62" w:rsidRDefault="00BE6B62" w:rsidP="0043653C">
            <w:pPr>
              <w:pStyle w:val="Table"/>
            </w:pPr>
            <w:r>
              <w:t>Seeks to ensure that the Bidder will transfer knowledge back into the Authority and exit the contract in such a way as to facilitate re-procurement and/or project termination</w:t>
            </w:r>
          </w:p>
        </w:tc>
        <w:tc>
          <w:tcPr>
            <w:tcW w:w="3544" w:type="dxa"/>
            <w:vAlign w:val="center"/>
          </w:tcPr>
          <w:p w14:paraId="4863AB12" w14:textId="77777777" w:rsidR="00BE6B62" w:rsidRPr="00FB6009" w:rsidRDefault="00BE6B62" w:rsidP="0043653C">
            <w:pPr>
              <w:pStyle w:val="Table"/>
              <w:rPr>
                <w:strike/>
              </w:rPr>
            </w:pPr>
            <w:r>
              <w:t>Bidder</w:t>
            </w:r>
            <w:r w:rsidRPr="003D581E">
              <w:t xml:space="preserve"> must indicate its plans</w:t>
            </w:r>
            <w:r>
              <w:t xml:space="preserve"> </w:t>
            </w:r>
            <w:r w:rsidRPr="003D581E">
              <w:t>for the transfer of knowledge and</w:t>
            </w:r>
            <w:r>
              <w:t xml:space="preserve"> </w:t>
            </w:r>
            <w:r w:rsidRPr="003D581E">
              <w:t>skills from this activity back to the</w:t>
            </w:r>
            <w:r>
              <w:t xml:space="preserve"> </w:t>
            </w:r>
            <w:r w:rsidRPr="003D581E">
              <w:t>Authority during and at the end of</w:t>
            </w:r>
            <w:r>
              <w:t xml:space="preserve"> </w:t>
            </w:r>
            <w:r w:rsidRPr="003D581E">
              <w:t>the contract.</w:t>
            </w:r>
          </w:p>
        </w:tc>
        <w:tc>
          <w:tcPr>
            <w:tcW w:w="4110" w:type="dxa"/>
            <w:vAlign w:val="center"/>
          </w:tcPr>
          <w:p w14:paraId="4863AB13" w14:textId="77777777" w:rsidR="00BE6B62" w:rsidRPr="00937E5E" w:rsidRDefault="00BE6B62" w:rsidP="0043653C">
            <w:pPr>
              <w:pStyle w:val="Table"/>
            </w:pPr>
            <w:r w:rsidRPr="00937E5E">
              <w:t xml:space="preserve">The Bidder is content to make available all the materials and outputs of the work to the DH.  </w:t>
            </w:r>
          </w:p>
          <w:p w14:paraId="4863AB14" w14:textId="77777777" w:rsidR="00BE6B62" w:rsidRPr="00FB6009" w:rsidRDefault="00BE6B62" w:rsidP="0043653C">
            <w:pPr>
              <w:pStyle w:val="Table"/>
              <w:rPr>
                <w:strike/>
              </w:rPr>
            </w:pPr>
            <w:r w:rsidRPr="00937E5E">
              <w:t>The Bidder’s knowledge transfer arrangements and exit strategy is credible and can achieve the required outputs.</w:t>
            </w:r>
            <w:r>
              <w:t xml:space="preserve">  </w:t>
            </w:r>
          </w:p>
        </w:tc>
        <w:tc>
          <w:tcPr>
            <w:tcW w:w="1228" w:type="dxa"/>
            <w:vAlign w:val="center"/>
          </w:tcPr>
          <w:p w14:paraId="4863AB15" w14:textId="77777777" w:rsidR="00BE6B62" w:rsidRDefault="00BE6B62" w:rsidP="0043653C">
            <w:pPr>
              <w:pStyle w:val="Table"/>
              <w:ind w:left="74"/>
              <w:jc w:val="center"/>
            </w:pPr>
            <w:r>
              <w:t>Not</w:t>
            </w:r>
          </w:p>
          <w:p w14:paraId="4863AB16" w14:textId="77777777" w:rsidR="00BE6B62" w:rsidRDefault="00BE6B62" w:rsidP="0043653C">
            <w:pPr>
              <w:pStyle w:val="Table"/>
              <w:ind w:left="74"/>
              <w:jc w:val="center"/>
            </w:pPr>
            <w:r>
              <w:t>weighted</w:t>
            </w:r>
          </w:p>
        </w:tc>
      </w:tr>
      <w:tr w:rsidR="00BE6B62" w14:paraId="4863AB1F" w14:textId="77777777" w:rsidTr="008D6EFD">
        <w:trPr>
          <w:cantSplit/>
          <w:trHeight w:val="860"/>
        </w:trPr>
        <w:tc>
          <w:tcPr>
            <w:tcW w:w="1843" w:type="dxa"/>
            <w:vAlign w:val="center"/>
          </w:tcPr>
          <w:p w14:paraId="4863AB18" w14:textId="77777777" w:rsidR="00BE6B62" w:rsidRDefault="001B7EF9" w:rsidP="0043653C">
            <w:pPr>
              <w:pStyle w:val="Table"/>
            </w:pPr>
            <w:r>
              <w:t>D7</w:t>
            </w:r>
            <w:r w:rsidR="00BE6B62">
              <w:t xml:space="preserve"> Authority</w:t>
            </w:r>
          </w:p>
          <w:p w14:paraId="4863AB19" w14:textId="77777777" w:rsidR="00BE6B62" w:rsidRDefault="00BE6B62" w:rsidP="0043653C">
            <w:pPr>
              <w:pStyle w:val="Table"/>
            </w:pPr>
            <w:r>
              <w:t>responsibilities</w:t>
            </w:r>
          </w:p>
        </w:tc>
        <w:tc>
          <w:tcPr>
            <w:tcW w:w="2977" w:type="dxa"/>
            <w:vAlign w:val="center"/>
          </w:tcPr>
          <w:p w14:paraId="4863AB1A" w14:textId="77777777" w:rsidR="00BE6B62" w:rsidRDefault="00BE6B62" w:rsidP="0043653C">
            <w:pPr>
              <w:pStyle w:val="Table"/>
            </w:pPr>
            <w:r>
              <w:t>Seeks to ensure that the Bidder is not seeking to transfer unreasonable, material, additional costs or increased risk back to the Authority</w:t>
            </w:r>
          </w:p>
        </w:tc>
        <w:tc>
          <w:tcPr>
            <w:tcW w:w="3544" w:type="dxa"/>
            <w:vAlign w:val="center"/>
          </w:tcPr>
          <w:p w14:paraId="4863AB1B" w14:textId="77777777" w:rsidR="00BE6B62" w:rsidRPr="003D581E" w:rsidRDefault="00BE6B62" w:rsidP="0043653C">
            <w:pPr>
              <w:pStyle w:val="Table"/>
            </w:pPr>
            <w:r>
              <w:t>Bidder must identify any areas of Authority responsibility NOT already detailed within the Specification.</w:t>
            </w:r>
          </w:p>
        </w:tc>
        <w:tc>
          <w:tcPr>
            <w:tcW w:w="4110" w:type="dxa"/>
            <w:vAlign w:val="center"/>
          </w:tcPr>
          <w:p w14:paraId="4863AB1C" w14:textId="77777777" w:rsidR="00BE6B62" w:rsidRPr="003D581E" w:rsidRDefault="00BE6B62" w:rsidP="0043653C">
            <w:pPr>
              <w:pStyle w:val="Table"/>
            </w:pPr>
            <w:r>
              <w:t>The Bidders response does not impose additional material and adverse risk, responsibility or cost onto the Authority.</w:t>
            </w:r>
          </w:p>
        </w:tc>
        <w:tc>
          <w:tcPr>
            <w:tcW w:w="1228" w:type="dxa"/>
            <w:vAlign w:val="center"/>
          </w:tcPr>
          <w:p w14:paraId="4863AB1D" w14:textId="77777777" w:rsidR="00BE6B62" w:rsidRDefault="00BE6B62" w:rsidP="0043653C">
            <w:pPr>
              <w:pStyle w:val="Table"/>
              <w:ind w:left="74"/>
              <w:jc w:val="center"/>
            </w:pPr>
            <w:r>
              <w:t>Not</w:t>
            </w:r>
          </w:p>
          <w:p w14:paraId="4863AB1E" w14:textId="77777777" w:rsidR="00BE6B62" w:rsidRDefault="00BE6B62" w:rsidP="0043653C">
            <w:pPr>
              <w:pStyle w:val="Table"/>
              <w:ind w:left="74"/>
              <w:jc w:val="center"/>
            </w:pPr>
            <w:r>
              <w:t>weighted</w:t>
            </w:r>
          </w:p>
        </w:tc>
      </w:tr>
    </w:tbl>
    <w:p w14:paraId="4863AB20" w14:textId="77777777" w:rsidR="009E3E51" w:rsidRDefault="009E3E51"/>
    <w:sectPr w:rsidR="009E3E51" w:rsidSect="00BE6B62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3AB23" w14:textId="77777777" w:rsidR="0043190D" w:rsidRDefault="0043190D" w:rsidP="0043190D">
      <w:r>
        <w:separator/>
      </w:r>
    </w:p>
  </w:endnote>
  <w:endnote w:type="continuationSeparator" w:id="0">
    <w:p w14:paraId="4863AB24" w14:textId="77777777" w:rsidR="0043190D" w:rsidRDefault="0043190D" w:rsidP="0043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66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3AB27" w14:textId="77777777" w:rsidR="0043190D" w:rsidRDefault="004319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8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63AB28" w14:textId="77777777" w:rsidR="0043190D" w:rsidRDefault="00431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3AB21" w14:textId="77777777" w:rsidR="0043190D" w:rsidRDefault="0043190D" w:rsidP="0043190D">
      <w:r>
        <w:separator/>
      </w:r>
    </w:p>
  </w:footnote>
  <w:footnote w:type="continuationSeparator" w:id="0">
    <w:p w14:paraId="4863AB22" w14:textId="77777777" w:rsidR="0043190D" w:rsidRDefault="0043190D" w:rsidP="0043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3AB25" w14:textId="1AACC4D0" w:rsidR="0043190D" w:rsidRDefault="00FE7BB0">
    <w:pPr>
      <w:pStyle w:val="Header"/>
    </w:pPr>
    <w:r>
      <w:t xml:space="preserve">Attachment 8, table 2 </w:t>
    </w:r>
    <w:r w:rsidR="0043190D">
      <w:t>Evaluation Criteria – Carers Toolkit (bidders proposal assessment)</w:t>
    </w:r>
    <w:r w:rsidR="00754AB8">
      <w:t xml:space="preserve"> ITT 60340</w:t>
    </w:r>
  </w:p>
  <w:p w14:paraId="4863AB26" w14:textId="77777777" w:rsidR="0043190D" w:rsidRDefault="004319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497"/>
    <w:multiLevelType w:val="hybridMultilevel"/>
    <w:tmpl w:val="8A7884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F44B34"/>
    <w:multiLevelType w:val="hybridMultilevel"/>
    <w:tmpl w:val="76541414"/>
    <w:lvl w:ilvl="0" w:tplc="51F805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F4435"/>
    <w:multiLevelType w:val="hybridMultilevel"/>
    <w:tmpl w:val="8640DA96"/>
    <w:lvl w:ilvl="0" w:tplc="B58402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0D"/>
    <w:rsid w:val="000007DA"/>
    <w:rsid w:val="00087A86"/>
    <w:rsid w:val="001B7EF9"/>
    <w:rsid w:val="00275870"/>
    <w:rsid w:val="002C780D"/>
    <w:rsid w:val="00325BC8"/>
    <w:rsid w:val="0043190D"/>
    <w:rsid w:val="00464520"/>
    <w:rsid w:val="0059227E"/>
    <w:rsid w:val="00717F17"/>
    <w:rsid w:val="00723D0D"/>
    <w:rsid w:val="007308CE"/>
    <w:rsid w:val="00754AB8"/>
    <w:rsid w:val="00851DF1"/>
    <w:rsid w:val="008D581C"/>
    <w:rsid w:val="008D6EFD"/>
    <w:rsid w:val="00903B3C"/>
    <w:rsid w:val="00937E5E"/>
    <w:rsid w:val="00952622"/>
    <w:rsid w:val="009A65D7"/>
    <w:rsid w:val="009C10DB"/>
    <w:rsid w:val="009E3E51"/>
    <w:rsid w:val="00B43A68"/>
    <w:rsid w:val="00BE6B62"/>
    <w:rsid w:val="00D33D1E"/>
    <w:rsid w:val="00D92D75"/>
    <w:rsid w:val="00E07417"/>
    <w:rsid w:val="00E31EBC"/>
    <w:rsid w:val="00F01A21"/>
    <w:rsid w:val="00F628CF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63A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62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ader Table Grid"/>
    <w:basedOn w:val="TableNormal"/>
    <w:rsid w:val="00BE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BE6B62"/>
    <w:pPr>
      <w:spacing w:before="120" w:after="120"/>
      <w:ind w:left="74"/>
    </w:pPr>
    <w:rPr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BE6B62"/>
    <w:pPr>
      <w:overflowPunct w:val="0"/>
      <w:autoSpaceDE w:val="0"/>
      <w:autoSpaceDN w:val="0"/>
      <w:adjustRightInd w:val="0"/>
      <w:spacing w:before="40" w:after="40"/>
      <w:ind w:right="130"/>
      <w:textAlignment w:val="baseline"/>
    </w:pPr>
    <w:rPr>
      <w:rFonts w:cs="Times New Roman"/>
      <w:bCs/>
      <w:sz w:val="20"/>
    </w:rPr>
  </w:style>
  <w:style w:type="character" w:customStyle="1" w:styleId="TableChar">
    <w:name w:val="Table Char"/>
    <w:basedOn w:val="DefaultParagraphFont"/>
    <w:link w:val="Table"/>
    <w:rsid w:val="00BE6B62"/>
    <w:rPr>
      <w:rFonts w:ascii="Arial" w:eastAsia="Times New Roman" w:hAnsi="Arial" w:cs="Times New Roman"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9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0D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0D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62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ader Table Grid"/>
    <w:basedOn w:val="TableNormal"/>
    <w:rsid w:val="00BE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BE6B62"/>
    <w:pPr>
      <w:spacing w:before="120" w:after="120"/>
      <w:ind w:left="74"/>
    </w:pPr>
    <w:rPr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BE6B62"/>
    <w:pPr>
      <w:overflowPunct w:val="0"/>
      <w:autoSpaceDE w:val="0"/>
      <w:autoSpaceDN w:val="0"/>
      <w:adjustRightInd w:val="0"/>
      <w:spacing w:before="40" w:after="40"/>
      <w:ind w:right="130"/>
      <w:textAlignment w:val="baseline"/>
    </w:pPr>
    <w:rPr>
      <w:rFonts w:cs="Times New Roman"/>
      <w:bCs/>
      <w:sz w:val="20"/>
    </w:rPr>
  </w:style>
  <w:style w:type="character" w:customStyle="1" w:styleId="TableChar">
    <w:name w:val="Table Char"/>
    <w:basedOn w:val="DefaultParagraphFont"/>
    <w:link w:val="Table"/>
    <w:rsid w:val="00BE6B62"/>
    <w:rPr>
      <w:rFonts w:ascii="Arial" w:eastAsia="Times New Roman" w:hAnsi="Arial" w:cs="Times New Roman"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9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0D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0D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E85A-32A6-41EE-AD21-6E20F40B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Eagleton</dc:creator>
  <cp:lastModifiedBy>Paul Eagleton</cp:lastModifiedBy>
  <cp:revision>3</cp:revision>
  <dcterms:created xsi:type="dcterms:W3CDTF">2017-01-24T17:44:00Z</dcterms:created>
  <dcterms:modified xsi:type="dcterms:W3CDTF">2017-01-24T17:45:00Z</dcterms:modified>
</cp:coreProperties>
</file>