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D655" w14:textId="1E398E34" w:rsidR="00EC064E" w:rsidRDefault="00EC064E" w:rsidP="00EC064E">
      <w:pPr>
        <w:jc w:val="right"/>
        <w:rPr>
          <w:rFonts w:cs="Arial"/>
          <w:b/>
          <w:sz w:val="36"/>
          <w:szCs w:val="36"/>
        </w:rPr>
      </w:pPr>
    </w:p>
    <w:p w14:paraId="4DAB860F" w14:textId="77777777" w:rsidR="00EC064E" w:rsidRDefault="00EC064E" w:rsidP="000725E1">
      <w:pPr>
        <w:jc w:val="center"/>
        <w:rPr>
          <w:rFonts w:cs="Arial"/>
          <w:b/>
          <w:sz w:val="36"/>
          <w:szCs w:val="36"/>
        </w:rPr>
      </w:pPr>
    </w:p>
    <w:p w14:paraId="7111A633" w14:textId="77777777" w:rsidR="00DA733E" w:rsidRDefault="00DA733E" w:rsidP="000725E1">
      <w:pPr>
        <w:jc w:val="center"/>
        <w:rPr>
          <w:rFonts w:ascii="Arial Bold" w:hAnsi="Arial Bold" w:cs="Arial"/>
          <w:b/>
          <w:caps/>
          <w:sz w:val="40"/>
          <w:szCs w:val="40"/>
        </w:rPr>
      </w:pPr>
    </w:p>
    <w:p w14:paraId="6B90EE60" w14:textId="77777777" w:rsidR="000725E1" w:rsidRPr="00DA733E" w:rsidRDefault="000725E1" w:rsidP="000725E1">
      <w:pPr>
        <w:jc w:val="center"/>
        <w:rPr>
          <w:rFonts w:ascii="Arial Bold" w:hAnsi="Arial Bold" w:cs="Arial"/>
          <w:b/>
          <w:caps/>
          <w:sz w:val="40"/>
          <w:szCs w:val="40"/>
        </w:rPr>
      </w:pPr>
      <w:r w:rsidRPr="00DA733E">
        <w:rPr>
          <w:rFonts w:ascii="Arial Bold" w:hAnsi="Arial Bold" w:cs="Arial"/>
          <w:b/>
          <w:caps/>
          <w:sz w:val="40"/>
          <w:szCs w:val="40"/>
        </w:rPr>
        <w:t>Memorandum of Information (MOI)</w:t>
      </w:r>
    </w:p>
    <w:p w14:paraId="4AA24BD5" w14:textId="77777777" w:rsidR="00DA733E" w:rsidRPr="00463F54" w:rsidRDefault="00DA733E" w:rsidP="00DA733E">
      <w:pPr>
        <w:pStyle w:val="MOIText"/>
        <w:ind w:left="0"/>
        <w:rPr>
          <w:b/>
          <w:bCs/>
          <w:sz w:val="40"/>
          <w:szCs w:val="40"/>
        </w:rPr>
      </w:pPr>
    </w:p>
    <w:p w14:paraId="4F43FA1A" w14:textId="77777777" w:rsidR="00DA733E" w:rsidRPr="00CB0E44" w:rsidRDefault="00DA733E" w:rsidP="00DA733E">
      <w:pPr>
        <w:pStyle w:val="MOIText"/>
        <w:ind w:left="0"/>
        <w:jc w:val="center"/>
        <w:rPr>
          <w:b/>
          <w:bCs/>
          <w:color w:val="0070C0"/>
          <w:sz w:val="32"/>
          <w:szCs w:val="32"/>
        </w:rPr>
      </w:pPr>
      <w:r w:rsidRPr="00CB0E44">
        <w:rPr>
          <w:b/>
          <w:bCs/>
          <w:color w:val="0070C0"/>
          <w:sz w:val="32"/>
          <w:szCs w:val="32"/>
        </w:rPr>
        <w:t>PROVISION OF INTEGRATED URGENT CARE SERVICES</w:t>
      </w:r>
      <w:r>
        <w:rPr>
          <w:b/>
          <w:bCs/>
          <w:color w:val="0070C0"/>
          <w:sz w:val="32"/>
          <w:szCs w:val="32"/>
        </w:rPr>
        <w:t xml:space="preserve"> </w:t>
      </w:r>
    </w:p>
    <w:p w14:paraId="7DDE9B79" w14:textId="77777777" w:rsidR="00DA733E" w:rsidRPr="00463F54" w:rsidRDefault="00DA733E" w:rsidP="00DA733E">
      <w:pPr>
        <w:pStyle w:val="MOIText"/>
        <w:ind w:left="0"/>
        <w:jc w:val="center"/>
        <w:rPr>
          <w:b/>
          <w:bCs/>
          <w:sz w:val="32"/>
          <w:szCs w:val="32"/>
        </w:rPr>
      </w:pPr>
    </w:p>
    <w:p w14:paraId="5FFF5D9A" w14:textId="77777777" w:rsidR="00DA733E" w:rsidRPr="00463F54" w:rsidRDefault="00DA733E" w:rsidP="00DA733E">
      <w:pPr>
        <w:pStyle w:val="MOIText"/>
        <w:ind w:left="0"/>
        <w:jc w:val="center"/>
        <w:rPr>
          <w:b/>
          <w:bCs/>
          <w:sz w:val="32"/>
          <w:szCs w:val="32"/>
        </w:rPr>
      </w:pPr>
      <w:r w:rsidRPr="00463F54">
        <w:rPr>
          <w:b/>
          <w:bCs/>
          <w:sz w:val="32"/>
          <w:szCs w:val="32"/>
        </w:rPr>
        <w:t>ON BEHALF OF</w:t>
      </w:r>
      <w:r>
        <w:rPr>
          <w:b/>
          <w:bCs/>
          <w:sz w:val="32"/>
          <w:szCs w:val="32"/>
        </w:rPr>
        <w:t xml:space="preserve"> </w:t>
      </w:r>
    </w:p>
    <w:p w14:paraId="62B6C578" w14:textId="77777777" w:rsidR="00DA733E" w:rsidRPr="00463F54" w:rsidRDefault="00DA733E" w:rsidP="00DA733E">
      <w:pPr>
        <w:pStyle w:val="MOIText"/>
        <w:ind w:left="0"/>
        <w:jc w:val="center"/>
        <w:rPr>
          <w:b/>
          <w:bCs/>
          <w:sz w:val="32"/>
          <w:szCs w:val="32"/>
        </w:rPr>
      </w:pPr>
    </w:p>
    <w:p w14:paraId="18C27559" w14:textId="75383426" w:rsidR="00DA733E" w:rsidRPr="00CB0E44" w:rsidRDefault="003D7576" w:rsidP="00DA733E">
      <w:pPr>
        <w:pStyle w:val="MOIText"/>
        <w:ind w:left="0"/>
        <w:jc w:val="center"/>
        <w:rPr>
          <w:b/>
          <w:bCs/>
          <w:color w:val="0070C0"/>
          <w:sz w:val="32"/>
          <w:szCs w:val="32"/>
        </w:rPr>
      </w:pPr>
      <w:proofErr w:type="gramStart"/>
      <w:r>
        <w:rPr>
          <w:b/>
          <w:bCs/>
          <w:color w:val="0070C0"/>
          <w:sz w:val="32"/>
          <w:szCs w:val="32"/>
        </w:rPr>
        <w:t>SOUTH</w:t>
      </w:r>
      <w:r w:rsidR="00DA733E" w:rsidRPr="00CB0E44">
        <w:rPr>
          <w:b/>
          <w:bCs/>
          <w:color w:val="0070C0"/>
          <w:sz w:val="32"/>
          <w:szCs w:val="32"/>
        </w:rPr>
        <w:t xml:space="preserve"> WEST</w:t>
      </w:r>
      <w:proofErr w:type="gramEnd"/>
      <w:r w:rsidR="00DA733E" w:rsidRPr="00CB0E44">
        <w:rPr>
          <w:b/>
          <w:bCs/>
          <w:color w:val="0070C0"/>
          <w:sz w:val="32"/>
          <w:szCs w:val="32"/>
        </w:rPr>
        <w:t xml:space="preserve"> LONDON CLINICAL COMMISSIONING GROUP</w:t>
      </w:r>
    </w:p>
    <w:p w14:paraId="02BD337C" w14:textId="15CFF919" w:rsidR="00DA733E" w:rsidRPr="00CB0E44" w:rsidRDefault="00DA733E" w:rsidP="00DA733E">
      <w:pPr>
        <w:pStyle w:val="MOIText"/>
        <w:ind w:left="0"/>
        <w:jc w:val="center"/>
        <w:rPr>
          <w:b/>
          <w:bCs/>
          <w:sz w:val="32"/>
          <w:szCs w:val="32"/>
        </w:rPr>
      </w:pPr>
      <w:r w:rsidRPr="00CB0E44">
        <w:rPr>
          <w:b/>
          <w:bCs/>
          <w:sz w:val="32"/>
          <w:szCs w:val="32"/>
        </w:rPr>
        <w:t>(as the Contracting Authorit</w:t>
      </w:r>
      <w:r w:rsidR="003D7576">
        <w:rPr>
          <w:b/>
          <w:bCs/>
          <w:sz w:val="32"/>
          <w:szCs w:val="32"/>
        </w:rPr>
        <w:t>y</w:t>
      </w:r>
      <w:r w:rsidRPr="00CB0E44">
        <w:rPr>
          <w:b/>
          <w:bCs/>
          <w:sz w:val="32"/>
          <w:szCs w:val="32"/>
        </w:rPr>
        <w:t>)</w:t>
      </w:r>
    </w:p>
    <w:p w14:paraId="2F6CDB96" w14:textId="77777777" w:rsidR="00DA733E" w:rsidRPr="00463F54" w:rsidRDefault="00DA733E" w:rsidP="00DA733E">
      <w:pPr>
        <w:pStyle w:val="MOIText"/>
        <w:ind w:left="0"/>
        <w:jc w:val="center"/>
        <w:rPr>
          <w:b/>
          <w:bCs/>
          <w:color w:val="0070C0"/>
          <w:sz w:val="32"/>
          <w:szCs w:val="32"/>
        </w:rPr>
      </w:pPr>
    </w:p>
    <w:p w14:paraId="7E30E487" w14:textId="77777777" w:rsidR="00DA733E" w:rsidRPr="00463F54" w:rsidRDefault="00DA733E" w:rsidP="00DA733E">
      <w:pPr>
        <w:pStyle w:val="MOIText"/>
        <w:ind w:left="0"/>
        <w:jc w:val="center"/>
        <w:rPr>
          <w:b/>
          <w:bCs/>
          <w:color w:val="0070C0"/>
          <w:sz w:val="32"/>
          <w:szCs w:val="32"/>
        </w:rPr>
      </w:pPr>
    </w:p>
    <w:p w14:paraId="34BC1A7C" w14:textId="06DC286A" w:rsidR="00DA733E" w:rsidRPr="00CB0E44" w:rsidRDefault="00DA733E" w:rsidP="00DA733E">
      <w:pPr>
        <w:pStyle w:val="MOIText"/>
        <w:ind w:left="0"/>
        <w:jc w:val="center"/>
        <w:rPr>
          <w:b/>
          <w:bCs/>
          <w:color w:val="0070C0"/>
          <w:sz w:val="32"/>
          <w:szCs w:val="32"/>
        </w:rPr>
      </w:pPr>
      <w:r w:rsidRPr="00CB0E44">
        <w:rPr>
          <w:b/>
          <w:bCs/>
          <w:sz w:val="32"/>
          <w:szCs w:val="32"/>
        </w:rPr>
        <w:t>Date of Publication:</w:t>
      </w:r>
      <w:r w:rsidRPr="00CB0E44">
        <w:rPr>
          <w:b/>
          <w:bCs/>
          <w:color w:val="0070C0"/>
          <w:sz w:val="32"/>
          <w:szCs w:val="32"/>
        </w:rPr>
        <w:t xml:space="preserve"> </w:t>
      </w:r>
      <w:r w:rsidR="00AC3D42">
        <w:rPr>
          <w:b/>
          <w:bCs/>
          <w:color w:val="0070C0"/>
          <w:sz w:val="32"/>
          <w:szCs w:val="32"/>
        </w:rPr>
        <w:t>13/08/21</w:t>
      </w:r>
    </w:p>
    <w:p w14:paraId="2F50E23C" w14:textId="40A34ED7" w:rsidR="00DA733E" w:rsidRPr="00463F54" w:rsidRDefault="00DA733E" w:rsidP="00DA733E">
      <w:pPr>
        <w:pStyle w:val="MOIText"/>
        <w:ind w:left="0"/>
        <w:jc w:val="center"/>
        <w:rPr>
          <w:b/>
          <w:bCs/>
          <w:color w:val="0070C0"/>
          <w:sz w:val="32"/>
          <w:szCs w:val="32"/>
        </w:rPr>
      </w:pPr>
      <w:r w:rsidRPr="00CB0E44">
        <w:rPr>
          <w:b/>
          <w:bCs/>
          <w:sz w:val="32"/>
          <w:szCs w:val="32"/>
        </w:rPr>
        <w:t>Version:</w:t>
      </w:r>
      <w:r w:rsidRPr="00CB0E44">
        <w:rPr>
          <w:b/>
          <w:bCs/>
          <w:color w:val="0070C0"/>
          <w:sz w:val="32"/>
          <w:szCs w:val="32"/>
        </w:rPr>
        <w:t xml:space="preserve"> </w:t>
      </w:r>
      <w:r w:rsidR="00AC3D42">
        <w:rPr>
          <w:b/>
          <w:bCs/>
          <w:color w:val="0070C0"/>
          <w:sz w:val="32"/>
          <w:szCs w:val="32"/>
        </w:rPr>
        <w:t>1</w:t>
      </w:r>
    </w:p>
    <w:p w14:paraId="1478A5BC" w14:textId="77777777" w:rsidR="000725E1" w:rsidRPr="00EC064E" w:rsidRDefault="000725E1" w:rsidP="000725E1">
      <w:pPr>
        <w:jc w:val="center"/>
        <w:rPr>
          <w:rFonts w:cs="Arial"/>
          <w:b/>
          <w:sz w:val="40"/>
          <w:szCs w:val="40"/>
        </w:rPr>
      </w:pPr>
    </w:p>
    <w:p w14:paraId="028F59B3" w14:textId="16B4B15E" w:rsidR="00DA733E" w:rsidRDefault="00DA733E">
      <w:pPr>
        <w:rPr>
          <w:rFonts w:cs="Arial"/>
          <w:sz w:val="36"/>
          <w:szCs w:val="36"/>
        </w:rPr>
      </w:pPr>
      <w:r>
        <w:rPr>
          <w:rFonts w:cs="Arial"/>
          <w:sz w:val="36"/>
          <w:szCs w:val="36"/>
        </w:rPr>
        <w:br w:type="page"/>
      </w:r>
    </w:p>
    <w:p w14:paraId="5070D5E2" w14:textId="2149BA39" w:rsidR="000725E1" w:rsidRDefault="000725E1" w:rsidP="006C12F6">
      <w:pPr>
        <w:pStyle w:val="Heading1"/>
        <w:keepLines/>
        <w:numPr>
          <w:ilvl w:val="0"/>
          <w:numId w:val="13"/>
        </w:numPr>
        <w:spacing w:before="480" w:after="0" w:line="276" w:lineRule="auto"/>
        <w:rPr>
          <w:rFonts w:cs="Arial"/>
          <w:szCs w:val="24"/>
          <w:lang w:eastAsia="en-GB"/>
        </w:rPr>
      </w:pPr>
      <w:bookmarkStart w:id="0" w:name="_Toc450055207"/>
      <w:r w:rsidRPr="00A46BF5">
        <w:rPr>
          <w:rFonts w:cs="Arial"/>
          <w:szCs w:val="24"/>
          <w:lang w:eastAsia="en-GB"/>
        </w:rPr>
        <w:lastRenderedPageBreak/>
        <w:t>Purpose</w:t>
      </w:r>
      <w:bookmarkEnd w:id="0"/>
    </w:p>
    <w:p w14:paraId="2479E683" w14:textId="77777777" w:rsidR="00D24A9B" w:rsidRPr="00D24A9B" w:rsidRDefault="00D24A9B" w:rsidP="00D24A9B">
      <w:pPr>
        <w:rPr>
          <w:lang w:eastAsia="en-GB"/>
        </w:rPr>
      </w:pPr>
    </w:p>
    <w:p w14:paraId="4C1D335D" w14:textId="0CF6138C" w:rsidR="000725E1" w:rsidRPr="00BC6A30" w:rsidRDefault="000725E1"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 xml:space="preserve">The purpose of this Memorandum of Information (MOI) is to provide potential Bidders with an overview of the </w:t>
      </w:r>
      <w:proofErr w:type="gramStart"/>
      <w:r w:rsidR="003D7576" w:rsidRPr="00BC6A30">
        <w:rPr>
          <w:rFonts w:eastAsia="Calibri" w:cs="Arial"/>
          <w:color w:val="000000" w:themeColor="text1"/>
          <w:sz w:val="22"/>
          <w:szCs w:val="22"/>
          <w:lang w:eastAsia="en-GB"/>
        </w:rPr>
        <w:t>South</w:t>
      </w:r>
      <w:r w:rsidR="00EC064E" w:rsidRPr="00BC6A30">
        <w:rPr>
          <w:rFonts w:eastAsia="Calibri" w:cs="Arial"/>
          <w:color w:val="000000" w:themeColor="text1"/>
          <w:sz w:val="22"/>
          <w:szCs w:val="22"/>
          <w:lang w:eastAsia="en-GB"/>
        </w:rPr>
        <w:t xml:space="preserve"> West</w:t>
      </w:r>
      <w:proofErr w:type="gramEnd"/>
      <w:r w:rsidR="00EC064E" w:rsidRPr="00BC6A30">
        <w:rPr>
          <w:rFonts w:eastAsia="Calibri" w:cs="Arial"/>
          <w:color w:val="000000" w:themeColor="text1"/>
          <w:sz w:val="22"/>
          <w:szCs w:val="22"/>
          <w:lang w:eastAsia="en-GB"/>
        </w:rPr>
        <w:t xml:space="preserve"> London (</w:t>
      </w:r>
      <w:r w:rsidR="003D7576" w:rsidRPr="00BC6A30">
        <w:rPr>
          <w:rFonts w:eastAsia="Calibri" w:cs="Arial"/>
          <w:color w:val="000000" w:themeColor="text1"/>
          <w:sz w:val="22"/>
          <w:szCs w:val="22"/>
          <w:lang w:eastAsia="en-GB"/>
        </w:rPr>
        <w:t>S</w:t>
      </w:r>
      <w:r w:rsidR="00EC064E" w:rsidRPr="00BC6A30">
        <w:rPr>
          <w:rFonts w:eastAsia="Calibri" w:cs="Arial"/>
          <w:color w:val="000000" w:themeColor="text1"/>
          <w:sz w:val="22"/>
          <w:szCs w:val="22"/>
          <w:lang w:eastAsia="en-GB"/>
        </w:rPr>
        <w:t>WL) Integrated Urgent Care (IUC) service procurement</w:t>
      </w:r>
      <w:r w:rsidRPr="00BC6A30">
        <w:rPr>
          <w:rFonts w:eastAsia="Calibri" w:cs="Arial"/>
          <w:color w:val="000000" w:themeColor="text1"/>
          <w:sz w:val="22"/>
          <w:szCs w:val="22"/>
          <w:lang w:eastAsia="en-GB"/>
        </w:rPr>
        <w:t xml:space="preserve">, which is being undertaken by </w:t>
      </w:r>
      <w:r w:rsidR="002235A0" w:rsidRPr="00BC6A30">
        <w:rPr>
          <w:rFonts w:eastAsia="Calibri" w:cs="Arial"/>
          <w:color w:val="000000" w:themeColor="text1"/>
          <w:sz w:val="22"/>
          <w:szCs w:val="22"/>
          <w:lang w:eastAsia="en-GB"/>
        </w:rPr>
        <w:t xml:space="preserve">the </w:t>
      </w:r>
      <w:r w:rsidR="003D7576" w:rsidRPr="00BC6A30">
        <w:rPr>
          <w:rFonts w:eastAsia="Calibri" w:cs="Arial"/>
          <w:color w:val="000000" w:themeColor="text1"/>
          <w:sz w:val="22"/>
          <w:szCs w:val="22"/>
          <w:lang w:eastAsia="en-GB"/>
        </w:rPr>
        <w:t>SWL</w:t>
      </w:r>
      <w:r w:rsidR="00EC064E" w:rsidRPr="00BC6A30">
        <w:rPr>
          <w:rFonts w:eastAsia="Calibri" w:cs="Arial"/>
          <w:color w:val="000000" w:themeColor="text1"/>
          <w:sz w:val="22"/>
          <w:szCs w:val="22"/>
          <w:lang w:eastAsia="en-GB"/>
        </w:rPr>
        <w:t xml:space="preserve"> Clinical Commissioning Group</w:t>
      </w:r>
      <w:r w:rsidRPr="00BC6A30">
        <w:rPr>
          <w:rFonts w:eastAsia="Calibri" w:cs="Arial"/>
          <w:color w:val="000000" w:themeColor="text1"/>
          <w:sz w:val="22"/>
          <w:szCs w:val="22"/>
          <w:lang w:eastAsia="en-GB"/>
        </w:rPr>
        <w:t xml:space="preserve"> (</w:t>
      </w:r>
      <w:r w:rsidR="003D7576" w:rsidRPr="00BC6A30">
        <w:rPr>
          <w:rFonts w:eastAsia="Calibri" w:cs="Arial"/>
          <w:color w:val="000000" w:themeColor="text1"/>
          <w:sz w:val="22"/>
          <w:szCs w:val="22"/>
          <w:lang w:eastAsia="en-GB"/>
        </w:rPr>
        <w:t>SWL</w:t>
      </w:r>
      <w:r w:rsidR="00EC064E" w:rsidRPr="00BC6A30">
        <w:rPr>
          <w:rFonts w:eastAsia="Calibri" w:cs="Arial"/>
          <w:color w:val="000000" w:themeColor="text1"/>
          <w:sz w:val="22"/>
          <w:szCs w:val="22"/>
          <w:lang w:eastAsia="en-GB"/>
        </w:rPr>
        <w:t xml:space="preserve"> </w:t>
      </w:r>
      <w:r w:rsidRPr="00BC6A30">
        <w:rPr>
          <w:rFonts w:eastAsia="Calibri" w:cs="Arial"/>
          <w:color w:val="000000" w:themeColor="text1"/>
          <w:sz w:val="22"/>
          <w:szCs w:val="22"/>
          <w:lang w:eastAsia="en-GB"/>
        </w:rPr>
        <w:t>CCG)</w:t>
      </w:r>
      <w:r w:rsidR="006D2AAE" w:rsidRPr="00BC6A30">
        <w:rPr>
          <w:rFonts w:eastAsia="Calibri" w:cs="Arial"/>
          <w:color w:val="000000" w:themeColor="text1"/>
          <w:sz w:val="22"/>
          <w:szCs w:val="22"/>
          <w:lang w:eastAsia="en-GB"/>
        </w:rPr>
        <w:t xml:space="preserve">, covering the boroughs of: </w:t>
      </w:r>
      <w:r w:rsidR="002235A0" w:rsidRPr="00BC6A30">
        <w:rPr>
          <w:rFonts w:eastAsia="Calibri" w:cs="Arial"/>
          <w:color w:val="000000" w:themeColor="text1"/>
          <w:sz w:val="22"/>
          <w:szCs w:val="22"/>
          <w:lang w:eastAsia="en-GB"/>
        </w:rPr>
        <w:t xml:space="preserve">Croydon, </w:t>
      </w:r>
      <w:r w:rsidR="00D77829" w:rsidRPr="00BC6A30">
        <w:rPr>
          <w:rFonts w:eastAsia="Calibri" w:cs="Arial"/>
          <w:color w:val="000000" w:themeColor="text1"/>
          <w:sz w:val="22"/>
          <w:szCs w:val="22"/>
          <w:lang w:eastAsia="en-GB"/>
        </w:rPr>
        <w:t>Kingston, Merton, Richmond, Sutton and Wandsworth.</w:t>
      </w:r>
    </w:p>
    <w:p w14:paraId="17484636" w14:textId="5758982E" w:rsidR="000725E1" w:rsidRPr="00BC6A30" w:rsidRDefault="000725E1" w:rsidP="006E50FC">
      <w:pPr>
        <w:pStyle w:val="BodyText"/>
        <w:spacing w:after="120"/>
        <w:jc w:val="both"/>
        <w:rPr>
          <w:rFonts w:cs="Arial"/>
          <w:sz w:val="22"/>
          <w:szCs w:val="22"/>
          <w:lang w:eastAsia="en-GB"/>
        </w:rPr>
      </w:pPr>
      <w:r w:rsidRPr="00BC6A30">
        <w:rPr>
          <w:rFonts w:eastAsia="Calibri" w:cs="Arial"/>
          <w:color w:val="000000" w:themeColor="text1"/>
          <w:sz w:val="22"/>
          <w:szCs w:val="22"/>
          <w:lang w:eastAsia="en-GB"/>
        </w:rPr>
        <w:t>Th</w:t>
      </w:r>
      <w:r w:rsidR="00EC064E" w:rsidRPr="00BC6A30">
        <w:rPr>
          <w:rFonts w:eastAsia="Calibri" w:cs="Arial"/>
          <w:color w:val="000000" w:themeColor="text1"/>
          <w:sz w:val="22"/>
          <w:szCs w:val="22"/>
          <w:lang w:eastAsia="en-GB"/>
        </w:rPr>
        <w:t>is</w:t>
      </w:r>
      <w:r w:rsidRPr="00BC6A30">
        <w:rPr>
          <w:rFonts w:eastAsia="Calibri" w:cs="Arial"/>
          <w:color w:val="000000" w:themeColor="text1"/>
          <w:sz w:val="22"/>
          <w:szCs w:val="22"/>
          <w:lang w:eastAsia="en-GB"/>
        </w:rPr>
        <w:t xml:space="preserve"> MOI is intended only as a preliminary background explanation for the </w:t>
      </w:r>
      <w:r w:rsidR="00EC064E" w:rsidRPr="00BC6A30">
        <w:rPr>
          <w:rFonts w:eastAsia="Calibri" w:cs="Arial"/>
          <w:color w:val="000000" w:themeColor="text1"/>
          <w:sz w:val="22"/>
          <w:szCs w:val="22"/>
          <w:lang w:eastAsia="en-GB"/>
        </w:rPr>
        <w:t>p</w:t>
      </w:r>
      <w:r w:rsidRPr="00BC6A30">
        <w:rPr>
          <w:rFonts w:eastAsia="Calibri" w:cs="Arial"/>
          <w:color w:val="000000" w:themeColor="text1"/>
          <w:sz w:val="22"/>
          <w:szCs w:val="22"/>
          <w:lang w:eastAsia="en-GB"/>
        </w:rPr>
        <w:t xml:space="preserve">rocurement of the </w:t>
      </w:r>
      <w:r w:rsidR="00EC064E" w:rsidRPr="00BC6A30">
        <w:rPr>
          <w:rFonts w:eastAsia="Calibri" w:cs="Arial"/>
          <w:color w:val="000000" w:themeColor="text1"/>
          <w:sz w:val="22"/>
          <w:szCs w:val="22"/>
          <w:lang w:eastAsia="en-GB"/>
        </w:rPr>
        <w:t>s</w:t>
      </w:r>
      <w:r w:rsidRPr="00BC6A30">
        <w:rPr>
          <w:rFonts w:eastAsia="Calibri" w:cs="Arial"/>
          <w:color w:val="000000" w:themeColor="text1"/>
          <w:sz w:val="22"/>
          <w:szCs w:val="22"/>
          <w:lang w:eastAsia="en-GB"/>
        </w:rPr>
        <w:t>ervice</w:t>
      </w:r>
      <w:r w:rsidRPr="00BC6A30">
        <w:rPr>
          <w:rFonts w:cs="Arial"/>
          <w:sz w:val="22"/>
          <w:szCs w:val="22"/>
        </w:rPr>
        <w:t xml:space="preserve">.  It is in no way intended to form the basis of any decision on the terms upon </w:t>
      </w:r>
      <w:r w:rsidR="008108C3" w:rsidRPr="00BC6A30">
        <w:rPr>
          <w:rFonts w:cs="Arial"/>
          <w:sz w:val="22"/>
          <w:szCs w:val="22"/>
        </w:rPr>
        <w:t xml:space="preserve">which </w:t>
      </w:r>
      <w:r w:rsidR="003D7576" w:rsidRPr="00BC6A30">
        <w:rPr>
          <w:rFonts w:cs="Arial"/>
          <w:sz w:val="22"/>
          <w:szCs w:val="22"/>
        </w:rPr>
        <w:t>SWL</w:t>
      </w:r>
      <w:r w:rsidR="00EC064E" w:rsidRPr="00BC6A30">
        <w:rPr>
          <w:rFonts w:cs="Arial"/>
          <w:sz w:val="22"/>
          <w:szCs w:val="22"/>
        </w:rPr>
        <w:t xml:space="preserve"> CCG </w:t>
      </w:r>
      <w:r w:rsidRPr="00BC6A30">
        <w:rPr>
          <w:rFonts w:cs="Arial"/>
          <w:sz w:val="22"/>
          <w:szCs w:val="22"/>
        </w:rPr>
        <w:t xml:space="preserve">will enter into any contractual relationship.  This MOI is supported </w:t>
      </w:r>
      <w:r w:rsidR="00D1348E" w:rsidRPr="00BC6A30">
        <w:rPr>
          <w:rFonts w:cs="Arial"/>
          <w:sz w:val="22"/>
          <w:szCs w:val="22"/>
        </w:rPr>
        <w:t xml:space="preserve">fully </w:t>
      </w:r>
      <w:r w:rsidR="008108C3" w:rsidRPr="00BC6A30">
        <w:rPr>
          <w:rFonts w:cs="Arial"/>
          <w:sz w:val="22"/>
          <w:szCs w:val="22"/>
        </w:rPr>
        <w:t xml:space="preserve">by </w:t>
      </w:r>
      <w:r w:rsidR="00D1348E" w:rsidRPr="00BC6A30">
        <w:rPr>
          <w:rFonts w:cs="Arial"/>
          <w:sz w:val="22"/>
          <w:szCs w:val="22"/>
        </w:rPr>
        <w:t xml:space="preserve">the </w:t>
      </w:r>
      <w:r w:rsidR="008108C3" w:rsidRPr="00BC6A30">
        <w:rPr>
          <w:rFonts w:cs="Arial"/>
          <w:sz w:val="22"/>
          <w:szCs w:val="22"/>
        </w:rPr>
        <w:t>further details provided in the</w:t>
      </w:r>
      <w:r w:rsidR="00EC064E" w:rsidRPr="00BC6A30">
        <w:rPr>
          <w:rFonts w:cs="Arial"/>
          <w:sz w:val="22"/>
          <w:szCs w:val="22"/>
        </w:rPr>
        <w:t xml:space="preserve"> </w:t>
      </w:r>
      <w:r w:rsidR="003D7576" w:rsidRPr="00BC6A30">
        <w:rPr>
          <w:rFonts w:cs="Arial"/>
          <w:sz w:val="22"/>
          <w:szCs w:val="22"/>
        </w:rPr>
        <w:t>SWL</w:t>
      </w:r>
      <w:r w:rsidR="00EC064E" w:rsidRPr="00BC6A30">
        <w:rPr>
          <w:rFonts w:cs="Arial"/>
          <w:sz w:val="22"/>
          <w:szCs w:val="22"/>
        </w:rPr>
        <w:t xml:space="preserve"> IUC</w:t>
      </w:r>
      <w:r w:rsidRPr="00BC6A30">
        <w:rPr>
          <w:rFonts w:cs="Arial"/>
          <w:sz w:val="22"/>
          <w:szCs w:val="22"/>
        </w:rPr>
        <w:t xml:space="preserve"> Service Specification.</w:t>
      </w:r>
    </w:p>
    <w:p w14:paraId="4ABA4DC6" w14:textId="738D0634" w:rsidR="000725E1" w:rsidRPr="00BC6A30" w:rsidRDefault="003D7576" w:rsidP="006C12F6">
      <w:pPr>
        <w:pStyle w:val="Heading1"/>
        <w:keepLines/>
        <w:numPr>
          <w:ilvl w:val="0"/>
          <w:numId w:val="13"/>
        </w:numPr>
        <w:spacing w:before="480" w:after="0" w:line="276" w:lineRule="auto"/>
        <w:rPr>
          <w:rFonts w:cs="Arial"/>
          <w:sz w:val="22"/>
          <w:szCs w:val="22"/>
          <w:lang w:eastAsia="en-GB"/>
        </w:rPr>
      </w:pPr>
      <w:r w:rsidRPr="00BC6A30">
        <w:rPr>
          <w:rFonts w:cs="Arial"/>
          <w:sz w:val="22"/>
          <w:szCs w:val="22"/>
          <w:lang w:eastAsia="en-GB"/>
        </w:rPr>
        <w:t>SWL</w:t>
      </w:r>
      <w:r w:rsidR="00EC064E" w:rsidRPr="00BC6A30">
        <w:rPr>
          <w:rFonts w:cs="Arial"/>
          <w:sz w:val="22"/>
          <w:szCs w:val="22"/>
          <w:lang w:eastAsia="en-GB"/>
        </w:rPr>
        <w:t xml:space="preserve"> IUC Procurement</w:t>
      </w:r>
    </w:p>
    <w:p w14:paraId="0433F833" w14:textId="77777777" w:rsidR="00D24A9B" w:rsidRPr="00BC6A30" w:rsidRDefault="00D24A9B" w:rsidP="00D24A9B">
      <w:pPr>
        <w:rPr>
          <w:rFonts w:cs="Arial"/>
          <w:sz w:val="22"/>
          <w:szCs w:val="22"/>
          <w:lang w:eastAsia="en-GB"/>
        </w:rPr>
      </w:pPr>
    </w:p>
    <w:p w14:paraId="2727C1E7" w14:textId="165BB6EA" w:rsidR="00D24A9B" w:rsidRPr="00BC6A30" w:rsidRDefault="004635BC" w:rsidP="004635BC">
      <w:pPr>
        <w:rPr>
          <w:rFonts w:cs="Arial"/>
          <w:b/>
          <w:sz w:val="22"/>
          <w:szCs w:val="22"/>
          <w:lang w:eastAsia="en-GB"/>
        </w:rPr>
      </w:pPr>
      <w:r w:rsidRPr="00BC6A30">
        <w:rPr>
          <w:rFonts w:cs="Arial"/>
          <w:b/>
          <w:sz w:val="22"/>
          <w:szCs w:val="22"/>
          <w:lang w:eastAsia="en-GB"/>
        </w:rPr>
        <w:t>2.1</w:t>
      </w:r>
      <w:r w:rsidRPr="00BC6A30">
        <w:rPr>
          <w:rFonts w:cs="Arial"/>
          <w:sz w:val="22"/>
          <w:szCs w:val="22"/>
          <w:lang w:eastAsia="en-GB"/>
        </w:rPr>
        <w:t xml:space="preserve"> </w:t>
      </w:r>
      <w:r w:rsidRPr="00BC6A30">
        <w:rPr>
          <w:rFonts w:cs="Arial"/>
          <w:b/>
          <w:sz w:val="22"/>
          <w:szCs w:val="22"/>
          <w:lang w:eastAsia="en-GB"/>
        </w:rPr>
        <w:t>Definitions</w:t>
      </w:r>
    </w:p>
    <w:p w14:paraId="072742F0" w14:textId="539FD79E" w:rsidR="006D2AAE" w:rsidRPr="00BC6A30" w:rsidRDefault="003D7576"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SWL</w:t>
      </w:r>
      <w:r w:rsidR="006D2AAE" w:rsidRPr="00BC6A30">
        <w:rPr>
          <w:rFonts w:eastAsia="Calibri" w:cs="Arial"/>
          <w:color w:val="000000" w:themeColor="text1"/>
          <w:sz w:val="22"/>
          <w:szCs w:val="22"/>
          <w:lang w:eastAsia="en-GB"/>
        </w:rPr>
        <w:t xml:space="preserve"> CCG</w:t>
      </w:r>
      <w:r w:rsidR="000725E1" w:rsidRPr="00BC6A30">
        <w:rPr>
          <w:rFonts w:eastAsia="Calibri" w:cs="Arial"/>
          <w:color w:val="000000" w:themeColor="text1"/>
          <w:sz w:val="22"/>
          <w:szCs w:val="22"/>
          <w:lang w:eastAsia="en-GB"/>
        </w:rPr>
        <w:t xml:space="preserve"> wish to commission an</w:t>
      </w:r>
      <w:r w:rsidR="006D2AAE" w:rsidRPr="00BC6A30">
        <w:rPr>
          <w:rFonts w:eastAsia="Calibri" w:cs="Arial"/>
          <w:color w:val="000000" w:themeColor="text1"/>
          <w:sz w:val="22"/>
          <w:szCs w:val="22"/>
          <w:lang w:eastAsia="en-GB"/>
        </w:rPr>
        <w:t xml:space="preserve"> Integrated Urgent Care service across </w:t>
      </w:r>
      <w:r w:rsidRPr="00BC6A30">
        <w:rPr>
          <w:rFonts w:eastAsia="Calibri" w:cs="Arial"/>
          <w:color w:val="000000" w:themeColor="text1"/>
          <w:sz w:val="22"/>
          <w:szCs w:val="22"/>
          <w:lang w:eastAsia="en-GB"/>
        </w:rPr>
        <w:t>SWL</w:t>
      </w:r>
      <w:r w:rsidR="006D2AAE" w:rsidRPr="00BC6A30">
        <w:rPr>
          <w:rFonts w:eastAsia="Calibri" w:cs="Arial"/>
          <w:color w:val="000000" w:themeColor="text1"/>
          <w:sz w:val="22"/>
          <w:szCs w:val="22"/>
          <w:lang w:eastAsia="en-GB"/>
        </w:rPr>
        <w:t xml:space="preserve"> CCG for the provision of integrated 24/7</w:t>
      </w:r>
      <w:r w:rsidR="00D1348E" w:rsidRPr="00BC6A30">
        <w:rPr>
          <w:rFonts w:eastAsia="Calibri" w:cs="Arial"/>
          <w:color w:val="000000" w:themeColor="text1"/>
          <w:sz w:val="22"/>
          <w:szCs w:val="22"/>
          <w:lang w:eastAsia="en-GB"/>
        </w:rPr>
        <w:t>/365</w:t>
      </w:r>
      <w:r w:rsidR="006D2AAE" w:rsidRPr="00BC6A30">
        <w:rPr>
          <w:rFonts w:eastAsia="Calibri" w:cs="Arial"/>
          <w:color w:val="000000" w:themeColor="text1"/>
          <w:sz w:val="22"/>
          <w:szCs w:val="22"/>
          <w:lang w:eastAsia="en-GB"/>
        </w:rPr>
        <w:t xml:space="preserve"> urgent care access, clinical advice and treatment which incorporate</w:t>
      </w:r>
      <w:r w:rsidR="004365E5" w:rsidRPr="00BC6A30">
        <w:rPr>
          <w:rFonts w:eastAsia="Calibri" w:cs="Arial"/>
          <w:color w:val="000000" w:themeColor="text1"/>
          <w:sz w:val="22"/>
          <w:szCs w:val="22"/>
          <w:lang w:eastAsia="en-GB"/>
        </w:rPr>
        <w:t>s</w:t>
      </w:r>
      <w:r w:rsidR="006D2AAE" w:rsidRPr="00BC6A30">
        <w:rPr>
          <w:rFonts w:eastAsia="Calibri" w:cs="Arial"/>
          <w:color w:val="000000" w:themeColor="text1"/>
          <w:sz w:val="22"/>
          <w:szCs w:val="22"/>
          <w:lang w:eastAsia="en-GB"/>
        </w:rPr>
        <w:t xml:space="preserve"> the elements of the NHS 111 service and GP Out of Hours services.</w:t>
      </w:r>
      <w:r w:rsidR="004365E5" w:rsidRPr="00BC6A30">
        <w:rPr>
          <w:rFonts w:eastAsia="Calibri" w:cs="Arial"/>
          <w:color w:val="000000" w:themeColor="text1"/>
          <w:sz w:val="22"/>
          <w:szCs w:val="22"/>
          <w:lang w:eastAsia="en-GB"/>
        </w:rPr>
        <w:t xml:space="preserve"> The contract length will be for </w:t>
      </w:r>
      <w:r w:rsidR="00D77829" w:rsidRPr="00BC6A30">
        <w:rPr>
          <w:rFonts w:eastAsia="Calibri" w:cs="Arial"/>
          <w:color w:val="000000" w:themeColor="text1"/>
          <w:sz w:val="22"/>
          <w:szCs w:val="22"/>
          <w:lang w:eastAsia="en-GB"/>
        </w:rPr>
        <w:t>three</w:t>
      </w:r>
      <w:r w:rsidR="004365E5" w:rsidRPr="00BC6A30">
        <w:rPr>
          <w:rFonts w:eastAsia="Calibri" w:cs="Arial"/>
          <w:color w:val="000000" w:themeColor="text1"/>
          <w:sz w:val="22"/>
          <w:szCs w:val="22"/>
          <w:lang w:eastAsia="en-GB"/>
        </w:rPr>
        <w:t xml:space="preserve"> years with a two</w:t>
      </w:r>
      <w:r w:rsidR="00F94024" w:rsidRPr="00BC6A30">
        <w:rPr>
          <w:rFonts w:eastAsia="Calibri" w:cs="Arial"/>
          <w:color w:val="000000" w:themeColor="text1"/>
          <w:sz w:val="22"/>
          <w:szCs w:val="22"/>
          <w:lang w:eastAsia="en-GB"/>
        </w:rPr>
        <w:t>-</w:t>
      </w:r>
      <w:r w:rsidR="004365E5" w:rsidRPr="00BC6A30">
        <w:rPr>
          <w:rFonts w:eastAsia="Calibri" w:cs="Arial"/>
          <w:color w:val="000000" w:themeColor="text1"/>
          <w:sz w:val="22"/>
          <w:szCs w:val="22"/>
          <w:lang w:eastAsia="en-GB"/>
        </w:rPr>
        <w:t>year option to extend.</w:t>
      </w:r>
    </w:p>
    <w:p w14:paraId="0F1DF996" w14:textId="3FD9DAD6" w:rsidR="006D2AAE" w:rsidRPr="00BC6A30" w:rsidRDefault="006D2AAE"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 xml:space="preserve">The </w:t>
      </w:r>
      <w:r w:rsidR="003D7576" w:rsidRPr="00BC6A30">
        <w:rPr>
          <w:rFonts w:eastAsia="Calibri" w:cs="Arial"/>
          <w:color w:val="000000" w:themeColor="text1"/>
          <w:sz w:val="22"/>
          <w:szCs w:val="22"/>
          <w:lang w:eastAsia="en-GB"/>
        </w:rPr>
        <w:t>SWL</w:t>
      </w:r>
      <w:r w:rsidR="004365E5" w:rsidRPr="00BC6A30">
        <w:rPr>
          <w:rFonts w:eastAsia="Calibri" w:cs="Arial"/>
          <w:color w:val="000000" w:themeColor="text1"/>
          <w:sz w:val="22"/>
          <w:szCs w:val="22"/>
          <w:lang w:eastAsia="en-GB"/>
        </w:rPr>
        <w:t xml:space="preserve"> </w:t>
      </w:r>
      <w:r w:rsidRPr="00BC6A30">
        <w:rPr>
          <w:rFonts w:eastAsia="Calibri" w:cs="Arial"/>
          <w:color w:val="000000" w:themeColor="text1"/>
          <w:sz w:val="22"/>
          <w:szCs w:val="22"/>
          <w:lang w:eastAsia="en-GB"/>
        </w:rPr>
        <w:t xml:space="preserve">IUC service specification includes the requirement to establish a Clinical Assessment Service (CAS) as part of the overall specification, containing clinicians with varying skillsets, </w:t>
      </w:r>
      <w:proofErr w:type="gramStart"/>
      <w:r w:rsidRPr="00BC6A30">
        <w:rPr>
          <w:rFonts w:eastAsia="Calibri" w:cs="Arial"/>
          <w:color w:val="000000" w:themeColor="text1"/>
          <w:sz w:val="22"/>
          <w:szCs w:val="22"/>
          <w:lang w:eastAsia="en-GB"/>
        </w:rPr>
        <w:t>e.g.</w:t>
      </w:r>
      <w:proofErr w:type="gramEnd"/>
      <w:r w:rsidRPr="00BC6A30">
        <w:rPr>
          <w:rFonts w:eastAsia="Calibri" w:cs="Arial"/>
          <w:color w:val="000000" w:themeColor="text1"/>
          <w:sz w:val="22"/>
          <w:szCs w:val="22"/>
          <w:lang w:eastAsia="en-GB"/>
        </w:rPr>
        <w:t xml:space="preserve"> GPs, pharmacists</w:t>
      </w:r>
      <w:r w:rsidR="00D1348E" w:rsidRPr="00BC6A30">
        <w:rPr>
          <w:rFonts w:eastAsia="Calibri" w:cs="Arial"/>
          <w:color w:val="000000" w:themeColor="text1"/>
          <w:sz w:val="22"/>
          <w:szCs w:val="22"/>
          <w:lang w:eastAsia="en-GB"/>
        </w:rPr>
        <w:t>, nurses</w:t>
      </w:r>
      <w:r w:rsidRPr="00BC6A30">
        <w:rPr>
          <w:rFonts w:eastAsia="Calibri" w:cs="Arial"/>
          <w:color w:val="000000" w:themeColor="text1"/>
          <w:sz w:val="22"/>
          <w:szCs w:val="22"/>
          <w:lang w:eastAsia="en-GB"/>
        </w:rPr>
        <w:t xml:space="preserve">. </w:t>
      </w:r>
      <w:r w:rsidR="004365E5" w:rsidRPr="00BC6A30">
        <w:rPr>
          <w:rFonts w:eastAsia="Calibri" w:cs="Arial"/>
          <w:color w:val="000000" w:themeColor="text1"/>
          <w:sz w:val="22"/>
          <w:szCs w:val="22"/>
          <w:lang w:eastAsia="en-GB"/>
        </w:rPr>
        <w:t xml:space="preserve">The </w:t>
      </w:r>
      <w:r w:rsidR="003D7576" w:rsidRPr="00BC6A30">
        <w:rPr>
          <w:rFonts w:eastAsia="Calibri" w:cs="Arial"/>
          <w:color w:val="000000" w:themeColor="text1"/>
          <w:sz w:val="22"/>
          <w:szCs w:val="22"/>
          <w:lang w:eastAsia="en-GB"/>
        </w:rPr>
        <w:t>SWL</w:t>
      </w:r>
      <w:r w:rsidR="004365E5" w:rsidRPr="00BC6A30">
        <w:rPr>
          <w:rFonts w:eastAsia="Calibri" w:cs="Arial"/>
          <w:color w:val="000000" w:themeColor="text1"/>
          <w:sz w:val="22"/>
          <w:szCs w:val="22"/>
          <w:lang w:eastAsia="en-GB"/>
        </w:rPr>
        <w:t xml:space="preserve"> IUC</w:t>
      </w:r>
      <w:r w:rsidRPr="00BC6A30">
        <w:rPr>
          <w:rFonts w:eastAsia="Calibri" w:cs="Arial"/>
          <w:color w:val="000000" w:themeColor="text1"/>
          <w:sz w:val="22"/>
          <w:szCs w:val="22"/>
          <w:lang w:eastAsia="en-GB"/>
        </w:rPr>
        <w:t xml:space="preserve"> service will ensure the most appropriate service for patient’s needs are delivered, offering all patients a consistent 24/7 urgent care service.</w:t>
      </w:r>
      <w:r w:rsidR="00D1348E" w:rsidRPr="00BC6A30">
        <w:rPr>
          <w:rFonts w:eastAsia="Calibri" w:cs="Arial"/>
          <w:color w:val="000000" w:themeColor="text1"/>
          <w:sz w:val="22"/>
          <w:szCs w:val="22"/>
          <w:lang w:eastAsia="en-GB"/>
        </w:rPr>
        <w:t xml:space="preserve"> </w:t>
      </w:r>
      <w:r w:rsidR="0048763E" w:rsidRPr="00BC6A30">
        <w:rPr>
          <w:rFonts w:eastAsia="Calibri" w:cs="Arial"/>
          <w:color w:val="000000" w:themeColor="text1"/>
          <w:sz w:val="22"/>
          <w:szCs w:val="22"/>
          <w:lang w:eastAsia="en-GB"/>
        </w:rPr>
        <w:t xml:space="preserve">The service will follow </w:t>
      </w:r>
      <w:r w:rsidR="00D1348E" w:rsidRPr="00BC6A30">
        <w:rPr>
          <w:rFonts w:eastAsia="Calibri" w:cs="Arial"/>
          <w:color w:val="000000" w:themeColor="text1"/>
          <w:sz w:val="22"/>
          <w:szCs w:val="22"/>
          <w:lang w:eastAsia="en-GB"/>
        </w:rPr>
        <w:t>the Consult and Complete model, booking the patient into Primary Care (in hours, extended access, GP Primary care Centre) and Urgent Care locations, based on the disposition reached and advising the patient to attend an emergency setting or dispatching an Ambulance if an Emergency disposition is reached</w:t>
      </w:r>
    </w:p>
    <w:p w14:paraId="7233DB8D" w14:textId="38A1D85A" w:rsidR="004365E5" w:rsidRPr="00BC6A30" w:rsidRDefault="00874635"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 xml:space="preserve">The </w:t>
      </w:r>
      <w:r w:rsidR="003D7576" w:rsidRPr="00BC6A30">
        <w:rPr>
          <w:rFonts w:eastAsia="Calibri" w:cs="Arial"/>
          <w:color w:val="000000" w:themeColor="text1"/>
          <w:sz w:val="22"/>
          <w:szCs w:val="22"/>
          <w:lang w:eastAsia="en-GB"/>
        </w:rPr>
        <w:t>SWL</w:t>
      </w:r>
      <w:r w:rsidRPr="00BC6A30">
        <w:rPr>
          <w:rFonts w:eastAsia="Calibri" w:cs="Arial"/>
          <w:color w:val="000000" w:themeColor="text1"/>
          <w:sz w:val="22"/>
          <w:szCs w:val="22"/>
          <w:lang w:eastAsia="en-GB"/>
        </w:rPr>
        <w:t xml:space="preserve"> vision for an </w:t>
      </w:r>
      <w:r w:rsidR="004365E5" w:rsidRPr="00BC6A30">
        <w:rPr>
          <w:rFonts w:eastAsia="Calibri" w:cs="Arial"/>
          <w:color w:val="000000" w:themeColor="text1"/>
          <w:sz w:val="22"/>
          <w:szCs w:val="22"/>
          <w:lang w:eastAsia="en-GB"/>
        </w:rPr>
        <w:t>I</w:t>
      </w:r>
      <w:r w:rsidRPr="00BC6A30">
        <w:rPr>
          <w:rFonts w:eastAsia="Calibri" w:cs="Arial"/>
          <w:color w:val="000000" w:themeColor="text1"/>
          <w:sz w:val="22"/>
          <w:szCs w:val="22"/>
          <w:lang w:eastAsia="en-GB"/>
        </w:rPr>
        <w:t>ntegrated</w:t>
      </w:r>
      <w:r w:rsidR="004365E5" w:rsidRPr="00BC6A30">
        <w:rPr>
          <w:rFonts w:eastAsia="Calibri" w:cs="Arial"/>
          <w:color w:val="000000" w:themeColor="text1"/>
          <w:sz w:val="22"/>
          <w:szCs w:val="22"/>
          <w:lang w:eastAsia="en-GB"/>
        </w:rPr>
        <w:t xml:space="preserve"> Urgent Care Service </w:t>
      </w:r>
      <w:r w:rsidRPr="00BC6A30">
        <w:rPr>
          <w:rFonts w:eastAsia="Calibri" w:cs="Arial"/>
          <w:color w:val="000000" w:themeColor="text1"/>
          <w:sz w:val="22"/>
          <w:szCs w:val="22"/>
          <w:lang w:eastAsia="en-GB"/>
        </w:rPr>
        <w:t>is one where all sections of the community are equally able to access the service</w:t>
      </w:r>
      <w:r w:rsidR="004365E5" w:rsidRPr="00BC6A30">
        <w:rPr>
          <w:rFonts w:eastAsia="Calibri" w:cs="Arial"/>
          <w:color w:val="000000" w:themeColor="text1"/>
          <w:sz w:val="22"/>
          <w:szCs w:val="22"/>
          <w:lang w:eastAsia="en-GB"/>
        </w:rPr>
        <w:t>.  A</w:t>
      </w:r>
      <w:r w:rsidR="00D1348E" w:rsidRPr="00BC6A30">
        <w:rPr>
          <w:rFonts w:eastAsia="Calibri" w:cs="Arial"/>
          <w:color w:val="000000" w:themeColor="text1"/>
          <w:sz w:val="22"/>
          <w:szCs w:val="22"/>
          <w:lang w:eastAsia="en-GB"/>
        </w:rPr>
        <w:t xml:space="preserve"> detailed</w:t>
      </w:r>
      <w:r w:rsidR="004365E5" w:rsidRPr="00BC6A30">
        <w:rPr>
          <w:rFonts w:eastAsia="Calibri" w:cs="Arial"/>
          <w:color w:val="000000" w:themeColor="text1"/>
          <w:sz w:val="22"/>
          <w:szCs w:val="22"/>
          <w:lang w:eastAsia="en-GB"/>
        </w:rPr>
        <w:t xml:space="preserve"> Equalities and Health Inequalities Impact Analysis (EHIA) has been carried out and the resulting recommendations have informed the </w:t>
      </w:r>
      <w:r w:rsidR="003D7576" w:rsidRPr="00BC6A30">
        <w:rPr>
          <w:rFonts w:eastAsia="Calibri" w:cs="Arial"/>
          <w:color w:val="000000" w:themeColor="text1"/>
          <w:sz w:val="22"/>
          <w:szCs w:val="22"/>
          <w:lang w:eastAsia="en-GB"/>
        </w:rPr>
        <w:t>SWL</w:t>
      </w:r>
      <w:r w:rsidR="004365E5" w:rsidRPr="00BC6A30">
        <w:rPr>
          <w:rFonts w:eastAsia="Calibri" w:cs="Arial"/>
          <w:color w:val="000000" w:themeColor="text1"/>
          <w:sz w:val="22"/>
          <w:szCs w:val="22"/>
          <w:lang w:eastAsia="en-GB"/>
        </w:rPr>
        <w:t xml:space="preserve"> IUC service specification.  The service will maximise </w:t>
      </w:r>
      <w:r w:rsidR="003A4849" w:rsidRPr="00BC6A30">
        <w:rPr>
          <w:rFonts w:eastAsia="Calibri" w:cs="Arial"/>
          <w:color w:val="000000" w:themeColor="text1"/>
          <w:sz w:val="22"/>
          <w:szCs w:val="22"/>
          <w:lang w:eastAsia="en-GB"/>
        </w:rPr>
        <w:t xml:space="preserve">and </w:t>
      </w:r>
      <w:r w:rsidR="004365E5" w:rsidRPr="00BC6A30">
        <w:rPr>
          <w:rFonts w:eastAsia="Calibri" w:cs="Arial"/>
          <w:color w:val="000000" w:themeColor="text1"/>
          <w:sz w:val="22"/>
          <w:szCs w:val="22"/>
          <w:lang w:eastAsia="en-GB"/>
        </w:rPr>
        <w:t xml:space="preserve">ensure effective links communities across </w:t>
      </w:r>
      <w:r w:rsidR="003D7576" w:rsidRPr="00BC6A30">
        <w:rPr>
          <w:rFonts w:eastAsia="Calibri" w:cs="Arial"/>
          <w:color w:val="000000" w:themeColor="text1"/>
          <w:sz w:val="22"/>
          <w:szCs w:val="22"/>
          <w:lang w:eastAsia="en-GB"/>
        </w:rPr>
        <w:t>SWL</w:t>
      </w:r>
      <w:r w:rsidR="004365E5" w:rsidRPr="00BC6A30">
        <w:rPr>
          <w:rFonts w:eastAsia="Calibri" w:cs="Arial"/>
          <w:color w:val="000000" w:themeColor="text1"/>
          <w:sz w:val="22"/>
          <w:szCs w:val="22"/>
          <w:lang w:eastAsia="en-GB"/>
        </w:rPr>
        <w:t>, particularly those groups identified within the EHIA who may find accessing urgent care services challenging.</w:t>
      </w:r>
    </w:p>
    <w:p w14:paraId="4CD3201D" w14:textId="6A76D564" w:rsidR="00F94024" w:rsidRPr="00BC6A30" w:rsidRDefault="003D7576"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SWL</w:t>
      </w:r>
      <w:r w:rsidR="004365E5" w:rsidRPr="00BC6A30">
        <w:rPr>
          <w:rFonts w:eastAsia="Calibri" w:cs="Arial"/>
          <w:color w:val="000000" w:themeColor="text1"/>
          <w:sz w:val="22"/>
          <w:szCs w:val="22"/>
          <w:lang w:eastAsia="en-GB"/>
        </w:rPr>
        <w:t xml:space="preserve"> CCG</w:t>
      </w:r>
      <w:r w:rsidR="00AE5EC6" w:rsidRPr="00BC6A30">
        <w:rPr>
          <w:rFonts w:eastAsia="Calibri" w:cs="Arial"/>
          <w:color w:val="000000" w:themeColor="text1"/>
          <w:sz w:val="22"/>
          <w:szCs w:val="22"/>
          <w:lang w:eastAsia="en-GB"/>
        </w:rPr>
        <w:t>’s</w:t>
      </w:r>
      <w:r w:rsidR="004365E5" w:rsidRPr="00BC6A30">
        <w:rPr>
          <w:rFonts w:eastAsia="Calibri" w:cs="Arial"/>
          <w:color w:val="000000" w:themeColor="text1"/>
          <w:sz w:val="22"/>
          <w:szCs w:val="22"/>
          <w:lang w:eastAsia="en-GB"/>
        </w:rPr>
        <w:t xml:space="preserve"> </w:t>
      </w:r>
      <w:r w:rsidR="00F94024" w:rsidRPr="00BC6A30">
        <w:rPr>
          <w:rFonts w:eastAsia="Calibri" w:cs="Arial"/>
          <w:color w:val="000000" w:themeColor="text1"/>
          <w:sz w:val="22"/>
          <w:szCs w:val="22"/>
          <w:lang w:eastAsia="en-GB"/>
        </w:rPr>
        <w:t>require</w:t>
      </w:r>
      <w:r w:rsidR="0048763E" w:rsidRPr="00BC6A30">
        <w:rPr>
          <w:rFonts w:eastAsia="Calibri" w:cs="Arial"/>
          <w:color w:val="000000" w:themeColor="text1"/>
          <w:sz w:val="22"/>
          <w:szCs w:val="22"/>
          <w:lang w:eastAsia="en-GB"/>
        </w:rPr>
        <w:t>ment</w:t>
      </w:r>
      <w:r w:rsidR="00F94024" w:rsidRPr="00BC6A30">
        <w:rPr>
          <w:rFonts w:eastAsia="Calibri" w:cs="Arial"/>
          <w:color w:val="000000" w:themeColor="text1"/>
          <w:sz w:val="22"/>
          <w:szCs w:val="22"/>
          <w:lang w:eastAsia="en-GB"/>
        </w:rPr>
        <w:t xml:space="preserve"> </w:t>
      </w:r>
      <w:r w:rsidR="00D1348E" w:rsidRPr="00BC6A30">
        <w:rPr>
          <w:rFonts w:eastAsia="Calibri" w:cs="Arial"/>
          <w:color w:val="000000" w:themeColor="text1"/>
          <w:sz w:val="22"/>
          <w:szCs w:val="22"/>
          <w:lang w:eastAsia="en-GB"/>
        </w:rPr>
        <w:t xml:space="preserve">will </w:t>
      </w:r>
      <w:r w:rsidR="003A4849" w:rsidRPr="00BC6A30">
        <w:rPr>
          <w:rFonts w:eastAsia="Calibri" w:cs="Arial"/>
          <w:color w:val="000000" w:themeColor="text1"/>
          <w:sz w:val="22"/>
          <w:szCs w:val="22"/>
          <w:lang w:eastAsia="en-GB"/>
        </w:rPr>
        <w:t xml:space="preserve">most likely </w:t>
      </w:r>
      <w:r w:rsidR="00D1348E" w:rsidRPr="00BC6A30">
        <w:rPr>
          <w:rFonts w:eastAsia="Calibri" w:cs="Arial"/>
          <w:color w:val="000000" w:themeColor="text1"/>
          <w:sz w:val="22"/>
          <w:szCs w:val="22"/>
          <w:lang w:eastAsia="en-GB"/>
        </w:rPr>
        <w:t>be delivered by a lead provider</w:t>
      </w:r>
      <w:r w:rsidR="003A4849" w:rsidRPr="00BC6A30">
        <w:rPr>
          <w:rFonts w:eastAsia="Calibri" w:cs="Arial"/>
          <w:color w:val="000000" w:themeColor="text1"/>
          <w:sz w:val="22"/>
          <w:szCs w:val="22"/>
          <w:lang w:eastAsia="en-GB"/>
        </w:rPr>
        <w:t xml:space="preserve">, with the </w:t>
      </w:r>
      <w:r w:rsidRPr="00BC6A30">
        <w:rPr>
          <w:rFonts w:eastAsia="Calibri" w:cs="Arial"/>
          <w:color w:val="000000" w:themeColor="text1"/>
          <w:sz w:val="22"/>
          <w:szCs w:val="22"/>
          <w:lang w:eastAsia="en-GB"/>
        </w:rPr>
        <w:t>SWL</w:t>
      </w:r>
      <w:r w:rsidR="003A4849" w:rsidRPr="00BC6A30">
        <w:rPr>
          <w:rFonts w:eastAsia="Calibri" w:cs="Arial"/>
          <w:color w:val="000000" w:themeColor="text1"/>
          <w:sz w:val="22"/>
          <w:szCs w:val="22"/>
          <w:lang w:eastAsia="en-GB"/>
        </w:rPr>
        <w:t xml:space="preserve"> CCG inviting a provide</w:t>
      </w:r>
      <w:r w:rsidR="00AE5EC6" w:rsidRPr="00BC6A30">
        <w:rPr>
          <w:rFonts w:eastAsia="Calibri" w:cs="Arial"/>
          <w:color w:val="000000" w:themeColor="text1"/>
          <w:sz w:val="22"/>
          <w:szCs w:val="22"/>
          <w:lang w:eastAsia="en-GB"/>
        </w:rPr>
        <w:t>r</w:t>
      </w:r>
      <w:r w:rsidR="003A4849" w:rsidRPr="00BC6A30">
        <w:rPr>
          <w:rFonts w:eastAsia="Calibri" w:cs="Arial"/>
          <w:color w:val="000000" w:themeColor="text1"/>
          <w:sz w:val="22"/>
          <w:szCs w:val="22"/>
          <w:lang w:eastAsia="en-GB"/>
        </w:rPr>
        <w:t xml:space="preserve"> solution</w:t>
      </w:r>
      <w:r w:rsidR="00D1348E" w:rsidRPr="00BC6A30">
        <w:rPr>
          <w:rFonts w:eastAsia="Calibri" w:cs="Arial"/>
          <w:color w:val="000000" w:themeColor="text1"/>
          <w:sz w:val="22"/>
          <w:szCs w:val="22"/>
          <w:lang w:eastAsia="en-GB"/>
        </w:rPr>
        <w:t xml:space="preserve"> through </w:t>
      </w:r>
      <w:r w:rsidR="00F94024" w:rsidRPr="00BC6A30">
        <w:rPr>
          <w:rFonts w:eastAsia="Calibri" w:cs="Arial"/>
          <w:color w:val="000000" w:themeColor="text1"/>
          <w:sz w:val="22"/>
          <w:szCs w:val="22"/>
          <w:lang w:eastAsia="en-GB"/>
        </w:rPr>
        <w:t>a</w:t>
      </w:r>
      <w:r w:rsidR="004365E5" w:rsidRPr="00BC6A30">
        <w:rPr>
          <w:rFonts w:eastAsia="Calibri" w:cs="Arial"/>
          <w:color w:val="000000" w:themeColor="text1"/>
          <w:sz w:val="22"/>
          <w:szCs w:val="22"/>
          <w:lang w:eastAsia="en-GB"/>
        </w:rPr>
        <w:t xml:space="preserve"> </w:t>
      </w:r>
      <w:r w:rsidR="00874635" w:rsidRPr="00BC6A30">
        <w:rPr>
          <w:rFonts w:eastAsia="Calibri" w:cs="Arial"/>
          <w:color w:val="000000" w:themeColor="text1"/>
          <w:sz w:val="22"/>
          <w:szCs w:val="22"/>
          <w:lang w:eastAsia="en-GB"/>
        </w:rPr>
        <w:t xml:space="preserve">single </w:t>
      </w:r>
      <w:r w:rsidR="004365E5" w:rsidRPr="00BC6A30">
        <w:rPr>
          <w:rFonts w:eastAsia="Calibri" w:cs="Arial"/>
          <w:color w:val="000000" w:themeColor="text1"/>
          <w:sz w:val="22"/>
          <w:szCs w:val="22"/>
          <w:lang w:eastAsia="en-GB"/>
        </w:rPr>
        <w:t xml:space="preserve">IUC </w:t>
      </w:r>
      <w:r w:rsidR="00F94024" w:rsidRPr="00BC6A30">
        <w:rPr>
          <w:rFonts w:eastAsia="Calibri" w:cs="Arial"/>
          <w:color w:val="000000" w:themeColor="text1"/>
          <w:sz w:val="22"/>
          <w:szCs w:val="22"/>
          <w:lang w:eastAsia="en-GB"/>
        </w:rPr>
        <w:t>service contract</w:t>
      </w:r>
      <w:r w:rsidR="00874635" w:rsidRPr="00BC6A30">
        <w:rPr>
          <w:rFonts w:eastAsia="Calibri" w:cs="Arial"/>
          <w:color w:val="000000" w:themeColor="text1"/>
          <w:sz w:val="22"/>
          <w:szCs w:val="22"/>
          <w:lang w:eastAsia="en-GB"/>
        </w:rPr>
        <w:t xml:space="preserve"> for the whole of the requirement</w:t>
      </w:r>
      <w:r w:rsidR="00AE5EC6" w:rsidRPr="00BC6A30">
        <w:rPr>
          <w:rFonts w:eastAsia="Calibri" w:cs="Arial"/>
          <w:color w:val="000000" w:themeColor="text1"/>
          <w:sz w:val="22"/>
          <w:szCs w:val="22"/>
          <w:lang w:eastAsia="en-GB"/>
        </w:rPr>
        <w:t>, apart from an element of the call management that will support more integration with the ambulance service – this will be provided by The London Ambulance Service (LAS)</w:t>
      </w:r>
      <w:r w:rsidR="00F94024" w:rsidRPr="00BC6A30">
        <w:rPr>
          <w:rFonts w:eastAsia="Calibri" w:cs="Arial"/>
          <w:color w:val="000000" w:themeColor="text1"/>
          <w:sz w:val="22"/>
          <w:szCs w:val="22"/>
          <w:lang w:eastAsia="en-GB"/>
        </w:rPr>
        <w:t xml:space="preserve">.  In light of </w:t>
      </w:r>
      <w:r w:rsidRPr="00BC6A30">
        <w:rPr>
          <w:rFonts w:eastAsia="Calibri" w:cs="Arial"/>
          <w:color w:val="000000" w:themeColor="text1"/>
          <w:sz w:val="22"/>
          <w:szCs w:val="22"/>
          <w:lang w:eastAsia="en-GB"/>
        </w:rPr>
        <w:t>SWL</w:t>
      </w:r>
      <w:r w:rsidR="00F94024" w:rsidRPr="00BC6A30">
        <w:rPr>
          <w:rFonts w:eastAsia="Calibri" w:cs="Arial"/>
          <w:color w:val="000000" w:themeColor="text1"/>
          <w:sz w:val="22"/>
          <w:szCs w:val="22"/>
          <w:lang w:eastAsia="en-GB"/>
        </w:rPr>
        <w:t xml:space="preserve"> CCG</w:t>
      </w:r>
      <w:r w:rsidR="00AE5EC6" w:rsidRPr="00BC6A30">
        <w:rPr>
          <w:rFonts w:eastAsia="Calibri" w:cs="Arial"/>
          <w:color w:val="000000" w:themeColor="text1"/>
          <w:sz w:val="22"/>
          <w:szCs w:val="22"/>
          <w:lang w:eastAsia="en-GB"/>
        </w:rPr>
        <w:t>’s</w:t>
      </w:r>
      <w:r w:rsidR="00F94024" w:rsidRPr="00BC6A30">
        <w:rPr>
          <w:rFonts w:eastAsia="Calibri" w:cs="Arial"/>
          <w:color w:val="000000" w:themeColor="text1"/>
          <w:sz w:val="22"/>
          <w:szCs w:val="22"/>
          <w:lang w:eastAsia="en-GB"/>
        </w:rPr>
        <w:t xml:space="preserve"> knowledge and engagement with current providers and the wider market, it is recognised that this contract will be delivered with the lead provider working alongside other providers</w:t>
      </w:r>
      <w:r w:rsidR="00D1348E" w:rsidRPr="00BC6A30">
        <w:rPr>
          <w:rFonts w:eastAsia="Calibri" w:cs="Arial"/>
          <w:color w:val="000000" w:themeColor="text1"/>
          <w:sz w:val="22"/>
          <w:szCs w:val="22"/>
          <w:lang w:eastAsia="en-GB"/>
        </w:rPr>
        <w:t xml:space="preserve"> and with the primary Call centre and Clinical </w:t>
      </w:r>
      <w:r w:rsidR="003A4849" w:rsidRPr="00BC6A30">
        <w:rPr>
          <w:rFonts w:eastAsia="Calibri" w:cs="Arial"/>
          <w:color w:val="000000" w:themeColor="text1"/>
          <w:sz w:val="22"/>
          <w:szCs w:val="22"/>
          <w:lang w:eastAsia="en-GB"/>
        </w:rPr>
        <w:t xml:space="preserve">hub </w:t>
      </w:r>
      <w:r w:rsidR="00D1348E" w:rsidRPr="00BC6A30">
        <w:rPr>
          <w:rFonts w:eastAsia="Calibri" w:cs="Arial"/>
          <w:color w:val="000000" w:themeColor="text1"/>
          <w:sz w:val="22"/>
          <w:szCs w:val="22"/>
          <w:lang w:eastAsia="en-GB"/>
        </w:rPr>
        <w:t xml:space="preserve">(based in the </w:t>
      </w:r>
      <w:r w:rsidRPr="00BC6A30">
        <w:rPr>
          <w:rFonts w:eastAsia="Calibri" w:cs="Arial"/>
          <w:color w:val="000000" w:themeColor="text1"/>
          <w:sz w:val="22"/>
          <w:szCs w:val="22"/>
          <w:lang w:eastAsia="en-GB"/>
        </w:rPr>
        <w:t>SWL</w:t>
      </w:r>
      <w:r w:rsidR="00D1348E" w:rsidRPr="00BC6A30">
        <w:rPr>
          <w:rFonts w:eastAsia="Calibri" w:cs="Arial"/>
          <w:color w:val="000000" w:themeColor="text1"/>
          <w:sz w:val="22"/>
          <w:szCs w:val="22"/>
          <w:lang w:eastAsia="en-GB"/>
        </w:rPr>
        <w:t xml:space="preserve"> geography and taking no less than 75% of calls)</w:t>
      </w:r>
      <w:r w:rsidR="00F94024" w:rsidRPr="00BC6A30">
        <w:rPr>
          <w:rFonts w:eastAsia="Calibri" w:cs="Arial"/>
          <w:color w:val="000000" w:themeColor="text1"/>
          <w:sz w:val="22"/>
          <w:szCs w:val="22"/>
          <w:lang w:eastAsia="en-GB"/>
        </w:rPr>
        <w:t>.</w:t>
      </w:r>
    </w:p>
    <w:p w14:paraId="3F14DB4A" w14:textId="4C52DCD3" w:rsidR="00D1348E" w:rsidRPr="00BC6A30" w:rsidRDefault="00874635" w:rsidP="006E50FC">
      <w:pPr>
        <w:pStyle w:val="BodyText"/>
        <w:spacing w:after="120"/>
        <w:jc w:val="both"/>
        <w:rPr>
          <w:rFonts w:cs="Arial"/>
          <w:sz w:val="22"/>
          <w:szCs w:val="22"/>
          <w:lang w:eastAsia="en-GB"/>
        </w:rPr>
      </w:pPr>
      <w:r w:rsidRPr="00BC6A30">
        <w:rPr>
          <w:rFonts w:eastAsia="Calibri" w:cs="Arial"/>
          <w:color w:val="000000" w:themeColor="text1"/>
          <w:sz w:val="22"/>
          <w:szCs w:val="22"/>
          <w:lang w:eastAsia="en-GB"/>
        </w:rPr>
        <w:t>The</w:t>
      </w:r>
      <w:r w:rsidR="003A4849" w:rsidRPr="00BC6A30">
        <w:rPr>
          <w:rFonts w:eastAsia="Calibri" w:cs="Arial"/>
          <w:color w:val="000000" w:themeColor="text1"/>
          <w:sz w:val="22"/>
          <w:szCs w:val="22"/>
          <w:lang w:eastAsia="en-GB"/>
        </w:rPr>
        <w:t>re is an expectation that the</w:t>
      </w:r>
      <w:r w:rsidRPr="00BC6A30">
        <w:rPr>
          <w:rFonts w:eastAsia="Calibri" w:cs="Arial"/>
          <w:color w:val="000000" w:themeColor="text1"/>
          <w:sz w:val="22"/>
          <w:szCs w:val="22"/>
          <w:lang w:eastAsia="en-GB"/>
        </w:rPr>
        <w:t xml:space="preserve"> </w:t>
      </w:r>
      <w:r w:rsidR="003D7576" w:rsidRPr="00BC6A30">
        <w:rPr>
          <w:rFonts w:eastAsia="Calibri" w:cs="Arial"/>
          <w:color w:val="000000" w:themeColor="text1"/>
          <w:sz w:val="22"/>
          <w:szCs w:val="22"/>
          <w:lang w:eastAsia="en-GB"/>
        </w:rPr>
        <w:t>SWL</w:t>
      </w:r>
      <w:r w:rsidR="00F94024" w:rsidRPr="00BC6A30">
        <w:rPr>
          <w:rFonts w:eastAsia="Calibri" w:cs="Arial"/>
          <w:color w:val="000000" w:themeColor="text1"/>
          <w:sz w:val="22"/>
          <w:szCs w:val="22"/>
          <w:lang w:eastAsia="en-GB"/>
        </w:rPr>
        <w:t xml:space="preserve"> IUC service</w:t>
      </w:r>
      <w:r w:rsidRPr="00BC6A30">
        <w:rPr>
          <w:rFonts w:eastAsia="Calibri" w:cs="Arial"/>
          <w:color w:val="000000" w:themeColor="text1"/>
          <w:sz w:val="22"/>
          <w:szCs w:val="22"/>
          <w:lang w:eastAsia="en-GB"/>
        </w:rPr>
        <w:t xml:space="preserve"> should be innovative and developed with regard to increasing </w:t>
      </w:r>
      <w:r w:rsidR="00BA7CBC" w:rsidRPr="00BC6A30">
        <w:rPr>
          <w:rFonts w:eastAsia="Calibri" w:cs="Arial"/>
          <w:color w:val="000000" w:themeColor="text1"/>
          <w:sz w:val="22"/>
          <w:szCs w:val="22"/>
          <w:lang w:eastAsia="en-GB"/>
        </w:rPr>
        <w:t xml:space="preserve">clinical </w:t>
      </w:r>
      <w:r w:rsidRPr="00BC6A30">
        <w:rPr>
          <w:rFonts w:eastAsia="Calibri" w:cs="Arial"/>
          <w:color w:val="000000" w:themeColor="text1"/>
          <w:sz w:val="22"/>
          <w:szCs w:val="22"/>
          <w:lang w:eastAsia="en-GB"/>
        </w:rPr>
        <w:t xml:space="preserve">access rates beyond the minimum specified by </w:t>
      </w:r>
      <w:r w:rsidR="003D7576" w:rsidRPr="00BC6A30">
        <w:rPr>
          <w:rFonts w:eastAsia="Calibri" w:cs="Arial"/>
          <w:color w:val="000000" w:themeColor="text1"/>
          <w:sz w:val="22"/>
          <w:szCs w:val="22"/>
          <w:lang w:eastAsia="en-GB"/>
        </w:rPr>
        <w:t>SWL</w:t>
      </w:r>
      <w:r w:rsidRPr="00BC6A30">
        <w:rPr>
          <w:rFonts w:eastAsia="Calibri" w:cs="Arial"/>
          <w:color w:val="000000" w:themeColor="text1"/>
          <w:sz w:val="22"/>
          <w:szCs w:val="22"/>
          <w:lang w:eastAsia="en-GB"/>
        </w:rPr>
        <w:t xml:space="preserve"> CCG</w:t>
      </w:r>
      <w:r w:rsidR="00F94024" w:rsidRPr="00BC6A30">
        <w:rPr>
          <w:rFonts w:eastAsia="Calibri" w:cs="Arial"/>
          <w:color w:val="000000" w:themeColor="text1"/>
          <w:sz w:val="22"/>
          <w:szCs w:val="22"/>
          <w:lang w:eastAsia="en-GB"/>
        </w:rPr>
        <w:t>s</w:t>
      </w:r>
      <w:r w:rsidRPr="00BC6A30">
        <w:rPr>
          <w:rFonts w:eastAsia="Calibri" w:cs="Arial"/>
          <w:color w:val="000000" w:themeColor="text1"/>
          <w:sz w:val="22"/>
          <w:szCs w:val="22"/>
          <w:lang w:eastAsia="en-GB"/>
        </w:rPr>
        <w:t xml:space="preserve"> for each year of the contract using the provider’s expertise</w:t>
      </w:r>
      <w:r w:rsidRPr="00BC6A30">
        <w:rPr>
          <w:rFonts w:cs="Arial"/>
          <w:sz w:val="22"/>
          <w:szCs w:val="22"/>
          <w:lang w:eastAsia="en-GB"/>
        </w:rPr>
        <w:t xml:space="preserve"> in delivering </w:t>
      </w:r>
      <w:r w:rsidR="00F94024" w:rsidRPr="00BC6A30">
        <w:rPr>
          <w:rFonts w:cs="Arial"/>
          <w:sz w:val="22"/>
          <w:szCs w:val="22"/>
          <w:lang w:eastAsia="en-GB"/>
        </w:rPr>
        <w:t>activity</w:t>
      </w:r>
      <w:r w:rsidRPr="00BC6A30">
        <w:rPr>
          <w:rFonts w:cs="Arial"/>
          <w:sz w:val="22"/>
          <w:szCs w:val="22"/>
          <w:lang w:eastAsia="en-GB"/>
        </w:rPr>
        <w:t xml:space="preserve"> within the service model, but within the constraints of the financial envelope available for each year of the contract.</w:t>
      </w:r>
      <w:r w:rsidR="00BA7CBC" w:rsidRPr="00BC6A30">
        <w:rPr>
          <w:rFonts w:cs="Arial"/>
          <w:sz w:val="22"/>
          <w:szCs w:val="22"/>
          <w:lang w:eastAsia="en-GB"/>
        </w:rPr>
        <w:t xml:space="preserve"> The contract will require the re-triage of 90% of ED and 90% of Cat 3 and Cat 4 initial dispositions arrived at through the Health Advisors assessment. The available primary care clinical records (CMC, SCR, SCR-ai, SystmOne, EMIS) of each patient will need to be reviewed within the clinical hub, where this flags on a PDS </w:t>
      </w:r>
      <w:r w:rsidR="003A4849" w:rsidRPr="00BC6A30">
        <w:rPr>
          <w:rFonts w:cs="Arial"/>
          <w:sz w:val="22"/>
          <w:szCs w:val="22"/>
          <w:lang w:eastAsia="en-GB"/>
        </w:rPr>
        <w:t xml:space="preserve">search </w:t>
      </w:r>
      <w:r w:rsidR="00BA7CBC" w:rsidRPr="00BC6A30">
        <w:rPr>
          <w:rFonts w:cs="Arial"/>
          <w:sz w:val="22"/>
          <w:szCs w:val="22"/>
          <w:lang w:eastAsia="en-GB"/>
        </w:rPr>
        <w:t xml:space="preserve">and subject to consent from the patient </w:t>
      </w:r>
    </w:p>
    <w:p w14:paraId="7E18033E" w14:textId="77777777" w:rsidR="00C07FA8" w:rsidRPr="00BC6A30" w:rsidRDefault="00C07FA8" w:rsidP="00C07C9A">
      <w:pPr>
        <w:rPr>
          <w:rFonts w:cs="Arial"/>
          <w:sz w:val="22"/>
          <w:szCs w:val="22"/>
        </w:rPr>
      </w:pPr>
    </w:p>
    <w:p w14:paraId="072BBBB4" w14:textId="33FFC24E" w:rsidR="00BA7CBC" w:rsidRPr="00C07FA8" w:rsidRDefault="004635BC" w:rsidP="004635BC">
      <w:pPr>
        <w:rPr>
          <w:rFonts w:cs="Arial"/>
          <w:b/>
          <w:sz w:val="22"/>
          <w:szCs w:val="22"/>
          <w:lang w:eastAsia="en-GB"/>
        </w:rPr>
      </w:pPr>
      <w:r w:rsidRPr="00BC6A30">
        <w:rPr>
          <w:rFonts w:cs="Arial"/>
          <w:b/>
          <w:sz w:val="22"/>
          <w:szCs w:val="22"/>
        </w:rPr>
        <w:t>2.2</w:t>
      </w:r>
      <w:bookmarkStart w:id="1" w:name="_Toc450055214"/>
      <w:r w:rsidRPr="00BC6A30">
        <w:rPr>
          <w:rFonts w:cs="Arial"/>
          <w:sz w:val="22"/>
          <w:szCs w:val="22"/>
          <w:lang w:eastAsia="en-GB"/>
        </w:rPr>
        <w:t xml:space="preserve"> </w:t>
      </w:r>
      <w:r w:rsidRPr="00BC6A30">
        <w:rPr>
          <w:rFonts w:cs="Arial"/>
          <w:b/>
          <w:sz w:val="22"/>
          <w:szCs w:val="22"/>
          <w:lang w:eastAsia="en-GB"/>
        </w:rPr>
        <w:t>The Commissioning Organisation</w:t>
      </w:r>
      <w:bookmarkEnd w:id="1"/>
    </w:p>
    <w:p w14:paraId="424DD949" w14:textId="258A2742" w:rsidR="00BC6A30" w:rsidRPr="00BC6A30" w:rsidRDefault="00AE5EC6" w:rsidP="00AE5EC6">
      <w:pPr>
        <w:pStyle w:val="BodyText"/>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 xml:space="preserve">NHS </w:t>
      </w:r>
      <w:proofErr w:type="gramStart"/>
      <w:r w:rsidRPr="00BC6A30">
        <w:rPr>
          <w:rFonts w:eastAsia="Calibri" w:cs="Arial"/>
          <w:color w:val="000000" w:themeColor="text1"/>
          <w:sz w:val="22"/>
          <w:szCs w:val="22"/>
          <w:lang w:eastAsia="en-GB"/>
        </w:rPr>
        <w:t>South West</w:t>
      </w:r>
      <w:proofErr w:type="gramEnd"/>
      <w:r w:rsidRPr="00BC6A30">
        <w:rPr>
          <w:rFonts w:eastAsia="Calibri" w:cs="Arial"/>
          <w:color w:val="000000" w:themeColor="text1"/>
          <w:sz w:val="22"/>
          <w:szCs w:val="22"/>
          <w:lang w:eastAsia="en-GB"/>
        </w:rPr>
        <w:t xml:space="preserve"> London Clinical Commissioning Group (CCG) is responsible for planning, commissioning and buying health services for people living and working in South West London.</w:t>
      </w:r>
    </w:p>
    <w:p w14:paraId="02977052" w14:textId="77777777" w:rsidR="00AE5EC6" w:rsidRPr="00BC6A30" w:rsidRDefault="00AE5EC6" w:rsidP="00AE5EC6">
      <w:pPr>
        <w:pStyle w:val="BodyText"/>
        <w:jc w:val="both"/>
        <w:rPr>
          <w:rFonts w:eastAsia="Calibri" w:cs="Arial"/>
          <w:color w:val="000000" w:themeColor="text1"/>
          <w:sz w:val="22"/>
          <w:szCs w:val="22"/>
          <w:lang w:eastAsia="en-GB"/>
        </w:rPr>
      </w:pPr>
    </w:p>
    <w:p w14:paraId="06BCAB19" w14:textId="77777777" w:rsidR="00AE5EC6" w:rsidRPr="00BC6A30" w:rsidRDefault="00AE5EC6" w:rsidP="00AE5EC6">
      <w:pPr>
        <w:pStyle w:val="BodyText"/>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 xml:space="preserve">As a CCG, we’re a membership organisation made up of over 180 GP practices within </w:t>
      </w:r>
      <w:proofErr w:type="gramStart"/>
      <w:r w:rsidRPr="00BC6A30">
        <w:rPr>
          <w:rFonts w:eastAsia="Calibri" w:cs="Arial"/>
          <w:color w:val="000000" w:themeColor="text1"/>
          <w:sz w:val="22"/>
          <w:szCs w:val="22"/>
          <w:lang w:eastAsia="en-GB"/>
        </w:rPr>
        <w:t>South West</w:t>
      </w:r>
      <w:proofErr w:type="gramEnd"/>
      <w:r w:rsidRPr="00BC6A30">
        <w:rPr>
          <w:rFonts w:eastAsia="Calibri" w:cs="Arial"/>
          <w:color w:val="000000" w:themeColor="text1"/>
          <w:sz w:val="22"/>
          <w:szCs w:val="22"/>
          <w:lang w:eastAsia="en-GB"/>
        </w:rPr>
        <w:t xml:space="preserve"> London. We serve just under 1.5 million people across our six diverse boroughs:</w:t>
      </w:r>
    </w:p>
    <w:p w14:paraId="0EFC7F22" w14:textId="77777777" w:rsidR="00AE5EC6" w:rsidRPr="00BC6A30" w:rsidRDefault="00AE5EC6" w:rsidP="00AE5EC6">
      <w:pPr>
        <w:pStyle w:val="BodyText"/>
        <w:jc w:val="both"/>
        <w:rPr>
          <w:rFonts w:eastAsia="Calibri" w:cs="Arial"/>
          <w:color w:val="000000" w:themeColor="text1"/>
          <w:sz w:val="22"/>
          <w:szCs w:val="22"/>
          <w:lang w:eastAsia="en-GB"/>
        </w:rPr>
      </w:pPr>
    </w:p>
    <w:p w14:paraId="07A5E36F" w14:textId="77777777" w:rsidR="00AE5EC6" w:rsidRPr="00BC6A30" w:rsidRDefault="00AE5EC6" w:rsidP="006C12F6">
      <w:pPr>
        <w:pStyle w:val="BodyText"/>
        <w:numPr>
          <w:ilvl w:val="0"/>
          <w:numId w:val="19"/>
        </w:numPr>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Croydon</w:t>
      </w:r>
    </w:p>
    <w:p w14:paraId="0212C460" w14:textId="77777777" w:rsidR="00AE5EC6" w:rsidRPr="00BC6A30" w:rsidRDefault="00AE5EC6" w:rsidP="006C12F6">
      <w:pPr>
        <w:pStyle w:val="BodyText"/>
        <w:numPr>
          <w:ilvl w:val="0"/>
          <w:numId w:val="19"/>
        </w:numPr>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Kingston</w:t>
      </w:r>
    </w:p>
    <w:p w14:paraId="250444B2" w14:textId="77777777" w:rsidR="00AE5EC6" w:rsidRPr="00BC6A30" w:rsidRDefault="00AE5EC6" w:rsidP="006C12F6">
      <w:pPr>
        <w:pStyle w:val="BodyText"/>
        <w:numPr>
          <w:ilvl w:val="0"/>
          <w:numId w:val="19"/>
        </w:numPr>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Merton</w:t>
      </w:r>
    </w:p>
    <w:p w14:paraId="2FCC2A23" w14:textId="77777777" w:rsidR="00AE5EC6" w:rsidRPr="00BC6A30" w:rsidRDefault="00AE5EC6" w:rsidP="006C12F6">
      <w:pPr>
        <w:pStyle w:val="BodyText"/>
        <w:numPr>
          <w:ilvl w:val="0"/>
          <w:numId w:val="19"/>
        </w:numPr>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Richmond</w:t>
      </w:r>
    </w:p>
    <w:p w14:paraId="46793BCC" w14:textId="77777777" w:rsidR="00AE5EC6" w:rsidRPr="00BC6A30" w:rsidRDefault="00AE5EC6" w:rsidP="006C12F6">
      <w:pPr>
        <w:pStyle w:val="BodyText"/>
        <w:numPr>
          <w:ilvl w:val="0"/>
          <w:numId w:val="19"/>
        </w:numPr>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Sutton</w:t>
      </w:r>
    </w:p>
    <w:p w14:paraId="33F7D059" w14:textId="77777777" w:rsidR="00AE5EC6" w:rsidRPr="00BC6A30" w:rsidRDefault="00AE5EC6" w:rsidP="006C12F6">
      <w:pPr>
        <w:pStyle w:val="BodyText"/>
        <w:numPr>
          <w:ilvl w:val="0"/>
          <w:numId w:val="19"/>
        </w:numPr>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Wandsworth</w:t>
      </w:r>
    </w:p>
    <w:p w14:paraId="6D8380B1" w14:textId="77777777" w:rsidR="00AE5EC6" w:rsidRPr="00BC6A30" w:rsidRDefault="00AE5EC6" w:rsidP="00AE5EC6">
      <w:pPr>
        <w:pStyle w:val="BodyText"/>
        <w:jc w:val="both"/>
        <w:rPr>
          <w:rFonts w:eastAsia="Calibri" w:cs="Arial"/>
          <w:color w:val="000000" w:themeColor="text1"/>
          <w:sz w:val="22"/>
          <w:szCs w:val="22"/>
          <w:lang w:eastAsia="en-GB"/>
        </w:rPr>
      </w:pPr>
    </w:p>
    <w:p w14:paraId="1F9C4CBD" w14:textId="22E581B7" w:rsidR="00BC6A30" w:rsidRPr="00BC6A30" w:rsidRDefault="00AE5EC6" w:rsidP="003F046F">
      <w:pPr>
        <w:pStyle w:val="BodyText"/>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We were formed on 1 April 2020 through the merger of these six borough CCGs.</w:t>
      </w:r>
      <w:r w:rsidR="00BC6A30" w:rsidRPr="00BC6A30">
        <w:rPr>
          <w:rFonts w:cs="Arial"/>
          <w:sz w:val="22"/>
          <w:szCs w:val="22"/>
        </w:rPr>
        <w:t xml:space="preserve"> </w:t>
      </w:r>
      <w:r w:rsidR="00BC6A30" w:rsidRPr="00BC6A30">
        <w:rPr>
          <w:rFonts w:eastAsia="Calibri" w:cs="Arial"/>
          <w:color w:val="000000" w:themeColor="text1"/>
          <w:sz w:val="22"/>
          <w:szCs w:val="22"/>
          <w:lang w:eastAsia="en-GB"/>
        </w:rPr>
        <w:t xml:space="preserve">Our ambition for </w:t>
      </w:r>
      <w:proofErr w:type="gramStart"/>
      <w:r w:rsidR="00BC6A30" w:rsidRPr="00BC6A30">
        <w:rPr>
          <w:rFonts w:eastAsia="Calibri" w:cs="Arial"/>
          <w:color w:val="000000" w:themeColor="text1"/>
          <w:sz w:val="22"/>
          <w:szCs w:val="22"/>
          <w:lang w:eastAsia="en-GB"/>
        </w:rPr>
        <w:t>south west</w:t>
      </w:r>
      <w:proofErr w:type="gramEnd"/>
      <w:r w:rsidR="00BC6A30" w:rsidRPr="00BC6A30">
        <w:rPr>
          <w:rFonts w:eastAsia="Calibri" w:cs="Arial"/>
          <w:color w:val="000000" w:themeColor="text1"/>
          <w:sz w:val="22"/>
          <w:szCs w:val="22"/>
          <w:lang w:eastAsia="en-GB"/>
        </w:rPr>
        <w:t xml:space="preserve"> London continues to be to bring together health and care leaders in each borough, ensure that they remained clinically led and retain the ability to engage with and consider the needs of their local communities.</w:t>
      </w:r>
    </w:p>
    <w:p w14:paraId="40619F06" w14:textId="77777777" w:rsidR="00BC6A30" w:rsidRPr="00BC6A30" w:rsidRDefault="00BC6A30" w:rsidP="003F046F">
      <w:pPr>
        <w:pStyle w:val="BodyText"/>
        <w:jc w:val="both"/>
        <w:rPr>
          <w:rFonts w:eastAsia="Calibri" w:cs="Arial"/>
          <w:color w:val="000000" w:themeColor="text1"/>
          <w:sz w:val="22"/>
          <w:szCs w:val="22"/>
          <w:lang w:eastAsia="en-GB"/>
        </w:rPr>
      </w:pPr>
    </w:p>
    <w:p w14:paraId="65C7373A" w14:textId="77777777" w:rsidR="00BC6A30" w:rsidRPr="00BC6A30" w:rsidRDefault="00BC6A30" w:rsidP="003F046F">
      <w:pPr>
        <w:pStyle w:val="BodyText"/>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Together we co-designed our own model for the way that we worked with our GPs, our local health and care partners and we discussed the proposed merger at CCG governing body meetings with our GP members, engaged with staff, local authorities, provider trusts, Healthwatch, and other stakeholders to design proposals that the six CCG Governing Bodies could consider and agree.</w:t>
      </w:r>
    </w:p>
    <w:p w14:paraId="2C69D776" w14:textId="77777777" w:rsidR="00BC6A30" w:rsidRPr="00BC6A30" w:rsidRDefault="00BC6A30" w:rsidP="003F046F">
      <w:pPr>
        <w:pStyle w:val="BodyText"/>
        <w:jc w:val="both"/>
        <w:rPr>
          <w:rFonts w:eastAsia="Calibri" w:cs="Arial"/>
          <w:color w:val="000000" w:themeColor="text1"/>
          <w:sz w:val="22"/>
          <w:szCs w:val="22"/>
          <w:lang w:eastAsia="en-GB"/>
        </w:rPr>
      </w:pPr>
    </w:p>
    <w:p w14:paraId="4500B036" w14:textId="015814C6" w:rsidR="00AE5EC6" w:rsidRPr="00BC6A30" w:rsidRDefault="00BC6A30" w:rsidP="003F046F">
      <w:pPr>
        <w:pStyle w:val="BodyText"/>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 xml:space="preserve">NHS </w:t>
      </w:r>
      <w:proofErr w:type="gramStart"/>
      <w:r w:rsidRPr="00BC6A30">
        <w:rPr>
          <w:rFonts w:eastAsia="Calibri" w:cs="Arial"/>
          <w:color w:val="000000" w:themeColor="text1"/>
          <w:sz w:val="22"/>
          <w:szCs w:val="22"/>
          <w:lang w:eastAsia="en-GB"/>
        </w:rPr>
        <w:t>South West</w:t>
      </w:r>
      <w:proofErr w:type="gramEnd"/>
      <w:r w:rsidRPr="00BC6A30">
        <w:rPr>
          <w:rFonts w:eastAsia="Calibri" w:cs="Arial"/>
          <w:color w:val="000000" w:themeColor="text1"/>
          <w:sz w:val="22"/>
          <w:szCs w:val="22"/>
          <w:lang w:eastAsia="en-GB"/>
        </w:rPr>
        <w:t xml:space="preserve"> London CCG is a member of the South West London Health and Care Partnership along with other SW London health and care organisations and partners.</w:t>
      </w:r>
    </w:p>
    <w:p w14:paraId="4674E534" w14:textId="77777777" w:rsidR="00AE5EC6" w:rsidRPr="00BC6A30" w:rsidRDefault="00AE5EC6" w:rsidP="003F046F">
      <w:pPr>
        <w:pStyle w:val="BodyText"/>
        <w:jc w:val="both"/>
        <w:rPr>
          <w:rFonts w:eastAsia="Calibri" w:cs="Arial"/>
          <w:color w:val="000000" w:themeColor="text1"/>
          <w:sz w:val="22"/>
          <w:szCs w:val="22"/>
          <w:lang w:eastAsia="en-GB"/>
        </w:rPr>
      </w:pPr>
    </w:p>
    <w:p w14:paraId="4DA432BE" w14:textId="2B21AFFF" w:rsidR="000D5ED2" w:rsidRPr="00BC6A30" w:rsidRDefault="00AE5EC6" w:rsidP="003F046F">
      <w:pPr>
        <w:pStyle w:val="BodyText"/>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 xml:space="preserve">We manage local healthcare budgets of over £2.3 billion and commission a range of health services on behalf of our residents.  The services that we’re responsible for </w:t>
      </w:r>
      <w:proofErr w:type="gramStart"/>
      <w:r w:rsidRPr="00BC6A30">
        <w:rPr>
          <w:rFonts w:eastAsia="Calibri" w:cs="Arial"/>
          <w:color w:val="000000" w:themeColor="text1"/>
          <w:sz w:val="22"/>
          <w:szCs w:val="22"/>
          <w:lang w:eastAsia="en-GB"/>
        </w:rPr>
        <w:t>include</w:t>
      </w:r>
      <w:proofErr w:type="gramEnd"/>
      <w:r w:rsidRPr="00BC6A30">
        <w:rPr>
          <w:rFonts w:eastAsia="Calibri" w:cs="Arial"/>
          <w:color w:val="000000" w:themeColor="text1"/>
          <w:sz w:val="22"/>
          <w:szCs w:val="22"/>
          <w:lang w:eastAsia="en-GB"/>
        </w:rPr>
        <w:t xml:space="preserve"> primary care</w:t>
      </w:r>
      <w:r w:rsidR="0074319D" w:rsidRPr="00BC6A30">
        <w:rPr>
          <w:rFonts w:eastAsia="Calibri" w:cs="Arial"/>
          <w:color w:val="000000" w:themeColor="text1"/>
          <w:sz w:val="22"/>
          <w:szCs w:val="22"/>
          <w:lang w:eastAsia="en-GB"/>
        </w:rPr>
        <w:t>,</w:t>
      </w:r>
      <w:r w:rsidRPr="00BC6A30">
        <w:rPr>
          <w:rFonts w:eastAsia="Calibri" w:cs="Arial"/>
          <w:color w:val="000000" w:themeColor="text1"/>
          <w:sz w:val="22"/>
          <w:szCs w:val="22"/>
          <w:lang w:eastAsia="en-GB"/>
        </w:rPr>
        <w:t xml:space="preserve"> hospital treatment, rehabilitation services, urgent and emergency care, community health services, mental health and learning disability services.</w:t>
      </w:r>
    </w:p>
    <w:p w14:paraId="466988BA" w14:textId="59AF2AA9" w:rsidR="00BC6A30" w:rsidRPr="00BC6A30" w:rsidRDefault="00BC6A30" w:rsidP="003F046F">
      <w:pPr>
        <w:pStyle w:val="BodyText"/>
        <w:jc w:val="both"/>
        <w:rPr>
          <w:rFonts w:eastAsia="Calibri" w:cs="Arial"/>
          <w:color w:val="000000" w:themeColor="text1"/>
          <w:sz w:val="22"/>
          <w:szCs w:val="22"/>
          <w:lang w:eastAsia="en-GB"/>
        </w:rPr>
      </w:pPr>
    </w:p>
    <w:p w14:paraId="045F8B21" w14:textId="477F8E88" w:rsidR="00BC6A30" w:rsidRPr="00C07FA8" w:rsidRDefault="00BC6A30" w:rsidP="003F046F">
      <w:pPr>
        <w:pStyle w:val="BodyText"/>
        <w:jc w:val="both"/>
        <w:rPr>
          <w:rFonts w:eastAsia="Calibri" w:cs="Arial"/>
          <w:b/>
          <w:bCs/>
          <w:color w:val="000000" w:themeColor="text1"/>
          <w:sz w:val="22"/>
          <w:szCs w:val="22"/>
          <w:lang w:eastAsia="en-GB"/>
        </w:rPr>
      </w:pPr>
      <w:proofErr w:type="gramStart"/>
      <w:r w:rsidRPr="00BC6A30">
        <w:rPr>
          <w:rFonts w:eastAsia="Calibri" w:cs="Arial"/>
          <w:b/>
          <w:bCs/>
          <w:color w:val="000000" w:themeColor="text1"/>
          <w:sz w:val="22"/>
          <w:szCs w:val="22"/>
          <w:lang w:eastAsia="en-GB"/>
        </w:rPr>
        <w:t>South West</w:t>
      </w:r>
      <w:proofErr w:type="gramEnd"/>
      <w:r w:rsidRPr="00BC6A30">
        <w:rPr>
          <w:rFonts w:eastAsia="Calibri" w:cs="Arial"/>
          <w:b/>
          <w:bCs/>
          <w:color w:val="000000" w:themeColor="text1"/>
          <w:sz w:val="22"/>
          <w:szCs w:val="22"/>
          <w:lang w:eastAsia="en-GB"/>
        </w:rPr>
        <w:t xml:space="preserve"> London Health and Care Partnership</w:t>
      </w:r>
    </w:p>
    <w:p w14:paraId="6A271475" w14:textId="7EA3346D" w:rsidR="00BC6A30" w:rsidRDefault="00BC6A30" w:rsidP="003F046F">
      <w:pPr>
        <w:pStyle w:val="BodyText"/>
        <w:jc w:val="both"/>
        <w:rPr>
          <w:rFonts w:cs="Arial"/>
          <w:sz w:val="22"/>
          <w:szCs w:val="22"/>
        </w:rPr>
      </w:pPr>
      <w:proofErr w:type="gramStart"/>
      <w:r w:rsidRPr="00BC6A30">
        <w:rPr>
          <w:rFonts w:cs="Arial"/>
          <w:sz w:val="22"/>
          <w:szCs w:val="22"/>
        </w:rPr>
        <w:t>South West</w:t>
      </w:r>
      <w:proofErr w:type="gramEnd"/>
      <w:r w:rsidRPr="00BC6A30">
        <w:rPr>
          <w:rFonts w:cs="Arial"/>
          <w:sz w:val="22"/>
          <w:szCs w:val="22"/>
        </w:rPr>
        <w:t xml:space="preserve"> London Clinical Commissioning Group, NHS provider trusts, local authorities, and patient representatives</w:t>
      </w:r>
      <w:r>
        <w:rPr>
          <w:rFonts w:cs="Arial"/>
          <w:sz w:val="22"/>
          <w:szCs w:val="22"/>
        </w:rPr>
        <w:t xml:space="preserve"> </w:t>
      </w:r>
      <w:r w:rsidRPr="00BC6A30">
        <w:rPr>
          <w:rFonts w:cs="Arial"/>
          <w:sz w:val="22"/>
          <w:szCs w:val="22"/>
        </w:rPr>
        <w:t>across south west London form the South West London Health and Care Partnership.</w:t>
      </w:r>
      <w:r>
        <w:rPr>
          <w:rFonts w:cs="Arial"/>
          <w:sz w:val="22"/>
          <w:szCs w:val="22"/>
        </w:rPr>
        <w:t xml:space="preserve">  </w:t>
      </w:r>
      <w:proofErr w:type="gramStart"/>
      <w:r w:rsidRPr="00BC6A30">
        <w:rPr>
          <w:rFonts w:cs="Arial"/>
          <w:sz w:val="22"/>
          <w:szCs w:val="22"/>
        </w:rPr>
        <w:t>South West</w:t>
      </w:r>
      <w:proofErr w:type="gramEnd"/>
      <w:r w:rsidRPr="00BC6A30">
        <w:rPr>
          <w:rFonts w:cs="Arial"/>
          <w:sz w:val="22"/>
          <w:szCs w:val="22"/>
        </w:rPr>
        <w:t xml:space="preserve"> London’s Health and Care Partners are:</w:t>
      </w:r>
    </w:p>
    <w:p w14:paraId="561F46E9" w14:textId="77777777" w:rsidR="006959B2" w:rsidRPr="00BC6A30" w:rsidRDefault="006959B2" w:rsidP="003F046F">
      <w:pPr>
        <w:pStyle w:val="BodyText"/>
        <w:jc w:val="both"/>
        <w:rPr>
          <w:rFonts w:cs="Arial"/>
          <w:sz w:val="22"/>
          <w:szCs w:val="22"/>
        </w:rPr>
      </w:pPr>
    </w:p>
    <w:p w14:paraId="1B9D1088" w14:textId="2C00F563" w:rsidR="00BC6A30" w:rsidRPr="00BC6A30" w:rsidRDefault="00BC6A30" w:rsidP="003F046F">
      <w:pPr>
        <w:pStyle w:val="BodyText"/>
        <w:numPr>
          <w:ilvl w:val="0"/>
          <w:numId w:val="21"/>
        </w:numPr>
        <w:jc w:val="both"/>
        <w:rPr>
          <w:rFonts w:cs="Arial"/>
          <w:sz w:val="22"/>
          <w:szCs w:val="22"/>
        </w:rPr>
      </w:pPr>
      <w:r w:rsidRPr="00BC6A30">
        <w:rPr>
          <w:rFonts w:cs="Arial"/>
          <w:sz w:val="22"/>
          <w:szCs w:val="22"/>
        </w:rPr>
        <w:t xml:space="preserve">NHS </w:t>
      </w:r>
      <w:proofErr w:type="gramStart"/>
      <w:r w:rsidRPr="00BC6A30">
        <w:rPr>
          <w:rFonts w:cs="Arial"/>
          <w:sz w:val="22"/>
          <w:szCs w:val="22"/>
        </w:rPr>
        <w:t>South West</w:t>
      </w:r>
      <w:proofErr w:type="gramEnd"/>
      <w:r w:rsidRPr="00BC6A30">
        <w:rPr>
          <w:rFonts w:cs="Arial"/>
          <w:sz w:val="22"/>
          <w:szCs w:val="22"/>
        </w:rPr>
        <w:t xml:space="preserve"> London Clinical Commissioning Group – bringing together Croydon, Kingston, Merton, Richmond,</w:t>
      </w:r>
      <w:r>
        <w:rPr>
          <w:rFonts w:cs="Arial"/>
          <w:sz w:val="22"/>
          <w:szCs w:val="22"/>
        </w:rPr>
        <w:t xml:space="preserve"> </w:t>
      </w:r>
      <w:r w:rsidRPr="00BC6A30">
        <w:rPr>
          <w:rFonts w:cs="Arial"/>
          <w:sz w:val="22"/>
          <w:szCs w:val="22"/>
        </w:rPr>
        <w:t>Sutton and Wandsworth</w:t>
      </w:r>
    </w:p>
    <w:p w14:paraId="738FFAC2" w14:textId="205FDCAC" w:rsidR="00BC6A30" w:rsidRPr="00BC6A30" w:rsidRDefault="00BC6A30" w:rsidP="003F046F">
      <w:pPr>
        <w:pStyle w:val="BodyText"/>
        <w:numPr>
          <w:ilvl w:val="0"/>
          <w:numId w:val="21"/>
        </w:numPr>
        <w:jc w:val="both"/>
        <w:rPr>
          <w:rFonts w:cs="Arial"/>
          <w:sz w:val="22"/>
          <w:szCs w:val="22"/>
        </w:rPr>
      </w:pPr>
      <w:r w:rsidRPr="00BC6A30">
        <w:rPr>
          <w:rFonts w:cs="Arial"/>
          <w:sz w:val="22"/>
          <w:szCs w:val="22"/>
        </w:rPr>
        <w:t xml:space="preserve">Our six local authorities: Croydon, Kingston, Merton, Richmond, </w:t>
      </w:r>
      <w:proofErr w:type="gramStart"/>
      <w:r w:rsidRPr="00BC6A30">
        <w:rPr>
          <w:rFonts w:cs="Arial"/>
          <w:sz w:val="22"/>
          <w:szCs w:val="22"/>
        </w:rPr>
        <w:t>Sutton</w:t>
      </w:r>
      <w:proofErr w:type="gramEnd"/>
      <w:r w:rsidRPr="00BC6A30">
        <w:rPr>
          <w:rFonts w:cs="Arial"/>
          <w:sz w:val="22"/>
          <w:szCs w:val="22"/>
        </w:rPr>
        <w:t xml:space="preserve"> and Wandsworth</w:t>
      </w:r>
    </w:p>
    <w:p w14:paraId="072A749C" w14:textId="101B8FFA" w:rsidR="00BC6A30" w:rsidRPr="00BC6A30" w:rsidRDefault="00BC6A30" w:rsidP="003F046F">
      <w:pPr>
        <w:pStyle w:val="BodyText"/>
        <w:numPr>
          <w:ilvl w:val="0"/>
          <w:numId w:val="21"/>
        </w:numPr>
        <w:jc w:val="both"/>
        <w:rPr>
          <w:rFonts w:cs="Arial"/>
          <w:sz w:val="22"/>
          <w:szCs w:val="22"/>
        </w:rPr>
      </w:pPr>
      <w:r w:rsidRPr="00BC6A30">
        <w:rPr>
          <w:rFonts w:cs="Arial"/>
          <w:sz w:val="22"/>
          <w:szCs w:val="22"/>
        </w:rPr>
        <w:t>Our acute and community providers: Central London Community Healthcare, Croydon Health Services NHS Trust,</w:t>
      </w:r>
      <w:r>
        <w:rPr>
          <w:rFonts w:cs="Arial"/>
          <w:sz w:val="22"/>
          <w:szCs w:val="22"/>
        </w:rPr>
        <w:t xml:space="preserve"> </w:t>
      </w:r>
      <w:r w:rsidRPr="00BC6A30">
        <w:rPr>
          <w:rFonts w:cs="Arial"/>
          <w:sz w:val="22"/>
          <w:szCs w:val="22"/>
        </w:rPr>
        <w:t>Epsom and St Helier University Hospitals NHS Trust, Hounslow and Richmond Community Healthcare, Kingston</w:t>
      </w:r>
      <w:r>
        <w:rPr>
          <w:rFonts w:cs="Arial"/>
          <w:sz w:val="22"/>
          <w:szCs w:val="22"/>
        </w:rPr>
        <w:t xml:space="preserve"> </w:t>
      </w:r>
      <w:r w:rsidRPr="00BC6A30">
        <w:rPr>
          <w:rFonts w:cs="Arial"/>
          <w:sz w:val="22"/>
          <w:szCs w:val="22"/>
        </w:rPr>
        <w:t>Hospital NHS Foundation Trust, The Royal Marsden Foundation Trust, St George’s NHS Foundation Trust, and Your</w:t>
      </w:r>
      <w:r>
        <w:rPr>
          <w:rFonts w:cs="Arial"/>
          <w:sz w:val="22"/>
          <w:szCs w:val="22"/>
        </w:rPr>
        <w:t xml:space="preserve"> </w:t>
      </w:r>
      <w:r w:rsidRPr="00BC6A30">
        <w:rPr>
          <w:rFonts w:cs="Arial"/>
          <w:sz w:val="22"/>
          <w:szCs w:val="22"/>
        </w:rPr>
        <w:t>Healthcare</w:t>
      </w:r>
    </w:p>
    <w:p w14:paraId="612FCBF3" w14:textId="77777777" w:rsidR="00BC6A30" w:rsidRDefault="00BC6A30" w:rsidP="003F046F">
      <w:pPr>
        <w:pStyle w:val="BodyText"/>
        <w:numPr>
          <w:ilvl w:val="0"/>
          <w:numId w:val="21"/>
        </w:numPr>
        <w:jc w:val="both"/>
        <w:rPr>
          <w:rFonts w:cs="Arial"/>
          <w:sz w:val="22"/>
          <w:szCs w:val="22"/>
        </w:rPr>
      </w:pPr>
      <w:r w:rsidRPr="00BC6A30">
        <w:rPr>
          <w:rFonts w:cs="Arial"/>
          <w:sz w:val="22"/>
          <w:szCs w:val="22"/>
        </w:rPr>
        <w:t xml:space="preserve">Our two mental health providers: </w:t>
      </w:r>
      <w:proofErr w:type="gramStart"/>
      <w:r w:rsidRPr="00BC6A30">
        <w:rPr>
          <w:rFonts w:cs="Arial"/>
          <w:sz w:val="22"/>
          <w:szCs w:val="22"/>
        </w:rPr>
        <w:t>South West</w:t>
      </w:r>
      <w:proofErr w:type="gramEnd"/>
      <w:r w:rsidRPr="00BC6A30">
        <w:rPr>
          <w:rFonts w:cs="Arial"/>
          <w:sz w:val="22"/>
          <w:szCs w:val="22"/>
        </w:rPr>
        <w:t xml:space="preserve"> London and St George’s Mental Health NHS Trust, South London</w:t>
      </w:r>
      <w:r>
        <w:rPr>
          <w:rFonts w:cs="Arial"/>
          <w:sz w:val="22"/>
          <w:szCs w:val="22"/>
        </w:rPr>
        <w:t xml:space="preserve"> </w:t>
      </w:r>
      <w:r w:rsidRPr="00BC6A30">
        <w:rPr>
          <w:rFonts w:cs="Arial"/>
          <w:sz w:val="22"/>
          <w:szCs w:val="22"/>
        </w:rPr>
        <w:t>and the Maudsley NHS Foundation Trust</w:t>
      </w:r>
    </w:p>
    <w:p w14:paraId="1AAB87A3" w14:textId="77777777" w:rsidR="00BC6A30" w:rsidRDefault="00BC6A30" w:rsidP="003F046F">
      <w:pPr>
        <w:pStyle w:val="BodyText"/>
        <w:numPr>
          <w:ilvl w:val="0"/>
          <w:numId w:val="21"/>
        </w:numPr>
        <w:jc w:val="both"/>
        <w:rPr>
          <w:rFonts w:cs="Arial"/>
          <w:sz w:val="22"/>
          <w:szCs w:val="22"/>
        </w:rPr>
      </w:pPr>
      <w:r w:rsidRPr="00BC6A30">
        <w:rPr>
          <w:rFonts w:cs="Arial"/>
          <w:sz w:val="22"/>
          <w:szCs w:val="22"/>
        </w:rPr>
        <w:t>GP Federations in each of the six boroughs</w:t>
      </w:r>
    </w:p>
    <w:p w14:paraId="474C8436" w14:textId="77777777" w:rsidR="00BC6A30" w:rsidRDefault="00BC6A30" w:rsidP="003F046F">
      <w:pPr>
        <w:pStyle w:val="BodyText"/>
        <w:numPr>
          <w:ilvl w:val="0"/>
          <w:numId w:val="21"/>
        </w:numPr>
        <w:jc w:val="both"/>
        <w:rPr>
          <w:rFonts w:cs="Arial"/>
          <w:sz w:val="22"/>
          <w:szCs w:val="22"/>
        </w:rPr>
      </w:pPr>
      <w:r w:rsidRPr="00BC6A30">
        <w:rPr>
          <w:rFonts w:cs="Arial"/>
          <w:sz w:val="22"/>
          <w:szCs w:val="22"/>
        </w:rPr>
        <w:t>London Ambulance Service</w:t>
      </w:r>
    </w:p>
    <w:p w14:paraId="356B6A8B" w14:textId="77777777" w:rsidR="00BC6A30" w:rsidRDefault="00BC6A30" w:rsidP="003F046F">
      <w:pPr>
        <w:pStyle w:val="BodyText"/>
        <w:numPr>
          <w:ilvl w:val="0"/>
          <w:numId w:val="21"/>
        </w:numPr>
        <w:jc w:val="both"/>
        <w:rPr>
          <w:rFonts w:cs="Arial"/>
          <w:sz w:val="22"/>
          <w:szCs w:val="22"/>
        </w:rPr>
      </w:pPr>
      <w:r w:rsidRPr="00BC6A30">
        <w:rPr>
          <w:rFonts w:cs="Arial"/>
          <w:sz w:val="22"/>
          <w:szCs w:val="22"/>
        </w:rPr>
        <w:t xml:space="preserve">Six </w:t>
      </w:r>
      <w:proofErr w:type="spellStart"/>
      <w:r w:rsidRPr="00BC6A30">
        <w:rPr>
          <w:rFonts w:cs="Arial"/>
          <w:sz w:val="22"/>
          <w:szCs w:val="22"/>
        </w:rPr>
        <w:t>Healthwatches</w:t>
      </w:r>
      <w:proofErr w:type="spellEnd"/>
    </w:p>
    <w:p w14:paraId="0B046769" w14:textId="74E33354" w:rsidR="00BC6A30" w:rsidRPr="00BC6A30" w:rsidRDefault="00BC6A30" w:rsidP="003F046F">
      <w:pPr>
        <w:pStyle w:val="BodyText"/>
        <w:numPr>
          <w:ilvl w:val="0"/>
          <w:numId w:val="21"/>
        </w:numPr>
        <w:jc w:val="both"/>
        <w:rPr>
          <w:rFonts w:cs="Arial"/>
          <w:sz w:val="22"/>
          <w:szCs w:val="22"/>
        </w:rPr>
      </w:pPr>
      <w:r w:rsidRPr="00BC6A30">
        <w:rPr>
          <w:rFonts w:cs="Arial"/>
          <w:sz w:val="22"/>
          <w:szCs w:val="22"/>
        </w:rPr>
        <w:t>Key borough voluntary sector organisations</w:t>
      </w:r>
      <w:r>
        <w:rPr>
          <w:rFonts w:cs="Arial"/>
          <w:sz w:val="22"/>
          <w:szCs w:val="22"/>
        </w:rPr>
        <w:t>.</w:t>
      </w:r>
    </w:p>
    <w:p w14:paraId="081F5F07" w14:textId="77777777" w:rsidR="00AE5EC6" w:rsidRPr="00BC6A30" w:rsidRDefault="00AE5EC6" w:rsidP="003F046F">
      <w:pPr>
        <w:pStyle w:val="BodyText"/>
        <w:jc w:val="both"/>
        <w:rPr>
          <w:rFonts w:cs="Arial"/>
          <w:b/>
          <w:bCs/>
          <w:sz w:val="22"/>
          <w:szCs w:val="22"/>
        </w:rPr>
      </w:pPr>
    </w:p>
    <w:p w14:paraId="3069C646" w14:textId="77777777" w:rsidR="00063DFA" w:rsidRDefault="00063DFA" w:rsidP="003F046F">
      <w:pPr>
        <w:pStyle w:val="BodyText"/>
        <w:jc w:val="both"/>
        <w:rPr>
          <w:rFonts w:cs="Arial"/>
          <w:b/>
          <w:bCs/>
          <w:sz w:val="22"/>
          <w:szCs w:val="22"/>
        </w:rPr>
      </w:pPr>
    </w:p>
    <w:p w14:paraId="62A77365" w14:textId="1ED0195D" w:rsidR="009C2981" w:rsidRPr="00BC6A30" w:rsidRDefault="0050130F" w:rsidP="003F046F">
      <w:pPr>
        <w:pStyle w:val="BodyText"/>
        <w:jc w:val="both"/>
        <w:rPr>
          <w:rFonts w:cs="Arial"/>
          <w:b/>
          <w:bCs/>
          <w:sz w:val="22"/>
          <w:szCs w:val="22"/>
        </w:rPr>
      </w:pPr>
      <w:proofErr w:type="gramStart"/>
      <w:r w:rsidRPr="00BC6A30">
        <w:rPr>
          <w:rFonts w:cs="Arial"/>
          <w:b/>
          <w:bCs/>
          <w:sz w:val="22"/>
          <w:szCs w:val="22"/>
        </w:rPr>
        <w:t>South</w:t>
      </w:r>
      <w:r w:rsidR="009C2981" w:rsidRPr="00BC6A30">
        <w:rPr>
          <w:rFonts w:cs="Arial"/>
          <w:b/>
          <w:bCs/>
          <w:sz w:val="22"/>
          <w:szCs w:val="22"/>
        </w:rPr>
        <w:t xml:space="preserve"> West</w:t>
      </w:r>
      <w:proofErr w:type="gramEnd"/>
      <w:r w:rsidR="009C2981" w:rsidRPr="00BC6A30">
        <w:rPr>
          <w:rFonts w:cs="Arial"/>
          <w:b/>
          <w:bCs/>
          <w:sz w:val="22"/>
          <w:szCs w:val="22"/>
        </w:rPr>
        <w:t xml:space="preserve"> London healthcare system</w:t>
      </w:r>
    </w:p>
    <w:p w14:paraId="65A9F41A" w14:textId="3384F5DE" w:rsidR="00BC6A30" w:rsidRPr="00BC6A30" w:rsidRDefault="00BC6A30" w:rsidP="00C07FA8">
      <w:pPr>
        <w:pStyle w:val="BodyText"/>
        <w:ind w:left="-142"/>
        <w:jc w:val="both"/>
        <w:rPr>
          <w:rFonts w:cs="Arial"/>
          <w:sz w:val="22"/>
          <w:szCs w:val="22"/>
        </w:rPr>
      </w:pPr>
      <w:r w:rsidRPr="00BC6A30">
        <w:rPr>
          <w:rFonts w:cs="Arial"/>
          <w:noProof/>
          <w:sz w:val="22"/>
          <w:szCs w:val="22"/>
        </w:rPr>
        <w:lastRenderedPageBreak/>
        <w:drawing>
          <wp:inline distT="0" distB="0" distL="0" distR="0" wp14:anchorId="12E0EADE" wp14:editId="0BB96ABC">
            <wp:extent cx="6120765" cy="3450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450590"/>
                    </a:xfrm>
                    <a:prstGeom prst="rect">
                      <a:avLst/>
                    </a:prstGeom>
                    <a:noFill/>
                  </pic:spPr>
                </pic:pic>
              </a:graphicData>
            </a:graphic>
          </wp:inline>
        </w:drawing>
      </w:r>
      <w:bookmarkStart w:id="2" w:name="_Toc450055215"/>
    </w:p>
    <w:p w14:paraId="76E7202F" w14:textId="7366AB01" w:rsidR="006901A3" w:rsidRPr="00BC6A30" w:rsidRDefault="004635BC" w:rsidP="00C07FA8">
      <w:pPr>
        <w:pStyle w:val="Heading2"/>
        <w:jc w:val="both"/>
        <w:rPr>
          <w:rFonts w:cs="Arial"/>
          <w:sz w:val="22"/>
          <w:szCs w:val="22"/>
          <w:lang w:eastAsia="en-GB"/>
        </w:rPr>
      </w:pPr>
      <w:r w:rsidRPr="00BC6A30">
        <w:rPr>
          <w:rFonts w:cs="Arial"/>
          <w:sz w:val="22"/>
          <w:szCs w:val="22"/>
          <w:lang w:eastAsia="en-GB"/>
        </w:rPr>
        <w:t>2.2.1 Population</w:t>
      </w:r>
      <w:bookmarkEnd w:id="2"/>
    </w:p>
    <w:p w14:paraId="2F014B84" w14:textId="09B85B4D" w:rsidR="009C2981" w:rsidRDefault="00135E29" w:rsidP="003F046F">
      <w:pPr>
        <w:pStyle w:val="Heading3"/>
        <w:rPr>
          <w:rFonts w:eastAsia="Calibri" w:cs="Arial"/>
          <w:b w:val="0"/>
          <w:bCs w:val="0"/>
          <w:iCs w:val="0"/>
          <w:color w:val="000000" w:themeColor="text1"/>
          <w:sz w:val="22"/>
          <w:szCs w:val="22"/>
          <w:lang w:eastAsia="en-GB"/>
        </w:rPr>
      </w:pPr>
      <w:bookmarkStart w:id="3" w:name="_Toc450055216"/>
      <w:r w:rsidRPr="00BC6A30">
        <w:rPr>
          <w:rFonts w:eastAsia="Calibri" w:cs="Arial"/>
          <w:b w:val="0"/>
          <w:bCs w:val="0"/>
          <w:iCs w:val="0"/>
          <w:color w:val="000000" w:themeColor="text1"/>
          <w:sz w:val="22"/>
          <w:szCs w:val="22"/>
          <w:lang w:eastAsia="en-GB"/>
        </w:rPr>
        <w:t xml:space="preserve">As </w:t>
      </w:r>
      <w:proofErr w:type="gramStart"/>
      <w:r w:rsidRPr="00BC6A30">
        <w:rPr>
          <w:rFonts w:eastAsia="Calibri" w:cs="Arial"/>
          <w:b w:val="0"/>
          <w:bCs w:val="0"/>
          <w:iCs w:val="0"/>
          <w:color w:val="000000" w:themeColor="text1"/>
          <w:sz w:val="22"/>
          <w:szCs w:val="22"/>
          <w:lang w:eastAsia="en-GB"/>
        </w:rPr>
        <w:t>at</w:t>
      </w:r>
      <w:proofErr w:type="gramEnd"/>
      <w:r w:rsidRPr="00BC6A30">
        <w:rPr>
          <w:rFonts w:eastAsia="Calibri" w:cs="Arial"/>
          <w:b w:val="0"/>
          <w:bCs w:val="0"/>
          <w:iCs w:val="0"/>
          <w:color w:val="000000" w:themeColor="text1"/>
          <w:sz w:val="22"/>
          <w:szCs w:val="22"/>
          <w:lang w:eastAsia="en-GB"/>
        </w:rPr>
        <w:t xml:space="preserve"> June 2021</w:t>
      </w:r>
      <w:r w:rsidR="006901A3" w:rsidRPr="00BC6A30">
        <w:rPr>
          <w:rFonts w:eastAsia="Calibri" w:cs="Arial"/>
          <w:b w:val="0"/>
          <w:bCs w:val="0"/>
          <w:iCs w:val="0"/>
          <w:color w:val="000000" w:themeColor="text1"/>
          <w:sz w:val="22"/>
          <w:szCs w:val="22"/>
          <w:lang w:eastAsia="en-GB"/>
        </w:rPr>
        <w:t xml:space="preserve">, the total population of </w:t>
      </w:r>
      <w:r w:rsidRPr="00BC6A30">
        <w:rPr>
          <w:rFonts w:eastAsia="Calibri" w:cs="Arial"/>
          <w:b w:val="0"/>
          <w:bCs w:val="0"/>
          <w:iCs w:val="0"/>
          <w:color w:val="000000" w:themeColor="text1"/>
          <w:sz w:val="22"/>
          <w:szCs w:val="22"/>
          <w:lang w:eastAsia="en-GB"/>
        </w:rPr>
        <w:t xml:space="preserve">the </w:t>
      </w:r>
      <w:r w:rsidR="006901A3" w:rsidRPr="00BC6A30">
        <w:rPr>
          <w:rFonts w:eastAsia="Calibri" w:cs="Arial"/>
          <w:b w:val="0"/>
          <w:bCs w:val="0"/>
          <w:iCs w:val="0"/>
          <w:color w:val="000000" w:themeColor="text1"/>
          <w:sz w:val="22"/>
          <w:szCs w:val="22"/>
          <w:lang w:eastAsia="en-GB"/>
        </w:rPr>
        <w:t xml:space="preserve">South West London </w:t>
      </w:r>
      <w:r w:rsidRPr="00BC6A30">
        <w:rPr>
          <w:rFonts w:eastAsia="Calibri" w:cs="Arial"/>
          <w:b w:val="0"/>
          <w:bCs w:val="0"/>
          <w:iCs w:val="0"/>
          <w:color w:val="000000" w:themeColor="text1"/>
          <w:sz w:val="22"/>
          <w:szCs w:val="22"/>
          <w:lang w:eastAsia="en-GB"/>
        </w:rPr>
        <w:t>Boroughs</w:t>
      </w:r>
      <w:r w:rsidR="006901A3" w:rsidRPr="00BC6A30">
        <w:rPr>
          <w:rFonts w:eastAsia="Calibri" w:cs="Arial"/>
          <w:b w:val="0"/>
          <w:bCs w:val="0"/>
          <w:iCs w:val="0"/>
          <w:color w:val="000000" w:themeColor="text1"/>
          <w:sz w:val="22"/>
          <w:szCs w:val="22"/>
          <w:lang w:eastAsia="en-GB"/>
        </w:rPr>
        <w:t xml:space="preserve"> was </w:t>
      </w:r>
      <w:r w:rsidRPr="00BC6A30">
        <w:rPr>
          <w:rFonts w:eastAsia="Calibri" w:cs="Arial"/>
          <w:b w:val="0"/>
          <w:bCs w:val="0"/>
          <w:iCs w:val="0"/>
          <w:color w:val="000000" w:themeColor="text1"/>
          <w:sz w:val="22"/>
          <w:szCs w:val="22"/>
          <w:lang w:eastAsia="en-GB"/>
        </w:rPr>
        <w:t>1,509,745 with a</w:t>
      </w:r>
      <w:r w:rsidR="006901A3" w:rsidRPr="00BC6A30">
        <w:rPr>
          <w:rFonts w:eastAsia="Calibri" w:cs="Arial"/>
          <w:b w:val="0"/>
          <w:bCs w:val="0"/>
          <w:iCs w:val="0"/>
          <w:color w:val="000000" w:themeColor="text1"/>
          <w:sz w:val="22"/>
          <w:szCs w:val="22"/>
          <w:lang w:eastAsia="en-GB"/>
        </w:rPr>
        <w:t xml:space="preserve"> 15.2% population growth</w:t>
      </w:r>
      <w:r w:rsidRPr="00BC6A30">
        <w:rPr>
          <w:rFonts w:eastAsia="Calibri" w:cs="Arial"/>
          <w:b w:val="0"/>
          <w:bCs w:val="0"/>
          <w:iCs w:val="0"/>
          <w:color w:val="000000" w:themeColor="text1"/>
          <w:sz w:val="22"/>
          <w:szCs w:val="22"/>
          <w:lang w:eastAsia="en-GB"/>
        </w:rPr>
        <w:t xml:space="preserve"> over the last 19 years</w:t>
      </w:r>
      <w:r w:rsidR="006901A3" w:rsidRPr="00BC6A30">
        <w:rPr>
          <w:rFonts w:eastAsia="Calibri" w:cs="Arial"/>
          <w:b w:val="0"/>
          <w:bCs w:val="0"/>
          <w:iCs w:val="0"/>
          <w:color w:val="000000" w:themeColor="text1"/>
          <w:sz w:val="22"/>
          <w:szCs w:val="22"/>
          <w:lang w:eastAsia="en-GB"/>
        </w:rPr>
        <w:t xml:space="preserve">. Population average age was 36.5 and it increased by 1 year since 2002. The </w:t>
      </w:r>
      <w:r w:rsidRPr="00BC6A30">
        <w:rPr>
          <w:rFonts w:eastAsia="Calibri" w:cs="Arial"/>
          <w:b w:val="0"/>
          <w:bCs w:val="0"/>
          <w:iCs w:val="0"/>
          <w:color w:val="000000" w:themeColor="text1"/>
          <w:sz w:val="22"/>
          <w:szCs w:val="22"/>
          <w:lang w:eastAsia="en-GB"/>
        </w:rPr>
        <w:t>SWL</w:t>
      </w:r>
      <w:r w:rsidR="006901A3" w:rsidRPr="00BC6A30">
        <w:rPr>
          <w:rFonts w:eastAsia="Calibri" w:cs="Arial"/>
          <w:b w:val="0"/>
          <w:bCs w:val="0"/>
          <w:iCs w:val="0"/>
          <w:color w:val="000000" w:themeColor="text1"/>
          <w:sz w:val="22"/>
          <w:szCs w:val="22"/>
          <w:lang w:eastAsia="en-GB"/>
        </w:rPr>
        <w:t xml:space="preserve"> area </w:t>
      </w:r>
      <w:r w:rsidRPr="00BC6A30">
        <w:rPr>
          <w:rFonts w:eastAsia="Calibri" w:cs="Arial"/>
          <w:b w:val="0"/>
          <w:bCs w:val="0"/>
          <w:iCs w:val="0"/>
          <w:color w:val="000000" w:themeColor="text1"/>
          <w:sz w:val="22"/>
          <w:szCs w:val="22"/>
          <w:lang w:eastAsia="en-GB"/>
        </w:rPr>
        <w:t>is</w:t>
      </w:r>
      <w:r w:rsidR="006901A3" w:rsidRPr="00BC6A30">
        <w:rPr>
          <w:rFonts w:eastAsia="Calibri" w:cs="Arial"/>
          <w:b w:val="0"/>
          <w:bCs w:val="0"/>
          <w:iCs w:val="0"/>
          <w:color w:val="000000" w:themeColor="text1"/>
          <w:sz w:val="22"/>
          <w:szCs w:val="22"/>
          <w:lang w:eastAsia="en-GB"/>
        </w:rPr>
        <w:t xml:space="preserve"> ageing slower than England and Wales in which the age grew by 1.6 years in the same period. The population</w:t>
      </w:r>
      <w:r w:rsidRPr="00BC6A30">
        <w:rPr>
          <w:rFonts w:eastAsia="Calibri" w:cs="Arial"/>
          <w:b w:val="0"/>
          <w:bCs w:val="0"/>
          <w:iCs w:val="0"/>
          <w:color w:val="000000" w:themeColor="text1"/>
          <w:sz w:val="22"/>
          <w:szCs w:val="22"/>
          <w:lang w:eastAsia="en-GB"/>
        </w:rPr>
        <w:t xml:space="preserve"> overall</w:t>
      </w:r>
      <w:r w:rsidR="006901A3" w:rsidRPr="00BC6A30">
        <w:rPr>
          <w:rFonts w:eastAsia="Calibri" w:cs="Arial"/>
          <w:b w:val="0"/>
          <w:bCs w:val="0"/>
          <w:iCs w:val="0"/>
          <w:color w:val="000000" w:themeColor="text1"/>
          <w:sz w:val="22"/>
          <w:szCs w:val="22"/>
          <w:lang w:eastAsia="en-GB"/>
        </w:rPr>
        <w:t xml:space="preserve"> </w:t>
      </w:r>
      <w:r w:rsidRPr="00BC6A30">
        <w:rPr>
          <w:rFonts w:eastAsia="Calibri" w:cs="Arial"/>
          <w:b w:val="0"/>
          <w:bCs w:val="0"/>
          <w:iCs w:val="0"/>
          <w:color w:val="000000" w:themeColor="text1"/>
          <w:sz w:val="22"/>
          <w:szCs w:val="22"/>
          <w:lang w:eastAsia="en-GB"/>
        </w:rPr>
        <w:t>is</w:t>
      </w:r>
      <w:r w:rsidR="006901A3" w:rsidRPr="00BC6A30">
        <w:rPr>
          <w:rFonts w:eastAsia="Calibri" w:cs="Arial"/>
          <w:b w:val="0"/>
          <w:bCs w:val="0"/>
          <w:iCs w:val="0"/>
          <w:color w:val="000000" w:themeColor="text1"/>
          <w:sz w:val="22"/>
          <w:szCs w:val="22"/>
          <w:lang w:eastAsia="en-GB"/>
        </w:rPr>
        <w:t xml:space="preserve"> growing faster than population in England and Wales which grew by 13.0%.</w:t>
      </w:r>
    </w:p>
    <w:p w14:paraId="00934E8D" w14:textId="2E393155" w:rsidR="003F046F" w:rsidRDefault="003F046F" w:rsidP="003F046F">
      <w:pPr>
        <w:jc w:val="both"/>
        <w:rPr>
          <w:rFonts w:eastAsia="Calibri"/>
          <w:lang w:eastAsia="en-GB"/>
        </w:rPr>
      </w:pPr>
    </w:p>
    <w:p w14:paraId="63264B41" w14:textId="3B5CFC34" w:rsidR="003F046F" w:rsidRPr="003F046F" w:rsidRDefault="003F046F" w:rsidP="003F046F">
      <w:pPr>
        <w:jc w:val="both"/>
        <w:rPr>
          <w:rFonts w:eastAsia="Calibri"/>
          <w:lang w:eastAsia="en-GB"/>
        </w:rPr>
      </w:pPr>
      <w:r w:rsidRPr="003F046F">
        <w:rPr>
          <w:rFonts w:eastAsia="Calibri"/>
          <w:lang w:eastAsia="en-GB"/>
        </w:rPr>
        <w:t xml:space="preserve">12% </w:t>
      </w:r>
      <w:r>
        <w:rPr>
          <w:rFonts w:eastAsia="Calibri"/>
          <w:lang w:eastAsia="en-GB"/>
        </w:rPr>
        <w:t xml:space="preserve">of people in SWL </w:t>
      </w:r>
      <w:r w:rsidRPr="003F046F">
        <w:rPr>
          <w:rFonts w:eastAsia="Calibri"/>
          <w:lang w:eastAsia="en-GB"/>
        </w:rPr>
        <w:t>are over 65 (compared to</w:t>
      </w:r>
      <w:r>
        <w:rPr>
          <w:rFonts w:eastAsia="Calibri"/>
          <w:lang w:eastAsia="en-GB"/>
        </w:rPr>
        <w:t xml:space="preserve"> </w:t>
      </w:r>
      <w:r w:rsidRPr="003F046F">
        <w:rPr>
          <w:rFonts w:eastAsia="Calibri"/>
          <w:lang w:eastAsia="en-GB"/>
        </w:rPr>
        <w:t>17% nationally) but this varies</w:t>
      </w:r>
      <w:r>
        <w:rPr>
          <w:rFonts w:eastAsia="Calibri"/>
          <w:lang w:eastAsia="en-GB"/>
        </w:rPr>
        <w:t xml:space="preserve"> </w:t>
      </w:r>
      <w:r w:rsidRPr="003F046F">
        <w:rPr>
          <w:rFonts w:eastAsia="Calibri"/>
          <w:lang w:eastAsia="en-GB"/>
        </w:rPr>
        <w:t xml:space="preserve">across the </w:t>
      </w:r>
      <w:r>
        <w:rPr>
          <w:rFonts w:eastAsia="Calibri"/>
          <w:lang w:eastAsia="en-GB"/>
        </w:rPr>
        <w:t>Boroughs</w:t>
      </w:r>
      <w:r w:rsidRPr="003F046F">
        <w:rPr>
          <w:rFonts w:eastAsia="Calibri"/>
          <w:lang w:eastAsia="en-GB"/>
        </w:rPr>
        <w:t>.</w:t>
      </w:r>
    </w:p>
    <w:p w14:paraId="7B362CCA" w14:textId="77777777" w:rsidR="006901A3" w:rsidRPr="00BC6A30" w:rsidRDefault="006901A3" w:rsidP="003F046F">
      <w:pPr>
        <w:jc w:val="both"/>
        <w:rPr>
          <w:rFonts w:cs="Arial"/>
          <w:sz w:val="22"/>
          <w:szCs w:val="22"/>
          <w:lang w:eastAsia="en-GB"/>
        </w:rPr>
      </w:pPr>
    </w:p>
    <w:p w14:paraId="16350F1D" w14:textId="4D30FFAE" w:rsidR="004D76EF" w:rsidRPr="00C07FA8" w:rsidRDefault="004635BC" w:rsidP="00C07FA8">
      <w:pPr>
        <w:pStyle w:val="Heading3"/>
        <w:rPr>
          <w:rFonts w:cs="Arial"/>
          <w:sz w:val="22"/>
          <w:szCs w:val="22"/>
        </w:rPr>
      </w:pPr>
      <w:r w:rsidRPr="00BC6A30">
        <w:rPr>
          <w:rFonts w:cs="Arial"/>
          <w:sz w:val="22"/>
          <w:szCs w:val="22"/>
        </w:rPr>
        <w:t xml:space="preserve">2.2.2 </w:t>
      </w:r>
      <w:bookmarkEnd w:id="3"/>
      <w:r w:rsidR="003F046F">
        <w:rPr>
          <w:rFonts w:cs="Arial"/>
          <w:sz w:val="22"/>
          <w:szCs w:val="22"/>
        </w:rPr>
        <w:t>Health Risks</w:t>
      </w:r>
    </w:p>
    <w:p w14:paraId="7D0B9243" w14:textId="77777777" w:rsidR="004D76EF" w:rsidRDefault="004D76EF" w:rsidP="004D76EF">
      <w:pPr>
        <w:pStyle w:val="BodyText"/>
        <w:numPr>
          <w:ilvl w:val="0"/>
          <w:numId w:val="25"/>
        </w:numPr>
        <w:jc w:val="both"/>
        <w:rPr>
          <w:rFonts w:eastAsia="Calibri" w:cs="Arial"/>
          <w:color w:val="000000" w:themeColor="text1"/>
          <w:sz w:val="22"/>
          <w:szCs w:val="22"/>
          <w:lang w:eastAsia="en-GB"/>
        </w:rPr>
      </w:pPr>
      <w:r>
        <w:rPr>
          <w:rFonts w:eastAsia="Calibri" w:cs="Arial"/>
          <w:color w:val="000000" w:themeColor="text1"/>
          <w:sz w:val="22"/>
          <w:szCs w:val="22"/>
          <w:lang w:eastAsia="en-GB"/>
        </w:rPr>
        <w:t xml:space="preserve">20% </w:t>
      </w:r>
      <w:r w:rsidRPr="004D76EF">
        <w:rPr>
          <w:rFonts w:eastAsia="Calibri" w:cs="Arial"/>
          <w:color w:val="000000" w:themeColor="text1"/>
          <w:sz w:val="22"/>
          <w:szCs w:val="22"/>
          <w:lang w:eastAsia="en-GB"/>
        </w:rPr>
        <w:t xml:space="preserve">of </w:t>
      </w:r>
      <w:proofErr w:type="gramStart"/>
      <w:r w:rsidRPr="004D76EF">
        <w:rPr>
          <w:rFonts w:eastAsia="Calibri" w:cs="Arial"/>
          <w:color w:val="000000" w:themeColor="text1"/>
          <w:sz w:val="22"/>
          <w:szCs w:val="22"/>
          <w:lang w:eastAsia="en-GB"/>
        </w:rPr>
        <w:t>10 year olds</w:t>
      </w:r>
      <w:proofErr w:type="gramEnd"/>
      <w:r w:rsidRPr="004D76EF">
        <w:rPr>
          <w:rFonts w:eastAsia="Calibri" w:cs="Arial"/>
          <w:color w:val="000000" w:themeColor="text1"/>
          <w:sz w:val="22"/>
          <w:szCs w:val="22"/>
          <w:lang w:eastAsia="en-GB"/>
        </w:rPr>
        <w:t xml:space="preserve"> are obese, compared to national average</w:t>
      </w:r>
      <w:r>
        <w:rPr>
          <w:rFonts w:eastAsia="Calibri" w:cs="Arial"/>
          <w:color w:val="000000" w:themeColor="text1"/>
          <w:sz w:val="22"/>
          <w:szCs w:val="22"/>
          <w:lang w:eastAsia="en-GB"/>
        </w:rPr>
        <w:t xml:space="preserve"> </w:t>
      </w:r>
      <w:r w:rsidRPr="004D76EF">
        <w:rPr>
          <w:rFonts w:eastAsia="Calibri" w:cs="Arial"/>
          <w:color w:val="000000" w:themeColor="text1"/>
          <w:sz w:val="22"/>
          <w:szCs w:val="22"/>
          <w:lang w:eastAsia="en-GB"/>
        </w:rPr>
        <w:t xml:space="preserve">of 20% </w:t>
      </w:r>
    </w:p>
    <w:p w14:paraId="5845E7B5" w14:textId="06CB3297" w:rsidR="004D76EF" w:rsidRDefault="004D76EF" w:rsidP="004D76EF">
      <w:pPr>
        <w:pStyle w:val="BodyText"/>
        <w:numPr>
          <w:ilvl w:val="0"/>
          <w:numId w:val="25"/>
        </w:numPr>
        <w:jc w:val="both"/>
        <w:rPr>
          <w:rFonts w:eastAsia="Calibri" w:cs="Arial"/>
          <w:color w:val="000000" w:themeColor="text1"/>
          <w:sz w:val="22"/>
          <w:szCs w:val="22"/>
          <w:lang w:eastAsia="en-GB"/>
        </w:rPr>
      </w:pPr>
      <w:r>
        <w:rPr>
          <w:rFonts w:eastAsia="Calibri" w:cs="Arial"/>
          <w:color w:val="000000" w:themeColor="text1"/>
          <w:sz w:val="22"/>
          <w:szCs w:val="22"/>
          <w:lang w:eastAsia="en-GB"/>
        </w:rPr>
        <w:t>14</w:t>
      </w:r>
      <w:r w:rsidRPr="004D76EF">
        <w:rPr>
          <w:rFonts w:eastAsia="Calibri" w:cs="Arial"/>
          <w:color w:val="000000" w:themeColor="text1"/>
          <w:sz w:val="22"/>
          <w:szCs w:val="22"/>
          <w:lang w:eastAsia="en-GB"/>
        </w:rPr>
        <w:t>%</w:t>
      </w:r>
      <w:r>
        <w:rPr>
          <w:rFonts w:eastAsia="Calibri" w:cs="Arial"/>
          <w:color w:val="000000" w:themeColor="text1"/>
          <w:sz w:val="22"/>
          <w:szCs w:val="22"/>
          <w:lang w:eastAsia="en-GB"/>
        </w:rPr>
        <w:t xml:space="preserve"> </w:t>
      </w:r>
      <w:r w:rsidRPr="004D76EF">
        <w:rPr>
          <w:rFonts w:eastAsia="Calibri" w:cs="Arial"/>
          <w:color w:val="000000" w:themeColor="text1"/>
          <w:sz w:val="22"/>
          <w:szCs w:val="22"/>
          <w:lang w:eastAsia="en-GB"/>
        </w:rPr>
        <w:t>of adults smoke in the London region, compared to</w:t>
      </w:r>
      <w:r>
        <w:rPr>
          <w:rFonts w:eastAsia="Calibri" w:cs="Arial"/>
          <w:color w:val="000000" w:themeColor="text1"/>
          <w:sz w:val="22"/>
          <w:szCs w:val="22"/>
          <w:lang w:eastAsia="en-GB"/>
        </w:rPr>
        <w:t xml:space="preserve"> </w:t>
      </w:r>
      <w:r w:rsidRPr="004D76EF">
        <w:rPr>
          <w:rFonts w:eastAsia="Calibri" w:cs="Arial"/>
          <w:color w:val="000000" w:themeColor="text1"/>
          <w:sz w:val="22"/>
          <w:szCs w:val="22"/>
          <w:lang w:eastAsia="en-GB"/>
        </w:rPr>
        <w:t xml:space="preserve">national average of 14% </w:t>
      </w:r>
    </w:p>
    <w:p w14:paraId="68CF2406" w14:textId="7590A1DB" w:rsidR="004D76EF" w:rsidRPr="004D76EF" w:rsidRDefault="004D76EF" w:rsidP="004D76EF">
      <w:pPr>
        <w:pStyle w:val="BodyText"/>
        <w:numPr>
          <w:ilvl w:val="0"/>
          <w:numId w:val="25"/>
        </w:numPr>
        <w:jc w:val="both"/>
        <w:rPr>
          <w:rFonts w:eastAsia="Calibri" w:cs="Arial"/>
          <w:color w:val="000000" w:themeColor="text1"/>
          <w:sz w:val="22"/>
          <w:szCs w:val="22"/>
          <w:lang w:eastAsia="en-GB"/>
        </w:rPr>
      </w:pPr>
      <w:r>
        <w:rPr>
          <w:rFonts w:eastAsia="Calibri" w:cs="Arial"/>
          <w:color w:val="000000" w:themeColor="text1"/>
          <w:sz w:val="22"/>
          <w:szCs w:val="22"/>
          <w:lang w:eastAsia="en-GB"/>
        </w:rPr>
        <w:t xml:space="preserve">22% </w:t>
      </w:r>
      <w:r w:rsidRPr="004D76EF">
        <w:rPr>
          <w:rFonts w:eastAsia="Calibri" w:cs="Arial"/>
          <w:color w:val="000000" w:themeColor="text1"/>
          <w:sz w:val="22"/>
          <w:szCs w:val="22"/>
          <w:lang w:eastAsia="en-GB"/>
        </w:rPr>
        <w:t>of adults are inactive in the London region, compared</w:t>
      </w:r>
      <w:r>
        <w:rPr>
          <w:rFonts w:eastAsia="Calibri" w:cs="Arial"/>
          <w:color w:val="000000" w:themeColor="text1"/>
          <w:sz w:val="22"/>
          <w:szCs w:val="22"/>
          <w:lang w:eastAsia="en-GB"/>
        </w:rPr>
        <w:t xml:space="preserve"> </w:t>
      </w:r>
      <w:r w:rsidRPr="004D76EF">
        <w:rPr>
          <w:rFonts w:eastAsia="Calibri" w:cs="Arial"/>
          <w:color w:val="000000" w:themeColor="text1"/>
          <w:sz w:val="22"/>
          <w:szCs w:val="22"/>
          <w:lang w:eastAsia="en-GB"/>
        </w:rPr>
        <w:t>to national average of 22%</w:t>
      </w:r>
    </w:p>
    <w:p w14:paraId="11495774" w14:textId="18423F42" w:rsidR="00D24A9B" w:rsidRPr="004D76EF" w:rsidRDefault="004D76EF" w:rsidP="004D76EF">
      <w:pPr>
        <w:pStyle w:val="BodyText"/>
        <w:numPr>
          <w:ilvl w:val="0"/>
          <w:numId w:val="25"/>
        </w:numPr>
        <w:jc w:val="both"/>
        <w:rPr>
          <w:rFonts w:eastAsia="Calibri" w:cs="Arial"/>
          <w:color w:val="000000" w:themeColor="text1"/>
          <w:sz w:val="22"/>
          <w:szCs w:val="22"/>
          <w:lang w:eastAsia="en-GB"/>
        </w:rPr>
      </w:pPr>
      <w:r>
        <w:rPr>
          <w:rFonts w:eastAsia="Calibri" w:cs="Arial"/>
          <w:color w:val="000000" w:themeColor="text1"/>
          <w:sz w:val="22"/>
          <w:szCs w:val="22"/>
          <w:lang w:eastAsia="en-GB"/>
        </w:rPr>
        <w:t xml:space="preserve">533 </w:t>
      </w:r>
      <w:r w:rsidRPr="004D76EF">
        <w:rPr>
          <w:rFonts w:eastAsia="Calibri" w:cs="Arial"/>
          <w:color w:val="000000" w:themeColor="text1"/>
          <w:sz w:val="22"/>
          <w:szCs w:val="22"/>
          <w:lang w:eastAsia="en-GB"/>
        </w:rPr>
        <w:t>hospital admissions out of 100,000 in the London region</w:t>
      </w:r>
      <w:r>
        <w:rPr>
          <w:rFonts w:eastAsia="Calibri" w:cs="Arial"/>
          <w:color w:val="000000" w:themeColor="text1"/>
          <w:sz w:val="22"/>
          <w:szCs w:val="22"/>
          <w:lang w:eastAsia="en-GB"/>
        </w:rPr>
        <w:t xml:space="preserve"> </w:t>
      </w:r>
      <w:r w:rsidRPr="004D76EF">
        <w:rPr>
          <w:rFonts w:eastAsia="Calibri" w:cs="Arial"/>
          <w:color w:val="000000" w:themeColor="text1"/>
          <w:sz w:val="22"/>
          <w:szCs w:val="22"/>
          <w:lang w:eastAsia="en-GB"/>
        </w:rPr>
        <w:t>are related to alcohol, compared to national average of 632</w:t>
      </w:r>
    </w:p>
    <w:p w14:paraId="4C6EDC60" w14:textId="77777777" w:rsidR="004E6698" w:rsidRPr="00BC6A30" w:rsidRDefault="004E6698" w:rsidP="003F046F">
      <w:pPr>
        <w:jc w:val="both"/>
        <w:rPr>
          <w:rFonts w:eastAsia="Calibri" w:cs="Arial"/>
          <w:color w:val="000000" w:themeColor="text1"/>
          <w:sz w:val="22"/>
          <w:szCs w:val="22"/>
        </w:rPr>
      </w:pPr>
    </w:p>
    <w:p w14:paraId="7FD7AE63" w14:textId="2FB83DCB" w:rsidR="004D76EF" w:rsidRPr="00C07FA8" w:rsidRDefault="000D5ED2" w:rsidP="00C07FA8">
      <w:pPr>
        <w:pStyle w:val="Heading3"/>
        <w:rPr>
          <w:rFonts w:cs="Arial"/>
          <w:sz w:val="22"/>
          <w:szCs w:val="22"/>
        </w:rPr>
      </w:pPr>
      <w:r w:rsidRPr="00BC6A30">
        <w:rPr>
          <w:rFonts w:cs="Arial"/>
          <w:sz w:val="22"/>
          <w:szCs w:val="22"/>
        </w:rPr>
        <w:t xml:space="preserve">2.2.3 </w:t>
      </w:r>
      <w:r w:rsidR="004D76EF">
        <w:rPr>
          <w:rFonts w:cs="Arial"/>
          <w:sz w:val="22"/>
          <w:szCs w:val="22"/>
        </w:rPr>
        <w:t>Health Indicators</w:t>
      </w:r>
    </w:p>
    <w:p w14:paraId="00E4A046" w14:textId="40DA973D" w:rsidR="004D76EF" w:rsidRPr="004D76EF" w:rsidRDefault="004D76EF" w:rsidP="004D76EF">
      <w:pPr>
        <w:pStyle w:val="ListParagraph"/>
        <w:numPr>
          <w:ilvl w:val="0"/>
          <w:numId w:val="26"/>
        </w:numPr>
        <w:rPr>
          <w:rFonts w:ascii="Arial" w:hAnsi="Arial" w:cs="Arial"/>
        </w:rPr>
      </w:pPr>
      <w:r w:rsidRPr="004D76EF">
        <w:rPr>
          <w:rFonts w:ascii="Arial" w:hAnsi="Arial" w:cs="Arial"/>
        </w:rPr>
        <w:t xml:space="preserve">8,497 people in South West London have been assessed to have moderate frailty </w:t>
      </w:r>
      <w:proofErr w:type="gramStart"/>
      <w:r w:rsidRPr="004D76EF">
        <w:rPr>
          <w:rFonts w:ascii="Arial" w:hAnsi="Arial" w:cs="Arial"/>
        </w:rPr>
        <w:t>an  3,464</w:t>
      </w:r>
      <w:proofErr w:type="gramEnd"/>
      <w:r w:rsidRPr="004D76EF">
        <w:rPr>
          <w:rFonts w:ascii="Arial" w:hAnsi="Arial" w:cs="Arial"/>
        </w:rPr>
        <w:t xml:space="preserve"> have severe frailty</w:t>
      </w:r>
    </w:p>
    <w:p w14:paraId="1CE8CE10" w14:textId="08EDE659" w:rsidR="004D76EF" w:rsidRDefault="004D76EF" w:rsidP="004D76EF">
      <w:pPr>
        <w:pStyle w:val="ListParagraph"/>
        <w:numPr>
          <w:ilvl w:val="0"/>
          <w:numId w:val="26"/>
        </w:numPr>
        <w:rPr>
          <w:rFonts w:ascii="Arial" w:hAnsi="Arial" w:cs="Arial"/>
        </w:rPr>
      </w:pPr>
      <w:r w:rsidRPr="004D76EF">
        <w:rPr>
          <w:rFonts w:ascii="Arial" w:hAnsi="Arial" w:cs="Arial"/>
        </w:rPr>
        <w:t>1 in every 345 adults receive long-term support for learning disabilities, national average is 1 in 300</w:t>
      </w:r>
    </w:p>
    <w:p w14:paraId="29AA9842" w14:textId="2BF911E9" w:rsidR="004D76EF" w:rsidRDefault="004D76EF" w:rsidP="004D76EF">
      <w:pPr>
        <w:pStyle w:val="ListParagraph"/>
        <w:numPr>
          <w:ilvl w:val="0"/>
          <w:numId w:val="26"/>
        </w:numPr>
        <w:rPr>
          <w:rFonts w:ascii="Arial" w:hAnsi="Arial" w:cs="Arial"/>
        </w:rPr>
      </w:pPr>
      <w:r>
        <w:rPr>
          <w:rFonts w:ascii="Arial" w:hAnsi="Arial" w:cs="Arial"/>
        </w:rPr>
        <w:t>7.1% of adults have depression, national average in 9.9%</w:t>
      </w:r>
    </w:p>
    <w:p w14:paraId="0D30D3F7" w14:textId="4C165FFF" w:rsidR="004D76EF" w:rsidRPr="004D76EF" w:rsidRDefault="004D76EF" w:rsidP="004D76EF">
      <w:pPr>
        <w:pStyle w:val="ListParagraph"/>
        <w:numPr>
          <w:ilvl w:val="0"/>
          <w:numId w:val="26"/>
        </w:numPr>
        <w:rPr>
          <w:rFonts w:ascii="Arial" w:hAnsi="Arial" w:cs="Arial"/>
        </w:rPr>
      </w:pPr>
      <w:r>
        <w:rPr>
          <w:rFonts w:ascii="Arial" w:hAnsi="Arial" w:cs="Arial"/>
        </w:rPr>
        <w:t>4.5% of over 65s have a dementia diagnosis, national average in 4.3% and rates of new diagnosis are 11.1/1000 people, the same as the national average.</w:t>
      </w:r>
    </w:p>
    <w:p w14:paraId="36D54AAF" w14:textId="7B694E84" w:rsidR="004D76EF" w:rsidRDefault="004D76EF" w:rsidP="006959B2">
      <w:pPr>
        <w:pStyle w:val="ListParagraph"/>
        <w:numPr>
          <w:ilvl w:val="0"/>
          <w:numId w:val="26"/>
        </w:numPr>
        <w:jc w:val="both"/>
        <w:rPr>
          <w:rFonts w:ascii="Arial" w:hAnsi="Arial" w:cs="Arial"/>
        </w:rPr>
      </w:pPr>
      <w:r>
        <w:rPr>
          <w:rFonts w:ascii="Arial" w:hAnsi="Arial" w:cs="Arial"/>
        </w:rPr>
        <w:t>8% of people have diabetes</w:t>
      </w:r>
    </w:p>
    <w:p w14:paraId="11F606A2" w14:textId="4452A1EB" w:rsidR="004D76EF" w:rsidRDefault="004D76EF" w:rsidP="006959B2">
      <w:pPr>
        <w:pStyle w:val="ListParagraph"/>
        <w:numPr>
          <w:ilvl w:val="0"/>
          <w:numId w:val="26"/>
        </w:numPr>
        <w:jc w:val="both"/>
        <w:rPr>
          <w:rFonts w:ascii="Arial" w:hAnsi="Arial" w:cs="Arial"/>
        </w:rPr>
      </w:pPr>
      <w:r>
        <w:rPr>
          <w:rFonts w:ascii="Arial" w:hAnsi="Arial" w:cs="Arial"/>
        </w:rPr>
        <w:t>181 admissions per 100,000 people for stroke</w:t>
      </w:r>
    </w:p>
    <w:p w14:paraId="311A9E05" w14:textId="77ACCA67" w:rsidR="004D76EF" w:rsidRDefault="004D76EF" w:rsidP="006959B2">
      <w:pPr>
        <w:pStyle w:val="ListParagraph"/>
        <w:numPr>
          <w:ilvl w:val="0"/>
          <w:numId w:val="26"/>
        </w:numPr>
        <w:jc w:val="both"/>
        <w:rPr>
          <w:rFonts w:ascii="Arial" w:hAnsi="Arial" w:cs="Arial"/>
        </w:rPr>
      </w:pPr>
      <w:r>
        <w:rPr>
          <w:rFonts w:ascii="Arial" w:hAnsi="Arial" w:cs="Arial"/>
        </w:rPr>
        <w:t>32 people per 100,000 under 75s die from coronary heart disease</w:t>
      </w:r>
    </w:p>
    <w:p w14:paraId="3ADDB9B8" w14:textId="73E2DBFB" w:rsidR="004D76EF" w:rsidRDefault="006959B2" w:rsidP="006959B2">
      <w:pPr>
        <w:pStyle w:val="ListParagraph"/>
        <w:numPr>
          <w:ilvl w:val="0"/>
          <w:numId w:val="26"/>
        </w:numPr>
        <w:jc w:val="both"/>
        <w:rPr>
          <w:rFonts w:ascii="Arial" w:hAnsi="Arial" w:cs="Arial"/>
        </w:rPr>
      </w:pPr>
      <w:r>
        <w:rPr>
          <w:rFonts w:ascii="Arial" w:hAnsi="Arial" w:cs="Arial"/>
        </w:rPr>
        <w:t>348 new cancer cases per 100,000</w:t>
      </w:r>
    </w:p>
    <w:p w14:paraId="611E166E" w14:textId="3BBE6EAF" w:rsidR="006959B2" w:rsidRDefault="006959B2" w:rsidP="006959B2">
      <w:pPr>
        <w:pStyle w:val="ListParagraph"/>
        <w:numPr>
          <w:ilvl w:val="0"/>
          <w:numId w:val="26"/>
        </w:numPr>
        <w:jc w:val="both"/>
        <w:rPr>
          <w:rFonts w:ascii="Arial" w:hAnsi="Arial" w:cs="Arial"/>
        </w:rPr>
      </w:pPr>
      <w:r>
        <w:rPr>
          <w:rFonts w:ascii="Arial" w:hAnsi="Arial" w:cs="Arial"/>
        </w:rPr>
        <w:t>9500 people have rheumatoid arthritis</w:t>
      </w:r>
    </w:p>
    <w:p w14:paraId="6FED9C7F" w14:textId="561D718F" w:rsidR="009C2981" w:rsidRPr="00C07FA8" w:rsidRDefault="006959B2" w:rsidP="006959B2">
      <w:pPr>
        <w:pStyle w:val="ListParagraph"/>
        <w:numPr>
          <w:ilvl w:val="0"/>
          <w:numId w:val="26"/>
        </w:numPr>
        <w:jc w:val="both"/>
        <w:rPr>
          <w:rFonts w:ascii="Arial" w:hAnsi="Arial" w:cs="Arial"/>
        </w:rPr>
      </w:pPr>
      <w:r>
        <w:rPr>
          <w:rFonts w:ascii="Arial" w:hAnsi="Arial" w:cs="Arial"/>
        </w:rPr>
        <w:t>15% of the population suffer from back pain</w:t>
      </w:r>
    </w:p>
    <w:p w14:paraId="4B251139" w14:textId="05938633" w:rsidR="006959B2" w:rsidRPr="00C07FA8" w:rsidRDefault="00310112" w:rsidP="00C07FA8">
      <w:pPr>
        <w:pStyle w:val="Heading3"/>
        <w:rPr>
          <w:rFonts w:cs="Arial"/>
          <w:sz w:val="22"/>
          <w:szCs w:val="22"/>
        </w:rPr>
      </w:pPr>
      <w:r w:rsidRPr="00BC6A30">
        <w:rPr>
          <w:rFonts w:cs="Arial"/>
          <w:sz w:val="22"/>
          <w:szCs w:val="22"/>
        </w:rPr>
        <w:lastRenderedPageBreak/>
        <w:t>2.2.4 Mental Health</w:t>
      </w:r>
    </w:p>
    <w:p w14:paraId="4FA7CBF2" w14:textId="36295710" w:rsidR="006959B2" w:rsidRPr="006959B2" w:rsidRDefault="006959B2" w:rsidP="006959B2">
      <w:pPr>
        <w:jc w:val="both"/>
        <w:rPr>
          <w:sz w:val="22"/>
          <w:szCs w:val="22"/>
        </w:rPr>
      </w:pPr>
      <w:r w:rsidRPr="006959B2">
        <w:rPr>
          <w:sz w:val="22"/>
          <w:szCs w:val="22"/>
        </w:rPr>
        <w:t xml:space="preserve">Across </w:t>
      </w:r>
      <w:proofErr w:type="gramStart"/>
      <w:r w:rsidRPr="006959B2">
        <w:rPr>
          <w:sz w:val="22"/>
          <w:szCs w:val="22"/>
        </w:rPr>
        <w:t>south west</w:t>
      </w:r>
      <w:proofErr w:type="gramEnd"/>
      <w:r w:rsidRPr="006959B2">
        <w:rPr>
          <w:sz w:val="22"/>
          <w:szCs w:val="22"/>
        </w:rPr>
        <w:t xml:space="preserve"> London we have a high number of children who are</w:t>
      </w:r>
      <w:r>
        <w:rPr>
          <w:sz w:val="22"/>
          <w:szCs w:val="22"/>
        </w:rPr>
        <w:t xml:space="preserve"> </w:t>
      </w:r>
      <w:r w:rsidRPr="006959B2">
        <w:rPr>
          <w:sz w:val="22"/>
          <w:szCs w:val="22"/>
        </w:rPr>
        <w:t>self-harming.</w:t>
      </w:r>
    </w:p>
    <w:p w14:paraId="2A2CB776" w14:textId="77777777" w:rsidR="006959B2" w:rsidRDefault="006959B2" w:rsidP="006959B2">
      <w:pPr>
        <w:jc w:val="both"/>
        <w:rPr>
          <w:sz w:val="22"/>
          <w:szCs w:val="22"/>
        </w:rPr>
      </w:pPr>
    </w:p>
    <w:p w14:paraId="296C904B" w14:textId="315756A1" w:rsidR="006959B2" w:rsidRPr="006959B2" w:rsidRDefault="006959B2" w:rsidP="006959B2">
      <w:pPr>
        <w:jc w:val="both"/>
        <w:rPr>
          <w:sz w:val="22"/>
          <w:szCs w:val="22"/>
        </w:rPr>
      </w:pPr>
      <w:r w:rsidRPr="006959B2">
        <w:rPr>
          <w:sz w:val="22"/>
          <w:szCs w:val="22"/>
        </w:rPr>
        <w:t>Since January 2018, we have come together as a children and young</w:t>
      </w:r>
      <w:r>
        <w:rPr>
          <w:sz w:val="22"/>
          <w:szCs w:val="22"/>
        </w:rPr>
        <w:t xml:space="preserve"> </w:t>
      </w:r>
      <w:r w:rsidRPr="006959B2">
        <w:rPr>
          <w:sz w:val="22"/>
          <w:szCs w:val="22"/>
        </w:rPr>
        <w:t>people’s partnership group, made up of Head Teachers, GPs, mental</w:t>
      </w:r>
      <w:r>
        <w:rPr>
          <w:sz w:val="22"/>
          <w:szCs w:val="22"/>
        </w:rPr>
        <w:t xml:space="preserve"> </w:t>
      </w:r>
      <w:r w:rsidRPr="006959B2">
        <w:rPr>
          <w:sz w:val="22"/>
          <w:szCs w:val="22"/>
        </w:rPr>
        <w:t>health professionals, health and social care professionals and the</w:t>
      </w:r>
      <w:r>
        <w:rPr>
          <w:sz w:val="22"/>
          <w:szCs w:val="22"/>
        </w:rPr>
        <w:t xml:space="preserve"> </w:t>
      </w:r>
      <w:r w:rsidRPr="006959B2">
        <w:rPr>
          <w:sz w:val="22"/>
          <w:szCs w:val="22"/>
        </w:rPr>
        <w:t xml:space="preserve">voluntary sector from across </w:t>
      </w:r>
      <w:proofErr w:type="gramStart"/>
      <w:r w:rsidRPr="006959B2">
        <w:rPr>
          <w:sz w:val="22"/>
          <w:szCs w:val="22"/>
        </w:rPr>
        <w:t>south west</w:t>
      </w:r>
      <w:proofErr w:type="gramEnd"/>
      <w:r w:rsidRPr="006959B2">
        <w:rPr>
          <w:sz w:val="22"/>
          <w:szCs w:val="22"/>
        </w:rPr>
        <w:t xml:space="preserve"> London - people on the frontline</w:t>
      </w:r>
      <w:r>
        <w:rPr>
          <w:sz w:val="22"/>
          <w:szCs w:val="22"/>
        </w:rPr>
        <w:t xml:space="preserve"> </w:t>
      </w:r>
      <w:r w:rsidRPr="006959B2">
        <w:rPr>
          <w:sz w:val="22"/>
          <w:szCs w:val="22"/>
        </w:rPr>
        <w:t>who work with children every day.</w:t>
      </w:r>
    </w:p>
    <w:p w14:paraId="0B3ED6A4" w14:textId="04BD0B6E" w:rsidR="00310112" w:rsidRPr="00BC6A30" w:rsidRDefault="00310112" w:rsidP="003F046F">
      <w:pPr>
        <w:jc w:val="both"/>
        <w:rPr>
          <w:rFonts w:eastAsia="Calibri" w:cs="Arial"/>
          <w:b/>
          <w:color w:val="000000" w:themeColor="text1"/>
          <w:sz w:val="22"/>
          <w:szCs w:val="22"/>
        </w:rPr>
      </w:pPr>
    </w:p>
    <w:p w14:paraId="2AE8A17E" w14:textId="6898E95A" w:rsidR="003F046F" w:rsidRPr="00C07FA8" w:rsidRDefault="00310112" w:rsidP="00C07FA8">
      <w:pPr>
        <w:pStyle w:val="Heading3"/>
        <w:rPr>
          <w:rFonts w:cs="Arial"/>
          <w:sz w:val="22"/>
          <w:szCs w:val="22"/>
        </w:rPr>
      </w:pPr>
      <w:r w:rsidRPr="00BC6A30">
        <w:rPr>
          <w:rFonts w:cs="Arial"/>
          <w:sz w:val="22"/>
          <w:szCs w:val="22"/>
        </w:rPr>
        <w:t>2.2.</w:t>
      </w:r>
      <w:r w:rsidR="00291A17" w:rsidRPr="00BC6A30">
        <w:rPr>
          <w:rFonts w:cs="Arial"/>
          <w:sz w:val="22"/>
          <w:szCs w:val="22"/>
        </w:rPr>
        <w:t>5</w:t>
      </w:r>
      <w:r w:rsidRPr="00BC6A30">
        <w:rPr>
          <w:rFonts w:cs="Arial"/>
          <w:sz w:val="22"/>
          <w:szCs w:val="22"/>
        </w:rPr>
        <w:t xml:space="preserve"> </w:t>
      </w:r>
      <w:r w:rsidR="00291A17" w:rsidRPr="00BC6A30">
        <w:rPr>
          <w:rFonts w:cs="Arial"/>
          <w:sz w:val="22"/>
          <w:szCs w:val="22"/>
        </w:rPr>
        <w:t>Race</w:t>
      </w:r>
    </w:p>
    <w:p w14:paraId="1CFE4601" w14:textId="5514ED75" w:rsidR="003F046F" w:rsidRPr="003F046F" w:rsidRDefault="003F046F" w:rsidP="003F046F">
      <w:pPr>
        <w:jc w:val="both"/>
        <w:rPr>
          <w:sz w:val="22"/>
          <w:szCs w:val="22"/>
        </w:rPr>
      </w:pPr>
      <w:proofErr w:type="gramStart"/>
      <w:r w:rsidRPr="003F046F">
        <w:rPr>
          <w:sz w:val="22"/>
          <w:szCs w:val="22"/>
        </w:rPr>
        <w:t>South West</w:t>
      </w:r>
      <w:proofErr w:type="gramEnd"/>
      <w:r w:rsidRPr="003F046F">
        <w:rPr>
          <w:sz w:val="22"/>
          <w:szCs w:val="22"/>
        </w:rPr>
        <w:t xml:space="preserve"> London STP is in the most ethnically diverse region of the London with:</w:t>
      </w:r>
    </w:p>
    <w:p w14:paraId="1EE69066" w14:textId="77777777" w:rsidR="003F046F" w:rsidRDefault="003F046F" w:rsidP="003F046F">
      <w:pPr>
        <w:jc w:val="both"/>
      </w:pPr>
    </w:p>
    <w:p w14:paraId="61D05E17" w14:textId="77777777" w:rsidR="003F046F" w:rsidRPr="003F046F" w:rsidRDefault="003F046F" w:rsidP="003F046F">
      <w:pPr>
        <w:pStyle w:val="ListParagraph"/>
        <w:numPr>
          <w:ilvl w:val="0"/>
          <w:numId w:val="23"/>
        </w:numPr>
        <w:jc w:val="both"/>
        <w:rPr>
          <w:rFonts w:ascii="Arial" w:hAnsi="Arial" w:cs="Arial"/>
        </w:rPr>
      </w:pPr>
      <w:r w:rsidRPr="003F046F">
        <w:rPr>
          <w:rFonts w:ascii="Arial" w:hAnsi="Arial" w:cs="Arial"/>
        </w:rPr>
        <w:t>45% white British</w:t>
      </w:r>
    </w:p>
    <w:p w14:paraId="11B68E5F" w14:textId="77777777" w:rsidR="003F046F" w:rsidRPr="003F046F" w:rsidRDefault="003F046F" w:rsidP="003F046F">
      <w:pPr>
        <w:pStyle w:val="ListParagraph"/>
        <w:numPr>
          <w:ilvl w:val="0"/>
          <w:numId w:val="23"/>
        </w:numPr>
        <w:jc w:val="both"/>
        <w:rPr>
          <w:rFonts w:ascii="Arial" w:hAnsi="Arial" w:cs="Arial"/>
        </w:rPr>
      </w:pPr>
      <w:r w:rsidRPr="003F046F">
        <w:rPr>
          <w:rFonts w:ascii="Arial" w:hAnsi="Arial" w:cs="Arial"/>
        </w:rPr>
        <w:t>15% white non-British</w:t>
      </w:r>
    </w:p>
    <w:p w14:paraId="23808936" w14:textId="77777777" w:rsidR="003F046F" w:rsidRPr="003F046F" w:rsidRDefault="003F046F" w:rsidP="003F046F">
      <w:pPr>
        <w:pStyle w:val="ListParagraph"/>
        <w:numPr>
          <w:ilvl w:val="0"/>
          <w:numId w:val="23"/>
        </w:numPr>
        <w:jc w:val="both"/>
        <w:rPr>
          <w:rFonts w:ascii="Arial" w:hAnsi="Arial" w:cs="Arial"/>
        </w:rPr>
      </w:pPr>
      <w:r w:rsidRPr="003F046F">
        <w:rPr>
          <w:rFonts w:ascii="Arial" w:hAnsi="Arial" w:cs="Arial"/>
        </w:rPr>
        <w:t>18.5% Asian</w:t>
      </w:r>
    </w:p>
    <w:p w14:paraId="151CA706" w14:textId="77777777" w:rsidR="003F046F" w:rsidRPr="003F046F" w:rsidRDefault="003F046F" w:rsidP="003F046F">
      <w:pPr>
        <w:pStyle w:val="ListParagraph"/>
        <w:numPr>
          <w:ilvl w:val="0"/>
          <w:numId w:val="23"/>
        </w:numPr>
        <w:jc w:val="both"/>
        <w:rPr>
          <w:rFonts w:ascii="Arial" w:hAnsi="Arial" w:cs="Arial"/>
        </w:rPr>
      </w:pPr>
      <w:r w:rsidRPr="003F046F">
        <w:rPr>
          <w:rFonts w:ascii="Arial" w:hAnsi="Arial" w:cs="Arial"/>
        </w:rPr>
        <w:t>13% Black</w:t>
      </w:r>
    </w:p>
    <w:p w14:paraId="6D0FB0C0" w14:textId="45215CF1" w:rsidR="00291A17" w:rsidRPr="003F046F" w:rsidRDefault="003F046F" w:rsidP="003F046F">
      <w:pPr>
        <w:pStyle w:val="ListParagraph"/>
        <w:numPr>
          <w:ilvl w:val="0"/>
          <w:numId w:val="23"/>
        </w:numPr>
        <w:jc w:val="both"/>
        <w:rPr>
          <w:rFonts w:ascii="Arial" w:hAnsi="Arial" w:cs="Arial"/>
        </w:rPr>
      </w:pPr>
      <w:r w:rsidRPr="003F046F">
        <w:rPr>
          <w:rFonts w:ascii="Arial" w:hAnsi="Arial" w:cs="Arial"/>
        </w:rPr>
        <w:t>8.5% Mixed and other Ethnic Minorities.</w:t>
      </w:r>
    </w:p>
    <w:p w14:paraId="2BF76E1B" w14:textId="30016B17" w:rsidR="003F046F" w:rsidRPr="003F046F" w:rsidRDefault="003F046F" w:rsidP="003F046F">
      <w:pPr>
        <w:jc w:val="both"/>
        <w:rPr>
          <w:rFonts w:cs="Arial"/>
          <w:sz w:val="22"/>
          <w:szCs w:val="22"/>
        </w:rPr>
      </w:pPr>
      <w:r w:rsidRPr="003F046F">
        <w:rPr>
          <w:rFonts w:cs="Arial"/>
          <w:sz w:val="22"/>
          <w:szCs w:val="22"/>
        </w:rPr>
        <w:t>8,196 people in the London region identify themselves as Gypsies or Travellers, out of 58,000 across England as a whole.</w:t>
      </w:r>
    </w:p>
    <w:p w14:paraId="70A8C89C" w14:textId="77777777" w:rsidR="003F046F" w:rsidRPr="003F046F" w:rsidRDefault="003F046F" w:rsidP="003F046F">
      <w:pPr>
        <w:jc w:val="both"/>
        <w:rPr>
          <w:rFonts w:cs="Arial"/>
        </w:rPr>
      </w:pPr>
    </w:p>
    <w:p w14:paraId="52AA5447" w14:textId="0FB4D6D6" w:rsidR="003F046F" w:rsidRPr="00C07FA8" w:rsidRDefault="00291A17" w:rsidP="00C07FA8">
      <w:pPr>
        <w:pStyle w:val="Heading3"/>
        <w:rPr>
          <w:rFonts w:cs="Arial"/>
          <w:sz w:val="22"/>
          <w:szCs w:val="22"/>
        </w:rPr>
      </w:pPr>
      <w:r w:rsidRPr="00BC6A30">
        <w:rPr>
          <w:rFonts w:cs="Arial"/>
          <w:sz w:val="22"/>
          <w:szCs w:val="22"/>
        </w:rPr>
        <w:t>2.2.6 Sexuality</w:t>
      </w:r>
    </w:p>
    <w:p w14:paraId="43CD4C15" w14:textId="3FF21521" w:rsidR="003F046F" w:rsidRPr="003F046F" w:rsidRDefault="003F046F" w:rsidP="003F046F">
      <w:pPr>
        <w:jc w:val="both"/>
        <w:rPr>
          <w:sz w:val="22"/>
          <w:szCs w:val="22"/>
        </w:rPr>
      </w:pPr>
      <w:r w:rsidRPr="003F046F">
        <w:rPr>
          <w:sz w:val="22"/>
          <w:szCs w:val="22"/>
        </w:rPr>
        <w:t>2.6% of the population</w:t>
      </w:r>
      <w:r>
        <w:rPr>
          <w:sz w:val="22"/>
          <w:szCs w:val="22"/>
        </w:rPr>
        <w:t xml:space="preserve"> </w:t>
      </w:r>
      <w:r w:rsidRPr="003F046F">
        <w:rPr>
          <w:sz w:val="22"/>
          <w:szCs w:val="22"/>
        </w:rPr>
        <w:t>in the London region</w:t>
      </w:r>
      <w:r>
        <w:rPr>
          <w:sz w:val="22"/>
          <w:szCs w:val="22"/>
        </w:rPr>
        <w:t xml:space="preserve"> </w:t>
      </w:r>
      <w:r w:rsidRPr="003F046F">
        <w:rPr>
          <w:sz w:val="22"/>
          <w:szCs w:val="22"/>
        </w:rPr>
        <w:t>identify as LGBT,</w:t>
      </w:r>
      <w:r>
        <w:rPr>
          <w:sz w:val="22"/>
          <w:szCs w:val="22"/>
        </w:rPr>
        <w:t xml:space="preserve"> </w:t>
      </w:r>
      <w:r w:rsidRPr="003F046F">
        <w:rPr>
          <w:sz w:val="22"/>
          <w:szCs w:val="22"/>
        </w:rPr>
        <w:t>compared to 2.1% for</w:t>
      </w:r>
      <w:r>
        <w:rPr>
          <w:sz w:val="22"/>
          <w:szCs w:val="22"/>
        </w:rPr>
        <w:t xml:space="preserve"> </w:t>
      </w:r>
      <w:r w:rsidRPr="003F046F">
        <w:rPr>
          <w:sz w:val="22"/>
          <w:szCs w:val="22"/>
        </w:rPr>
        <w:t>England as a whole.</w:t>
      </w:r>
    </w:p>
    <w:p w14:paraId="35847E2A" w14:textId="77777777" w:rsidR="006E50FC" w:rsidRPr="00BC6A30" w:rsidRDefault="006E50FC" w:rsidP="003F046F">
      <w:pPr>
        <w:pStyle w:val="Heading3"/>
        <w:rPr>
          <w:rFonts w:cs="Arial"/>
          <w:sz w:val="22"/>
          <w:szCs w:val="22"/>
        </w:rPr>
      </w:pPr>
    </w:p>
    <w:p w14:paraId="18CE323D" w14:textId="3CD60EC0" w:rsidR="00916EE8" w:rsidRPr="00C07FA8" w:rsidRDefault="00291A17" w:rsidP="00C07FA8">
      <w:pPr>
        <w:pStyle w:val="Heading3"/>
        <w:rPr>
          <w:rFonts w:cs="Arial"/>
          <w:sz w:val="22"/>
          <w:szCs w:val="22"/>
        </w:rPr>
      </w:pPr>
      <w:r w:rsidRPr="00BC6A30">
        <w:rPr>
          <w:rFonts w:cs="Arial"/>
          <w:sz w:val="22"/>
          <w:szCs w:val="22"/>
        </w:rPr>
        <w:t>2.2.7 Deprivation</w:t>
      </w:r>
    </w:p>
    <w:p w14:paraId="03D573AA" w14:textId="51E21661" w:rsidR="003F046F" w:rsidRDefault="003F046F" w:rsidP="003F046F">
      <w:pPr>
        <w:pStyle w:val="BodyText"/>
        <w:jc w:val="both"/>
        <w:rPr>
          <w:rFonts w:eastAsia="Calibri" w:cs="Arial"/>
          <w:color w:val="000000" w:themeColor="text1"/>
          <w:sz w:val="22"/>
          <w:szCs w:val="22"/>
          <w:lang w:eastAsia="en-GB"/>
        </w:rPr>
      </w:pPr>
      <w:r w:rsidRPr="003F046F">
        <w:rPr>
          <w:rFonts w:eastAsia="Calibri" w:cs="Arial"/>
          <w:color w:val="000000" w:themeColor="text1"/>
          <w:sz w:val="22"/>
          <w:szCs w:val="22"/>
          <w:lang w:eastAsia="en-GB"/>
        </w:rPr>
        <w:t>Average weekly wages</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range from £509 in</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Sutton to £722 in</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Wandsworth</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(compared to £530).</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Around 4% unemployment in</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most areas but only 3.6% in</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Wandsworth and 7.4% in</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Croydon (compared to 4%</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nationally).</w:t>
      </w:r>
    </w:p>
    <w:p w14:paraId="69816831" w14:textId="77777777" w:rsidR="003F046F" w:rsidRDefault="003F046F" w:rsidP="003F046F">
      <w:pPr>
        <w:pStyle w:val="BodyText"/>
        <w:jc w:val="both"/>
        <w:rPr>
          <w:rFonts w:eastAsia="Calibri" w:cs="Arial"/>
          <w:color w:val="000000" w:themeColor="text1"/>
          <w:sz w:val="22"/>
          <w:szCs w:val="22"/>
          <w:lang w:eastAsia="en-GB"/>
        </w:rPr>
      </w:pPr>
    </w:p>
    <w:p w14:paraId="1FE9EC0A" w14:textId="248721A7" w:rsidR="003F046F" w:rsidRDefault="003F046F" w:rsidP="003F046F">
      <w:pPr>
        <w:pStyle w:val="BodyText"/>
        <w:jc w:val="both"/>
        <w:rPr>
          <w:rFonts w:eastAsia="Calibri" w:cs="Arial"/>
          <w:color w:val="000000" w:themeColor="text1"/>
          <w:sz w:val="22"/>
          <w:szCs w:val="22"/>
          <w:lang w:eastAsia="en-GB"/>
        </w:rPr>
      </w:pPr>
      <w:r w:rsidRPr="003F046F">
        <w:rPr>
          <w:rFonts w:eastAsia="Calibri" w:cs="Arial"/>
          <w:color w:val="000000" w:themeColor="text1"/>
          <w:sz w:val="22"/>
          <w:szCs w:val="22"/>
          <w:lang w:eastAsia="en-GB"/>
        </w:rPr>
        <w:t xml:space="preserve">30,500 people in </w:t>
      </w:r>
      <w:proofErr w:type="gramStart"/>
      <w:r w:rsidRPr="003F046F">
        <w:rPr>
          <w:rFonts w:eastAsia="Calibri" w:cs="Arial"/>
          <w:color w:val="000000" w:themeColor="text1"/>
          <w:sz w:val="22"/>
          <w:szCs w:val="22"/>
          <w:lang w:eastAsia="en-GB"/>
        </w:rPr>
        <w:t>South West</w:t>
      </w:r>
      <w:proofErr w:type="gramEnd"/>
      <w:r w:rsidRPr="003F046F">
        <w:rPr>
          <w:rFonts w:eastAsia="Calibri" w:cs="Arial"/>
          <w:color w:val="000000" w:themeColor="text1"/>
          <w:sz w:val="22"/>
          <w:szCs w:val="22"/>
          <w:lang w:eastAsia="en-GB"/>
        </w:rPr>
        <w:t xml:space="preserve"> London seek advice from Citizens</w:t>
      </w:r>
      <w:r>
        <w:rPr>
          <w:rFonts w:eastAsia="Calibri" w:cs="Arial"/>
          <w:color w:val="000000" w:themeColor="text1"/>
          <w:sz w:val="22"/>
          <w:szCs w:val="22"/>
          <w:lang w:eastAsia="en-GB"/>
        </w:rPr>
        <w:t xml:space="preserve"> </w:t>
      </w:r>
      <w:r w:rsidRPr="003F046F">
        <w:rPr>
          <w:rFonts w:eastAsia="Calibri" w:cs="Arial"/>
          <w:color w:val="000000" w:themeColor="text1"/>
          <w:sz w:val="22"/>
          <w:szCs w:val="22"/>
          <w:lang w:eastAsia="en-GB"/>
        </w:rPr>
        <w:t>Advice each year</w:t>
      </w:r>
      <w:r>
        <w:rPr>
          <w:rFonts w:eastAsia="Calibri" w:cs="Arial"/>
          <w:color w:val="000000" w:themeColor="text1"/>
          <w:sz w:val="22"/>
          <w:szCs w:val="22"/>
          <w:lang w:eastAsia="en-GB"/>
        </w:rPr>
        <w:t>:</w:t>
      </w:r>
    </w:p>
    <w:p w14:paraId="6F22D530" w14:textId="77777777" w:rsidR="003F046F" w:rsidRDefault="003F046F" w:rsidP="003F046F">
      <w:pPr>
        <w:pStyle w:val="BodyText"/>
        <w:jc w:val="both"/>
        <w:rPr>
          <w:rFonts w:eastAsia="Calibri" w:cs="Arial"/>
          <w:color w:val="000000" w:themeColor="text1"/>
          <w:sz w:val="22"/>
          <w:szCs w:val="22"/>
          <w:lang w:eastAsia="en-GB"/>
        </w:rPr>
      </w:pPr>
    </w:p>
    <w:p w14:paraId="27EE6D7A" w14:textId="77777777" w:rsidR="003F046F" w:rsidRDefault="003F046F" w:rsidP="003F046F">
      <w:pPr>
        <w:pStyle w:val="BodyText"/>
        <w:numPr>
          <w:ilvl w:val="0"/>
          <w:numId w:val="24"/>
        </w:numPr>
        <w:jc w:val="both"/>
        <w:rPr>
          <w:rFonts w:eastAsia="Calibri" w:cs="Arial"/>
          <w:color w:val="000000" w:themeColor="text1"/>
          <w:sz w:val="22"/>
          <w:szCs w:val="22"/>
          <w:lang w:eastAsia="en-GB"/>
        </w:rPr>
      </w:pPr>
      <w:r w:rsidRPr="003F046F">
        <w:rPr>
          <w:rFonts w:eastAsia="Calibri" w:cs="Arial"/>
          <w:color w:val="000000" w:themeColor="text1"/>
          <w:sz w:val="22"/>
          <w:szCs w:val="22"/>
          <w:lang w:eastAsia="en-GB"/>
        </w:rPr>
        <w:t>28% of advice requests relate to benefits, including universal credit</w:t>
      </w:r>
    </w:p>
    <w:p w14:paraId="0A37775D" w14:textId="77777777" w:rsidR="003F046F" w:rsidRDefault="003F046F" w:rsidP="003F046F">
      <w:pPr>
        <w:pStyle w:val="BodyText"/>
        <w:numPr>
          <w:ilvl w:val="0"/>
          <w:numId w:val="24"/>
        </w:numPr>
        <w:jc w:val="both"/>
        <w:rPr>
          <w:rFonts w:eastAsia="Calibri" w:cs="Arial"/>
          <w:color w:val="000000" w:themeColor="text1"/>
          <w:sz w:val="22"/>
          <w:szCs w:val="22"/>
          <w:lang w:eastAsia="en-GB"/>
        </w:rPr>
      </w:pPr>
      <w:r w:rsidRPr="003F046F">
        <w:rPr>
          <w:rFonts w:eastAsia="Calibri" w:cs="Arial"/>
          <w:color w:val="000000" w:themeColor="text1"/>
          <w:sz w:val="22"/>
          <w:szCs w:val="22"/>
          <w:lang w:eastAsia="en-GB"/>
        </w:rPr>
        <w:t>19% are for advice on debt and other financial services</w:t>
      </w:r>
    </w:p>
    <w:p w14:paraId="2896D493" w14:textId="77777777" w:rsidR="003F046F" w:rsidRDefault="003F046F" w:rsidP="003F046F">
      <w:pPr>
        <w:pStyle w:val="BodyText"/>
        <w:numPr>
          <w:ilvl w:val="0"/>
          <w:numId w:val="24"/>
        </w:numPr>
        <w:jc w:val="both"/>
        <w:rPr>
          <w:rFonts w:eastAsia="Calibri" w:cs="Arial"/>
          <w:color w:val="000000" w:themeColor="text1"/>
          <w:sz w:val="22"/>
          <w:szCs w:val="22"/>
          <w:lang w:eastAsia="en-GB"/>
        </w:rPr>
      </w:pPr>
      <w:r w:rsidRPr="003F046F">
        <w:rPr>
          <w:rFonts w:eastAsia="Calibri" w:cs="Arial"/>
          <w:color w:val="000000" w:themeColor="text1"/>
          <w:sz w:val="22"/>
          <w:szCs w:val="22"/>
          <w:lang w:eastAsia="en-GB"/>
        </w:rPr>
        <w:t>16% have concerns about their housing</w:t>
      </w:r>
    </w:p>
    <w:p w14:paraId="137EEC4C" w14:textId="2FD8B214" w:rsidR="003F046F" w:rsidRPr="003F046F" w:rsidRDefault="003F046F" w:rsidP="003F046F">
      <w:pPr>
        <w:pStyle w:val="BodyText"/>
        <w:numPr>
          <w:ilvl w:val="0"/>
          <w:numId w:val="24"/>
        </w:numPr>
        <w:jc w:val="both"/>
        <w:rPr>
          <w:rFonts w:eastAsia="Calibri" w:cs="Arial"/>
          <w:color w:val="000000" w:themeColor="text1"/>
          <w:sz w:val="22"/>
          <w:szCs w:val="22"/>
          <w:lang w:eastAsia="en-GB"/>
        </w:rPr>
      </w:pPr>
      <w:r w:rsidRPr="003F046F">
        <w:rPr>
          <w:rFonts w:eastAsia="Calibri" w:cs="Arial"/>
          <w:color w:val="000000" w:themeColor="text1"/>
          <w:sz w:val="22"/>
          <w:szCs w:val="22"/>
          <w:lang w:eastAsia="en-GB"/>
        </w:rPr>
        <w:t>5% people want advice on relationships and family</w:t>
      </w:r>
      <w:r>
        <w:rPr>
          <w:rFonts w:eastAsia="Calibri" w:cs="Arial"/>
          <w:color w:val="000000" w:themeColor="text1"/>
          <w:sz w:val="22"/>
          <w:szCs w:val="22"/>
          <w:lang w:eastAsia="en-GB"/>
        </w:rPr>
        <w:t>.</w:t>
      </w:r>
    </w:p>
    <w:p w14:paraId="636C1F24" w14:textId="7B00ADB8" w:rsidR="00310112" w:rsidRPr="003F046F" w:rsidRDefault="00310112" w:rsidP="003F046F">
      <w:pPr>
        <w:pStyle w:val="BodyText"/>
        <w:jc w:val="both"/>
        <w:rPr>
          <w:rFonts w:eastAsia="Calibri" w:cs="Arial"/>
          <w:color w:val="000000" w:themeColor="text1"/>
          <w:sz w:val="22"/>
          <w:szCs w:val="22"/>
          <w:lang w:eastAsia="en-GB"/>
        </w:rPr>
      </w:pPr>
    </w:p>
    <w:p w14:paraId="4BCF21F5" w14:textId="3039BA21" w:rsidR="00BA7CBC" w:rsidRPr="00BC6A30" w:rsidRDefault="004E6698" w:rsidP="004E6698">
      <w:pPr>
        <w:rPr>
          <w:rFonts w:eastAsia="Calibri" w:cs="Arial"/>
          <w:b/>
          <w:color w:val="000000" w:themeColor="text1"/>
          <w:sz w:val="22"/>
          <w:szCs w:val="22"/>
        </w:rPr>
      </w:pPr>
      <w:r w:rsidRPr="00BC6A30">
        <w:rPr>
          <w:rFonts w:eastAsia="Calibri" w:cs="Arial"/>
          <w:b/>
          <w:color w:val="000000" w:themeColor="text1"/>
          <w:sz w:val="22"/>
          <w:szCs w:val="22"/>
        </w:rPr>
        <w:t xml:space="preserve">2.3 </w:t>
      </w:r>
      <w:bookmarkStart w:id="4" w:name="_Toc450055221"/>
      <w:r w:rsidR="00291A17" w:rsidRPr="00BC6A30">
        <w:rPr>
          <w:rFonts w:eastAsia="Calibri" w:cs="Arial"/>
          <w:b/>
          <w:color w:val="000000" w:themeColor="text1"/>
          <w:sz w:val="22"/>
          <w:szCs w:val="22"/>
        </w:rPr>
        <w:t xml:space="preserve">Current Integrated Urgent Care service in </w:t>
      </w:r>
      <w:r w:rsidR="003D7576" w:rsidRPr="00BC6A30">
        <w:rPr>
          <w:rFonts w:eastAsia="Calibri" w:cs="Arial"/>
          <w:b/>
          <w:color w:val="000000" w:themeColor="text1"/>
          <w:sz w:val="22"/>
          <w:szCs w:val="22"/>
        </w:rPr>
        <w:t>SWL</w:t>
      </w:r>
      <w:bookmarkEnd w:id="4"/>
    </w:p>
    <w:p w14:paraId="295E0579" w14:textId="0DB85805" w:rsidR="00291A17" w:rsidRPr="00BC6A30" w:rsidRDefault="003D7576"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SWL</w:t>
      </w:r>
      <w:r w:rsidR="00291A17" w:rsidRPr="00BC6A30">
        <w:rPr>
          <w:rFonts w:eastAsia="Calibri" w:cs="Arial"/>
          <w:color w:val="000000" w:themeColor="text1"/>
          <w:sz w:val="22"/>
          <w:szCs w:val="22"/>
          <w:lang w:eastAsia="en-GB"/>
        </w:rPr>
        <w:t xml:space="preserve"> CCG commissions services from – and works in partnership with – a range of providers to improve the health and wellbeing of residents through appropriate and effective out of hospital services. The CCG commission</w:t>
      </w:r>
      <w:r w:rsidR="006901A3" w:rsidRPr="00BC6A30">
        <w:rPr>
          <w:rFonts w:eastAsia="Calibri" w:cs="Arial"/>
          <w:color w:val="000000" w:themeColor="text1"/>
          <w:sz w:val="22"/>
          <w:szCs w:val="22"/>
          <w:lang w:eastAsia="en-GB"/>
        </w:rPr>
        <w:t>s</w:t>
      </w:r>
      <w:r w:rsidR="00291A17" w:rsidRPr="00BC6A30">
        <w:rPr>
          <w:rFonts w:eastAsia="Calibri" w:cs="Arial"/>
          <w:color w:val="000000" w:themeColor="text1"/>
          <w:sz w:val="22"/>
          <w:szCs w:val="22"/>
          <w:lang w:eastAsia="en-GB"/>
        </w:rPr>
        <w:t xml:space="preserve"> a range of services: NHS 111, GP Out of Hours, primary care, community services, mental health services, elective and emergency hospital care as well as linking to local authority services and services commissioned from the voluntary sector.</w:t>
      </w:r>
    </w:p>
    <w:p w14:paraId="1783A53C" w14:textId="45039196" w:rsidR="004D7846" w:rsidRPr="00BC6A30" w:rsidRDefault="00291A17"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The CCG currently commission</w:t>
      </w:r>
      <w:r w:rsidR="006901A3" w:rsidRPr="00BC6A30">
        <w:rPr>
          <w:rFonts w:eastAsia="Calibri" w:cs="Arial"/>
          <w:color w:val="000000" w:themeColor="text1"/>
          <w:sz w:val="22"/>
          <w:szCs w:val="22"/>
          <w:lang w:eastAsia="en-GB"/>
        </w:rPr>
        <w:t>s</w:t>
      </w:r>
      <w:r w:rsidRPr="00BC6A30">
        <w:rPr>
          <w:rFonts w:eastAsia="Calibri" w:cs="Arial"/>
          <w:color w:val="000000" w:themeColor="text1"/>
          <w:sz w:val="22"/>
          <w:szCs w:val="22"/>
          <w:lang w:eastAsia="en-GB"/>
        </w:rPr>
        <w:t xml:space="preserve"> NHS 111 services for all registered</w:t>
      </w:r>
      <w:r w:rsidR="00BA7CBC" w:rsidRPr="00BC6A30">
        <w:rPr>
          <w:rFonts w:eastAsia="Calibri" w:cs="Arial"/>
          <w:color w:val="000000" w:themeColor="text1"/>
          <w:sz w:val="22"/>
          <w:szCs w:val="22"/>
          <w:lang w:eastAsia="en-GB"/>
        </w:rPr>
        <w:t xml:space="preserve">, </w:t>
      </w:r>
      <w:proofErr w:type="gramStart"/>
      <w:r w:rsidR="00BA7CBC" w:rsidRPr="00BC6A30">
        <w:rPr>
          <w:rFonts w:eastAsia="Calibri" w:cs="Arial"/>
          <w:color w:val="000000" w:themeColor="text1"/>
          <w:sz w:val="22"/>
          <w:szCs w:val="22"/>
          <w:lang w:eastAsia="en-GB"/>
        </w:rPr>
        <w:t>unregistered</w:t>
      </w:r>
      <w:proofErr w:type="gramEnd"/>
      <w:r w:rsidR="00BA7CBC" w:rsidRPr="00BC6A30">
        <w:rPr>
          <w:rFonts w:eastAsia="Calibri" w:cs="Arial"/>
          <w:color w:val="000000" w:themeColor="text1"/>
          <w:sz w:val="22"/>
          <w:szCs w:val="22"/>
          <w:lang w:eastAsia="en-GB"/>
        </w:rPr>
        <w:t xml:space="preserve"> and temporary resident patients </w:t>
      </w:r>
      <w:r w:rsidRPr="00BC6A30">
        <w:rPr>
          <w:rFonts w:eastAsia="Calibri" w:cs="Arial"/>
          <w:color w:val="000000" w:themeColor="text1"/>
          <w:sz w:val="22"/>
          <w:szCs w:val="22"/>
          <w:lang w:eastAsia="en-GB"/>
        </w:rPr>
        <w:t xml:space="preserve">with a </w:t>
      </w:r>
      <w:r w:rsidR="003D7576" w:rsidRPr="00BC6A30">
        <w:rPr>
          <w:rFonts w:eastAsia="Calibri" w:cs="Arial"/>
          <w:color w:val="000000" w:themeColor="text1"/>
          <w:sz w:val="22"/>
          <w:szCs w:val="22"/>
          <w:lang w:eastAsia="en-GB"/>
        </w:rPr>
        <w:t>SWL</w:t>
      </w:r>
      <w:r w:rsidRPr="00BC6A30">
        <w:rPr>
          <w:rFonts w:eastAsia="Calibri" w:cs="Arial"/>
          <w:color w:val="000000" w:themeColor="text1"/>
          <w:sz w:val="22"/>
          <w:szCs w:val="22"/>
          <w:lang w:eastAsia="en-GB"/>
        </w:rPr>
        <w:t xml:space="preserve"> GP through </w:t>
      </w:r>
      <w:r w:rsidR="006901A3" w:rsidRPr="00BC6A30">
        <w:rPr>
          <w:rFonts w:eastAsia="Calibri" w:cs="Arial"/>
          <w:color w:val="000000" w:themeColor="text1"/>
          <w:sz w:val="22"/>
          <w:szCs w:val="22"/>
          <w:lang w:eastAsia="en-GB"/>
        </w:rPr>
        <w:t>one contract with Vocare.</w:t>
      </w:r>
    </w:p>
    <w:p w14:paraId="1E00A670" w14:textId="2A8659E4" w:rsidR="00BA7CBC" w:rsidRPr="00BC6A30" w:rsidRDefault="004D7846" w:rsidP="006E50FC">
      <w:pPr>
        <w:pStyle w:val="BodyText"/>
        <w:spacing w:after="120"/>
        <w:jc w:val="both"/>
        <w:rPr>
          <w:rFonts w:eastAsia="Calibri" w:cs="Arial"/>
          <w:color w:val="000000" w:themeColor="text1"/>
          <w:sz w:val="22"/>
          <w:szCs w:val="22"/>
          <w:lang w:eastAsia="en-GB"/>
        </w:rPr>
      </w:pPr>
      <w:r w:rsidRPr="00BC6A30">
        <w:rPr>
          <w:rFonts w:eastAsia="Calibri" w:cs="Arial"/>
          <w:color w:val="000000" w:themeColor="text1"/>
          <w:sz w:val="22"/>
          <w:szCs w:val="22"/>
          <w:lang w:eastAsia="en-GB"/>
        </w:rPr>
        <w:t>The CCG currently commission</w:t>
      </w:r>
      <w:r w:rsidR="006901A3" w:rsidRPr="00BC6A30">
        <w:rPr>
          <w:rFonts w:eastAsia="Calibri" w:cs="Arial"/>
          <w:color w:val="000000" w:themeColor="text1"/>
          <w:sz w:val="22"/>
          <w:szCs w:val="22"/>
          <w:lang w:eastAsia="en-GB"/>
        </w:rPr>
        <w:t>s</w:t>
      </w:r>
      <w:r w:rsidRPr="00BC6A30">
        <w:rPr>
          <w:rFonts w:eastAsia="Calibri" w:cs="Arial"/>
          <w:color w:val="000000" w:themeColor="text1"/>
          <w:sz w:val="22"/>
          <w:szCs w:val="22"/>
          <w:lang w:eastAsia="en-GB"/>
        </w:rPr>
        <w:t xml:space="preserve"> GP Out of Hours (GP OOH)</w:t>
      </w:r>
      <w:r w:rsidR="006463F4" w:rsidRPr="00BC6A30">
        <w:rPr>
          <w:rFonts w:eastAsia="Calibri" w:cs="Arial"/>
          <w:color w:val="000000" w:themeColor="text1"/>
          <w:sz w:val="22"/>
          <w:szCs w:val="22"/>
          <w:lang w:eastAsia="en-GB"/>
        </w:rPr>
        <w:t xml:space="preserve"> cover,</w:t>
      </w:r>
      <w:r w:rsidRPr="00BC6A30">
        <w:rPr>
          <w:rFonts w:eastAsia="Calibri" w:cs="Arial"/>
          <w:color w:val="000000" w:themeColor="text1"/>
          <w:sz w:val="22"/>
          <w:szCs w:val="22"/>
          <w:lang w:eastAsia="en-GB"/>
        </w:rPr>
        <w:t xml:space="preserve"> for </w:t>
      </w:r>
      <w:r w:rsidR="006901A3" w:rsidRPr="00BC6A30">
        <w:rPr>
          <w:rFonts w:eastAsia="Calibri" w:cs="Arial"/>
          <w:color w:val="000000" w:themeColor="text1"/>
          <w:sz w:val="22"/>
          <w:szCs w:val="22"/>
          <w:lang w:eastAsia="en-GB"/>
        </w:rPr>
        <w:t xml:space="preserve">all </w:t>
      </w:r>
      <w:r w:rsidRPr="00BC6A30">
        <w:rPr>
          <w:rFonts w:eastAsia="Calibri" w:cs="Arial"/>
          <w:color w:val="000000" w:themeColor="text1"/>
          <w:sz w:val="22"/>
          <w:szCs w:val="22"/>
          <w:lang w:eastAsia="en-GB"/>
        </w:rPr>
        <w:t xml:space="preserve">practices (where practices have </w:t>
      </w:r>
      <w:r w:rsidR="006463F4" w:rsidRPr="00BC6A30">
        <w:rPr>
          <w:rFonts w:eastAsia="Calibri" w:cs="Arial"/>
          <w:color w:val="000000" w:themeColor="text1"/>
          <w:sz w:val="22"/>
          <w:szCs w:val="22"/>
          <w:lang w:eastAsia="en-GB"/>
        </w:rPr>
        <w:t>elected for the CCG to commission cover),</w:t>
      </w:r>
      <w:r w:rsidRPr="00BC6A30">
        <w:rPr>
          <w:rFonts w:eastAsia="Calibri" w:cs="Arial"/>
          <w:color w:val="000000" w:themeColor="text1"/>
          <w:sz w:val="22"/>
          <w:szCs w:val="22"/>
          <w:lang w:eastAsia="en-GB"/>
        </w:rPr>
        <w:t xml:space="preserve"> from </w:t>
      </w:r>
      <w:r w:rsidR="006901A3" w:rsidRPr="00BC6A30">
        <w:rPr>
          <w:rFonts w:eastAsia="Calibri" w:cs="Arial"/>
          <w:color w:val="000000" w:themeColor="text1"/>
          <w:sz w:val="22"/>
          <w:szCs w:val="22"/>
          <w:lang w:eastAsia="en-GB"/>
        </w:rPr>
        <w:t>several providers, including Vocare (via SELDOC), Croydon Urgent Care Alliance (CUCA) and East Berkshire GP Out of Hours Service (EBGPOOHS)</w:t>
      </w:r>
      <w:r w:rsidR="006463F4" w:rsidRPr="00BC6A30">
        <w:rPr>
          <w:rFonts w:eastAsia="Calibri" w:cs="Arial"/>
          <w:color w:val="000000" w:themeColor="text1"/>
          <w:sz w:val="22"/>
          <w:szCs w:val="22"/>
          <w:lang w:eastAsia="en-GB"/>
        </w:rPr>
        <w:t xml:space="preserve">.  </w:t>
      </w:r>
    </w:p>
    <w:p w14:paraId="728A8C4C" w14:textId="0DA447E6" w:rsidR="00063DFA" w:rsidRPr="00063DFA" w:rsidRDefault="000725E1" w:rsidP="00063DFA">
      <w:pPr>
        <w:pStyle w:val="Heading1"/>
        <w:keepLines/>
        <w:numPr>
          <w:ilvl w:val="0"/>
          <w:numId w:val="13"/>
        </w:numPr>
        <w:spacing w:before="480" w:after="0" w:line="276" w:lineRule="auto"/>
        <w:rPr>
          <w:rFonts w:cs="Arial"/>
          <w:sz w:val="22"/>
          <w:szCs w:val="22"/>
          <w:lang w:eastAsia="en-GB"/>
        </w:rPr>
      </w:pPr>
      <w:bookmarkStart w:id="5" w:name="_Toc450055209"/>
      <w:r w:rsidRPr="00BC6A30">
        <w:rPr>
          <w:rFonts w:cs="Arial"/>
          <w:sz w:val="22"/>
          <w:szCs w:val="22"/>
          <w:lang w:eastAsia="en-GB"/>
        </w:rPr>
        <w:t>Strategic and Local Context</w:t>
      </w:r>
      <w:bookmarkEnd w:id="5"/>
    </w:p>
    <w:p w14:paraId="0EB66876" w14:textId="79007B24" w:rsidR="00916EE8" w:rsidRPr="00C07FA8" w:rsidRDefault="000725E1" w:rsidP="00C07FA8">
      <w:pPr>
        <w:pStyle w:val="Heading2"/>
        <w:jc w:val="left"/>
        <w:rPr>
          <w:rFonts w:cs="Arial"/>
          <w:sz w:val="22"/>
          <w:szCs w:val="22"/>
        </w:rPr>
      </w:pPr>
      <w:bookmarkStart w:id="6" w:name="_Toc450055210"/>
      <w:r w:rsidRPr="00BC6A30">
        <w:rPr>
          <w:rFonts w:cs="Arial"/>
          <w:sz w:val="22"/>
          <w:szCs w:val="22"/>
        </w:rPr>
        <w:t>3.1 National Drivers for change</w:t>
      </w:r>
      <w:bookmarkEnd w:id="6"/>
    </w:p>
    <w:p w14:paraId="4BF8DE72" w14:textId="1EFD8B34" w:rsidR="00591736" w:rsidRPr="00BC6A30" w:rsidRDefault="00291A17" w:rsidP="006E50FC">
      <w:pPr>
        <w:pStyle w:val="BodyText"/>
        <w:spacing w:after="120"/>
        <w:jc w:val="both"/>
        <w:rPr>
          <w:rFonts w:eastAsia="Calibri" w:cs="Arial"/>
          <w:color w:val="000000" w:themeColor="text1"/>
          <w:sz w:val="22"/>
          <w:szCs w:val="22"/>
          <w:lang w:eastAsia="en-GB"/>
        </w:rPr>
      </w:pPr>
      <w:r w:rsidRPr="00BC6A30">
        <w:rPr>
          <w:rFonts w:cs="Arial"/>
          <w:bCs/>
          <w:sz w:val="22"/>
          <w:szCs w:val="22"/>
          <w:lang w:eastAsia="en-GB"/>
        </w:rPr>
        <w:t xml:space="preserve">NHS 111 services, (telephone and on-line) as outlined </w:t>
      </w:r>
      <w:r w:rsidR="00DB1525" w:rsidRPr="00BC6A30">
        <w:rPr>
          <w:rFonts w:cs="Arial"/>
          <w:bCs/>
          <w:sz w:val="22"/>
          <w:szCs w:val="22"/>
          <w:lang w:eastAsia="en-GB"/>
        </w:rPr>
        <w:t xml:space="preserve">within </w:t>
      </w:r>
      <w:r w:rsidRPr="00BC6A30">
        <w:rPr>
          <w:rFonts w:cs="Arial"/>
          <w:bCs/>
          <w:sz w:val="22"/>
          <w:szCs w:val="22"/>
          <w:lang w:eastAsia="en-GB"/>
        </w:rPr>
        <w:t xml:space="preserve">the NHS Long Term Plan and supported by NHS England and Public Health awareness campaigns, is the </w:t>
      </w:r>
      <w:proofErr w:type="gramStart"/>
      <w:r w:rsidRPr="00BC6A30">
        <w:rPr>
          <w:rFonts w:cs="Arial"/>
          <w:bCs/>
          <w:sz w:val="22"/>
          <w:szCs w:val="22"/>
          <w:lang w:eastAsia="en-GB"/>
        </w:rPr>
        <w:t>first</w:t>
      </w:r>
      <w:r w:rsidR="00DB1525" w:rsidRPr="00BC6A30">
        <w:rPr>
          <w:rFonts w:cs="Arial"/>
          <w:bCs/>
          <w:sz w:val="22"/>
          <w:szCs w:val="22"/>
          <w:lang w:eastAsia="en-GB"/>
        </w:rPr>
        <w:t xml:space="preserve"> </w:t>
      </w:r>
      <w:r w:rsidRPr="00BC6A30">
        <w:rPr>
          <w:rFonts w:cs="Arial"/>
          <w:bCs/>
          <w:sz w:val="22"/>
          <w:szCs w:val="22"/>
          <w:lang w:eastAsia="en-GB"/>
        </w:rPr>
        <w:t>place</w:t>
      </w:r>
      <w:proofErr w:type="gramEnd"/>
      <w:r w:rsidRPr="00BC6A30">
        <w:rPr>
          <w:rFonts w:cs="Arial"/>
          <w:bCs/>
          <w:sz w:val="22"/>
          <w:szCs w:val="22"/>
          <w:lang w:eastAsia="en-GB"/>
        </w:rPr>
        <w:t xml:space="preserve"> patients </w:t>
      </w:r>
      <w:r w:rsidRPr="00BC6A30">
        <w:rPr>
          <w:rFonts w:cs="Arial"/>
          <w:bCs/>
          <w:sz w:val="22"/>
          <w:szCs w:val="22"/>
          <w:lang w:eastAsia="en-GB"/>
        </w:rPr>
        <w:lastRenderedPageBreak/>
        <w:t xml:space="preserve">should contact for an </w:t>
      </w:r>
      <w:r w:rsidR="004D7846" w:rsidRPr="00BC6A30">
        <w:rPr>
          <w:rFonts w:cs="Arial"/>
          <w:bCs/>
          <w:sz w:val="22"/>
          <w:szCs w:val="22"/>
          <w:lang w:eastAsia="en-GB"/>
        </w:rPr>
        <w:t>u</w:t>
      </w:r>
      <w:r w:rsidRPr="00BC6A30">
        <w:rPr>
          <w:rFonts w:cs="Arial"/>
          <w:bCs/>
          <w:sz w:val="22"/>
          <w:szCs w:val="22"/>
          <w:lang w:eastAsia="en-GB"/>
        </w:rPr>
        <w:t xml:space="preserve">rgent </w:t>
      </w:r>
      <w:r w:rsidR="004D7846" w:rsidRPr="00BC6A30">
        <w:rPr>
          <w:rFonts w:cs="Arial"/>
          <w:bCs/>
          <w:sz w:val="22"/>
          <w:szCs w:val="22"/>
          <w:lang w:eastAsia="en-GB"/>
        </w:rPr>
        <w:t>h</w:t>
      </w:r>
      <w:r w:rsidRPr="00BC6A30">
        <w:rPr>
          <w:rFonts w:cs="Arial"/>
          <w:bCs/>
          <w:sz w:val="22"/>
          <w:szCs w:val="22"/>
          <w:lang w:eastAsia="en-GB"/>
        </w:rPr>
        <w:t xml:space="preserve">ealthcare need, when their GP Surgery is closed, </w:t>
      </w:r>
      <w:r w:rsidRPr="00BC6A30">
        <w:rPr>
          <w:rFonts w:eastAsia="Calibri" w:cs="Arial"/>
          <w:color w:val="000000" w:themeColor="text1"/>
          <w:sz w:val="22"/>
          <w:szCs w:val="22"/>
          <w:lang w:eastAsia="en-GB"/>
        </w:rPr>
        <w:t>or they cannot access their GP Surgery.</w:t>
      </w:r>
    </w:p>
    <w:p w14:paraId="4DCF099B" w14:textId="14FDBB21" w:rsidR="00591736" w:rsidRPr="00BC6A30" w:rsidRDefault="00591736" w:rsidP="006E50FC">
      <w:pPr>
        <w:pStyle w:val="BodyText"/>
        <w:spacing w:after="120"/>
        <w:jc w:val="both"/>
        <w:rPr>
          <w:rFonts w:cs="Arial"/>
          <w:bCs/>
          <w:sz w:val="22"/>
          <w:szCs w:val="22"/>
          <w:lang w:eastAsia="en-GB"/>
        </w:rPr>
      </w:pPr>
      <w:r w:rsidRPr="00BC6A30">
        <w:rPr>
          <w:rFonts w:eastAsia="Calibri" w:cs="Arial"/>
          <w:color w:val="000000" w:themeColor="text1"/>
          <w:sz w:val="22"/>
          <w:szCs w:val="22"/>
          <w:lang w:eastAsia="en-GB"/>
        </w:rPr>
        <w:t>NHS England’s</w:t>
      </w:r>
      <w:r w:rsidRPr="00BC6A30">
        <w:rPr>
          <w:rFonts w:cs="Arial"/>
          <w:bCs/>
          <w:sz w:val="22"/>
          <w:szCs w:val="22"/>
          <w:lang w:eastAsia="en-GB"/>
        </w:rPr>
        <w:t xml:space="preserve"> (NHSE) Five Year Forward View (FYFV), published in October 2014, set out objectives for sustaining and improving the NHS by addressing three gaps:</w:t>
      </w:r>
    </w:p>
    <w:p w14:paraId="1AB06BE2" w14:textId="123AEBB2" w:rsidR="00591736" w:rsidRPr="00BC6A30" w:rsidRDefault="00591736" w:rsidP="006C12F6">
      <w:pPr>
        <w:numPr>
          <w:ilvl w:val="0"/>
          <w:numId w:val="16"/>
        </w:numPr>
        <w:shd w:val="clear" w:color="auto" w:fill="FFFFFF"/>
        <w:jc w:val="both"/>
        <w:textAlignment w:val="baseline"/>
        <w:rPr>
          <w:rFonts w:cs="Arial"/>
          <w:bCs/>
          <w:sz w:val="22"/>
          <w:szCs w:val="22"/>
          <w:lang w:eastAsia="en-GB"/>
        </w:rPr>
      </w:pPr>
      <w:r w:rsidRPr="00BC6A30">
        <w:rPr>
          <w:rFonts w:cs="Arial"/>
          <w:bCs/>
          <w:sz w:val="22"/>
          <w:szCs w:val="22"/>
          <w:lang w:eastAsia="en-GB"/>
        </w:rPr>
        <w:t>Health and wellbeing;</w:t>
      </w:r>
    </w:p>
    <w:p w14:paraId="14A48F24" w14:textId="77777777" w:rsidR="006E50FC" w:rsidRPr="00BC6A30" w:rsidRDefault="00591736" w:rsidP="006C12F6">
      <w:pPr>
        <w:numPr>
          <w:ilvl w:val="0"/>
          <w:numId w:val="16"/>
        </w:numPr>
        <w:shd w:val="clear" w:color="auto" w:fill="FFFFFF"/>
        <w:jc w:val="both"/>
        <w:textAlignment w:val="baseline"/>
        <w:rPr>
          <w:rFonts w:cs="Arial"/>
          <w:bCs/>
          <w:sz w:val="22"/>
          <w:szCs w:val="22"/>
          <w:lang w:eastAsia="en-GB"/>
        </w:rPr>
      </w:pPr>
      <w:r w:rsidRPr="00BC6A30">
        <w:rPr>
          <w:rFonts w:cs="Arial"/>
          <w:bCs/>
          <w:sz w:val="22"/>
          <w:szCs w:val="22"/>
          <w:lang w:eastAsia="en-GB"/>
        </w:rPr>
        <w:t>Care and quality; and</w:t>
      </w:r>
    </w:p>
    <w:p w14:paraId="1E85092F" w14:textId="08140CAE" w:rsidR="00FA2076" w:rsidRPr="00BC6A30" w:rsidRDefault="00591736" w:rsidP="006C12F6">
      <w:pPr>
        <w:numPr>
          <w:ilvl w:val="0"/>
          <w:numId w:val="16"/>
        </w:numPr>
        <w:shd w:val="clear" w:color="auto" w:fill="FFFFFF"/>
        <w:jc w:val="both"/>
        <w:textAlignment w:val="baseline"/>
        <w:rPr>
          <w:rFonts w:cs="Arial"/>
          <w:bCs/>
          <w:sz w:val="22"/>
          <w:szCs w:val="22"/>
          <w:lang w:eastAsia="en-GB"/>
        </w:rPr>
      </w:pPr>
      <w:r w:rsidRPr="00BC6A30">
        <w:rPr>
          <w:rFonts w:cs="Arial"/>
          <w:bCs/>
          <w:sz w:val="22"/>
          <w:szCs w:val="22"/>
          <w:lang w:eastAsia="en-GB"/>
        </w:rPr>
        <w:t xml:space="preserve">Finance and </w:t>
      </w:r>
      <w:r w:rsidRPr="00BC6A30">
        <w:rPr>
          <w:rFonts w:eastAsia="Calibri" w:cs="Arial"/>
          <w:color w:val="000000" w:themeColor="text1"/>
          <w:sz w:val="22"/>
          <w:szCs w:val="22"/>
          <w:lang w:eastAsia="en-GB"/>
        </w:rPr>
        <w:t>efficiency.</w:t>
      </w:r>
    </w:p>
    <w:p w14:paraId="04373652" w14:textId="77777777" w:rsidR="006E50FC" w:rsidRPr="00BC6A30" w:rsidRDefault="006E50FC" w:rsidP="006E50FC">
      <w:pPr>
        <w:shd w:val="clear" w:color="auto" w:fill="FFFFFF"/>
        <w:jc w:val="both"/>
        <w:textAlignment w:val="baseline"/>
        <w:rPr>
          <w:rFonts w:cs="Arial"/>
          <w:bCs/>
          <w:sz w:val="22"/>
          <w:szCs w:val="22"/>
          <w:lang w:eastAsia="en-GB"/>
        </w:rPr>
      </w:pPr>
    </w:p>
    <w:p w14:paraId="1F0092EB" w14:textId="0892186C" w:rsidR="00591736" w:rsidRPr="00BC6A30" w:rsidRDefault="00591736" w:rsidP="006E50FC">
      <w:pPr>
        <w:pStyle w:val="BodyText"/>
        <w:spacing w:after="120"/>
        <w:jc w:val="both"/>
        <w:rPr>
          <w:rFonts w:cs="Arial"/>
          <w:bCs/>
          <w:sz w:val="22"/>
          <w:szCs w:val="22"/>
          <w:lang w:eastAsia="en-GB"/>
        </w:rPr>
      </w:pPr>
      <w:r w:rsidRPr="00BC6A30">
        <w:rPr>
          <w:rFonts w:eastAsia="Calibri" w:cs="Arial"/>
          <w:color w:val="000000" w:themeColor="text1"/>
          <w:sz w:val="22"/>
          <w:szCs w:val="22"/>
          <w:lang w:eastAsia="en-GB"/>
        </w:rPr>
        <w:t>The NHS</w:t>
      </w:r>
      <w:r w:rsidR="00FA2076" w:rsidRPr="00BC6A30">
        <w:rPr>
          <w:rFonts w:eastAsia="Calibri" w:cs="Arial"/>
          <w:color w:val="000000" w:themeColor="text1"/>
          <w:sz w:val="22"/>
          <w:szCs w:val="22"/>
          <w:lang w:eastAsia="en-GB"/>
        </w:rPr>
        <w:t>E FYFV</w:t>
      </w:r>
      <w:r w:rsidRPr="00BC6A30">
        <w:rPr>
          <w:rFonts w:eastAsia="Calibri" w:cs="Arial"/>
          <w:color w:val="000000" w:themeColor="text1"/>
          <w:sz w:val="22"/>
          <w:szCs w:val="22"/>
          <w:lang w:eastAsia="en-GB"/>
        </w:rPr>
        <w:t xml:space="preserve"> outlines</w:t>
      </w:r>
      <w:r w:rsidRPr="00BC6A30">
        <w:rPr>
          <w:rFonts w:cs="Arial"/>
          <w:bCs/>
          <w:sz w:val="22"/>
          <w:szCs w:val="22"/>
          <w:lang w:eastAsia="en-GB"/>
        </w:rPr>
        <w:t xml:space="preserve"> </w:t>
      </w:r>
      <w:r w:rsidR="00FA2076" w:rsidRPr="00BC6A30">
        <w:rPr>
          <w:rFonts w:cs="Arial"/>
          <w:bCs/>
          <w:sz w:val="22"/>
          <w:szCs w:val="22"/>
          <w:lang w:eastAsia="en-GB"/>
        </w:rPr>
        <w:t>that</w:t>
      </w:r>
      <w:r w:rsidRPr="00BC6A30">
        <w:rPr>
          <w:rFonts w:cs="Arial"/>
          <w:bCs/>
          <w:sz w:val="22"/>
          <w:szCs w:val="22"/>
          <w:lang w:eastAsia="en-GB"/>
        </w:rPr>
        <w:t xml:space="preserve"> CCGs are required to redesign urgent and emergency care services to integrate between A&amp;E departments, Ambulance services, urgent treatment centres, and integrated urgent care services (formally NHS 111 and GP OOH services). </w:t>
      </w:r>
      <w:r w:rsidR="00FA2076" w:rsidRPr="00BC6A30">
        <w:rPr>
          <w:rFonts w:cs="Arial"/>
          <w:bCs/>
          <w:sz w:val="22"/>
          <w:szCs w:val="22"/>
          <w:lang w:eastAsia="en-GB"/>
        </w:rPr>
        <w:t>This is s</w:t>
      </w:r>
      <w:r w:rsidRPr="00BC6A30">
        <w:rPr>
          <w:rFonts w:cs="Arial"/>
          <w:bCs/>
          <w:sz w:val="22"/>
          <w:szCs w:val="22"/>
          <w:lang w:eastAsia="en-GB"/>
        </w:rPr>
        <w:t xml:space="preserve">upported by </w:t>
      </w:r>
    </w:p>
    <w:p w14:paraId="7411058E" w14:textId="7FD21318" w:rsidR="00591736" w:rsidRPr="00BC6A30" w:rsidRDefault="00591736" w:rsidP="006C12F6">
      <w:pPr>
        <w:numPr>
          <w:ilvl w:val="0"/>
          <w:numId w:val="16"/>
        </w:numPr>
        <w:shd w:val="clear" w:color="auto" w:fill="FFFFFF"/>
        <w:jc w:val="both"/>
        <w:textAlignment w:val="baseline"/>
        <w:rPr>
          <w:rFonts w:cs="Arial"/>
          <w:bCs/>
          <w:sz w:val="22"/>
          <w:szCs w:val="22"/>
          <w:lang w:eastAsia="en-GB"/>
        </w:rPr>
      </w:pPr>
      <w:r w:rsidRPr="00BC6A30">
        <w:rPr>
          <w:rFonts w:cs="Arial"/>
          <w:bCs/>
          <w:sz w:val="22"/>
          <w:szCs w:val="22"/>
          <w:lang w:eastAsia="en-GB"/>
        </w:rPr>
        <w:t>Multi-disciplinary Clinical</w:t>
      </w:r>
      <w:r w:rsidR="00FA2076" w:rsidRPr="00BC6A30">
        <w:rPr>
          <w:rFonts w:cs="Arial"/>
          <w:bCs/>
          <w:sz w:val="22"/>
          <w:szCs w:val="22"/>
          <w:lang w:eastAsia="en-GB"/>
        </w:rPr>
        <w:t xml:space="preserve"> Assessment Service (CAS)</w:t>
      </w:r>
      <w:r w:rsidRPr="00BC6A30">
        <w:rPr>
          <w:rFonts w:cs="Arial"/>
          <w:bCs/>
          <w:sz w:val="22"/>
          <w:szCs w:val="22"/>
          <w:lang w:eastAsia="en-GB"/>
        </w:rPr>
        <w:t xml:space="preserve"> Guidance released in July 2016</w:t>
      </w:r>
      <w:r w:rsidR="00DB1525" w:rsidRPr="00BC6A30">
        <w:rPr>
          <w:rFonts w:cs="Arial"/>
          <w:bCs/>
          <w:sz w:val="22"/>
          <w:szCs w:val="22"/>
          <w:lang w:eastAsia="en-GB"/>
        </w:rPr>
        <w:t>;</w:t>
      </w:r>
    </w:p>
    <w:p w14:paraId="4C0EFDAA" w14:textId="05DB0E83" w:rsidR="00591736" w:rsidRPr="00BC6A30" w:rsidRDefault="00591736" w:rsidP="006C12F6">
      <w:pPr>
        <w:numPr>
          <w:ilvl w:val="0"/>
          <w:numId w:val="15"/>
        </w:numPr>
        <w:shd w:val="clear" w:color="auto" w:fill="FFFFFF"/>
        <w:jc w:val="both"/>
        <w:textAlignment w:val="baseline"/>
        <w:rPr>
          <w:rFonts w:cs="Arial"/>
          <w:bCs/>
          <w:sz w:val="22"/>
          <w:szCs w:val="22"/>
          <w:lang w:eastAsia="en-GB"/>
        </w:rPr>
      </w:pPr>
      <w:r w:rsidRPr="00BC6A30">
        <w:rPr>
          <w:rFonts w:cs="Arial"/>
          <w:bCs/>
          <w:sz w:val="22"/>
          <w:szCs w:val="22"/>
          <w:lang w:eastAsia="en-GB"/>
        </w:rPr>
        <w:t>Urgent and Emergency Care delivery plan</w:t>
      </w:r>
      <w:r w:rsidR="00DB1525" w:rsidRPr="00BC6A30">
        <w:rPr>
          <w:rFonts w:cs="Arial"/>
          <w:bCs/>
          <w:sz w:val="22"/>
          <w:szCs w:val="22"/>
          <w:lang w:eastAsia="en-GB"/>
        </w:rPr>
        <w:t>;</w:t>
      </w:r>
      <w:r w:rsidRPr="00BC6A30">
        <w:rPr>
          <w:rFonts w:cs="Arial"/>
          <w:bCs/>
          <w:sz w:val="22"/>
          <w:szCs w:val="22"/>
          <w:lang w:eastAsia="en-GB"/>
        </w:rPr>
        <w:t xml:space="preserve"> </w:t>
      </w:r>
    </w:p>
    <w:p w14:paraId="76263DF1" w14:textId="3FC863A6" w:rsidR="00591736" w:rsidRPr="00BC6A30" w:rsidRDefault="00591736" w:rsidP="006C12F6">
      <w:pPr>
        <w:numPr>
          <w:ilvl w:val="0"/>
          <w:numId w:val="15"/>
        </w:numPr>
        <w:shd w:val="clear" w:color="auto" w:fill="FFFFFF"/>
        <w:jc w:val="both"/>
        <w:textAlignment w:val="baseline"/>
        <w:rPr>
          <w:rFonts w:cs="Arial"/>
          <w:bCs/>
          <w:sz w:val="22"/>
          <w:szCs w:val="22"/>
          <w:lang w:eastAsia="en-GB"/>
        </w:rPr>
      </w:pPr>
      <w:r w:rsidRPr="00BC6A30">
        <w:rPr>
          <w:rFonts w:cs="Arial"/>
          <w:bCs/>
          <w:sz w:val="22"/>
          <w:szCs w:val="22"/>
          <w:lang w:eastAsia="en-GB"/>
        </w:rPr>
        <w:t>Urgent Treatment Centre commissioning standards 2016</w:t>
      </w:r>
      <w:r w:rsidR="00DB1525" w:rsidRPr="00BC6A30">
        <w:rPr>
          <w:rFonts w:cs="Arial"/>
          <w:bCs/>
          <w:sz w:val="22"/>
          <w:szCs w:val="22"/>
          <w:lang w:eastAsia="en-GB"/>
        </w:rPr>
        <w:t>; and</w:t>
      </w:r>
    </w:p>
    <w:p w14:paraId="342348ED" w14:textId="05A3A9A8" w:rsidR="00591736" w:rsidRPr="00BC6A30" w:rsidRDefault="00591736" w:rsidP="006C12F6">
      <w:pPr>
        <w:numPr>
          <w:ilvl w:val="0"/>
          <w:numId w:val="15"/>
        </w:numPr>
        <w:shd w:val="clear" w:color="auto" w:fill="FFFFFF"/>
        <w:jc w:val="both"/>
        <w:textAlignment w:val="baseline"/>
        <w:rPr>
          <w:rFonts w:cs="Arial"/>
          <w:bCs/>
          <w:sz w:val="22"/>
          <w:szCs w:val="22"/>
          <w:lang w:eastAsia="en-GB"/>
        </w:rPr>
      </w:pPr>
      <w:r w:rsidRPr="00BC6A30">
        <w:rPr>
          <w:rFonts w:cs="Arial"/>
          <w:bCs/>
          <w:sz w:val="22"/>
          <w:szCs w:val="22"/>
          <w:lang w:eastAsia="en-GB"/>
        </w:rPr>
        <w:t>Integrated urgent care commissioning standards 2017</w:t>
      </w:r>
      <w:r w:rsidR="00DB1525" w:rsidRPr="00BC6A30">
        <w:rPr>
          <w:rFonts w:cs="Arial"/>
          <w:bCs/>
          <w:sz w:val="22"/>
          <w:szCs w:val="22"/>
          <w:lang w:eastAsia="en-GB"/>
        </w:rPr>
        <w:t>.</w:t>
      </w:r>
    </w:p>
    <w:p w14:paraId="4E67EA2B" w14:textId="77777777" w:rsidR="00FA2076" w:rsidRPr="00BC6A30" w:rsidRDefault="00FA2076" w:rsidP="00591736">
      <w:pPr>
        <w:shd w:val="clear" w:color="auto" w:fill="FFFFFF"/>
        <w:jc w:val="both"/>
        <w:textAlignment w:val="baseline"/>
        <w:rPr>
          <w:rFonts w:cs="Arial"/>
          <w:bCs/>
          <w:sz w:val="22"/>
          <w:szCs w:val="22"/>
          <w:lang w:eastAsia="en-GB"/>
        </w:rPr>
      </w:pPr>
    </w:p>
    <w:p w14:paraId="69BBE62D" w14:textId="4EA47BF4" w:rsidR="000A299F" w:rsidRPr="00BC6A30" w:rsidRDefault="00591736" w:rsidP="00ED757F">
      <w:pPr>
        <w:pStyle w:val="BodyText"/>
        <w:spacing w:after="120"/>
        <w:jc w:val="both"/>
        <w:rPr>
          <w:rFonts w:cs="Arial"/>
          <w:bCs/>
          <w:sz w:val="22"/>
          <w:szCs w:val="22"/>
          <w:lang w:eastAsia="en-GB"/>
        </w:rPr>
      </w:pPr>
      <w:r w:rsidRPr="00BC6A30">
        <w:rPr>
          <w:rFonts w:cs="Arial"/>
          <w:bCs/>
          <w:sz w:val="22"/>
          <w:szCs w:val="22"/>
          <w:lang w:eastAsia="en-GB"/>
        </w:rPr>
        <w:t xml:space="preserve">The </w:t>
      </w:r>
      <w:r w:rsidR="00FA2076" w:rsidRPr="00BC6A30">
        <w:rPr>
          <w:rFonts w:cs="Arial"/>
          <w:bCs/>
          <w:sz w:val="22"/>
          <w:szCs w:val="22"/>
          <w:lang w:eastAsia="en-GB"/>
        </w:rPr>
        <w:t>IUC</w:t>
      </w:r>
      <w:r w:rsidRPr="00BC6A30">
        <w:rPr>
          <w:rFonts w:cs="Arial"/>
          <w:bCs/>
          <w:sz w:val="22"/>
          <w:szCs w:val="22"/>
          <w:lang w:eastAsia="en-GB"/>
        </w:rPr>
        <w:t xml:space="preserve"> Commissioning standards summarise ‘the offer for the public will be a single-entry point - NHS 111 - to fully integrated urgent care services in which organisations collaborate to deliver high quality, clinical assessment, advice and treatment and to shared standards and processes and with clear accountability and leadership’.</w:t>
      </w:r>
    </w:p>
    <w:p w14:paraId="3719ABEC" w14:textId="1734295E" w:rsidR="000A299F" w:rsidRPr="00BC6A30" w:rsidRDefault="00591736" w:rsidP="00591736">
      <w:pPr>
        <w:pStyle w:val="BodyText"/>
        <w:spacing w:after="120"/>
        <w:jc w:val="both"/>
        <w:rPr>
          <w:rFonts w:cs="Arial"/>
          <w:bCs/>
          <w:sz w:val="22"/>
          <w:szCs w:val="22"/>
          <w:lang w:eastAsia="en-GB"/>
        </w:rPr>
      </w:pPr>
      <w:r w:rsidRPr="00BC6A30">
        <w:rPr>
          <w:rFonts w:cs="Arial"/>
          <w:bCs/>
          <w:sz w:val="22"/>
          <w:szCs w:val="22"/>
          <w:lang w:eastAsia="en-GB"/>
        </w:rPr>
        <w:t xml:space="preserve">As part of the </w:t>
      </w:r>
      <w:r w:rsidR="00FA2076" w:rsidRPr="00BC6A30">
        <w:rPr>
          <w:rFonts w:cs="Arial"/>
          <w:bCs/>
          <w:sz w:val="22"/>
          <w:szCs w:val="22"/>
          <w:lang w:eastAsia="en-GB"/>
        </w:rPr>
        <w:t xml:space="preserve">FYFV </w:t>
      </w:r>
      <w:r w:rsidRPr="00BC6A30">
        <w:rPr>
          <w:rFonts w:cs="Arial"/>
          <w:bCs/>
          <w:sz w:val="22"/>
          <w:szCs w:val="22"/>
          <w:lang w:eastAsia="en-GB"/>
        </w:rPr>
        <w:t xml:space="preserve">and the Next Steps, NHS England and NHS Improvement have highlighted the importance of commissioners delivering a functionally integrated urgent care service to help address the fragmented nature of out-of-hospital services. Where services can be provided closer to home this can help to tackle the rising pressure on all urgent care services (primary, secondary, ambulance services and emergency admissions). The opportunity to improve patient’s experience of, and clinical outcomes from, urgent care is huge. </w:t>
      </w:r>
    </w:p>
    <w:p w14:paraId="498CE25F" w14:textId="39336B51" w:rsidR="000A299F" w:rsidRPr="00BC6A30" w:rsidRDefault="00591736" w:rsidP="00591736">
      <w:pPr>
        <w:pStyle w:val="BodyText"/>
        <w:spacing w:after="120"/>
        <w:jc w:val="both"/>
        <w:rPr>
          <w:rFonts w:cs="Arial"/>
          <w:bCs/>
          <w:sz w:val="22"/>
          <w:szCs w:val="22"/>
          <w:lang w:eastAsia="en-GB"/>
        </w:rPr>
      </w:pPr>
      <w:r w:rsidRPr="00BC6A30">
        <w:rPr>
          <w:rFonts w:cs="Arial"/>
          <w:bCs/>
          <w:sz w:val="22"/>
          <w:szCs w:val="22"/>
          <w:lang w:eastAsia="en-GB"/>
        </w:rPr>
        <w:t xml:space="preserve">In late August 2017, NHS England introduced a new national service specification for the provision of integrated 24/7 urgent care access, clinical advice and treatment which incorporates the elements of NHS 111 service and GP </w:t>
      </w:r>
      <w:r w:rsidR="00FA2076" w:rsidRPr="00BC6A30">
        <w:rPr>
          <w:rFonts w:cs="Arial"/>
          <w:bCs/>
          <w:sz w:val="22"/>
          <w:szCs w:val="22"/>
          <w:lang w:eastAsia="en-GB"/>
        </w:rPr>
        <w:t>OOH</w:t>
      </w:r>
      <w:r w:rsidRPr="00BC6A30">
        <w:rPr>
          <w:rFonts w:cs="Arial"/>
          <w:bCs/>
          <w:sz w:val="22"/>
          <w:szCs w:val="22"/>
          <w:lang w:eastAsia="en-GB"/>
        </w:rPr>
        <w:t xml:space="preserve"> services. The requirement is to deliver a “Consult and Complete” model transitioning away from the current models of “Assess and Refer”. This will be achieved through the NHS 111 number becoming the key co-ordinating function for all urgent care needs. Patients will access </w:t>
      </w:r>
      <w:r w:rsidR="00FA2076" w:rsidRPr="00BC6A30">
        <w:rPr>
          <w:rFonts w:cs="Arial"/>
          <w:bCs/>
          <w:sz w:val="22"/>
          <w:szCs w:val="22"/>
          <w:lang w:eastAsia="en-GB"/>
        </w:rPr>
        <w:t>u</w:t>
      </w:r>
      <w:r w:rsidRPr="00BC6A30">
        <w:rPr>
          <w:rFonts w:cs="Arial"/>
          <w:bCs/>
          <w:sz w:val="22"/>
          <w:szCs w:val="22"/>
          <w:lang w:eastAsia="en-GB"/>
        </w:rPr>
        <w:t xml:space="preserve">rgent </w:t>
      </w:r>
      <w:r w:rsidR="00FA2076" w:rsidRPr="00BC6A30">
        <w:rPr>
          <w:rFonts w:cs="Arial"/>
          <w:bCs/>
          <w:sz w:val="22"/>
          <w:szCs w:val="22"/>
          <w:lang w:eastAsia="en-GB"/>
        </w:rPr>
        <w:t>c</w:t>
      </w:r>
      <w:r w:rsidRPr="00BC6A30">
        <w:rPr>
          <w:rFonts w:cs="Arial"/>
          <w:bCs/>
          <w:sz w:val="22"/>
          <w:szCs w:val="22"/>
          <w:lang w:eastAsia="en-GB"/>
        </w:rPr>
        <w:t xml:space="preserve">are through NHS 111 via telephone 24/7 and on-line 24/7 and via their GP. </w:t>
      </w:r>
    </w:p>
    <w:p w14:paraId="73711EF6" w14:textId="2DCDEEA9" w:rsidR="00591736" w:rsidRPr="00BC6A30" w:rsidRDefault="00591736" w:rsidP="00591736">
      <w:pPr>
        <w:pStyle w:val="BodyText"/>
        <w:spacing w:after="120"/>
        <w:jc w:val="both"/>
        <w:rPr>
          <w:rFonts w:cs="Arial"/>
          <w:bCs/>
          <w:sz w:val="22"/>
          <w:szCs w:val="22"/>
          <w:lang w:eastAsia="en-GB"/>
        </w:rPr>
      </w:pPr>
      <w:r w:rsidRPr="00BC6A30">
        <w:rPr>
          <w:rFonts w:cs="Arial"/>
          <w:bCs/>
          <w:sz w:val="22"/>
          <w:szCs w:val="22"/>
          <w:lang w:eastAsia="en-GB"/>
        </w:rPr>
        <w:t xml:space="preserve">The </w:t>
      </w:r>
      <w:r w:rsidR="003D7576" w:rsidRPr="00BC6A30">
        <w:rPr>
          <w:rFonts w:cs="Arial"/>
          <w:bCs/>
          <w:sz w:val="22"/>
          <w:szCs w:val="22"/>
          <w:lang w:eastAsia="en-GB"/>
        </w:rPr>
        <w:t>SWL</w:t>
      </w:r>
      <w:r w:rsidR="008D657B" w:rsidRPr="00BC6A30">
        <w:rPr>
          <w:rFonts w:cs="Arial"/>
          <w:bCs/>
          <w:sz w:val="22"/>
          <w:szCs w:val="22"/>
          <w:lang w:eastAsia="en-GB"/>
        </w:rPr>
        <w:t xml:space="preserve"> CCGs’ </w:t>
      </w:r>
      <w:r w:rsidR="00FA2076" w:rsidRPr="00BC6A30">
        <w:rPr>
          <w:rFonts w:cs="Arial"/>
          <w:bCs/>
          <w:sz w:val="22"/>
          <w:szCs w:val="22"/>
          <w:lang w:eastAsia="en-GB"/>
        </w:rPr>
        <w:t>IUC service</w:t>
      </w:r>
      <w:r w:rsidRPr="00BC6A30">
        <w:rPr>
          <w:rFonts w:cs="Arial"/>
          <w:bCs/>
          <w:sz w:val="22"/>
          <w:szCs w:val="22"/>
          <w:lang w:eastAsia="en-GB"/>
        </w:rPr>
        <w:t xml:space="preserve"> specification includes </w:t>
      </w:r>
      <w:r w:rsidR="008D657B" w:rsidRPr="00BC6A30">
        <w:rPr>
          <w:rFonts w:cs="Arial"/>
          <w:bCs/>
          <w:sz w:val="22"/>
          <w:szCs w:val="22"/>
          <w:lang w:eastAsia="en-GB"/>
        </w:rPr>
        <w:t xml:space="preserve">for </w:t>
      </w:r>
      <w:r w:rsidRPr="00BC6A30">
        <w:rPr>
          <w:rFonts w:cs="Arial"/>
          <w:bCs/>
          <w:sz w:val="22"/>
          <w:szCs w:val="22"/>
          <w:lang w:eastAsia="en-GB"/>
        </w:rPr>
        <w:t xml:space="preserve">the </w:t>
      </w:r>
      <w:r w:rsidR="008D657B" w:rsidRPr="00BC6A30">
        <w:rPr>
          <w:rFonts w:cs="Arial"/>
          <w:bCs/>
          <w:sz w:val="22"/>
          <w:szCs w:val="22"/>
          <w:lang w:eastAsia="en-GB"/>
        </w:rPr>
        <w:t xml:space="preserve">specific </w:t>
      </w:r>
      <w:r w:rsidRPr="00BC6A30">
        <w:rPr>
          <w:rFonts w:cs="Arial"/>
          <w:bCs/>
          <w:sz w:val="22"/>
          <w:szCs w:val="22"/>
          <w:lang w:eastAsia="en-GB"/>
        </w:rPr>
        <w:t xml:space="preserve">requirement to establish a Clinical Assessment Service (CAS) as part of the overall </w:t>
      </w:r>
      <w:r w:rsidR="008D657B" w:rsidRPr="00BC6A30">
        <w:rPr>
          <w:rFonts w:cs="Arial"/>
          <w:bCs/>
          <w:sz w:val="22"/>
          <w:szCs w:val="22"/>
          <w:lang w:eastAsia="en-GB"/>
        </w:rPr>
        <w:t>service provision</w:t>
      </w:r>
      <w:r w:rsidRPr="00BC6A30">
        <w:rPr>
          <w:rFonts w:cs="Arial"/>
          <w:bCs/>
          <w:sz w:val="22"/>
          <w:szCs w:val="22"/>
          <w:lang w:eastAsia="en-GB"/>
        </w:rPr>
        <w:t>. This</w:t>
      </w:r>
      <w:r w:rsidR="00FA2076" w:rsidRPr="00BC6A30">
        <w:rPr>
          <w:rFonts w:cs="Arial"/>
          <w:bCs/>
          <w:sz w:val="22"/>
          <w:szCs w:val="22"/>
          <w:lang w:eastAsia="en-GB"/>
        </w:rPr>
        <w:t xml:space="preserve"> IUC</w:t>
      </w:r>
      <w:r w:rsidRPr="00BC6A30">
        <w:rPr>
          <w:rFonts w:cs="Arial"/>
          <w:bCs/>
          <w:sz w:val="22"/>
          <w:szCs w:val="22"/>
          <w:lang w:eastAsia="en-GB"/>
        </w:rPr>
        <w:t xml:space="preserve"> service will</w:t>
      </w:r>
      <w:r w:rsidR="00FA2076" w:rsidRPr="00BC6A30">
        <w:rPr>
          <w:rFonts w:cs="Arial"/>
          <w:bCs/>
          <w:sz w:val="22"/>
          <w:szCs w:val="22"/>
          <w:lang w:eastAsia="en-GB"/>
        </w:rPr>
        <w:t xml:space="preserve"> offer all patients a consistent 24/7 urgent care service,</w:t>
      </w:r>
      <w:r w:rsidRPr="00BC6A30">
        <w:rPr>
          <w:rFonts w:cs="Arial"/>
          <w:bCs/>
          <w:sz w:val="22"/>
          <w:szCs w:val="22"/>
          <w:lang w:eastAsia="en-GB"/>
        </w:rPr>
        <w:t xml:space="preserve"> through Clinical assessment, ensur</w:t>
      </w:r>
      <w:r w:rsidR="00FA2076" w:rsidRPr="00BC6A30">
        <w:rPr>
          <w:rFonts w:cs="Arial"/>
          <w:bCs/>
          <w:sz w:val="22"/>
          <w:szCs w:val="22"/>
          <w:lang w:eastAsia="en-GB"/>
        </w:rPr>
        <w:t>ing</w:t>
      </w:r>
      <w:r w:rsidRPr="00BC6A30">
        <w:rPr>
          <w:rFonts w:cs="Arial"/>
          <w:bCs/>
          <w:sz w:val="22"/>
          <w:szCs w:val="22"/>
          <w:lang w:eastAsia="en-GB"/>
        </w:rPr>
        <w:t xml:space="preserve"> </w:t>
      </w:r>
      <w:r w:rsidR="008D657B" w:rsidRPr="00BC6A30">
        <w:rPr>
          <w:rFonts w:cs="Arial"/>
          <w:bCs/>
          <w:sz w:val="22"/>
          <w:szCs w:val="22"/>
          <w:lang w:eastAsia="en-GB"/>
        </w:rPr>
        <w:t xml:space="preserve">that </w:t>
      </w:r>
      <w:r w:rsidRPr="00BC6A30">
        <w:rPr>
          <w:rFonts w:cs="Arial"/>
          <w:bCs/>
          <w:sz w:val="22"/>
          <w:szCs w:val="22"/>
          <w:lang w:eastAsia="en-GB"/>
        </w:rPr>
        <w:t xml:space="preserve">the most appropriate service for </w:t>
      </w:r>
      <w:r w:rsidR="008D657B" w:rsidRPr="00BC6A30">
        <w:rPr>
          <w:rFonts w:cs="Arial"/>
          <w:bCs/>
          <w:sz w:val="22"/>
          <w:szCs w:val="22"/>
          <w:lang w:eastAsia="en-GB"/>
        </w:rPr>
        <w:t xml:space="preserve">each </w:t>
      </w:r>
      <w:r w:rsidRPr="00BC6A30">
        <w:rPr>
          <w:rFonts w:cs="Arial"/>
          <w:bCs/>
          <w:sz w:val="22"/>
          <w:szCs w:val="22"/>
          <w:lang w:eastAsia="en-GB"/>
        </w:rPr>
        <w:t xml:space="preserve">patient’s needs </w:t>
      </w:r>
      <w:proofErr w:type="gramStart"/>
      <w:r w:rsidRPr="00BC6A30">
        <w:rPr>
          <w:rFonts w:cs="Arial"/>
          <w:bCs/>
          <w:sz w:val="22"/>
          <w:szCs w:val="22"/>
          <w:lang w:eastAsia="en-GB"/>
        </w:rPr>
        <w:t>are</w:t>
      </w:r>
      <w:proofErr w:type="gramEnd"/>
      <w:r w:rsidRPr="00BC6A30">
        <w:rPr>
          <w:rFonts w:cs="Arial"/>
          <w:bCs/>
          <w:sz w:val="22"/>
          <w:szCs w:val="22"/>
          <w:lang w:eastAsia="en-GB"/>
        </w:rPr>
        <w:t xml:space="preserve"> delivered or booked (where a service can accept appointment booking)</w:t>
      </w:r>
      <w:r w:rsidR="000A299F" w:rsidRPr="00BC6A30">
        <w:rPr>
          <w:rFonts w:cs="Arial"/>
          <w:bCs/>
          <w:sz w:val="22"/>
          <w:szCs w:val="22"/>
          <w:lang w:eastAsia="en-GB"/>
        </w:rPr>
        <w:t>.</w:t>
      </w:r>
      <w:r w:rsidRPr="00BC6A30">
        <w:rPr>
          <w:rFonts w:cs="Arial"/>
          <w:bCs/>
          <w:sz w:val="22"/>
          <w:szCs w:val="22"/>
          <w:lang w:eastAsia="en-GB"/>
        </w:rPr>
        <w:t xml:space="preserve"> </w:t>
      </w:r>
    </w:p>
    <w:p w14:paraId="4AA8711B" w14:textId="77777777" w:rsidR="00BD4202" w:rsidRPr="00BC6A30" w:rsidRDefault="00BD4202" w:rsidP="000725E1">
      <w:pPr>
        <w:jc w:val="both"/>
        <w:rPr>
          <w:rFonts w:cs="Arial"/>
          <w:sz w:val="22"/>
          <w:szCs w:val="22"/>
          <w:lang w:eastAsia="en-GB"/>
        </w:rPr>
      </w:pPr>
    </w:p>
    <w:p w14:paraId="070AC9C7" w14:textId="42AF0956" w:rsidR="00916EE8" w:rsidRPr="00BC6A30" w:rsidRDefault="000725E1" w:rsidP="00C07FA8">
      <w:pPr>
        <w:pStyle w:val="Heading2"/>
        <w:jc w:val="left"/>
        <w:rPr>
          <w:rFonts w:cs="Arial"/>
          <w:sz w:val="22"/>
          <w:szCs w:val="22"/>
        </w:rPr>
      </w:pPr>
      <w:bookmarkStart w:id="7" w:name="_Toc450055211"/>
      <w:r w:rsidRPr="00BC6A30">
        <w:rPr>
          <w:rFonts w:cs="Arial"/>
          <w:sz w:val="22"/>
          <w:szCs w:val="22"/>
        </w:rPr>
        <w:t>3.2 Local Drivers for change</w:t>
      </w:r>
      <w:bookmarkEnd w:id="7"/>
    </w:p>
    <w:p w14:paraId="6C8B7B88" w14:textId="32A39682" w:rsidR="00D10C03" w:rsidRPr="00BC6A30" w:rsidRDefault="003D7576" w:rsidP="00D10C03">
      <w:pPr>
        <w:spacing w:after="120"/>
        <w:jc w:val="both"/>
        <w:rPr>
          <w:rFonts w:cs="Arial"/>
          <w:sz w:val="22"/>
          <w:szCs w:val="22"/>
        </w:rPr>
      </w:pPr>
      <w:bookmarkStart w:id="8" w:name="_Toc450055212"/>
      <w:r w:rsidRPr="00BC6A30">
        <w:rPr>
          <w:rFonts w:cs="Arial"/>
          <w:sz w:val="22"/>
          <w:szCs w:val="22"/>
        </w:rPr>
        <w:t>SWL</w:t>
      </w:r>
      <w:r w:rsidR="00D10C03" w:rsidRPr="00BC6A30">
        <w:rPr>
          <w:rFonts w:cs="Arial"/>
          <w:sz w:val="22"/>
          <w:szCs w:val="22"/>
        </w:rPr>
        <w:t xml:space="preserve"> residents have a broad range of health and care needs. These needs are changing over time in different ways and at different paces.</w:t>
      </w:r>
    </w:p>
    <w:p w14:paraId="37C2B22B" w14:textId="30A172A1" w:rsidR="00D10C03" w:rsidRPr="00BC6A30" w:rsidRDefault="003D7576" w:rsidP="00D10C03">
      <w:pPr>
        <w:pStyle w:val="BodyText"/>
        <w:spacing w:after="120"/>
        <w:jc w:val="both"/>
        <w:rPr>
          <w:rFonts w:cs="Arial"/>
          <w:sz w:val="22"/>
          <w:szCs w:val="22"/>
        </w:rPr>
      </w:pPr>
      <w:r w:rsidRPr="00BC6A30">
        <w:rPr>
          <w:rFonts w:cs="Arial"/>
          <w:sz w:val="22"/>
          <w:szCs w:val="22"/>
        </w:rPr>
        <w:t>SWL</w:t>
      </w:r>
      <w:r w:rsidR="00D10C03" w:rsidRPr="00BC6A30">
        <w:rPr>
          <w:rFonts w:cs="Arial"/>
          <w:sz w:val="22"/>
          <w:szCs w:val="22"/>
        </w:rPr>
        <w:t>’s population is ageing with consequent increasing needs for health and social care. People are living longer with more – and more complex – long term conditions which the National Health Service (NHS) medical model is ineffective at tackling single-handed. The population with these conditions is expected to grow at a faster rate than the overall population over the next five years; and costs of treatment are also anticipated to accelerate.</w:t>
      </w:r>
    </w:p>
    <w:p w14:paraId="3D715A73" w14:textId="62A7BB27" w:rsidR="00D10C03" w:rsidRPr="00BC6A30" w:rsidRDefault="00D10C03" w:rsidP="00D10C03">
      <w:pPr>
        <w:spacing w:after="240"/>
        <w:jc w:val="both"/>
        <w:rPr>
          <w:rFonts w:cs="Arial"/>
          <w:sz w:val="22"/>
          <w:szCs w:val="22"/>
        </w:rPr>
      </w:pPr>
      <w:r w:rsidRPr="00BC6A30">
        <w:rPr>
          <w:rFonts w:cs="Arial"/>
          <w:sz w:val="22"/>
          <w:szCs w:val="22"/>
        </w:rPr>
        <w:t xml:space="preserve">Analysis points to significant observable inequality and variation in the way that health and care services are accessed and provided. This means that some people in </w:t>
      </w:r>
      <w:r w:rsidR="003D7576" w:rsidRPr="00BC6A30">
        <w:rPr>
          <w:rFonts w:cs="Arial"/>
          <w:sz w:val="22"/>
          <w:szCs w:val="22"/>
        </w:rPr>
        <w:t>SWL</w:t>
      </w:r>
      <w:r w:rsidRPr="00BC6A30">
        <w:rPr>
          <w:rFonts w:cs="Arial"/>
          <w:sz w:val="22"/>
          <w:szCs w:val="22"/>
        </w:rPr>
        <w:t xml:space="preserve"> find it harder to access the support they need </w:t>
      </w:r>
      <w:r w:rsidR="00AA5D22" w:rsidRPr="00BC6A30">
        <w:rPr>
          <w:rFonts w:cs="Arial"/>
          <w:sz w:val="22"/>
          <w:szCs w:val="22"/>
        </w:rPr>
        <w:t xml:space="preserve">and </w:t>
      </w:r>
      <w:r w:rsidRPr="00BC6A30">
        <w:rPr>
          <w:rFonts w:cs="Arial"/>
          <w:sz w:val="22"/>
          <w:szCs w:val="22"/>
        </w:rPr>
        <w:t xml:space="preserve">do not receive the breadth of support they require, </w:t>
      </w:r>
      <w:r w:rsidR="00AA5D22" w:rsidRPr="00BC6A30">
        <w:rPr>
          <w:rFonts w:cs="Arial"/>
          <w:sz w:val="22"/>
          <w:szCs w:val="22"/>
        </w:rPr>
        <w:t xml:space="preserve">with there being </w:t>
      </w:r>
      <w:r w:rsidRPr="00BC6A30">
        <w:rPr>
          <w:rFonts w:cs="Arial"/>
          <w:sz w:val="22"/>
          <w:szCs w:val="22"/>
        </w:rPr>
        <w:t>significant access and demand in walk in Urgent Care services.</w:t>
      </w:r>
    </w:p>
    <w:p w14:paraId="40A7B496" w14:textId="091B9E07" w:rsidR="00D10C03" w:rsidRPr="00BC6A30" w:rsidRDefault="003D7576" w:rsidP="00D10C03">
      <w:pPr>
        <w:pStyle w:val="BodyText"/>
        <w:spacing w:after="120"/>
        <w:jc w:val="both"/>
        <w:rPr>
          <w:rFonts w:cs="Arial"/>
          <w:sz w:val="22"/>
          <w:szCs w:val="22"/>
        </w:rPr>
      </w:pPr>
      <w:r w:rsidRPr="00BC6A30">
        <w:rPr>
          <w:rFonts w:cs="Arial"/>
          <w:sz w:val="22"/>
          <w:szCs w:val="22"/>
        </w:rPr>
        <w:lastRenderedPageBreak/>
        <w:t>SWL</w:t>
      </w:r>
      <w:r w:rsidR="00D10C03" w:rsidRPr="00BC6A30">
        <w:rPr>
          <w:rFonts w:cs="Arial"/>
          <w:sz w:val="22"/>
          <w:szCs w:val="22"/>
        </w:rPr>
        <w:t xml:space="preserve">’s changing local health needs require a considered response. In previous years, the traditional model of commissioning NHS 111 and GP Out of Hours has worked by delivering year-on-year improvements in both services offered and patient experience. However, the scale of variance and inequality presents a more substantial challenge. Tackling this will require a coordinated, multi-agency approach with responsibility for driving improvements and co-ordinating across multiple providers to ensure the people of </w:t>
      </w:r>
      <w:r w:rsidRPr="00BC6A30">
        <w:rPr>
          <w:rFonts w:cs="Arial"/>
          <w:sz w:val="22"/>
          <w:szCs w:val="22"/>
        </w:rPr>
        <w:t>SWL</w:t>
      </w:r>
      <w:r w:rsidR="00D10C03" w:rsidRPr="00BC6A30">
        <w:rPr>
          <w:rFonts w:cs="Arial"/>
          <w:sz w:val="22"/>
          <w:szCs w:val="22"/>
        </w:rPr>
        <w:t xml:space="preserve"> receive the support they need from the most appropriate provider at the right time. </w:t>
      </w:r>
    </w:p>
    <w:p w14:paraId="7CC7AAEA" w14:textId="636EBBAE" w:rsidR="00D10C03" w:rsidRPr="00BC6A30" w:rsidRDefault="00D10C03" w:rsidP="00D10C03">
      <w:pPr>
        <w:pStyle w:val="BodyText"/>
        <w:spacing w:after="120"/>
        <w:jc w:val="both"/>
        <w:rPr>
          <w:rFonts w:cs="Arial"/>
          <w:sz w:val="22"/>
          <w:szCs w:val="22"/>
        </w:rPr>
      </w:pPr>
      <w:r w:rsidRPr="00BC6A30">
        <w:rPr>
          <w:rFonts w:cs="Arial"/>
          <w:sz w:val="22"/>
          <w:szCs w:val="22"/>
        </w:rPr>
        <w:t xml:space="preserve">As well as an approach to co-ordinated commissioning, the new integrated urgent care model is needed to improve population health outcomes and deliver an effective healthcare system 24/7 to </w:t>
      </w:r>
      <w:r w:rsidR="003D7576" w:rsidRPr="00BC6A30">
        <w:rPr>
          <w:rFonts w:cs="Arial"/>
          <w:sz w:val="22"/>
          <w:szCs w:val="22"/>
        </w:rPr>
        <w:t>SWL</w:t>
      </w:r>
      <w:r w:rsidRPr="00BC6A30">
        <w:rPr>
          <w:rFonts w:cs="Arial"/>
          <w:sz w:val="22"/>
          <w:szCs w:val="22"/>
        </w:rPr>
        <w:t xml:space="preserve"> residents, delivering a consult and complete model, with increased access to Clinicians.</w:t>
      </w:r>
    </w:p>
    <w:p w14:paraId="71BE7DF0" w14:textId="534736F6" w:rsidR="00D10C03" w:rsidRPr="00BC6A30" w:rsidRDefault="00D10C03" w:rsidP="00D10C03">
      <w:pPr>
        <w:pStyle w:val="BodyText"/>
        <w:spacing w:after="240"/>
        <w:jc w:val="both"/>
        <w:rPr>
          <w:rFonts w:cs="Arial"/>
          <w:sz w:val="22"/>
          <w:szCs w:val="22"/>
        </w:rPr>
      </w:pPr>
      <w:r w:rsidRPr="00BC6A30">
        <w:rPr>
          <w:rFonts w:cs="Arial"/>
          <w:sz w:val="22"/>
          <w:szCs w:val="22"/>
        </w:rPr>
        <w:t>The various and changing needs of the population overall drive the CCG</w:t>
      </w:r>
      <w:r w:rsidR="006901A3" w:rsidRPr="00BC6A30">
        <w:rPr>
          <w:rFonts w:cs="Arial"/>
          <w:sz w:val="22"/>
          <w:szCs w:val="22"/>
        </w:rPr>
        <w:t>’s</w:t>
      </w:r>
      <w:r w:rsidRPr="00BC6A30">
        <w:rPr>
          <w:rFonts w:cs="Arial"/>
          <w:sz w:val="22"/>
          <w:szCs w:val="22"/>
        </w:rPr>
        <w:t xml:space="preserve"> strategic direction and commissioning decisions - and will determine the nature of the integrated urgent care provided by the local health and care system in the future. A core requirement of this system is that it will understand the specific needs of the </w:t>
      </w:r>
      <w:r w:rsidR="003D7576" w:rsidRPr="00BC6A30">
        <w:rPr>
          <w:rFonts w:cs="Arial"/>
          <w:sz w:val="22"/>
          <w:szCs w:val="22"/>
        </w:rPr>
        <w:t>SWL</w:t>
      </w:r>
      <w:r w:rsidRPr="00BC6A30">
        <w:rPr>
          <w:rFonts w:cs="Arial"/>
          <w:sz w:val="22"/>
          <w:szCs w:val="22"/>
        </w:rPr>
        <w:t xml:space="preserve"> population, as well as its individual communities, and design its services to meet these needs.</w:t>
      </w:r>
    </w:p>
    <w:p w14:paraId="3E9934D7" w14:textId="43A9374E" w:rsidR="00916EE8" w:rsidRPr="00BC6A30" w:rsidRDefault="000725E1" w:rsidP="00C07FA8">
      <w:pPr>
        <w:pStyle w:val="Heading2"/>
        <w:jc w:val="left"/>
        <w:rPr>
          <w:rFonts w:cs="Arial"/>
          <w:sz w:val="22"/>
          <w:szCs w:val="22"/>
        </w:rPr>
      </w:pPr>
      <w:bookmarkStart w:id="9" w:name="_Hlk14016675"/>
      <w:r w:rsidRPr="00BC6A30">
        <w:rPr>
          <w:rFonts w:cs="Arial"/>
          <w:sz w:val="22"/>
          <w:szCs w:val="22"/>
        </w:rPr>
        <w:t>3.3 Patient</w:t>
      </w:r>
      <w:r w:rsidR="00D10C03" w:rsidRPr="00BC6A30">
        <w:rPr>
          <w:rFonts w:cs="Arial"/>
          <w:sz w:val="22"/>
          <w:szCs w:val="22"/>
        </w:rPr>
        <w:t xml:space="preserve"> and public</w:t>
      </w:r>
      <w:r w:rsidRPr="00BC6A30">
        <w:rPr>
          <w:rFonts w:cs="Arial"/>
          <w:sz w:val="22"/>
          <w:szCs w:val="22"/>
        </w:rPr>
        <w:t xml:space="preserve"> feedback</w:t>
      </w:r>
      <w:bookmarkEnd w:id="8"/>
      <w:bookmarkEnd w:id="9"/>
    </w:p>
    <w:p w14:paraId="1BE9A0B6" w14:textId="77777777" w:rsidR="00921511" w:rsidRPr="00BC6A30" w:rsidRDefault="002B0733" w:rsidP="00921511">
      <w:pPr>
        <w:pStyle w:val="BodyText"/>
        <w:spacing w:after="120"/>
        <w:jc w:val="both"/>
        <w:rPr>
          <w:rFonts w:cs="Arial"/>
          <w:sz w:val="22"/>
          <w:szCs w:val="22"/>
        </w:rPr>
      </w:pPr>
      <w:r w:rsidRPr="00BC6A30">
        <w:rPr>
          <w:rFonts w:cs="Arial"/>
          <w:sz w:val="22"/>
          <w:szCs w:val="22"/>
        </w:rPr>
        <w:t xml:space="preserve">An Equalities </w:t>
      </w:r>
      <w:r w:rsidR="00CC6961" w:rsidRPr="00BC6A30">
        <w:rPr>
          <w:rFonts w:cs="Arial"/>
          <w:sz w:val="22"/>
          <w:szCs w:val="22"/>
        </w:rPr>
        <w:t>Analysis</w:t>
      </w:r>
      <w:r w:rsidRPr="00BC6A30">
        <w:rPr>
          <w:rFonts w:cs="Arial"/>
          <w:sz w:val="22"/>
          <w:szCs w:val="22"/>
        </w:rPr>
        <w:t xml:space="preserve"> was developed in 201</w:t>
      </w:r>
      <w:r w:rsidR="00CC6961" w:rsidRPr="00BC6A30">
        <w:rPr>
          <w:rFonts w:cs="Arial"/>
          <w:sz w:val="22"/>
          <w:szCs w:val="22"/>
        </w:rPr>
        <w:t>5 to support collaborative commissioning</w:t>
      </w:r>
      <w:r w:rsidRPr="00BC6A30">
        <w:rPr>
          <w:rFonts w:cs="Arial"/>
          <w:sz w:val="22"/>
          <w:szCs w:val="22"/>
        </w:rPr>
        <w:t xml:space="preserve">, utilising available evidence, </w:t>
      </w:r>
      <w:proofErr w:type="gramStart"/>
      <w:r w:rsidRPr="00BC6A30">
        <w:rPr>
          <w:rFonts w:cs="Arial"/>
          <w:sz w:val="22"/>
          <w:szCs w:val="22"/>
        </w:rPr>
        <w:t>patient</w:t>
      </w:r>
      <w:proofErr w:type="gramEnd"/>
      <w:r w:rsidRPr="00BC6A30">
        <w:rPr>
          <w:rFonts w:cs="Arial"/>
          <w:sz w:val="22"/>
          <w:szCs w:val="22"/>
        </w:rPr>
        <w:t xml:space="preserve"> and key stakeholder engagement across all </w:t>
      </w:r>
      <w:r w:rsidR="003D7576" w:rsidRPr="00BC6A30">
        <w:rPr>
          <w:rFonts w:cs="Arial"/>
          <w:sz w:val="22"/>
          <w:szCs w:val="22"/>
        </w:rPr>
        <w:t>SWL</w:t>
      </w:r>
      <w:r w:rsidRPr="00BC6A30">
        <w:rPr>
          <w:rFonts w:cs="Arial"/>
          <w:sz w:val="22"/>
          <w:szCs w:val="22"/>
        </w:rPr>
        <w:t xml:space="preserve"> </w:t>
      </w:r>
      <w:r w:rsidR="00CC6961" w:rsidRPr="00BC6A30">
        <w:rPr>
          <w:rFonts w:cs="Arial"/>
          <w:sz w:val="22"/>
          <w:szCs w:val="22"/>
        </w:rPr>
        <w:t>Boroughs</w:t>
      </w:r>
      <w:r w:rsidRPr="00BC6A30">
        <w:rPr>
          <w:rFonts w:cs="Arial"/>
          <w:sz w:val="22"/>
          <w:szCs w:val="22"/>
        </w:rPr>
        <w:t xml:space="preserve">. </w:t>
      </w:r>
    </w:p>
    <w:p w14:paraId="5159A09A" w14:textId="748CE4B6" w:rsidR="00D24A9B" w:rsidRPr="00BC6A30" w:rsidRDefault="00921511" w:rsidP="00921511">
      <w:pPr>
        <w:pStyle w:val="BodyText"/>
        <w:spacing w:after="120"/>
        <w:jc w:val="both"/>
        <w:rPr>
          <w:rFonts w:cs="Arial"/>
          <w:sz w:val="22"/>
          <w:szCs w:val="22"/>
        </w:rPr>
      </w:pPr>
      <w:r w:rsidRPr="00BC6A30">
        <w:rPr>
          <w:rFonts w:cs="Arial"/>
          <w:sz w:val="22"/>
          <w:szCs w:val="22"/>
        </w:rPr>
        <w:t>Between 17th December 2018 and 31st January 2019 commissioners undertook an online patient survey. The survey was placed on CCG websites and was promoted via SWL CCGs social media channels, where patients were asked a series of questions with a view to gaining patient insight on:</w:t>
      </w:r>
    </w:p>
    <w:p w14:paraId="4A26F4C1" w14:textId="33DAD16F" w:rsidR="00921511" w:rsidRPr="00BC6A30" w:rsidRDefault="00921511" w:rsidP="006C12F6">
      <w:pPr>
        <w:pStyle w:val="BodyText"/>
        <w:numPr>
          <w:ilvl w:val="0"/>
          <w:numId w:val="20"/>
        </w:numPr>
        <w:ind w:left="714" w:hanging="357"/>
        <w:jc w:val="both"/>
        <w:rPr>
          <w:rFonts w:cs="Arial"/>
          <w:sz w:val="22"/>
          <w:szCs w:val="22"/>
        </w:rPr>
      </w:pPr>
      <w:r w:rsidRPr="00BC6A30">
        <w:rPr>
          <w:rFonts w:cs="Arial"/>
          <w:sz w:val="22"/>
          <w:szCs w:val="22"/>
        </w:rPr>
        <w:t>Patients’ current experience of 111</w:t>
      </w:r>
    </w:p>
    <w:p w14:paraId="5388714B" w14:textId="6BDCE800" w:rsidR="00921511" w:rsidRPr="00BC6A30" w:rsidRDefault="00921511" w:rsidP="006C12F6">
      <w:pPr>
        <w:pStyle w:val="BodyText"/>
        <w:numPr>
          <w:ilvl w:val="0"/>
          <w:numId w:val="20"/>
        </w:numPr>
        <w:ind w:left="714" w:hanging="357"/>
        <w:jc w:val="both"/>
        <w:rPr>
          <w:rFonts w:cs="Arial"/>
          <w:sz w:val="22"/>
          <w:szCs w:val="22"/>
        </w:rPr>
      </w:pPr>
      <w:r w:rsidRPr="00BC6A30">
        <w:rPr>
          <w:rFonts w:cs="Arial"/>
          <w:sz w:val="22"/>
          <w:szCs w:val="22"/>
        </w:rPr>
        <w:t>The services that patients wish to access via 111</w:t>
      </w:r>
    </w:p>
    <w:p w14:paraId="346F3AA4" w14:textId="14BD492E" w:rsidR="00921511" w:rsidRPr="00BC6A30" w:rsidRDefault="00921511" w:rsidP="006C12F6">
      <w:pPr>
        <w:pStyle w:val="BodyText"/>
        <w:numPr>
          <w:ilvl w:val="0"/>
          <w:numId w:val="20"/>
        </w:numPr>
        <w:ind w:left="714" w:hanging="357"/>
        <w:jc w:val="both"/>
        <w:rPr>
          <w:rFonts w:cs="Arial"/>
          <w:sz w:val="22"/>
          <w:szCs w:val="22"/>
        </w:rPr>
      </w:pPr>
      <w:r w:rsidRPr="00BC6A30">
        <w:rPr>
          <w:rFonts w:cs="Arial"/>
          <w:sz w:val="22"/>
          <w:szCs w:val="22"/>
        </w:rPr>
        <w:t>Patient groups suitable for transfer straight to a clinician</w:t>
      </w:r>
    </w:p>
    <w:p w14:paraId="2A296ABD" w14:textId="163968FF" w:rsidR="00921511" w:rsidRPr="00BC6A30" w:rsidRDefault="00921511" w:rsidP="006C12F6">
      <w:pPr>
        <w:pStyle w:val="BodyText"/>
        <w:numPr>
          <w:ilvl w:val="0"/>
          <w:numId w:val="20"/>
        </w:numPr>
        <w:ind w:left="714" w:hanging="357"/>
        <w:jc w:val="both"/>
        <w:rPr>
          <w:rFonts w:cs="Arial"/>
          <w:sz w:val="22"/>
          <w:szCs w:val="22"/>
        </w:rPr>
      </w:pPr>
      <w:r w:rsidRPr="00BC6A30">
        <w:rPr>
          <w:rFonts w:cs="Arial"/>
          <w:sz w:val="22"/>
          <w:szCs w:val="22"/>
        </w:rPr>
        <w:t xml:space="preserve">Ways of promoting 111 </w:t>
      </w:r>
      <w:proofErr w:type="gramStart"/>
      <w:r w:rsidRPr="00BC6A30">
        <w:rPr>
          <w:rFonts w:cs="Arial"/>
          <w:sz w:val="22"/>
          <w:szCs w:val="22"/>
        </w:rPr>
        <w:t>use</w:t>
      </w:r>
      <w:proofErr w:type="gramEnd"/>
    </w:p>
    <w:p w14:paraId="337DC359" w14:textId="77777777" w:rsidR="00D24A9B" w:rsidRPr="00BC6A30" w:rsidRDefault="00D24A9B" w:rsidP="00D24A9B">
      <w:pPr>
        <w:pStyle w:val="BodyText"/>
        <w:ind w:left="714"/>
        <w:jc w:val="both"/>
        <w:rPr>
          <w:rFonts w:cs="Arial"/>
          <w:sz w:val="22"/>
          <w:szCs w:val="22"/>
        </w:rPr>
      </w:pPr>
    </w:p>
    <w:p w14:paraId="381DDB6C" w14:textId="1D4891DB" w:rsidR="002B0733" w:rsidRPr="00BC6A30" w:rsidRDefault="00921511" w:rsidP="00921511">
      <w:pPr>
        <w:pStyle w:val="BodyText"/>
        <w:spacing w:after="120"/>
        <w:jc w:val="both"/>
        <w:rPr>
          <w:rFonts w:cs="Arial"/>
          <w:sz w:val="22"/>
          <w:szCs w:val="22"/>
        </w:rPr>
      </w:pPr>
      <w:r w:rsidRPr="00BC6A30">
        <w:rPr>
          <w:rFonts w:cs="Arial"/>
          <w:sz w:val="22"/>
          <w:szCs w:val="22"/>
        </w:rPr>
        <w:t>A total of 176 patients fully or partially completed the survey and the responses have been incorporated into the SWL IUC service specification.</w:t>
      </w:r>
    </w:p>
    <w:p w14:paraId="5B09B37C" w14:textId="2505D563" w:rsidR="00D10C03" w:rsidRPr="00BC6A30" w:rsidRDefault="00D10C03" w:rsidP="002B0733">
      <w:pPr>
        <w:pStyle w:val="BodyText"/>
        <w:spacing w:after="120"/>
        <w:jc w:val="both"/>
        <w:rPr>
          <w:rFonts w:cs="Arial"/>
          <w:sz w:val="22"/>
          <w:szCs w:val="22"/>
        </w:rPr>
      </w:pPr>
      <w:r w:rsidRPr="00BC6A30">
        <w:rPr>
          <w:rFonts w:cs="Arial"/>
          <w:sz w:val="22"/>
          <w:szCs w:val="22"/>
        </w:rPr>
        <w:t xml:space="preserve">In </w:t>
      </w:r>
      <w:r w:rsidR="003D7576" w:rsidRPr="00BC6A30">
        <w:rPr>
          <w:rFonts w:cs="Arial"/>
          <w:sz w:val="22"/>
          <w:szCs w:val="22"/>
        </w:rPr>
        <w:t>SWL</w:t>
      </w:r>
      <w:r w:rsidRPr="00BC6A30">
        <w:rPr>
          <w:rFonts w:cs="Arial"/>
          <w:sz w:val="22"/>
          <w:szCs w:val="22"/>
        </w:rPr>
        <w:t xml:space="preserve"> with the assistance of all engagement leads across </w:t>
      </w:r>
      <w:r w:rsidR="003D7576" w:rsidRPr="00BC6A30">
        <w:rPr>
          <w:rFonts w:cs="Arial"/>
          <w:sz w:val="22"/>
          <w:szCs w:val="22"/>
        </w:rPr>
        <w:t>SWL</w:t>
      </w:r>
      <w:r w:rsidRPr="00BC6A30">
        <w:rPr>
          <w:rFonts w:cs="Arial"/>
          <w:sz w:val="22"/>
          <w:szCs w:val="22"/>
        </w:rPr>
        <w:t xml:space="preserve"> CCGs and the </w:t>
      </w:r>
      <w:r w:rsidR="003D7576" w:rsidRPr="00BC6A30">
        <w:rPr>
          <w:rFonts w:cs="Arial"/>
          <w:sz w:val="22"/>
          <w:szCs w:val="22"/>
        </w:rPr>
        <w:t>SWL</w:t>
      </w:r>
      <w:r w:rsidRPr="00BC6A30">
        <w:rPr>
          <w:rFonts w:cs="Arial"/>
          <w:sz w:val="22"/>
          <w:szCs w:val="22"/>
        </w:rPr>
        <w:t xml:space="preserve"> IUC Patient Advisory Group (PAG)</w:t>
      </w:r>
      <w:r w:rsidR="002B0733" w:rsidRPr="00BC6A30">
        <w:rPr>
          <w:rFonts w:cs="Arial"/>
          <w:sz w:val="22"/>
          <w:szCs w:val="22"/>
        </w:rPr>
        <w:t>,</w:t>
      </w:r>
      <w:r w:rsidRPr="00BC6A30">
        <w:rPr>
          <w:rFonts w:cs="Arial"/>
          <w:sz w:val="22"/>
          <w:szCs w:val="22"/>
        </w:rPr>
        <w:t xml:space="preserve"> engagement tools and language to promote NHS 111</w:t>
      </w:r>
      <w:r w:rsidR="002B0733" w:rsidRPr="00BC6A30">
        <w:rPr>
          <w:rFonts w:cs="Arial"/>
          <w:sz w:val="22"/>
          <w:szCs w:val="22"/>
        </w:rPr>
        <w:t xml:space="preserve"> have been developed which </w:t>
      </w:r>
      <w:r w:rsidRPr="00BC6A30">
        <w:rPr>
          <w:rFonts w:cs="Arial"/>
          <w:sz w:val="22"/>
          <w:szCs w:val="22"/>
        </w:rPr>
        <w:t>support the ‘call before you walk’ approach.</w:t>
      </w:r>
      <w:r w:rsidR="002B0733" w:rsidRPr="00BC6A30">
        <w:rPr>
          <w:rFonts w:cs="Arial"/>
          <w:sz w:val="22"/>
          <w:szCs w:val="22"/>
        </w:rPr>
        <w:t xml:space="preserve">  </w:t>
      </w:r>
      <w:r w:rsidRPr="00BC6A30">
        <w:rPr>
          <w:rFonts w:cs="Arial"/>
          <w:sz w:val="22"/>
          <w:szCs w:val="22"/>
        </w:rPr>
        <w:t xml:space="preserve">This is to ensure that the maximum number of patients call NHS 111 or contact (NHS 111 online) before deciding to walk into an </w:t>
      </w:r>
      <w:r w:rsidR="002B0733" w:rsidRPr="00BC6A30">
        <w:rPr>
          <w:rFonts w:cs="Arial"/>
          <w:sz w:val="22"/>
          <w:szCs w:val="22"/>
        </w:rPr>
        <w:t>u</w:t>
      </w:r>
      <w:r w:rsidRPr="00BC6A30">
        <w:rPr>
          <w:rFonts w:cs="Arial"/>
          <w:sz w:val="22"/>
          <w:szCs w:val="22"/>
        </w:rPr>
        <w:t xml:space="preserve">rgent </w:t>
      </w:r>
      <w:r w:rsidR="002B0733" w:rsidRPr="00BC6A30">
        <w:rPr>
          <w:rFonts w:cs="Arial"/>
          <w:sz w:val="22"/>
          <w:szCs w:val="22"/>
        </w:rPr>
        <w:t>c</w:t>
      </w:r>
      <w:r w:rsidRPr="00BC6A30">
        <w:rPr>
          <w:rFonts w:cs="Arial"/>
          <w:sz w:val="22"/>
          <w:szCs w:val="22"/>
        </w:rPr>
        <w:t>are setting.  In addition, there has been national print, social media and television advertising</w:t>
      </w:r>
      <w:r w:rsidRPr="00BC6A30">
        <w:rPr>
          <w:rFonts w:cs="Arial"/>
          <w:bCs/>
          <w:sz w:val="22"/>
          <w:szCs w:val="22"/>
          <w:lang w:eastAsia="en-GB"/>
        </w:rPr>
        <w:t xml:space="preserve"> make all patients in England aware of NHS 111 both on the telephone and on-line.</w:t>
      </w:r>
    </w:p>
    <w:p w14:paraId="1E378639" w14:textId="0A60A728" w:rsidR="00D10C03" w:rsidRPr="00BC6A30" w:rsidRDefault="00D10C03" w:rsidP="00D10C03">
      <w:pPr>
        <w:pStyle w:val="BodyText"/>
        <w:jc w:val="both"/>
        <w:rPr>
          <w:rFonts w:cs="Arial"/>
          <w:bCs/>
          <w:sz w:val="22"/>
          <w:szCs w:val="22"/>
          <w:lang w:eastAsia="en-GB"/>
        </w:rPr>
      </w:pPr>
      <w:r w:rsidRPr="00BC6A30">
        <w:rPr>
          <w:rFonts w:cs="Arial"/>
          <w:bCs/>
          <w:sz w:val="22"/>
          <w:szCs w:val="22"/>
          <w:lang w:eastAsia="en-GB"/>
        </w:rPr>
        <w:t>These national and local campaigns have increased the utilisation of the service, as this has been seen from the recent NHS 111 national awareness campaign</w:t>
      </w:r>
      <w:r w:rsidR="00D35B75" w:rsidRPr="00BC6A30">
        <w:rPr>
          <w:rFonts w:cs="Arial"/>
          <w:bCs/>
          <w:sz w:val="22"/>
          <w:szCs w:val="22"/>
          <w:lang w:eastAsia="en-GB"/>
        </w:rPr>
        <w:t>.</w:t>
      </w:r>
      <w:r w:rsidRPr="00BC6A30">
        <w:rPr>
          <w:rFonts w:cs="Arial"/>
          <w:bCs/>
          <w:sz w:val="22"/>
          <w:szCs w:val="22"/>
          <w:lang w:eastAsia="en-GB"/>
        </w:rPr>
        <w:t xml:space="preserve"> This has created additional demand to services in </w:t>
      </w:r>
      <w:r w:rsidR="003D7576" w:rsidRPr="00BC6A30">
        <w:rPr>
          <w:rFonts w:cs="Arial"/>
          <w:bCs/>
          <w:sz w:val="22"/>
          <w:szCs w:val="22"/>
          <w:lang w:eastAsia="en-GB"/>
        </w:rPr>
        <w:t>SWL</w:t>
      </w:r>
      <w:r w:rsidR="00921511" w:rsidRPr="00BC6A30">
        <w:rPr>
          <w:rFonts w:cs="Arial"/>
          <w:bCs/>
          <w:sz w:val="22"/>
          <w:szCs w:val="22"/>
          <w:lang w:eastAsia="en-GB"/>
        </w:rPr>
        <w:t>, specifically in May and June this year</w:t>
      </w:r>
      <w:r w:rsidRPr="00BC6A30">
        <w:rPr>
          <w:rFonts w:cs="Arial"/>
          <w:bCs/>
          <w:sz w:val="22"/>
          <w:szCs w:val="22"/>
          <w:lang w:eastAsia="en-GB"/>
        </w:rPr>
        <w:t xml:space="preserve">. This is likely to continue, </w:t>
      </w:r>
      <w:r w:rsidR="00D35B75" w:rsidRPr="00BC6A30">
        <w:rPr>
          <w:rFonts w:cs="Arial"/>
          <w:bCs/>
          <w:sz w:val="22"/>
          <w:szCs w:val="22"/>
          <w:lang w:eastAsia="en-GB"/>
        </w:rPr>
        <w:t xml:space="preserve">with an </w:t>
      </w:r>
      <w:r w:rsidRPr="00BC6A30">
        <w:rPr>
          <w:rFonts w:cs="Arial"/>
          <w:bCs/>
          <w:sz w:val="22"/>
          <w:szCs w:val="22"/>
          <w:lang w:eastAsia="en-GB"/>
        </w:rPr>
        <w:t>expect</w:t>
      </w:r>
      <w:r w:rsidR="00D35B75" w:rsidRPr="00BC6A30">
        <w:rPr>
          <w:rFonts w:cs="Arial"/>
          <w:bCs/>
          <w:sz w:val="22"/>
          <w:szCs w:val="22"/>
          <w:lang w:eastAsia="en-GB"/>
        </w:rPr>
        <w:t xml:space="preserve">ation </w:t>
      </w:r>
      <w:r w:rsidR="00921511" w:rsidRPr="00BC6A30">
        <w:rPr>
          <w:rFonts w:cs="Arial"/>
          <w:bCs/>
          <w:sz w:val="22"/>
          <w:szCs w:val="22"/>
          <w:lang w:eastAsia="en-GB"/>
        </w:rPr>
        <w:t>of</w:t>
      </w:r>
      <w:r w:rsidRPr="00BC6A30">
        <w:rPr>
          <w:rFonts w:cs="Arial"/>
          <w:bCs/>
          <w:sz w:val="22"/>
          <w:szCs w:val="22"/>
          <w:lang w:eastAsia="en-GB"/>
        </w:rPr>
        <w:t xml:space="preserve"> an increase in call volume through the life of the contact</w:t>
      </w:r>
      <w:r w:rsidR="00921511" w:rsidRPr="00BC6A30">
        <w:rPr>
          <w:rFonts w:cs="Arial"/>
          <w:bCs/>
          <w:sz w:val="22"/>
          <w:szCs w:val="22"/>
          <w:lang w:eastAsia="en-GB"/>
        </w:rPr>
        <w:t xml:space="preserve"> of approximately 6%/annum, although accurate forecasting in these challenging times has been extremely difficult.</w:t>
      </w:r>
    </w:p>
    <w:p w14:paraId="6DC46459" w14:textId="1C97481E" w:rsidR="00AE61A6" w:rsidRPr="00BC6A30" w:rsidRDefault="00AE61A6" w:rsidP="000725E1">
      <w:pPr>
        <w:jc w:val="both"/>
        <w:rPr>
          <w:rFonts w:cs="Arial"/>
          <w:bCs/>
          <w:sz w:val="22"/>
          <w:szCs w:val="22"/>
          <w:lang w:eastAsia="en-GB"/>
        </w:rPr>
      </w:pPr>
      <w:r w:rsidRPr="00BC6A30">
        <w:rPr>
          <w:rFonts w:cs="Arial"/>
          <w:bCs/>
          <w:sz w:val="22"/>
          <w:szCs w:val="22"/>
          <w:lang w:eastAsia="en-GB"/>
        </w:rPr>
        <w:t xml:space="preserve">  </w:t>
      </w:r>
    </w:p>
    <w:p w14:paraId="224A8EE3" w14:textId="707CD417" w:rsidR="000C0F00" w:rsidRPr="00C07FA8" w:rsidRDefault="009C0692" w:rsidP="00C07FA8">
      <w:pPr>
        <w:pStyle w:val="Heading2"/>
        <w:jc w:val="both"/>
        <w:rPr>
          <w:rFonts w:cs="Arial"/>
          <w:sz w:val="22"/>
          <w:szCs w:val="22"/>
        </w:rPr>
      </w:pPr>
      <w:r w:rsidRPr="00BC6A30">
        <w:rPr>
          <w:rFonts w:cs="Arial"/>
          <w:sz w:val="22"/>
          <w:szCs w:val="22"/>
        </w:rPr>
        <w:t xml:space="preserve">3.4 </w:t>
      </w:r>
      <w:bookmarkStart w:id="10" w:name="_Hlk14017055"/>
      <w:r w:rsidRPr="00BC6A30">
        <w:rPr>
          <w:rFonts w:cs="Arial"/>
          <w:sz w:val="22"/>
          <w:szCs w:val="22"/>
        </w:rPr>
        <w:t xml:space="preserve">Key Service Requirements </w:t>
      </w:r>
      <w:bookmarkEnd w:id="10"/>
    </w:p>
    <w:tbl>
      <w:tblPr>
        <w:tblW w:w="0" w:type="auto"/>
        <w:tblInd w:w="108"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C6D9F1" w:themeFill="text2" w:themeFillTint="33"/>
        <w:tblLook w:val="0000" w:firstRow="0" w:lastRow="0" w:firstColumn="0" w:lastColumn="0" w:noHBand="0" w:noVBand="0"/>
      </w:tblPr>
      <w:tblGrid>
        <w:gridCol w:w="9484"/>
      </w:tblGrid>
      <w:tr w:rsidR="009C0692" w:rsidRPr="00BC6A30" w14:paraId="15A5ECF3" w14:textId="77777777" w:rsidTr="00DA733E">
        <w:trPr>
          <w:trHeight w:val="948"/>
        </w:trPr>
        <w:tc>
          <w:tcPr>
            <w:tcW w:w="9639" w:type="dxa"/>
            <w:shd w:val="clear" w:color="auto" w:fill="C6D9F1" w:themeFill="text2" w:themeFillTint="33"/>
          </w:tcPr>
          <w:p w14:paraId="558345FB" w14:textId="77777777" w:rsidR="009C0692" w:rsidRPr="00BC6A30" w:rsidRDefault="009C0692" w:rsidP="00C07FA8">
            <w:pPr>
              <w:spacing w:line="288" w:lineRule="auto"/>
              <w:jc w:val="both"/>
              <w:rPr>
                <w:rFonts w:eastAsiaTheme="minorHAnsi" w:cs="Arial"/>
                <w:b/>
                <w:sz w:val="22"/>
                <w:szCs w:val="22"/>
              </w:rPr>
            </w:pPr>
            <w:r w:rsidRPr="00BC6A30">
              <w:rPr>
                <w:rFonts w:eastAsiaTheme="minorHAnsi" w:cs="Arial"/>
                <w:b/>
                <w:sz w:val="22"/>
                <w:szCs w:val="22"/>
              </w:rPr>
              <w:t>KEY SERVICE REQUIREMENTS</w:t>
            </w:r>
          </w:p>
          <w:p w14:paraId="282093A3" w14:textId="77777777" w:rsidR="009C0692" w:rsidRPr="00BC6A30" w:rsidRDefault="009C0692" w:rsidP="00C07FA8">
            <w:pPr>
              <w:spacing w:line="288" w:lineRule="auto"/>
              <w:jc w:val="both"/>
              <w:rPr>
                <w:rFonts w:eastAsiaTheme="minorHAnsi" w:cs="Arial"/>
                <w:sz w:val="22"/>
                <w:szCs w:val="22"/>
              </w:rPr>
            </w:pPr>
            <w:r w:rsidRPr="00BC6A30">
              <w:rPr>
                <w:rFonts w:eastAsiaTheme="minorHAnsi" w:cs="Arial"/>
                <w:sz w:val="22"/>
                <w:szCs w:val="22"/>
              </w:rPr>
              <w:t>These are key requirements that include but are not limited to;</w:t>
            </w:r>
          </w:p>
          <w:p w14:paraId="04CCABCF" w14:textId="77777777" w:rsidR="009C0692" w:rsidRPr="00BC6A30" w:rsidRDefault="009C0692" w:rsidP="00C07FA8">
            <w:pPr>
              <w:spacing w:line="288" w:lineRule="auto"/>
              <w:jc w:val="both"/>
              <w:rPr>
                <w:rFonts w:eastAsiaTheme="minorHAnsi" w:cs="Arial"/>
                <w:sz w:val="22"/>
                <w:szCs w:val="22"/>
              </w:rPr>
            </w:pPr>
          </w:p>
          <w:p w14:paraId="3AE7E4A3" w14:textId="77777777" w:rsidR="009C0692" w:rsidRPr="00BC6A30" w:rsidRDefault="009C0692" w:rsidP="00C07FA8">
            <w:pPr>
              <w:spacing w:line="288" w:lineRule="auto"/>
              <w:jc w:val="both"/>
              <w:rPr>
                <w:rFonts w:eastAsiaTheme="minorHAnsi" w:cs="Arial"/>
                <w:b/>
                <w:sz w:val="22"/>
                <w:szCs w:val="22"/>
              </w:rPr>
            </w:pPr>
            <w:r w:rsidRPr="00BC6A30">
              <w:rPr>
                <w:rFonts w:eastAsiaTheme="minorHAnsi" w:cs="Arial"/>
                <w:b/>
                <w:sz w:val="22"/>
                <w:szCs w:val="22"/>
              </w:rPr>
              <w:t>Providers must ensure:</w:t>
            </w:r>
          </w:p>
          <w:p w14:paraId="57BD6C86" w14:textId="77777777"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They are available to accept calls and digital referral from the NHS 111 telephony and NHS 111 Online platforms and to provide any subsequent face-to-face treatment, or make onward referral for face-to-face treatment 24/7, 365 days a year (including leap year days).</w:t>
            </w:r>
          </w:p>
          <w:p w14:paraId="18F93E27" w14:textId="6B7865DF"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 xml:space="preserve">A responsible GP is available 24/7 to allow for generalist clinical consultation at all times, </w:t>
            </w:r>
            <w:r w:rsidRPr="00BC6A30">
              <w:rPr>
                <w:rFonts w:eastAsiaTheme="minorHAnsi" w:cs="Arial"/>
                <w:sz w:val="22"/>
                <w:szCs w:val="22"/>
              </w:rPr>
              <w:lastRenderedPageBreak/>
              <w:t>with other professionals employed according to times of local need.</w:t>
            </w:r>
          </w:p>
          <w:p w14:paraId="2CD2201B" w14:textId="7D84C061"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CDSS systems are used within the licencing requirements of that system.</w:t>
            </w:r>
          </w:p>
          <w:p w14:paraId="14267FA8" w14:textId="59A5E36A"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 ability to link to ambulance systems is in place in order to facilitate activating an emergency response where required.</w:t>
            </w:r>
          </w:p>
          <w:p w14:paraId="23FC0D53" w14:textId="7311BA70"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Call streaming through Interactive Voice Recognition (IVR) or an equivalent system may be beneficial for the management of callers with dental symptoms.</w:t>
            </w:r>
          </w:p>
          <w:p w14:paraId="1797F2F6" w14:textId="15669495"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Clinical staff receive suitable training on the management of callers with dental symptoms (including trauma) in order to appropriately refer or manage cases that cannot be referred to another service.</w:t>
            </w:r>
          </w:p>
          <w:p w14:paraId="3B50779F" w14:textId="1EEC6887"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 xml:space="preserve">Clinical staff working in the service have received training on </w:t>
            </w:r>
            <w:proofErr w:type="spellStart"/>
            <w:r w:rsidRPr="00BC6A30">
              <w:rPr>
                <w:rFonts w:eastAsiaTheme="minorHAnsi" w:cs="Arial"/>
                <w:sz w:val="22"/>
                <w:szCs w:val="22"/>
              </w:rPr>
              <w:t>Toxbase</w:t>
            </w:r>
            <w:proofErr w:type="spellEnd"/>
            <w:r w:rsidRPr="00BC6A30">
              <w:rPr>
                <w:rFonts w:eastAsiaTheme="minorHAnsi" w:cs="Arial"/>
                <w:sz w:val="22"/>
                <w:szCs w:val="22"/>
              </w:rPr>
              <w:t xml:space="preserve"> or its equivalent to ensure that analgesia overdose can be identified and managed amongst dental callers. Referral to services returned in the Directory of Services, considering them (and as long as suitable then offering them to the patient) in the order returned where an end point has been provided to refer to that service through ITK (migrating to the FHIR standards as they become available) or </w:t>
            </w:r>
            <w:proofErr w:type="spellStart"/>
            <w:r w:rsidRPr="00BC6A30">
              <w:rPr>
                <w:rFonts w:eastAsiaTheme="minorHAnsi" w:cs="Arial"/>
                <w:sz w:val="22"/>
                <w:szCs w:val="22"/>
              </w:rPr>
              <w:t>NHSmail</w:t>
            </w:r>
            <w:proofErr w:type="spellEnd"/>
            <w:r w:rsidRPr="00BC6A30">
              <w:rPr>
                <w:rFonts w:eastAsiaTheme="minorHAnsi" w:cs="Arial"/>
                <w:sz w:val="22"/>
                <w:szCs w:val="22"/>
              </w:rPr>
              <w:t>.</w:t>
            </w:r>
          </w:p>
          <w:p w14:paraId="1909E7B4" w14:textId="4183417B"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As many episodes of care as possible receive clinical assessment as part of the telephony journey, including specialist clinicians where appropriate, in order to achieve the best assessment of the patient. This is linked to the desire to complete the episode of care as fully as possible, resulting in provision of self-care, booking into onward services or prescribing of appropriate medications (</w:t>
            </w:r>
            <w:proofErr w:type="gramStart"/>
            <w:r w:rsidRPr="00BC6A30">
              <w:rPr>
                <w:rFonts w:eastAsiaTheme="minorHAnsi" w:cs="Arial"/>
                <w:sz w:val="22"/>
                <w:szCs w:val="22"/>
              </w:rPr>
              <w:t>e.g.</w:t>
            </w:r>
            <w:proofErr w:type="gramEnd"/>
            <w:r w:rsidRPr="00BC6A30">
              <w:rPr>
                <w:rFonts w:eastAsiaTheme="minorHAnsi" w:cs="Arial"/>
                <w:sz w:val="22"/>
                <w:szCs w:val="22"/>
              </w:rPr>
              <w:t xml:space="preserve"> the ‘consult and complete’ model).</w:t>
            </w:r>
          </w:p>
          <w:p w14:paraId="2C0AAF2C" w14:textId="6F981E97"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Implementation of a solution capable of direct appointment booking with destination services through the chosen clinical workflow system.</w:t>
            </w:r>
          </w:p>
          <w:p w14:paraId="30EEE91A" w14:textId="0F81DBF1"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Connection to GP Connect to facilitate booking and access to records.</w:t>
            </w:r>
          </w:p>
          <w:p w14:paraId="5871542C" w14:textId="3C632475"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That the chosen workflow system has the ability to send an electronic Post Event Message (PEM).</w:t>
            </w:r>
          </w:p>
          <w:p w14:paraId="0EB71200" w14:textId="70E6CAF2"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Consideration is given to how the chosen workflow system interoperates with NHS 111 Online.</w:t>
            </w:r>
          </w:p>
          <w:p w14:paraId="203A40B3" w14:textId="09406BD7"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 chosen workflow system has technical integration with the Personal Demographics Service (PDS).</w:t>
            </w:r>
          </w:p>
          <w:p w14:paraId="68B737B3" w14:textId="3450E6C5"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 chosen workflow system can provide Patient Flag functionality, allowing Health Advisors and health care professionals to be proactively alerted where important information is available to assist with, and direct, the specific care that is provided to the patient.</w:t>
            </w:r>
          </w:p>
          <w:p w14:paraId="57E0C22A" w14:textId="294CCA36"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 chosen workflow system has ability to integrate with the National Repeat Caller Service.</w:t>
            </w:r>
          </w:p>
          <w:p w14:paraId="6485B3ED" w14:textId="5E0FADAA"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 chosen workflow system has the ability to query the Child Protection Information System (CP-IS).</w:t>
            </w:r>
          </w:p>
          <w:p w14:paraId="78546FCC" w14:textId="28139623"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An equitable service is provided, whether or not a caller is registered on the GP Choice scheme.</w:t>
            </w:r>
          </w:p>
          <w:p w14:paraId="5A51EA1B" w14:textId="773E38F0"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A systematic process is in place to regularly seek out, listen to, and act on patient feedback on their experience of using the service.</w:t>
            </w:r>
          </w:p>
          <w:p w14:paraId="138EF789" w14:textId="143809BE"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Electronic referral methods are utilised where possible.</w:t>
            </w:r>
          </w:p>
          <w:p w14:paraId="6EBB018F" w14:textId="0A4138AF"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Clinicians within the IUC CAS, whether physically co-located or working remotely, shall work to standard professional competencies and must be exposed to regular review and clinically led audit.</w:t>
            </w:r>
          </w:p>
          <w:p w14:paraId="1737AD08" w14:textId="3E15910E"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Consideration has been given to the NHS 111 Workforce Blueprint in relation to service delivery.</w:t>
            </w:r>
          </w:p>
          <w:p w14:paraId="4DF5DCE7" w14:textId="0063DCD7"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 xml:space="preserve">Call handling and clinical advice staff are enabled to work remotely with access to the </w:t>
            </w:r>
            <w:r w:rsidRPr="00BC6A30">
              <w:rPr>
                <w:rFonts w:eastAsiaTheme="minorHAnsi" w:cs="Arial"/>
                <w:sz w:val="22"/>
                <w:szCs w:val="22"/>
              </w:rPr>
              <w:lastRenderedPageBreak/>
              <w:t>appropriate technology.</w:t>
            </w:r>
          </w:p>
          <w:p w14:paraId="6C287151" w14:textId="7E4B1F5D"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They are contributing as necessary to the data requirements for the provision of national metrics (</w:t>
            </w:r>
            <w:proofErr w:type="gramStart"/>
            <w:r w:rsidRPr="00BC6A30">
              <w:rPr>
                <w:rFonts w:eastAsiaTheme="minorHAnsi" w:cs="Arial"/>
                <w:sz w:val="22"/>
                <w:szCs w:val="22"/>
              </w:rPr>
              <w:t>e.g.</w:t>
            </w:r>
            <w:proofErr w:type="gramEnd"/>
            <w:r w:rsidRPr="00BC6A30">
              <w:rPr>
                <w:rFonts w:eastAsiaTheme="minorHAnsi" w:cs="Arial"/>
                <w:sz w:val="22"/>
                <w:szCs w:val="22"/>
              </w:rPr>
              <w:t xml:space="preserve"> as nominated lead data provider where appropriate or suppliers of relevant data to the lead data provider). The provider has an obligation to work with other local providers to ensure the provision of national data as specified by NHS England and the commissioner. This relationship will be underpinned by the commissioner.</w:t>
            </w:r>
          </w:p>
          <w:p w14:paraId="669023BD" w14:textId="323A3255"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They are involved in planning and preparedness for response to a major incident, including any pandemic response.</w:t>
            </w:r>
          </w:p>
          <w:p w14:paraId="42B7F87B" w14:textId="3153E1C8" w:rsidR="00D24A9B"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Where they have responsibility for premises (</w:t>
            </w:r>
            <w:proofErr w:type="gramStart"/>
            <w:r w:rsidRPr="00BC6A30">
              <w:rPr>
                <w:rFonts w:eastAsiaTheme="minorHAnsi" w:cs="Arial"/>
                <w:sz w:val="22"/>
                <w:szCs w:val="22"/>
              </w:rPr>
              <w:t>e.g.</w:t>
            </w:r>
            <w:proofErr w:type="gramEnd"/>
            <w:r w:rsidRPr="00BC6A30">
              <w:rPr>
                <w:rFonts w:eastAsiaTheme="minorHAnsi" w:cs="Arial"/>
                <w:sz w:val="22"/>
                <w:szCs w:val="22"/>
              </w:rPr>
              <w:t xml:space="preserve"> call centres and/or IUC Treatment Centres) they should meet the required standards as outlined in the Service Specification.</w:t>
            </w:r>
          </w:p>
          <w:p w14:paraId="4927C463" w14:textId="5840B5EF" w:rsidR="009C0692" w:rsidRPr="00BC6A30" w:rsidRDefault="00D24A9B" w:rsidP="00C07FA8">
            <w:pPr>
              <w:numPr>
                <w:ilvl w:val="0"/>
                <w:numId w:val="17"/>
              </w:numPr>
              <w:spacing w:after="200" w:line="276" w:lineRule="auto"/>
              <w:contextualSpacing/>
              <w:jc w:val="both"/>
              <w:rPr>
                <w:rFonts w:eastAsiaTheme="minorHAnsi" w:cs="Arial"/>
                <w:sz w:val="22"/>
                <w:szCs w:val="22"/>
              </w:rPr>
            </w:pPr>
            <w:r w:rsidRPr="00BC6A30">
              <w:rPr>
                <w:rFonts w:eastAsiaTheme="minorHAnsi" w:cs="Arial"/>
                <w:sz w:val="22"/>
                <w:szCs w:val="22"/>
              </w:rPr>
              <w:t xml:space="preserve">Following assessment, the service must agree with the caller the appropriate next step to meet the patients’ needs and the caller should be provided with the most appropriate safety-netting advice and asked to re-contact the service should symptoms </w:t>
            </w:r>
            <w:proofErr w:type="gramStart"/>
            <w:r w:rsidRPr="00BC6A30">
              <w:rPr>
                <w:rFonts w:eastAsiaTheme="minorHAnsi" w:cs="Arial"/>
                <w:sz w:val="22"/>
                <w:szCs w:val="22"/>
              </w:rPr>
              <w:t>worsen</w:t>
            </w:r>
            <w:proofErr w:type="gramEnd"/>
            <w:r w:rsidRPr="00BC6A30">
              <w:rPr>
                <w:rFonts w:eastAsiaTheme="minorHAnsi" w:cs="Arial"/>
                <w:sz w:val="22"/>
                <w:szCs w:val="22"/>
              </w:rPr>
              <w:t xml:space="preserve"> or the patient condition changes.</w:t>
            </w:r>
          </w:p>
        </w:tc>
      </w:tr>
    </w:tbl>
    <w:p w14:paraId="197FD7BC" w14:textId="77777777" w:rsidR="009C0692" w:rsidRPr="00BC6A30" w:rsidRDefault="009C0692" w:rsidP="00C07FA8">
      <w:pPr>
        <w:spacing w:line="288" w:lineRule="auto"/>
        <w:jc w:val="both"/>
        <w:rPr>
          <w:rFonts w:eastAsiaTheme="minorHAnsi" w:cs="Arial"/>
          <w:sz w:val="22"/>
          <w:szCs w:val="22"/>
        </w:rPr>
      </w:pPr>
    </w:p>
    <w:p w14:paraId="525AF36B" w14:textId="0A03ACB3" w:rsidR="009C0692" w:rsidRPr="00BC6A30" w:rsidRDefault="009C0692" w:rsidP="00C07FA8">
      <w:pPr>
        <w:pStyle w:val="Heading2"/>
        <w:jc w:val="both"/>
        <w:rPr>
          <w:rFonts w:cs="Arial"/>
          <w:sz w:val="22"/>
          <w:szCs w:val="22"/>
        </w:rPr>
      </w:pPr>
      <w:r w:rsidRPr="00BC6A30">
        <w:rPr>
          <w:rFonts w:cs="Arial"/>
          <w:sz w:val="22"/>
          <w:szCs w:val="22"/>
        </w:rPr>
        <w:t xml:space="preserve">3.5 Clinical Vision </w:t>
      </w:r>
    </w:p>
    <w:p w14:paraId="5ACE139B" w14:textId="77777777" w:rsidR="009C0692" w:rsidRPr="00BC6A30" w:rsidRDefault="009C0692" w:rsidP="00C07FA8">
      <w:pPr>
        <w:jc w:val="both"/>
        <w:rPr>
          <w:rFonts w:cs="Arial"/>
          <w:sz w:val="22"/>
          <w:szCs w:val="22"/>
        </w:rPr>
      </w:pPr>
    </w:p>
    <w:p w14:paraId="15D28360" w14:textId="19B85888" w:rsidR="000A1023" w:rsidRPr="00BC6A30" w:rsidRDefault="00C07FA8" w:rsidP="00C07FA8">
      <w:pPr>
        <w:ind w:left="-709" w:right="-710"/>
        <w:jc w:val="both"/>
        <w:rPr>
          <w:rFonts w:cs="Arial"/>
          <w:b/>
          <w:sz w:val="22"/>
          <w:szCs w:val="22"/>
        </w:rPr>
      </w:pPr>
      <w:r>
        <w:rPr>
          <w:rFonts w:cs="Arial"/>
          <w:b/>
          <w:noProof/>
          <w:sz w:val="22"/>
          <w:szCs w:val="22"/>
        </w:rPr>
        <w:drawing>
          <wp:inline distT="0" distB="0" distL="0" distR="0" wp14:anchorId="1131F4CD" wp14:editId="5A4847FE">
            <wp:extent cx="6962775" cy="295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5185" b="13148"/>
                    <a:stretch/>
                  </pic:blipFill>
                  <pic:spPr bwMode="auto">
                    <a:xfrm>
                      <a:off x="0" y="0"/>
                      <a:ext cx="6971323" cy="2962733"/>
                    </a:xfrm>
                    <a:prstGeom prst="rect">
                      <a:avLst/>
                    </a:prstGeom>
                    <a:noFill/>
                    <a:ln>
                      <a:noFill/>
                    </a:ln>
                    <a:extLst>
                      <a:ext uri="{53640926-AAD7-44D8-BBD7-CCE9431645EC}">
                        <a14:shadowObscured xmlns:a14="http://schemas.microsoft.com/office/drawing/2010/main"/>
                      </a:ext>
                    </a:extLst>
                  </pic:spPr>
                </pic:pic>
              </a:graphicData>
            </a:graphic>
          </wp:inline>
        </w:drawing>
      </w:r>
    </w:p>
    <w:p w14:paraId="4806C361" w14:textId="52522948" w:rsidR="000A1023" w:rsidRPr="00BC6A30" w:rsidRDefault="000A1023" w:rsidP="00C07FA8">
      <w:pPr>
        <w:jc w:val="both"/>
        <w:rPr>
          <w:rFonts w:cs="Arial"/>
          <w:b/>
          <w:sz w:val="22"/>
          <w:szCs w:val="22"/>
        </w:rPr>
      </w:pPr>
    </w:p>
    <w:p w14:paraId="35069882" w14:textId="59157589" w:rsidR="009C0692" w:rsidRPr="00BC6A30" w:rsidRDefault="009C0692" w:rsidP="00C07FA8">
      <w:pPr>
        <w:jc w:val="both"/>
        <w:rPr>
          <w:rFonts w:cs="Arial"/>
          <w:b/>
          <w:sz w:val="22"/>
          <w:szCs w:val="22"/>
        </w:rPr>
      </w:pPr>
    </w:p>
    <w:p w14:paraId="4A4035ED" w14:textId="7BCE0D1E" w:rsidR="009C0692" w:rsidRPr="00BC6A30" w:rsidRDefault="009C0692" w:rsidP="00C07FA8">
      <w:pPr>
        <w:pStyle w:val="Heading2"/>
        <w:jc w:val="both"/>
        <w:rPr>
          <w:rFonts w:cs="Arial"/>
          <w:sz w:val="22"/>
          <w:szCs w:val="22"/>
        </w:rPr>
      </w:pPr>
      <w:bookmarkStart w:id="11" w:name="_Hlk14017844"/>
      <w:r w:rsidRPr="00BC6A30">
        <w:rPr>
          <w:rFonts w:cs="Arial"/>
          <w:sz w:val="22"/>
          <w:szCs w:val="22"/>
        </w:rPr>
        <w:t>3.6 Service volumes</w:t>
      </w:r>
      <w:r w:rsidR="00900C91" w:rsidRPr="00BC6A30">
        <w:rPr>
          <w:rFonts w:cs="Arial"/>
          <w:sz w:val="22"/>
          <w:szCs w:val="22"/>
        </w:rPr>
        <w:t xml:space="preserve"> </w:t>
      </w:r>
      <w:bookmarkEnd w:id="11"/>
    </w:p>
    <w:p w14:paraId="3B85981A" w14:textId="1E4C1FAE" w:rsidR="00C07FA8" w:rsidRDefault="004F197E" w:rsidP="00C07FA8">
      <w:pPr>
        <w:spacing w:after="120" w:line="276" w:lineRule="auto"/>
        <w:jc w:val="both"/>
        <w:rPr>
          <w:rFonts w:eastAsiaTheme="minorHAnsi" w:cs="Arial"/>
          <w:i/>
          <w:sz w:val="22"/>
          <w:szCs w:val="22"/>
        </w:rPr>
      </w:pPr>
      <w:r w:rsidRPr="00BC6A30">
        <w:rPr>
          <w:rFonts w:eastAsiaTheme="minorHAnsi" w:cs="Arial"/>
          <w:b/>
          <w:i/>
          <w:sz w:val="22"/>
          <w:szCs w:val="22"/>
          <w:u w:val="single"/>
        </w:rPr>
        <w:t>Note:</w:t>
      </w:r>
      <w:r w:rsidRPr="00BC6A30">
        <w:rPr>
          <w:rFonts w:eastAsiaTheme="minorHAnsi" w:cs="Arial"/>
          <w:b/>
          <w:i/>
          <w:sz w:val="22"/>
          <w:szCs w:val="22"/>
        </w:rPr>
        <w:t xml:space="preserve"> </w:t>
      </w:r>
      <w:r w:rsidRPr="00BC6A30">
        <w:rPr>
          <w:rFonts w:eastAsiaTheme="minorHAnsi" w:cs="Arial"/>
          <w:i/>
          <w:sz w:val="22"/>
          <w:szCs w:val="22"/>
        </w:rPr>
        <w:t>The information shared within this section 3.6, is being set out here to provide overall context and is not intended to take precedence over the same or similar information contained within the Contract, Service Specification, ITT Document 1 Bidder Instructions, or Financial Model Template. In the case of any discrepancies, the Bidder is advised to seek clarity from the Contracting Authority.</w:t>
      </w:r>
    </w:p>
    <w:p w14:paraId="69681EF7" w14:textId="77777777" w:rsidR="00C07FA8" w:rsidRPr="00C07FA8" w:rsidRDefault="00C07FA8" w:rsidP="00C07FA8">
      <w:pPr>
        <w:spacing w:after="120" w:line="276" w:lineRule="auto"/>
        <w:jc w:val="both"/>
        <w:rPr>
          <w:rFonts w:eastAsiaTheme="minorHAnsi" w:cs="Arial"/>
          <w:i/>
          <w:sz w:val="22"/>
          <w:szCs w:val="22"/>
        </w:rPr>
      </w:pPr>
    </w:p>
    <w:p w14:paraId="35FF7C1B" w14:textId="77777777" w:rsidR="00C07FA8" w:rsidRDefault="00900C91" w:rsidP="00C07FA8">
      <w:pPr>
        <w:spacing w:after="120" w:line="276" w:lineRule="auto"/>
        <w:jc w:val="both"/>
        <w:rPr>
          <w:rFonts w:eastAsiaTheme="minorHAnsi" w:cs="Arial"/>
          <w:b/>
          <w:sz w:val="22"/>
          <w:szCs w:val="22"/>
        </w:rPr>
      </w:pPr>
      <w:r w:rsidRPr="00BC6A30">
        <w:rPr>
          <w:rFonts w:eastAsiaTheme="minorHAnsi" w:cs="Arial"/>
          <w:b/>
          <w:sz w:val="22"/>
          <w:szCs w:val="22"/>
        </w:rPr>
        <w:t>Activity assumptions</w:t>
      </w:r>
    </w:p>
    <w:p w14:paraId="1BDC4DF7" w14:textId="2548DC98" w:rsidR="006042E4" w:rsidRDefault="00C07FA8" w:rsidP="00C07FA8">
      <w:pPr>
        <w:spacing w:after="120" w:line="276" w:lineRule="auto"/>
        <w:jc w:val="both"/>
        <w:rPr>
          <w:rFonts w:eastAsiaTheme="minorHAnsi" w:cs="Arial"/>
          <w:sz w:val="22"/>
          <w:szCs w:val="22"/>
        </w:rPr>
      </w:pPr>
      <w:r w:rsidRPr="00C07FA8">
        <w:rPr>
          <w:rFonts w:eastAsiaTheme="minorHAnsi" w:cs="Arial"/>
          <w:bCs/>
          <w:sz w:val="22"/>
          <w:szCs w:val="22"/>
        </w:rPr>
        <w:t>T</w:t>
      </w:r>
      <w:r w:rsidR="00900C91" w:rsidRPr="00BC6A30">
        <w:rPr>
          <w:rFonts w:eastAsiaTheme="minorHAnsi" w:cs="Arial"/>
          <w:sz w:val="22"/>
          <w:szCs w:val="22"/>
        </w:rPr>
        <w:t xml:space="preserve">he </w:t>
      </w:r>
      <w:r w:rsidR="003D7576" w:rsidRPr="00BC6A30">
        <w:rPr>
          <w:rFonts w:eastAsiaTheme="minorHAnsi" w:cs="Arial"/>
          <w:sz w:val="22"/>
          <w:szCs w:val="22"/>
        </w:rPr>
        <w:t>SWL</w:t>
      </w:r>
      <w:r w:rsidR="00246EAA" w:rsidRPr="00BC6A30">
        <w:rPr>
          <w:rFonts w:eastAsiaTheme="minorHAnsi" w:cs="Arial"/>
          <w:sz w:val="22"/>
          <w:szCs w:val="22"/>
        </w:rPr>
        <w:t xml:space="preserve"> </w:t>
      </w:r>
      <w:r w:rsidR="00900C91" w:rsidRPr="00BC6A30">
        <w:rPr>
          <w:rFonts w:eastAsiaTheme="minorHAnsi" w:cs="Arial"/>
          <w:sz w:val="22"/>
          <w:szCs w:val="22"/>
        </w:rPr>
        <w:t xml:space="preserve">CCG have modelled the anticipated demand for the new IUC service throughout its </w:t>
      </w:r>
      <w:r w:rsidR="006042E4" w:rsidRPr="00BC6A30">
        <w:rPr>
          <w:rFonts w:eastAsiaTheme="minorHAnsi" w:cs="Arial"/>
          <w:sz w:val="22"/>
          <w:szCs w:val="22"/>
        </w:rPr>
        <w:t>initial 3</w:t>
      </w:r>
      <w:r w:rsidR="00900C91" w:rsidRPr="00BC6A30">
        <w:rPr>
          <w:rFonts w:eastAsiaTheme="minorHAnsi" w:cs="Arial"/>
          <w:sz w:val="22"/>
          <w:szCs w:val="22"/>
        </w:rPr>
        <w:t xml:space="preserve">-year term and these will be used to define the Core Activity within the contract and used for the purposes of evaluating bids received through the procurement process. </w:t>
      </w:r>
    </w:p>
    <w:p w14:paraId="77438350" w14:textId="77777777" w:rsidR="00C07FA8" w:rsidRPr="00C07FA8" w:rsidRDefault="00C07FA8" w:rsidP="00C07FA8">
      <w:pPr>
        <w:spacing w:after="120" w:line="276" w:lineRule="auto"/>
        <w:jc w:val="both"/>
        <w:rPr>
          <w:rFonts w:eastAsiaTheme="minorHAnsi" w:cs="Arial"/>
          <w:b/>
          <w:sz w:val="22"/>
          <w:szCs w:val="22"/>
        </w:rPr>
      </w:pPr>
    </w:p>
    <w:p w14:paraId="1CAC3F86" w14:textId="36B5EC2D" w:rsidR="00ED4575" w:rsidRDefault="00900C91" w:rsidP="00946E21">
      <w:pPr>
        <w:numPr>
          <w:ilvl w:val="0"/>
          <w:numId w:val="18"/>
        </w:numPr>
        <w:spacing w:after="120" w:line="276" w:lineRule="auto"/>
        <w:rPr>
          <w:rFonts w:eastAsiaTheme="minorHAnsi" w:cs="Arial"/>
          <w:b/>
          <w:sz w:val="22"/>
          <w:szCs w:val="22"/>
        </w:rPr>
      </w:pPr>
      <w:r w:rsidRPr="00ED4575">
        <w:rPr>
          <w:rFonts w:eastAsiaTheme="minorHAnsi" w:cs="Arial"/>
          <w:b/>
          <w:sz w:val="22"/>
          <w:szCs w:val="22"/>
        </w:rPr>
        <w:lastRenderedPageBreak/>
        <w:t xml:space="preserve">Calls </w:t>
      </w:r>
      <w:r w:rsidR="00ED4575" w:rsidRPr="00ED4575">
        <w:rPr>
          <w:rFonts w:eastAsiaTheme="minorHAnsi" w:cs="Arial"/>
          <w:b/>
          <w:sz w:val="22"/>
          <w:szCs w:val="22"/>
        </w:rPr>
        <w:t>managed</w:t>
      </w:r>
    </w:p>
    <w:p w14:paraId="7C325AC7" w14:textId="77777777" w:rsidR="00ED4575" w:rsidRPr="00ED4575" w:rsidRDefault="00ED4575" w:rsidP="00ED4575">
      <w:pPr>
        <w:spacing w:after="120" w:line="276" w:lineRule="auto"/>
        <w:ind w:left="1152"/>
        <w:rPr>
          <w:rFonts w:eastAsiaTheme="minorHAnsi" w:cs="Arial"/>
          <w:b/>
          <w:sz w:val="22"/>
          <w:szCs w:val="22"/>
        </w:rPr>
      </w:pPr>
    </w:p>
    <w:tbl>
      <w:tblPr>
        <w:tblStyle w:val="PlainTable3"/>
        <w:tblW w:w="0" w:type="auto"/>
        <w:tblLook w:val="04A0" w:firstRow="1" w:lastRow="0" w:firstColumn="1" w:lastColumn="0" w:noHBand="0" w:noVBand="1"/>
      </w:tblPr>
      <w:tblGrid>
        <w:gridCol w:w="2493"/>
        <w:gridCol w:w="1084"/>
        <w:gridCol w:w="1084"/>
        <w:gridCol w:w="1176"/>
        <w:gridCol w:w="1134"/>
        <w:gridCol w:w="1134"/>
      </w:tblGrid>
      <w:tr w:rsidR="00900C91" w:rsidRPr="00BC6A30" w14:paraId="4D947CA3" w14:textId="77777777" w:rsidTr="00ED45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93" w:type="dxa"/>
          </w:tcPr>
          <w:p w14:paraId="63135CD9" w14:textId="15DBDEED" w:rsidR="00900C91" w:rsidRPr="00BC6A30" w:rsidRDefault="00BB51A5" w:rsidP="00900C91">
            <w:pPr>
              <w:spacing w:after="120"/>
              <w:rPr>
                <w:rFonts w:cs="Arial"/>
                <w:b w:val="0"/>
                <w:sz w:val="22"/>
              </w:rPr>
            </w:pPr>
            <w:r>
              <w:rPr>
                <w:rFonts w:cs="Arial"/>
                <w:sz w:val="22"/>
              </w:rPr>
              <w:t xml:space="preserve">SWL </w:t>
            </w:r>
            <w:r w:rsidR="00900C91" w:rsidRPr="00BC6A30">
              <w:rPr>
                <w:rFonts w:cs="Arial"/>
                <w:sz w:val="22"/>
              </w:rPr>
              <w:t>CCG</w:t>
            </w:r>
            <w:r w:rsidR="00DC2151">
              <w:rPr>
                <w:rFonts w:cs="Arial"/>
                <w:sz w:val="22"/>
              </w:rPr>
              <w:t>/ICS</w:t>
            </w:r>
          </w:p>
        </w:tc>
        <w:tc>
          <w:tcPr>
            <w:tcW w:w="1084" w:type="dxa"/>
          </w:tcPr>
          <w:p w14:paraId="78DDCCB1" w14:textId="35EFEF8E"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-2</w:t>
            </w:r>
          </w:p>
          <w:p w14:paraId="700296A9"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2020/21</w:t>
            </w:r>
          </w:p>
        </w:tc>
        <w:tc>
          <w:tcPr>
            <w:tcW w:w="1084" w:type="dxa"/>
          </w:tcPr>
          <w:p w14:paraId="2E5AD50C" w14:textId="536E7674"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-1</w:t>
            </w:r>
          </w:p>
          <w:p w14:paraId="6DABE661"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2021/22</w:t>
            </w:r>
          </w:p>
        </w:tc>
        <w:tc>
          <w:tcPr>
            <w:tcW w:w="1176" w:type="dxa"/>
          </w:tcPr>
          <w:p w14:paraId="76B1F9D7" w14:textId="0B32DF13"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1</w:t>
            </w:r>
          </w:p>
          <w:p w14:paraId="24CAAECF"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2022/23</w:t>
            </w:r>
          </w:p>
        </w:tc>
        <w:tc>
          <w:tcPr>
            <w:tcW w:w="1134" w:type="dxa"/>
          </w:tcPr>
          <w:p w14:paraId="0EA0FEDD" w14:textId="79316D00"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2</w:t>
            </w:r>
          </w:p>
          <w:p w14:paraId="515E1896"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2023/24</w:t>
            </w:r>
          </w:p>
        </w:tc>
        <w:tc>
          <w:tcPr>
            <w:tcW w:w="1134" w:type="dxa"/>
          </w:tcPr>
          <w:p w14:paraId="21E20417" w14:textId="567101EA"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3</w:t>
            </w:r>
          </w:p>
          <w:p w14:paraId="76C3B8C6"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2024/25</w:t>
            </w:r>
          </w:p>
        </w:tc>
      </w:tr>
      <w:tr w:rsidR="00900C91" w:rsidRPr="00BC6A30" w14:paraId="37DAB631" w14:textId="77777777" w:rsidTr="00ED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Pr>
          <w:p w14:paraId="547E6B08" w14:textId="77777777" w:rsidR="00900C91" w:rsidRPr="00ED4575" w:rsidRDefault="00900C91" w:rsidP="00900C91">
            <w:pPr>
              <w:spacing w:after="120"/>
              <w:rPr>
                <w:rFonts w:cs="Arial"/>
                <w:b w:val="0"/>
                <w:bCs w:val="0"/>
                <w:sz w:val="22"/>
              </w:rPr>
            </w:pPr>
            <w:r w:rsidRPr="00ED4575">
              <w:rPr>
                <w:rFonts w:cs="Arial"/>
                <w:b w:val="0"/>
                <w:bCs w:val="0"/>
                <w:sz w:val="22"/>
              </w:rPr>
              <w:t>Calls offered NHS 111</w:t>
            </w:r>
          </w:p>
        </w:tc>
        <w:tc>
          <w:tcPr>
            <w:tcW w:w="1084" w:type="dxa"/>
          </w:tcPr>
          <w:p w14:paraId="10DCE860" w14:textId="28BD69E0" w:rsidR="00900C91" w:rsidRPr="00BB51A5" w:rsidRDefault="007F7A63"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BB51A5">
              <w:rPr>
                <w:rFonts w:cs="Arial"/>
                <w:color w:val="000000" w:themeColor="text1"/>
                <w:sz w:val="22"/>
              </w:rPr>
              <w:t>400390</w:t>
            </w:r>
          </w:p>
        </w:tc>
        <w:tc>
          <w:tcPr>
            <w:tcW w:w="1084" w:type="dxa"/>
          </w:tcPr>
          <w:p w14:paraId="05CB75E2" w14:textId="591AFDB4" w:rsidR="00900C91"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404394</w:t>
            </w:r>
          </w:p>
        </w:tc>
        <w:tc>
          <w:tcPr>
            <w:tcW w:w="1176" w:type="dxa"/>
          </w:tcPr>
          <w:p w14:paraId="69760BC2" w14:textId="14B554A9" w:rsidR="00BB51A5" w:rsidRPr="00BB51A5" w:rsidRDefault="00BB51A5" w:rsidP="00BB51A5">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424614</w:t>
            </w:r>
          </w:p>
        </w:tc>
        <w:tc>
          <w:tcPr>
            <w:tcW w:w="1134" w:type="dxa"/>
          </w:tcPr>
          <w:p w14:paraId="70ADF534" w14:textId="6E8F42F1" w:rsidR="00900C91"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450090</w:t>
            </w:r>
          </w:p>
        </w:tc>
        <w:tc>
          <w:tcPr>
            <w:tcW w:w="1134" w:type="dxa"/>
          </w:tcPr>
          <w:p w14:paraId="5CA4C306" w14:textId="4C817516" w:rsidR="00900C91"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477096</w:t>
            </w:r>
          </w:p>
        </w:tc>
      </w:tr>
      <w:tr w:rsidR="00900C91" w:rsidRPr="00BC6A30" w14:paraId="2C721BD4" w14:textId="77777777" w:rsidTr="00ED4575">
        <w:tc>
          <w:tcPr>
            <w:cnfStyle w:val="001000000000" w:firstRow="0" w:lastRow="0" w:firstColumn="1" w:lastColumn="0" w:oddVBand="0" w:evenVBand="0" w:oddHBand="0" w:evenHBand="0" w:firstRowFirstColumn="0" w:firstRowLastColumn="0" w:lastRowFirstColumn="0" w:lastRowLastColumn="0"/>
            <w:tcW w:w="2493" w:type="dxa"/>
          </w:tcPr>
          <w:p w14:paraId="5C8C36B0" w14:textId="6C5FDA27" w:rsidR="00900C91" w:rsidRPr="00ED4575" w:rsidRDefault="00900C91" w:rsidP="00900C91">
            <w:pPr>
              <w:spacing w:after="120"/>
              <w:rPr>
                <w:rFonts w:cs="Arial"/>
                <w:b w:val="0"/>
                <w:bCs w:val="0"/>
                <w:sz w:val="22"/>
              </w:rPr>
            </w:pPr>
            <w:r w:rsidRPr="00ED4575">
              <w:rPr>
                <w:rFonts w:cs="Arial"/>
                <w:b w:val="0"/>
                <w:bCs w:val="0"/>
                <w:sz w:val="22"/>
              </w:rPr>
              <w:t>Calls Answered NHS 111</w:t>
            </w:r>
          </w:p>
        </w:tc>
        <w:tc>
          <w:tcPr>
            <w:tcW w:w="1084" w:type="dxa"/>
          </w:tcPr>
          <w:p w14:paraId="0A1AE352" w14:textId="75CBC85E" w:rsidR="00900C91" w:rsidRPr="00BB51A5" w:rsidRDefault="007F7A63"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B51A5">
              <w:rPr>
                <w:rFonts w:cs="Arial"/>
                <w:color w:val="000000" w:themeColor="text1"/>
                <w:sz w:val="22"/>
              </w:rPr>
              <w:t>392315</w:t>
            </w:r>
          </w:p>
        </w:tc>
        <w:tc>
          <w:tcPr>
            <w:tcW w:w="1084" w:type="dxa"/>
          </w:tcPr>
          <w:p w14:paraId="448F6B0C" w14:textId="65EC944B"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396238</w:t>
            </w:r>
          </w:p>
        </w:tc>
        <w:tc>
          <w:tcPr>
            <w:tcW w:w="1176" w:type="dxa"/>
          </w:tcPr>
          <w:p w14:paraId="4D0A9648" w14:textId="01DF2F0B"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416050</w:t>
            </w:r>
          </w:p>
        </w:tc>
        <w:tc>
          <w:tcPr>
            <w:tcW w:w="1134" w:type="dxa"/>
          </w:tcPr>
          <w:p w14:paraId="2A3429B7" w14:textId="0EB09E3D"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441013</w:t>
            </w:r>
          </w:p>
        </w:tc>
        <w:tc>
          <w:tcPr>
            <w:tcW w:w="1134" w:type="dxa"/>
          </w:tcPr>
          <w:p w14:paraId="2E3117FD" w14:textId="0D11EAFC"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467474</w:t>
            </w:r>
          </w:p>
        </w:tc>
      </w:tr>
      <w:tr w:rsidR="00BB51A5" w:rsidRPr="00BC6A30" w14:paraId="774F33B8" w14:textId="77777777" w:rsidTr="00ED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Pr>
          <w:p w14:paraId="191A1994" w14:textId="53167B9A" w:rsidR="00BB51A5" w:rsidRPr="00ED4575" w:rsidRDefault="00BB51A5" w:rsidP="00900C91">
            <w:pPr>
              <w:spacing w:after="120"/>
              <w:rPr>
                <w:rFonts w:cs="Arial"/>
                <w:b w:val="0"/>
                <w:bCs w:val="0"/>
                <w:sz w:val="22"/>
              </w:rPr>
            </w:pPr>
            <w:r>
              <w:rPr>
                <w:rFonts w:cs="Arial"/>
                <w:b w:val="0"/>
                <w:bCs w:val="0"/>
                <w:sz w:val="22"/>
              </w:rPr>
              <w:t>cas activity</w:t>
            </w:r>
          </w:p>
        </w:tc>
        <w:tc>
          <w:tcPr>
            <w:tcW w:w="1084" w:type="dxa"/>
          </w:tcPr>
          <w:p w14:paraId="19540BAC" w14:textId="77777777" w:rsidR="00BB51A5"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p>
        </w:tc>
        <w:tc>
          <w:tcPr>
            <w:tcW w:w="1084" w:type="dxa"/>
          </w:tcPr>
          <w:p w14:paraId="48509535" w14:textId="77777777" w:rsid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p>
        </w:tc>
        <w:tc>
          <w:tcPr>
            <w:tcW w:w="1176" w:type="dxa"/>
          </w:tcPr>
          <w:p w14:paraId="5678F648" w14:textId="77777777" w:rsid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p>
        </w:tc>
        <w:tc>
          <w:tcPr>
            <w:tcW w:w="1134" w:type="dxa"/>
          </w:tcPr>
          <w:p w14:paraId="798D14CD" w14:textId="77777777" w:rsid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p>
        </w:tc>
        <w:tc>
          <w:tcPr>
            <w:tcW w:w="1134" w:type="dxa"/>
          </w:tcPr>
          <w:p w14:paraId="3463E4D9" w14:textId="77777777" w:rsid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p>
        </w:tc>
      </w:tr>
      <w:tr w:rsidR="00900C91" w:rsidRPr="00BC6A30" w14:paraId="661D51CA" w14:textId="77777777" w:rsidTr="00ED4575">
        <w:tc>
          <w:tcPr>
            <w:cnfStyle w:val="001000000000" w:firstRow="0" w:lastRow="0" w:firstColumn="1" w:lastColumn="0" w:oddVBand="0" w:evenVBand="0" w:oddHBand="0" w:evenHBand="0" w:firstRowFirstColumn="0" w:firstRowLastColumn="0" w:lastRowFirstColumn="0" w:lastRowLastColumn="0"/>
            <w:tcW w:w="2493" w:type="dxa"/>
          </w:tcPr>
          <w:p w14:paraId="42282D68" w14:textId="09191392" w:rsidR="00900C91" w:rsidRPr="00ED4575" w:rsidRDefault="00ED4575" w:rsidP="00900C91">
            <w:pPr>
              <w:spacing w:after="120"/>
              <w:rPr>
                <w:rFonts w:cs="Arial"/>
                <w:b w:val="0"/>
                <w:bCs w:val="0"/>
                <w:sz w:val="22"/>
              </w:rPr>
            </w:pPr>
            <w:r>
              <w:rPr>
                <w:rFonts w:cs="Arial"/>
                <w:b w:val="0"/>
                <w:bCs w:val="0"/>
                <w:sz w:val="22"/>
              </w:rPr>
              <w:t>Telephone advice</w:t>
            </w:r>
          </w:p>
        </w:tc>
        <w:tc>
          <w:tcPr>
            <w:tcW w:w="1084" w:type="dxa"/>
          </w:tcPr>
          <w:p w14:paraId="1A62BA89" w14:textId="3E9B753C"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69973</w:t>
            </w:r>
          </w:p>
        </w:tc>
        <w:tc>
          <w:tcPr>
            <w:tcW w:w="1084" w:type="dxa"/>
          </w:tcPr>
          <w:p w14:paraId="589AE5BF" w14:textId="7B89CCD2"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70673</w:t>
            </w:r>
          </w:p>
        </w:tc>
        <w:tc>
          <w:tcPr>
            <w:tcW w:w="1176" w:type="dxa"/>
          </w:tcPr>
          <w:p w14:paraId="496CB145" w14:textId="200F6C41"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74206</w:t>
            </w:r>
          </w:p>
        </w:tc>
        <w:tc>
          <w:tcPr>
            <w:tcW w:w="1134" w:type="dxa"/>
          </w:tcPr>
          <w:p w14:paraId="69D97895" w14:textId="47F56E5C"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78659</w:t>
            </w:r>
          </w:p>
        </w:tc>
        <w:tc>
          <w:tcPr>
            <w:tcW w:w="1134" w:type="dxa"/>
          </w:tcPr>
          <w:p w14:paraId="56F3E822" w14:textId="1DA0E055" w:rsidR="00900C91"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83378</w:t>
            </w:r>
          </w:p>
        </w:tc>
      </w:tr>
      <w:tr w:rsidR="00ED4575" w:rsidRPr="00BC6A30" w14:paraId="77581304" w14:textId="77777777" w:rsidTr="00ED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Pr>
          <w:p w14:paraId="436D3208" w14:textId="403B08F4" w:rsidR="00ED4575" w:rsidRDefault="00ED4575" w:rsidP="00900C91">
            <w:pPr>
              <w:spacing w:after="120"/>
              <w:rPr>
                <w:rFonts w:cs="Arial"/>
                <w:b w:val="0"/>
                <w:bCs w:val="0"/>
                <w:sz w:val="22"/>
              </w:rPr>
            </w:pPr>
            <w:r>
              <w:rPr>
                <w:rFonts w:cs="Arial"/>
                <w:b w:val="0"/>
                <w:bCs w:val="0"/>
                <w:sz w:val="22"/>
              </w:rPr>
              <w:t>Face to FaCE</w:t>
            </w:r>
          </w:p>
        </w:tc>
        <w:tc>
          <w:tcPr>
            <w:tcW w:w="1084" w:type="dxa"/>
          </w:tcPr>
          <w:p w14:paraId="4F254368" w14:textId="19272C89" w:rsidR="00ED4575"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13957</w:t>
            </w:r>
          </w:p>
        </w:tc>
        <w:tc>
          <w:tcPr>
            <w:tcW w:w="1084" w:type="dxa"/>
          </w:tcPr>
          <w:p w14:paraId="6397D933" w14:textId="0DD8F6F8" w:rsidR="00ED4575"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14097</w:t>
            </w:r>
          </w:p>
        </w:tc>
        <w:tc>
          <w:tcPr>
            <w:tcW w:w="1176" w:type="dxa"/>
          </w:tcPr>
          <w:p w14:paraId="5374735C" w14:textId="0C565724" w:rsidR="00ED4575"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14801</w:t>
            </w:r>
          </w:p>
        </w:tc>
        <w:tc>
          <w:tcPr>
            <w:tcW w:w="1134" w:type="dxa"/>
          </w:tcPr>
          <w:p w14:paraId="357A7799" w14:textId="5C60B4A8" w:rsidR="00ED4575"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15689</w:t>
            </w:r>
          </w:p>
        </w:tc>
        <w:tc>
          <w:tcPr>
            <w:tcW w:w="1134" w:type="dxa"/>
          </w:tcPr>
          <w:p w14:paraId="364B06FE" w14:textId="7D7DAD7D" w:rsidR="00ED4575" w:rsidRPr="00BB51A5" w:rsidRDefault="00BB51A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Pr>
                <w:rFonts w:cs="Arial"/>
                <w:color w:val="000000" w:themeColor="text1"/>
                <w:sz w:val="22"/>
              </w:rPr>
              <w:t>16631</w:t>
            </w:r>
          </w:p>
        </w:tc>
      </w:tr>
      <w:tr w:rsidR="00ED4575" w:rsidRPr="00BC6A30" w14:paraId="2A533A32" w14:textId="77777777" w:rsidTr="00ED4575">
        <w:tc>
          <w:tcPr>
            <w:cnfStyle w:val="001000000000" w:firstRow="0" w:lastRow="0" w:firstColumn="1" w:lastColumn="0" w:oddVBand="0" w:evenVBand="0" w:oddHBand="0" w:evenHBand="0" w:firstRowFirstColumn="0" w:firstRowLastColumn="0" w:lastRowFirstColumn="0" w:lastRowLastColumn="0"/>
            <w:tcW w:w="2493" w:type="dxa"/>
          </w:tcPr>
          <w:p w14:paraId="78F8D0E9" w14:textId="7224EDE2" w:rsidR="00ED4575" w:rsidRDefault="00ED4575" w:rsidP="00900C91">
            <w:pPr>
              <w:spacing w:after="120"/>
              <w:rPr>
                <w:rFonts w:cs="Arial"/>
                <w:b w:val="0"/>
                <w:bCs w:val="0"/>
                <w:sz w:val="22"/>
              </w:rPr>
            </w:pPr>
            <w:r>
              <w:rPr>
                <w:rFonts w:cs="Arial"/>
                <w:b w:val="0"/>
                <w:bCs w:val="0"/>
                <w:sz w:val="22"/>
              </w:rPr>
              <w:t>Home visits</w:t>
            </w:r>
          </w:p>
        </w:tc>
        <w:tc>
          <w:tcPr>
            <w:tcW w:w="1084" w:type="dxa"/>
          </w:tcPr>
          <w:p w14:paraId="7C738230" w14:textId="53F7FD61" w:rsidR="00ED4575"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5308</w:t>
            </w:r>
          </w:p>
        </w:tc>
        <w:tc>
          <w:tcPr>
            <w:tcW w:w="1084" w:type="dxa"/>
          </w:tcPr>
          <w:p w14:paraId="76565BE7" w14:textId="611AF9A3" w:rsidR="00ED4575"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5629</w:t>
            </w:r>
          </w:p>
        </w:tc>
        <w:tc>
          <w:tcPr>
            <w:tcW w:w="1176" w:type="dxa"/>
          </w:tcPr>
          <w:p w14:paraId="6A109F7B" w14:textId="422AA079" w:rsidR="00ED4575"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5629</w:t>
            </w:r>
          </w:p>
        </w:tc>
        <w:tc>
          <w:tcPr>
            <w:tcW w:w="1134" w:type="dxa"/>
          </w:tcPr>
          <w:p w14:paraId="1AC3278C" w14:textId="3843E3F7" w:rsidR="00ED4575"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5967</w:t>
            </w:r>
          </w:p>
        </w:tc>
        <w:tc>
          <w:tcPr>
            <w:tcW w:w="1134" w:type="dxa"/>
          </w:tcPr>
          <w:p w14:paraId="4BD0F4FC" w14:textId="5A678F3F" w:rsidR="00ED4575" w:rsidRPr="00BB51A5" w:rsidRDefault="00BB51A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Pr>
                <w:rFonts w:cs="Arial"/>
                <w:color w:val="000000" w:themeColor="text1"/>
                <w:sz w:val="22"/>
              </w:rPr>
              <w:t>6325</w:t>
            </w:r>
          </w:p>
        </w:tc>
      </w:tr>
    </w:tbl>
    <w:p w14:paraId="0DD7B2BD" w14:textId="77777777" w:rsidR="00900C91" w:rsidRPr="00BC6A30" w:rsidRDefault="00900C91" w:rsidP="00900C91">
      <w:pPr>
        <w:spacing w:after="120" w:line="276" w:lineRule="auto"/>
        <w:ind w:left="792"/>
        <w:rPr>
          <w:rFonts w:eastAsiaTheme="minorHAnsi" w:cs="Arial"/>
          <w:b/>
          <w:sz w:val="22"/>
          <w:szCs w:val="22"/>
        </w:rPr>
      </w:pPr>
    </w:p>
    <w:p w14:paraId="4ADC6E32" w14:textId="2777A5EE" w:rsidR="00C07FA8" w:rsidRDefault="00900C91" w:rsidP="00C07FA8">
      <w:pPr>
        <w:numPr>
          <w:ilvl w:val="0"/>
          <w:numId w:val="18"/>
        </w:numPr>
        <w:spacing w:after="120" w:line="276" w:lineRule="auto"/>
        <w:rPr>
          <w:rFonts w:eastAsiaTheme="minorHAnsi" w:cs="Arial"/>
          <w:b/>
          <w:sz w:val="22"/>
          <w:szCs w:val="22"/>
        </w:rPr>
      </w:pPr>
      <w:r w:rsidRPr="00BC6A30">
        <w:rPr>
          <w:rFonts w:eastAsiaTheme="minorHAnsi" w:cs="Arial"/>
          <w:b/>
          <w:sz w:val="22"/>
          <w:szCs w:val="22"/>
        </w:rPr>
        <w:t xml:space="preserve">Contacts from NHS Online </w:t>
      </w:r>
    </w:p>
    <w:p w14:paraId="255D9942" w14:textId="77777777" w:rsidR="00ED4575" w:rsidRPr="00C07FA8" w:rsidRDefault="00ED4575" w:rsidP="00ED4575">
      <w:pPr>
        <w:spacing w:after="120" w:line="276" w:lineRule="auto"/>
        <w:ind w:left="1152"/>
        <w:rPr>
          <w:rFonts w:eastAsiaTheme="minorHAnsi" w:cs="Arial"/>
          <w:b/>
          <w:sz w:val="22"/>
          <w:szCs w:val="22"/>
        </w:rPr>
      </w:pPr>
    </w:p>
    <w:tbl>
      <w:tblPr>
        <w:tblStyle w:val="PlainTable3"/>
        <w:tblW w:w="0" w:type="auto"/>
        <w:tblLook w:val="04A0" w:firstRow="1" w:lastRow="0" w:firstColumn="1" w:lastColumn="0" w:noHBand="0" w:noVBand="1"/>
      </w:tblPr>
      <w:tblGrid>
        <w:gridCol w:w="2435"/>
        <w:gridCol w:w="1154"/>
        <w:gridCol w:w="1090"/>
        <w:gridCol w:w="1158"/>
        <w:gridCol w:w="1134"/>
        <w:gridCol w:w="1134"/>
      </w:tblGrid>
      <w:tr w:rsidR="00900C91" w:rsidRPr="00BC6A30" w14:paraId="518CDFDC" w14:textId="77777777" w:rsidTr="00ED45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5" w:type="dxa"/>
          </w:tcPr>
          <w:p w14:paraId="0C195760" w14:textId="77777777" w:rsidR="00900C91" w:rsidRDefault="00BB51A5" w:rsidP="00900C91">
            <w:pPr>
              <w:spacing w:after="120"/>
              <w:rPr>
                <w:rFonts w:cs="Arial"/>
                <w:b w:val="0"/>
                <w:bCs w:val="0"/>
                <w:caps w:val="0"/>
                <w:sz w:val="22"/>
              </w:rPr>
            </w:pPr>
            <w:r>
              <w:rPr>
                <w:rFonts w:cs="Arial"/>
                <w:sz w:val="22"/>
              </w:rPr>
              <w:t xml:space="preserve">SWL </w:t>
            </w:r>
            <w:r w:rsidR="00900C91" w:rsidRPr="00BC6A30">
              <w:rPr>
                <w:rFonts w:cs="Arial"/>
                <w:sz w:val="22"/>
              </w:rPr>
              <w:t>CCG</w:t>
            </w:r>
            <w:r w:rsidR="00DC2151">
              <w:rPr>
                <w:rFonts w:cs="Arial"/>
                <w:sz w:val="22"/>
              </w:rPr>
              <w:t>/ICS</w:t>
            </w:r>
          </w:p>
          <w:p w14:paraId="5F2388EF" w14:textId="785AECAE" w:rsidR="00E57823" w:rsidRPr="00BC6A30" w:rsidRDefault="00E061DF" w:rsidP="00900C91">
            <w:pPr>
              <w:spacing w:after="120"/>
              <w:rPr>
                <w:rFonts w:cs="Arial"/>
                <w:b w:val="0"/>
                <w:sz w:val="22"/>
              </w:rPr>
            </w:pPr>
            <w:r>
              <w:rPr>
                <w:rFonts w:cs="Arial"/>
                <w:sz w:val="22"/>
              </w:rPr>
              <w:t>111 Online</w:t>
            </w:r>
          </w:p>
        </w:tc>
        <w:tc>
          <w:tcPr>
            <w:tcW w:w="1154" w:type="dxa"/>
          </w:tcPr>
          <w:p w14:paraId="7149240B" w14:textId="16A083B1"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-2</w:t>
            </w:r>
          </w:p>
          <w:p w14:paraId="1DF8B76E"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2020/21</w:t>
            </w:r>
          </w:p>
        </w:tc>
        <w:tc>
          <w:tcPr>
            <w:tcW w:w="1090" w:type="dxa"/>
          </w:tcPr>
          <w:p w14:paraId="69A1AD22" w14:textId="16EDC94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-1</w:t>
            </w:r>
          </w:p>
          <w:p w14:paraId="7A7BD7B3"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2021/22</w:t>
            </w:r>
          </w:p>
        </w:tc>
        <w:tc>
          <w:tcPr>
            <w:tcW w:w="1158" w:type="dxa"/>
          </w:tcPr>
          <w:p w14:paraId="7C0EF2DF" w14:textId="6E825583"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1</w:t>
            </w:r>
          </w:p>
          <w:p w14:paraId="64885729"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2022/23</w:t>
            </w:r>
          </w:p>
        </w:tc>
        <w:tc>
          <w:tcPr>
            <w:tcW w:w="1134" w:type="dxa"/>
          </w:tcPr>
          <w:p w14:paraId="5D84AD5D" w14:textId="33E50FCF"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2</w:t>
            </w:r>
          </w:p>
          <w:p w14:paraId="45FBB116"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2023/24</w:t>
            </w:r>
          </w:p>
        </w:tc>
        <w:tc>
          <w:tcPr>
            <w:tcW w:w="1134" w:type="dxa"/>
          </w:tcPr>
          <w:p w14:paraId="63C56CD6" w14:textId="055DE55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 xml:space="preserve">Year </w:t>
            </w:r>
            <w:r w:rsidR="002B6532">
              <w:rPr>
                <w:rFonts w:cs="Arial"/>
                <w:sz w:val="22"/>
              </w:rPr>
              <w:t>3</w:t>
            </w:r>
          </w:p>
          <w:p w14:paraId="27ED3166" w14:textId="77777777" w:rsidR="00900C91" w:rsidRPr="00BC6A30" w:rsidRDefault="00900C91" w:rsidP="00900C91">
            <w:pPr>
              <w:spacing w:after="120"/>
              <w:jc w:val="right"/>
              <w:cnfStyle w:val="100000000000" w:firstRow="1" w:lastRow="0" w:firstColumn="0" w:lastColumn="0" w:oddVBand="0" w:evenVBand="0" w:oddHBand="0" w:evenHBand="0" w:firstRowFirstColumn="0" w:firstRowLastColumn="0" w:lastRowFirstColumn="0" w:lastRowLastColumn="0"/>
              <w:rPr>
                <w:rFonts w:cs="Arial"/>
                <w:b w:val="0"/>
                <w:sz w:val="22"/>
              </w:rPr>
            </w:pPr>
            <w:r w:rsidRPr="00BC6A30">
              <w:rPr>
                <w:rFonts w:cs="Arial"/>
                <w:sz w:val="22"/>
              </w:rPr>
              <w:t>2024/25</w:t>
            </w:r>
          </w:p>
        </w:tc>
      </w:tr>
      <w:tr w:rsidR="00900C91" w:rsidRPr="00BC6A30" w14:paraId="68ECF8A5" w14:textId="77777777" w:rsidTr="00ED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Pr>
          <w:p w14:paraId="2474D18A" w14:textId="07A5EC53" w:rsidR="00900C91" w:rsidRPr="00ED4575" w:rsidRDefault="00ED4575" w:rsidP="00900C91">
            <w:pPr>
              <w:spacing w:after="120"/>
              <w:rPr>
                <w:rFonts w:cs="Arial"/>
                <w:b w:val="0"/>
                <w:bCs w:val="0"/>
                <w:sz w:val="22"/>
              </w:rPr>
            </w:pPr>
            <w:r>
              <w:rPr>
                <w:rFonts w:cs="Arial"/>
                <w:b w:val="0"/>
                <w:bCs w:val="0"/>
                <w:sz w:val="22"/>
              </w:rPr>
              <w:t>requesting a call back</w:t>
            </w:r>
          </w:p>
        </w:tc>
        <w:tc>
          <w:tcPr>
            <w:tcW w:w="1154" w:type="dxa"/>
          </w:tcPr>
          <w:p w14:paraId="30977413" w14:textId="25474536" w:rsidR="00900C91" w:rsidRPr="006744EE" w:rsidRDefault="00ED4575"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4717</w:t>
            </w:r>
          </w:p>
        </w:tc>
        <w:tc>
          <w:tcPr>
            <w:tcW w:w="1090" w:type="dxa"/>
          </w:tcPr>
          <w:p w14:paraId="3D4CC7AE" w14:textId="795457A1" w:rsidR="00900C91"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7924</w:t>
            </w:r>
          </w:p>
        </w:tc>
        <w:tc>
          <w:tcPr>
            <w:tcW w:w="1158" w:type="dxa"/>
          </w:tcPr>
          <w:p w14:paraId="459542B1" w14:textId="77114BE0" w:rsidR="00900C91"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8320</w:t>
            </w:r>
          </w:p>
        </w:tc>
        <w:tc>
          <w:tcPr>
            <w:tcW w:w="1134" w:type="dxa"/>
          </w:tcPr>
          <w:p w14:paraId="0A2C4A09" w14:textId="6CAC422D" w:rsidR="00900C91"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8736</w:t>
            </w:r>
          </w:p>
        </w:tc>
        <w:tc>
          <w:tcPr>
            <w:tcW w:w="1134" w:type="dxa"/>
          </w:tcPr>
          <w:p w14:paraId="6020E48E" w14:textId="7300BE08" w:rsidR="00900C91"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9173</w:t>
            </w:r>
          </w:p>
        </w:tc>
      </w:tr>
      <w:tr w:rsidR="00ED4575" w:rsidRPr="00BC6A30" w14:paraId="5A82910F" w14:textId="77777777" w:rsidTr="00ED4575">
        <w:tc>
          <w:tcPr>
            <w:cnfStyle w:val="001000000000" w:firstRow="0" w:lastRow="0" w:firstColumn="1" w:lastColumn="0" w:oddVBand="0" w:evenVBand="0" w:oddHBand="0" w:evenHBand="0" w:firstRowFirstColumn="0" w:firstRowLastColumn="0" w:lastRowFirstColumn="0" w:lastRowLastColumn="0"/>
            <w:tcW w:w="2435" w:type="dxa"/>
          </w:tcPr>
          <w:p w14:paraId="5D098737" w14:textId="699DECA7" w:rsidR="00ED4575" w:rsidRDefault="00ED4575" w:rsidP="00900C91">
            <w:pPr>
              <w:spacing w:after="120"/>
              <w:rPr>
                <w:rFonts w:cs="Arial"/>
                <w:b w:val="0"/>
                <w:bCs w:val="0"/>
                <w:sz w:val="22"/>
              </w:rPr>
            </w:pPr>
            <w:r>
              <w:rPr>
                <w:rFonts w:cs="Arial"/>
                <w:b w:val="0"/>
                <w:bCs w:val="0"/>
                <w:sz w:val="22"/>
              </w:rPr>
              <w:t>ed validation</w:t>
            </w:r>
          </w:p>
        </w:tc>
        <w:tc>
          <w:tcPr>
            <w:tcW w:w="1154" w:type="dxa"/>
          </w:tcPr>
          <w:p w14:paraId="5195418A" w14:textId="6BF04198" w:rsidR="00ED4575" w:rsidRPr="006744EE" w:rsidRDefault="00ED4575"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6744EE">
              <w:rPr>
                <w:rFonts w:cs="Arial"/>
                <w:color w:val="000000" w:themeColor="text1"/>
                <w:sz w:val="22"/>
              </w:rPr>
              <w:t>960</w:t>
            </w:r>
          </w:p>
        </w:tc>
        <w:tc>
          <w:tcPr>
            <w:tcW w:w="1090" w:type="dxa"/>
          </w:tcPr>
          <w:p w14:paraId="66002EEF" w14:textId="08ABFA51" w:rsidR="00ED4575" w:rsidRPr="006744EE" w:rsidRDefault="006744EE"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6744EE">
              <w:rPr>
                <w:rFonts w:cs="Arial"/>
                <w:color w:val="000000" w:themeColor="text1"/>
                <w:sz w:val="22"/>
              </w:rPr>
              <w:t>11248</w:t>
            </w:r>
          </w:p>
        </w:tc>
        <w:tc>
          <w:tcPr>
            <w:tcW w:w="1158" w:type="dxa"/>
          </w:tcPr>
          <w:p w14:paraId="301584EE" w14:textId="73B3AA25" w:rsidR="00ED4575" w:rsidRPr="006744EE" w:rsidRDefault="006744EE" w:rsidP="006744EE">
            <w:pPr>
              <w:spacing w:after="120"/>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6744EE">
              <w:rPr>
                <w:rFonts w:cs="Arial"/>
                <w:color w:val="000000" w:themeColor="text1"/>
                <w:sz w:val="22"/>
              </w:rPr>
              <w:t xml:space="preserve">     11810</w:t>
            </w:r>
          </w:p>
        </w:tc>
        <w:tc>
          <w:tcPr>
            <w:tcW w:w="1134" w:type="dxa"/>
          </w:tcPr>
          <w:p w14:paraId="44996CD6" w14:textId="61CC1CD1" w:rsidR="00ED4575" w:rsidRPr="006744EE" w:rsidRDefault="006744EE"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6744EE">
              <w:rPr>
                <w:rFonts w:cs="Arial"/>
                <w:color w:val="000000" w:themeColor="text1"/>
                <w:sz w:val="22"/>
              </w:rPr>
              <w:t>12401</w:t>
            </w:r>
          </w:p>
        </w:tc>
        <w:tc>
          <w:tcPr>
            <w:tcW w:w="1134" w:type="dxa"/>
          </w:tcPr>
          <w:p w14:paraId="4CF1276E" w14:textId="049EFED5" w:rsidR="00ED4575" w:rsidRPr="006744EE" w:rsidRDefault="006744EE" w:rsidP="00900C91">
            <w:pPr>
              <w:spacing w:after="12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6744EE">
              <w:rPr>
                <w:rFonts w:cs="Arial"/>
                <w:color w:val="000000" w:themeColor="text1"/>
                <w:sz w:val="22"/>
              </w:rPr>
              <w:t>13020</w:t>
            </w:r>
          </w:p>
        </w:tc>
      </w:tr>
      <w:tr w:rsidR="00ED4575" w:rsidRPr="00BC6A30" w14:paraId="1657EF15" w14:textId="77777777" w:rsidTr="00ED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Pr>
          <w:p w14:paraId="677ED3B1" w14:textId="54CD3FCB" w:rsidR="00ED4575" w:rsidRDefault="00ED4575" w:rsidP="00900C91">
            <w:pPr>
              <w:spacing w:after="120"/>
              <w:rPr>
                <w:rFonts w:cs="Arial"/>
                <w:b w:val="0"/>
                <w:bCs w:val="0"/>
                <w:sz w:val="22"/>
              </w:rPr>
            </w:pPr>
            <w:r>
              <w:rPr>
                <w:rFonts w:cs="Arial"/>
                <w:b w:val="0"/>
                <w:bCs w:val="0"/>
                <w:sz w:val="22"/>
              </w:rPr>
              <w:t>other</w:t>
            </w:r>
            <w:r w:rsidR="006744EE">
              <w:rPr>
                <w:rFonts w:cs="Arial"/>
                <w:b w:val="0"/>
                <w:bCs w:val="0"/>
                <w:sz w:val="22"/>
              </w:rPr>
              <w:t>*</w:t>
            </w:r>
          </w:p>
        </w:tc>
        <w:tc>
          <w:tcPr>
            <w:tcW w:w="1154" w:type="dxa"/>
          </w:tcPr>
          <w:p w14:paraId="078C1DC6" w14:textId="2991AE02" w:rsidR="00ED4575"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7849</w:t>
            </w:r>
          </w:p>
        </w:tc>
        <w:tc>
          <w:tcPr>
            <w:tcW w:w="1090" w:type="dxa"/>
          </w:tcPr>
          <w:p w14:paraId="255EDAB2" w14:textId="73D2E039" w:rsidR="00ED4575"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972</w:t>
            </w:r>
          </w:p>
        </w:tc>
        <w:tc>
          <w:tcPr>
            <w:tcW w:w="1158" w:type="dxa"/>
          </w:tcPr>
          <w:p w14:paraId="42F8A71F" w14:textId="60D6A97A" w:rsidR="00ED4575"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486</w:t>
            </w:r>
          </w:p>
        </w:tc>
        <w:tc>
          <w:tcPr>
            <w:tcW w:w="1134" w:type="dxa"/>
          </w:tcPr>
          <w:p w14:paraId="58301C8A" w14:textId="555AF220" w:rsidR="00ED4575"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243</w:t>
            </w:r>
          </w:p>
        </w:tc>
        <w:tc>
          <w:tcPr>
            <w:tcW w:w="1134" w:type="dxa"/>
          </w:tcPr>
          <w:p w14:paraId="48C3B086" w14:textId="5E969C82" w:rsidR="00ED4575" w:rsidRPr="006744EE" w:rsidRDefault="006744EE" w:rsidP="00900C91">
            <w:pPr>
              <w:spacing w:after="120"/>
              <w:jc w:val="right"/>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744EE">
              <w:rPr>
                <w:rFonts w:cs="Arial"/>
                <w:color w:val="000000" w:themeColor="text1"/>
                <w:sz w:val="22"/>
              </w:rPr>
              <w:t>121</w:t>
            </w:r>
          </w:p>
        </w:tc>
      </w:tr>
    </w:tbl>
    <w:p w14:paraId="660BC2B5" w14:textId="61152A02" w:rsidR="00900C91" w:rsidRDefault="00900C91" w:rsidP="00900C91">
      <w:pPr>
        <w:spacing w:after="120" w:line="276" w:lineRule="auto"/>
        <w:rPr>
          <w:rFonts w:eastAsiaTheme="minorHAnsi" w:cs="Arial"/>
          <w:b/>
          <w:sz w:val="22"/>
          <w:szCs w:val="22"/>
        </w:rPr>
      </w:pPr>
    </w:p>
    <w:p w14:paraId="03F971B6" w14:textId="5361C081" w:rsidR="006744EE" w:rsidRPr="006744EE" w:rsidRDefault="006744EE" w:rsidP="00900C91">
      <w:pPr>
        <w:spacing w:after="120" w:line="276" w:lineRule="auto"/>
        <w:rPr>
          <w:rFonts w:eastAsiaTheme="minorHAnsi" w:cs="Arial"/>
          <w:bCs/>
          <w:i/>
          <w:iCs/>
          <w:sz w:val="22"/>
          <w:szCs w:val="22"/>
        </w:rPr>
      </w:pPr>
      <w:r>
        <w:rPr>
          <w:rFonts w:eastAsiaTheme="minorHAnsi" w:cs="Arial"/>
          <w:bCs/>
          <w:i/>
          <w:iCs/>
          <w:sz w:val="22"/>
          <w:szCs w:val="22"/>
        </w:rPr>
        <w:t>*</w:t>
      </w:r>
      <w:r w:rsidRPr="006744EE">
        <w:rPr>
          <w:rFonts w:eastAsiaTheme="minorHAnsi" w:cs="Arial"/>
          <w:bCs/>
          <w:i/>
          <w:iCs/>
          <w:sz w:val="22"/>
          <w:szCs w:val="22"/>
        </w:rPr>
        <w:t xml:space="preserve">Mainly National and Local </w:t>
      </w:r>
      <w:r w:rsidR="00C11AA0">
        <w:rPr>
          <w:rFonts w:eastAsiaTheme="minorHAnsi" w:cs="Arial"/>
          <w:bCs/>
          <w:i/>
          <w:iCs/>
          <w:sz w:val="22"/>
          <w:szCs w:val="22"/>
        </w:rPr>
        <w:t>C</w:t>
      </w:r>
      <w:r w:rsidRPr="006744EE">
        <w:rPr>
          <w:rFonts w:eastAsiaTheme="minorHAnsi" w:cs="Arial"/>
          <w:bCs/>
          <w:i/>
          <w:iCs/>
          <w:sz w:val="22"/>
          <w:szCs w:val="22"/>
        </w:rPr>
        <w:t>ovid assessment</w:t>
      </w:r>
    </w:p>
    <w:p w14:paraId="68298E36" w14:textId="31D20140" w:rsidR="009C0692" w:rsidRPr="00BC6A30" w:rsidRDefault="009C0692" w:rsidP="009C0692">
      <w:pPr>
        <w:rPr>
          <w:rFonts w:cs="Arial"/>
          <w:sz w:val="22"/>
          <w:szCs w:val="22"/>
        </w:rPr>
      </w:pPr>
    </w:p>
    <w:sectPr w:rsidR="009C0692" w:rsidRPr="00BC6A30" w:rsidSect="00C07FA8">
      <w:footerReference w:type="default" r:id="rId13"/>
      <w:pgSz w:w="11906" w:h="16838"/>
      <w:pgMar w:top="1304" w:right="964" w:bottom="1021" w:left="130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B6FD" w14:textId="77777777" w:rsidR="009404AF" w:rsidRDefault="009404AF">
      <w:r>
        <w:separator/>
      </w:r>
    </w:p>
    <w:p w14:paraId="05D4F23D" w14:textId="77777777" w:rsidR="009404AF" w:rsidRDefault="009404AF"/>
  </w:endnote>
  <w:endnote w:type="continuationSeparator" w:id="0">
    <w:p w14:paraId="07678C93" w14:textId="77777777" w:rsidR="009404AF" w:rsidRDefault="009404AF">
      <w:r>
        <w:continuationSeparator/>
      </w:r>
    </w:p>
    <w:p w14:paraId="2A8890F6" w14:textId="77777777" w:rsidR="009404AF" w:rsidRDefault="00940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6CDA" w14:textId="0F1FF1AD" w:rsidR="00DE4D3E" w:rsidRDefault="00DE4D3E" w:rsidP="002A7018">
    <w:pPr>
      <w:pStyle w:val="Footer"/>
      <w:rPr>
        <w:sz w:val="20"/>
      </w:rPr>
    </w:pPr>
    <w:r>
      <w:rPr>
        <w:sz w:val="20"/>
      </w:rPr>
      <w:t>SWL IUC MOI v0.2</w:t>
    </w:r>
  </w:p>
  <w:p w14:paraId="2CB50BE6" w14:textId="77777777" w:rsidR="00EC064E" w:rsidRDefault="00EC064E" w:rsidP="002A7018">
    <w:pPr>
      <w:pStyle w:val="Footer"/>
      <w:jc w:val="right"/>
    </w:pPr>
    <w:r w:rsidRPr="002A5CAB">
      <w:rPr>
        <w:sz w:val="20"/>
      </w:rPr>
      <w:fldChar w:fldCharType="begin"/>
    </w:r>
    <w:r w:rsidRPr="002A5CAB">
      <w:rPr>
        <w:sz w:val="20"/>
      </w:rPr>
      <w:instrText xml:space="preserve"> PAGE   \* MERGEFORMAT </w:instrText>
    </w:r>
    <w:r w:rsidRPr="002A5CAB">
      <w:rPr>
        <w:sz w:val="20"/>
      </w:rPr>
      <w:fldChar w:fldCharType="separate"/>
    </w:r>
    <w:r w:rsidR="00DA733E">
      <w:rPr>
        <w:noProof/>
        <w:sz w:val="20"/>
      </w:rPr>
      <w:t>2</w:t>
    </w:r>
    <w:r w:rsidRPr="002A5CAB">
      <w:rPr>
        <w:noProof/>
        <w:sz w:val="20"/>
      </w:rPr>
      <w:fldChar w:fldCharType="end"/>
    </w:r>
  </w:p>
  <w:p w14:paraId="3896515E" w14:textId="77777777" w:rsidR="00EC064E" w:rsidRDefault="00EC06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8A17" w14:textId="77777777" w:rsidR="009404AF" w:rsidRDefault="009404AF">
      <w:r>
        <w:separator/>
      </w:r>
    </w:p>
    <w:p w14:paraId="2FCA71A4" w14:textId="77777777" w:rsidR="009404AF" w:rsidRDefault="009404AF"/>
  </w:footnote>
  <w:footnote w:type="continuationSeparator" w:id="0">
    <w:p w14:paraId="5115031A" w14:textId="77777777" w:rsidR="009404AF" w:rsidRDefault="009404AF">
      <w:r>
        <w:continuationSeparator/>
      </w:r>
    </w:p>
    <w:p w14:paraId="2E24DBE8" w14:textId="77777777" w:rsidR="009404AF" w:rsidRDefault="009404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202B"/>
    <w:multiLevelType w:val="hybridMultilevel"/>
    <w:tmpl w:val="32704A96"/>
    <w:lvl w:ilvl="0" w:tplc="B1A0D3E2">
      <w:start w:val="1"/>
      <w:numFmt w:val="decimal"/>
      <w:pStyle w:val="Heading9"/>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66717"/>
    <w:multiLevelType w:val="hybridMultilevel"/>
    <w:tmpl w:val="5D1A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4" w15:restartNumberingAfterBreak="0">
    <w:nsid w:val="0B7F2A09"/>
    <w:multiLevelType w:val="hybridMultilevel"/>
    <w:tmpl w:val="8F5C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7E37"/>
    <w:multiLevelType w:val="hybridMultilevel"/>
    <w:tmpl w:val="0A525D04"/>
    <w:lvl w:ilvl="0" w:tplc="B85E76B8">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62C4BE7"/>
    <w:multiLevelType w:val="multilevel"/>
    <w:tmpl w:val="5CCC87A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8" w15:restartNumberingAfterBreak="0">
    <w:nsid w:val="19BA1AB5"/>
    <w:multiLevelType w:val="multilevel"/>
    <w:tmpl w:val="593239E6"/>
    <w:styleLink w:val="appendixheadings"/>
    <w:lvl w:ilvl="0">
      <w:start w:val="1"/>
      <w:numFmt w:val="decimal"/>
      <w:lvlText w:va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623205"/>
    <w:multiLevelType w:val="hybridMultilevel"/>
    <w:tmpl w:val="4BBE4E88"/>
    <w:lvl w:ilvl="0" w:tplc="47B2D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A3910"/>
    <w:multiLevelType w:val="hybridMultilevel"/>
    <w:tmpl w:val="A8CC2CFE"/>
    <w:lvl w:ilvl="0" w:tplc="345AAC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B57EC"/>
    <w:multiLevelType w:val="hybridMultilevel"/>
    <w:tmpl w:val="67407210"/>
    <w:lvl w:ilvl="0" w:tplc="47B2D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01616"/>
    <w:multiLevelType w:val="multilevel"/>
    <w:tmpl w:val="7666C690"/>
    <w:lvl w:ilvl="0">
      <w:start w:val="1"/>
      <w:numFmt w:val="decimal"/>
      <w:lvlText w:val="%1."/>
      <w:lvlJc w:val="left"/>
      <w:pPr>
        <w:ind w:left="360" w:hanging="360"/>
      </w:pPr>
      <w:rPr>
        <w:rFonts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6CC7229"/>
    <w:multiLevelType w:val="hybridMultilevel"/>
    <w:tmpl w:val="98989D46"/>
    <w:lvl w:ilvl="0" w:tplc="345AAC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54CB1"/>
    <w:multiLevelType w:val="hybridMultilevel"/>
    <w:tmpl w:val="D7F203F0"/>
    <w:lvl w:ilvl="0" w:tplc="47B2D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B5BAD"/>
    <w:multiLevelType w:val="multilevel"/>
    <w:tmpl w:val="451CC60C"/>
    <w:name w:val="paNumbersReport23"/>
    <w:lvl w:ilvl="0">
      <w:start w:val="1"/>
      <w:numFmt w:val="decimal"/>
      <w:pStyle w:val="ListNumber"/>
      <w:lvlText w:val="%1."/>
      <w:lvlJc w:val="left"/>
      <w:pPr>
        <w:ind w:left="284" w:hanging="284"/>
      </w:pPr>
      <w:rPr>
        <w:rFonts w:hint="default"/>
        <w:color w:val="EEECE1" w:themeColor="background2"/>
      </w:rPr>
    </w:lvl>
    <w:lvl w:ilvl="1">
      <w:start w:val="1"/>
      <w:numFmt w:val="lowerLetter"/>
      <w:pStyle w:val="ListNumber2"/>
      <w:lvlText w:val="%2."/>
      <w:lvlJc w:val="left"/>
      <w:pPr>
        <w:ind w:left="567" w:hanging="283"/>
      </w:pPr>
      <w:rPr>
        <w:rFonts w:hint="default"/>
        <w:color w:val="EEECE1" w:themeColor="background2"/>
      </w:rPr>
    </w:lvl>
    <w:lvl w:ilvl="2">
      <w:start w:val="1"/>
      <w:numFmt w:val="lowerRoman"/>
      <w:pStyle w:val="ListNumber3"/>
      <w:lvlText w:val="%3."/>
      <w:lvlJc w:val="left"/>
      <w:pPr>
        <w:ind w:left="284" w:firstLine="283"/>
      </w:pPr>
      <w:rPr>
        <w:rFonts w:hint="default"/>
        <w:color w:val="EEECE1" w:themeColor="background2"/>
      </w:rPr>
    </w:lvl>
    <w:lvl w:ilvl="3">
      <w:start w:val="1"/>
      <w:numFmt w:val="none"/>
      <w:lvlRestart w:val="0"/>
      <w:lvlText w:val=""/>
      <w:lvlJc w:val="left"/>
      <w:pPr>
        <w:tabs>
          <w:tab w:val="num" w:pos="567"/>
        </w:tabs>
        <w:ind w:left="284" w:firstLine="283"/>
      </w:pPr>
      <w:rPr>
        <w:rFonts w:hint="default"/>
      </w:rPr>
    </w:lvl>
    <w:lvl w:ilvl="4">
      <w:start w:val="1"/>
      <w:numFmt w:val="none"/>
      <w:lvlRestart w:val="0"/>
      <w:lvlText w:val=""/>
      <w:lvlJc w:val="left"/>
      <w:pPr>
        <w:tabs>
          <w:tab w:val="num" w:pos="567"/>
        </w:tabs>
        <w:ind w:left="284" w:firstLine="283"/>
      </w:pPr>
      <w:rPr>
        <w:rFonts w:hint="default"/>
      </w:rPr>
    </w:lvl>
    <w:lvl w:ilvl="5">
      <w:start w:val="1"/>
      <w:numFmt w:val="none"/>
      <w:lvlRestart w:val="0"/>
      <w:lvlText w:val=""/>
      <w:lvlJc w:val="left"/>
      <w:pPr>
        <w:tabs>
          <w:tab w:val="num" w:pos="567"/>
        </w:tabs>
        <w:ind w:left="284" w:firstLine="283"/>
      </w:pPr>
      <w:rPr>
        <w:rFonts w:hint="default"/>
      </w:rPr>
    </w:lvl>
    <w:lvl w:ilvl="6">
      <w:start w:val="1"/>
      <w:numFmt w:val="none"/>
      <w:lvlRestart w:val="0"/>
      <w:lvlText w:val=""/>
      <w:lvlJc w:val="left"/>
      <w:pPr>
        <w:tabs>
          <w:tab w:val="num" w:pos="567"/>
        </w:tabs>
        <w:ind w:left="284" w:firstLine="283"/>
      </w:pPr>
      <w:rPr>
        <w:rFonts w:hint="default"/>
      </w:rPr>
    </w:lvl>
    <w:lvl w:ilvl="7">
      <w:start w:val="1"/>
      <w:numFmt w:val="none"/>
      <w:lvlRestart w:val="0"/>
      <w:lvlText w:val=""/>
      <w:lvlJc w:val="left"/>
      <w:pPr>
        <w:tabs>
          <w:tab w:val="num" w:pos="567"/>
        </w:tabs>
        <w:ind w:left="284" w:firstLine="283"/>
      </w:pPr>
      <w:rPr>
        <w:rFonts w:hint="default"/>
      </w:rPr>
    </w:lvl>
    <w:lvl w:ilvl="8">
      <w:start w:val="1"/>
      <w:numFmt w:val="none"/>
      <w:lvlRestart w:val="0"/>
      <w:lvlText w:val=""/>
      <w:lvlJc w:val="left"/>
      <w:pPr>
        <w:tabs>
          <w:tab w:val="num" w:pos="567"/>
        </w:tabs>
        <w:ind w:left="284" w:firstLine="283"/>
      </w:pPr>
      <w:rPr>
        <w:rFonts w:hint="default"/>
      </w:rPr>
    </w:lvl>
  </w:abstractNum>
  <w:abstractNum w:abstractNumId="16" w15:restartNumberingAfterBreak="0">
    <w:nsid w:val="49D12A7D"/>
    <w:multiLevelType w:val="hybridMultilevel"/>
    <w:tmpl w:val="D9400F94"/>
    <w:lvl w:ilvl="0" w:tplc="08090001">
      <w:start w:val="1"/>
      <w:numFmt w:val="bullet"/>
      <w:lvlText w:val=""/>
      <w:lvlJc w:val="left"/>
      <w:pPr>
        <w:ind w:left="720" w:hanging="360"/>
      </w:pPr>
      <w:rPr>
        <w:rFonts w:ascii="Symbol" w:hAnsi="Symbol" w:hint="default"/>
      </w:rPr>
    </w:lvl>
    <w:lvl w:ilvl="1" w:tplc="0F488C7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0137E"/>
    <w:multiLevelType w:val="hybridMultilevel"/>
    <w:tmpl w:val="106C6086"/>
    <w:lvl w:ilvl="0" w:tplc="FFFFFFFF">
      <w:start w:val="1"/>
      <w:numFmt w:val="bullet"/>
      <w:pStyle w:val="Qbullet"/>
      <w:lvlText w:val=""/>
      <w:lvlJc w:val="left"/>
      <w:pPr>
        <w:tabs>
          <w:tab w:val="num" w:pos="2340"/>
        </w:tabs>
        <w:ind w:left="234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11B3FDA"/>
    <w:multiLevelType w:val="hybridMultilevel"/>
    <w:tmpl w:val="EC086F18"/>
    <w:lvl w:ilvl="0" w:tplc="08090001">
      <w:start w:val="1"/>
      <w:numFmt w:val="lowerLetter"/>
      <w:pStyle w:val="QText"/>
      <w:lvlText w:val="Question 2. %1 ~ "/>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8340B50"/>
    <w:multiLevelType w:val="multilevel"/>
    <w:tmpl w:val="D6668EB2"/>
    <w:lvl w:ilvl="0">
      <w:start w:val="1"/>
      <w:numFmt w:val="decimal"/>
      <w:pStyle w:val="StyleHeading1Before075cmFirstline0cm"/>
      <w:lvlText w:val="%1"/>
      <w:lvlJc w:val="left"/>
      <w:pPr>
        <w:tabs>
          <w:tab w:val="num" w:pos="998"/>
        </w:tabs>
        <w:ind w:left="998" w:hanging="573"/>
      </w:pPr>
      <w:rPr>
        <w:rFonts w:hint="default"/>
      </w:rPr>
    </w:lvl>
    <w:lvl w:ilvl="1">
      <w:start w:val="1"/>
      <w:numFmt w:val="decimal"/>
      <w:lvlText w:val="%1.%2"/>
      <w:lvlJc w:val="left"/>
      <w:pPr>
        <w:tabs>
          <w:tab w:val="num" w:pos="1001"/>
        </w:tabs>
        <w:ind w:left="1134" w:hanging="709"/>
      </w:pPr>
      <w:rPr>
        <w:rFonts w:hint="default"/>
      </w:rPr>
    </w:lvl>
    <w:lvl w:ilvl="2">
      <w:start w:val="1"/>
      <w:numFmt w:val="decimal"/>
      <w:lvlText w:val="%1.%2.%3"/>
      <w:lvlJc w:val="left"/>
      <w:pPr>
        <w:tabs>
          <w:tab w:val="num" w:pos="861"/>
        </w:tabs>
        <w:ind w:left="861" w:hanging="720"/>
      </w:pPr>
      <w:rPr>
        <w:rFonts w:hint="default"/>
      </w:rPr>
    </w:lvl>
    <w:lvl w:ilvl="3">
      <w:start w:val="1"/>
      <w:numFmt w:val="decimal"/>
      <w:lvlText w:val="%1.%2.%3.%4"/>
      <w:lvlJc w:val="left"/>
      <w:pPr>
        <w:tabs>
          <w:tab w:val="num" w:pos="1005"/>
        </w:tabs>
        <w:ind w:left="1005" w:hanging="864"/>
      </w:pPr>
      <w:rPr>
        <w:rFonts w:hint="default"/>
      </w:rPr>
    </w:lvl>
    <w:lvl w:ilvl="4">
      <w:start w:val="1"/>
      <w:numFmt w:val="decimal"/>
      <w:lvlText w:val="%1.%2.%3.%4.%5"/>
      <w:lvlJc w:val="left"/>
      <w:pPr>
        <w:tabs>
          <w:tab w:val="num" w:pos="1149"/>
        </w:tabs>
        <w:ind w:left="1149" w:hanging="1008"/>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20"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C11639"/>
    <w:multiLevelType w:val="hybridMultilevel"/>
    <w:tmpl w:val="4A3654BC"/>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2" w15:restartNumberingAfterBreak="0">
    <w:nsid w:val="6AB57E6F"/>
    <w:multiLevelType w:val="multilevel"/>
    <w:tmpl w:val="88129424"/>
    <w:lvl w:ilvl="0">
      <w:start w:val="1"/>
      <w:numFmt w:val="bullet"/>
      <w:pStyle w:val="ITTbullet"/>
      <w:lvlText w:val="o"/>
      <w:lvlJc w:val="left"/>
      <w:pPr>
        <w:tabs>
          <w:tab w:val="num" w:pos="1980"/>
        </w:tabs>
        <w:ind w:left="1980" w:hanging="360"/>
      </w:pPr>
      <w:rPr>
        <w:rFonts w:ascii="Courier New" w:hAnsi="Courier New" w:cs="Courier New" w:hint="default"/>
      </w:rPr>
    </w:lvl>
    <w:lvl w:ilvl="1">
      <w:start w:val="1"/>
      <w:numFmt w:val="bullet"/>
      <w:lvlText w:val="o"/>
      <w:lvlJc w:val="left"/>
      <w:pPr>
        <w:tabs>
          <w:tab w:val="num" w:pos="3060"/>
        </w:tabs>
        <w:ind w:left="3060" w:hanging="360"/>
      </w:pPr>
      <w:rPr>
        <w:rFonts w:ascii="Courier New" w:hAnsi="Courier New" w:hint="default"/>
      </w:rPr>
    </w:lvl>
    <w:lvl w:ilvl="2">
      <w:start w:val="1"/>
      <w:numFmt w:val="bullet"/>
      <w:pStyle w:val="ITTbullet"/>
      <w:lvlText w:val="o"/>
      <w:lvlJc w:val="left"/>
      <w:pPr>
        <w:tabs>
          <w:tab w:val="num" w:pos="1956"/>
        </w:tabs>
        <w:ind w:left="1956" w:hanging="357"/>
      </w:pPr>
      <w:rPr>
        <w:rFonts w:ascii="Courier New" w:hAnsi="Courier New" w:hint="default"/>
      </w:rPr>
    </w:lvl>
    <w:lvl w:ilvl="3">
      <w:start w:val="1"/>
      <w:numFmt w:val="bullet"/>
      <w:lvlText w:val=""/>
      <w:lvlJc w:val="left"/>
      <w:pPr>
        <w:tabs>
          <w:tab w:val="num" w:pos="4500"/>
        </w:tabs>
        <w:ind w:left="4500" w:hanging="360"/>
      </w:pPr>
      <w:rPr>
        <w:rFonts w:ascii="Symbol" w:hAnsi="Symbol" w:hint="default"/>
      </w:rPr>
    </w:lvl>
    <w:lvl w:ilvl="4">
      <w:start w:val="1"/>
      <w:numFmt w:val="bullet"/>
      <w:lvlText w:val="o"/>
      <w:lvlJc w:val="left"/>
      <w:pPr>
        <w:tabs>
          <w:tab w:val="num" w:pos="5220"/>
        </w:tabs>
        <w:ind w:left="5220" w:hanging="360"/>
      </w:pPr>
      <w:rPr>
        <w:rFonts w:ascii="Courier New" w:hAnsi="Courier New" w:hint="default"/>
      </w:rPr>
    </w:lvl>
    <w:lvl w:ilvl="5">
      <w:start w:val="1"/>
      <w:numFmt w:val="bullet"/>
      <w:lvlText w:val=""/>
      <w:lvlJc w:val="left"/>
      <w:pPr>
        <w:tabs>
          <w:tab w:val="num" w:pos="5940"/>
        </w:tabs>
        <w:ind w:left="5940" w:hanging="360"/>
      </w:pPr>
      <w:rPr>
        <w:rFonts w:ascii="Wingdings" w:hAnsi="Wingdings" w:hint="default"/>
      </w:rPr>
    </w:lvl>
    <w:lvl w:ilvl="6">
      <w:start w:val="1"/>
      <w:numFmt w:val="bullet"/>
      <w:lvlText w:val=""/>
      <w:lvlJc w:val="left"/>
      <w:pPr>
        <w:tabs>
          <w:tab w:val="num" w:pos="6660"/>
        </w:tabs>
        <w:ind w:left="6660" w:hanging="360"/>
      </w:pPr>
      <w:rPr>
        <w:rFonts w:ascii="Symbol" w:hAnsi="Symbol" w:hint="default"/>
      </w:rPr>
    </w:lvl>
    <w:lvl w:ilvl="7">
      <w:start w:val="1"/>
      <w:numFmt w:val="bullet"/>
      <w:lvlText w:val="o"/>
      <w:lvlJc w:val="left"/>
      <w:pPr>
        <w:tabs>
          <w:tab w:val="num" w:pos="7380"/>
        </w:tabs>
        <w:ind w:left="7380" w:hanging="360"/>
      </w:pPr>
      <w:rPr>
        <w:rFonts w:ascii="Courier New" w:hAnsi="Courier New" w:hint="default"/>
      </w:rPr>
    </w:lvl>
    <w:lvl w:ilvl="8">
      <w:start w:val="1"/>
      <w:numFmt w:val="bullet"/>
      <w:lvlText w:val=""/>
      <w:lvlJc w:val="left"/>
      <w:pPr>
        <w:tabs>
          <w:tab w:val="num" w:pos="8100"/>
        </w:tabs>
        <w:ind w:left="8100" w:hanging="360"/>
      </w:pPr>
      <w:rPr>
        <w:rFonts w:ascii="Wingdings" w:hAnsi="Wingdings" w:hint="default"/>
      </w:rPr>
    </w:lvl>
  </w:abstractNum>
  <w:abstractNum w:abstractNumId="23" w15:restartNumberingAfterBreak="0">
    <w:nsid w:val="6C1063A5"/>
    <w:multiLevelType w:val="hybridMultilevel"/>
    <w:tmpl w:val="D7C2E998"/>
    <w:lvl w:ilvl="0" w:tplc="47B2D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CF81461"/>
    <w:multiLevelType w:val="hybridMultilevel"/>
    <w:tmpl w:val="1D0223CC"/>
    <w:lvl w:ilvl="0" w:tplc="47B2D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3"/>
  </w:num>
  <w:num w:numId="4">
    <w:abstractNumId w:val="6"/>
  </w:num>
  <w:num w:numId="5">
    <w:abstractNumId w:val="18"/>
  </w:num>
  <w:num w:numId="6">
    <w:abstractNumId w:val="17"/>
  </w:num>
  <w:num w:numId="7">
    <w:abstractNumId w:val="24"/>
  </w:num>
  <w:num w:numId="8">
    <w:abstractNumId w:val="7"/>
  </w:num>
  <w:num w:numId="9">
    <w:abstractNumId w:val="22"/>
  </w:num>
  <w:num w:numId="10">
    <w:abstractNumId w:val="19"/>
  </w:num>
  <w:num w:numId="11">
    <w:abstractNumId w:val="0"/>
  </w:num>
  <w:num w:numId="12">
    <w:abstractNumId w:val="8"/>
  </w:num>
  <w:num w:numId="13">
    <w:abstractNumId w:val="12"/>
  </w:num>
  <w:num w:numId="14">
    <w:abstractNumId w:val="15"/>
  </w:num>
  <w:num w:numId="15">
    <w:abstractNumId w:val="4"/>
  </w:num>
  <w:num w:numId="16">
    <w:abstractNumId w:val="16"/>
  </w:num>
  <w:num w:numId="17">
    <w:abstractNumId w:val="21"/>
  </w:num>
  <w:num w:numId="18">
    <w:abstractNumId w:val="5"/>
  </w:num>
  <w:num w:numId="19">
    <w:abstractNumId w:val="13"/>
  </w:num>
  <w:num w:numId="20">
    <w:abstractNumId w:val="2"/>
  </w:num>
  <w:num w:numId="21">
    <w:abstractNumId w:val="10"/>
  </w:num>
  <w:num w:numId="22">
    <w:abstractNumId w:val="11"/>
  </w:num>
  <w:num w:numId="23">
    <w:abstractNumId w:val="14"/>
  </w:num>
  <w:num w:numId="24">
    <w:abstractNumId w:val="23"/>
  </w:num>
  <w:num w:numId="25">
    <w:abstractNumId w:val="9"/>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55"/>
    <w:rsid w:val="00001C4C"/>
    <w:rsid w:val="00001E87"/>
    <w:rsid w:val="000054ED"/>
    <w:rsid w:val="0000613E"/>
    <w:rsid w:val="00007FD4"/>
    <w:rsid w:val="00013A6C"/>
    <w:rsid w:val="00014E1E"/>
    <w:rsid w:val="000164EF"/>
    <w:rsid w:val="00025AD6"/>
    <w:rsid w:val="0002609F"/>
    <w:rsid w:val="000267F6"/>
    <w:rsid w:val="00027155"/>
    <w:rsid w:val="00027AA1"/>
    <w:rsid w:val="00031CBA"/>
    <w:rsid w:val="00033AD2"/>
    <w:rsid w:val="0003425F"/>
    <w:rsid w:val="000359B4"/>
    <w:rsid w:val="00036DF7"/>
    <w:rsid w:val="000373F8"/>
    <w:rsid w:val="00037914"/>
    <w:rsid w:val="00041AD4"/>
    <w:rsid w:val="000430C2"/>
    <w:rsid w:val="0004362E"/>
    <w:rsid w:val="000443DF"/>
    <w:rsid w:val="00046CB4"/>
    <w:rsid w:val="0005038E"/>
    <w:rsid w:val="00051978"/>
    <w:rsid w:val="00051CCE"/>
    <w:rsid w:val="000522AD"/>
    <w:rsid w:val="00054CAE"/>
    <w:rsid w:val="00054EFD"/>
    <w:rsid w:val="000572CD"/>
    <w:rsid w:val="000606F5"/>
    <w:rsid w:val="00060E15"/>
    <w:rsid w:val="00063DFA"/>
    <w:rsid w:val="00065014"/>
    <w:rsid w:val="00066666"/>
    <w:rsid w:val="0006669B"/>
    <w:rsid w:val="00067D53"/>
    <w:rsid w:val="00071102"/>
    <w:rsid w:val="00071DEB"/>
    <w:rsid w:val="000725E1"/>
    <w:rsid w:val="00072C0F"/>
    <w:rsid w:val="00072EB5"/>
    <w:rsid w:val="00073B1B"/>
    <w:rsid w:val="00073D02"/>
    <w:rsid w:val="00073DD3"/>
    <w:rsid w:val="00073EC0"/>
    <w:rsid w:val="00074F9D"/>
    <w:rsid w:val="0007593C"/>
    <w:rsid w:val="000765B8"/>
    <w:rsid w:val="00077392"/>
    <w:rsid w:val="00077B8A"/>
    <w:rsid w:val="00080642"/>
    <w:rsid w:val="00084945"/>
    <w:rsid w:val="00084C85"/>
    <w:rsid w:val="00085081"/>
    <w:rsid w:val="0008628C"/>
    <w:rsid w:val="0009022A"/>
    <w:rsid w:val="00090EEE"/>
    <w:rsid w:val="000927C9"/>
    <w:rsid w:val="00092B9A"/>
    <w:rsid w:val="0009663A"/>
    <w:rsid w:val="000A0714"/>
    <w:rsid w:val="000A0E9D"/>
    <w:rsid w:val="000A1023"/>
    <w:rsid w:val="000A19B9"/>
    <w:rsid w:val="000A299F"/>
    <w:rsid w:val="000A2D4E"/>
    <w:rsid w:val="000A5142"/>
    <w:rsid w:val="000A6F20"/>
    <w:rsid w:val="000A7B2B"/>
    <w:rsid w:val="000B0A88"/>
    <w:rsid w:val="000B1D76"/>
    <w:rsid w:val="000B22DB"/>
    <w:rsid w:val="000B2432"/>
    <w:rsid w:val="000B3527"/>
    <w:rsid w:val="000B3570"/>
    <w:rsid w:val="000B49B3"/>
    <w:rsid w:val="000B545B"/>
    <w:rsid w:val="000C0F00"/>
    <w:rsid w:val="000C1AA9"/>
    <w:rsid w:val="000C4DBD"/>
    <w:rsid w:val="000C600D"/>
    <w:rsid w:val="000C61CE"/>
    <w:rsid w:val="000C7C56"/>
    <w:rsid w:val="000D1BE9"/>
    <w:rsid w:val="000D2C9E"/>
    <w:rsid w:val="000D3FE2"/>
    <w:rsid w:val="000D4F2C"/>
    <w:rsid w:val="000D5BE4"/>
    <w:rsid w:val="000D5ED2"/>
    <w:rsid w:val="000D6CB5"/>
    <w:rsid w:val="000D72F9"/>
    <w:rsid w:val="000D7B0F"/>
    <w:rsid w:val="000E27CC"/>
    <w:rsid w:val="000E372D"/>
    <w:rsid w:val="000E3DAE"/>
    <w:rsid w:val="000E45C5"/>
    <w:rsid w:val="000E4F89"/>
    <w:rsid w:val="000E50FA"/>
    <w:rsid w:val="000E5E82"/>
    <w:rsid w:val="000E6670"/>
    <w:rsid w:val="000E7C0D"/>
    <w:rsid w:val="000F088D"/>
    <w:rsid w:val="000F0BE5"/>
    <w:rsid w:val="000F259F"/>
    <w:rsid w:val="000F3313"/>
    <w:rsid w:val="000F4A70"/>
    <w:rsid w:val="000F59AE"/>
    <w:rsid w:val="000F5E12"/>
    <w:rsid w:val="000F5FE9"/>
    <w:rsid w:val="000F66C0"/>
    <w:rsid w:val="000F686B"/>
    <w:rsid w:val="000F6DC9"/>
    <w:rsid w:val="00100A83"/>
    <w:rsid w:val="00100CA9"/>
    <w:rsid w:val="001012B9"/>
    <w:rsid w:val="001028A1"/>
    <w:rsid w:val="001038E1"/>
    <w:rsid w:val="00103A95"/>
    <w:rsid w:val="00103E8B"/>
    <w:rsid w:val="00104C2D"/>
    <w:rsid w:val="00104CCB"/>
    <w:rsid w:val="0010522D"/>
    <w:rsid w:val="00105645"/>
    <w:rsid w:val="00114F8A"/>
    <w:rsid w:val="00115023"/>
    <w:rsid w:val="001158CA"/>
    <w:rsid w:val="00115ECC"/>
    <w:rsid w:val="00117545"/>
    <w:rsid w:val="00121EE2"/>
    <w:rsid w:val="0012393A"/>
    <w:rsid w:val="00126F9C"/>
    <w:rsid w:val="00130219"/>
    <w:rsid w:val="0013137A"/>
    <w:rsid w:val="00131B03"/>
    <w:rsid w:val="00133FD2"/>
    <w:rsid w:val="0013430F"/>
    <w:rsid w:val="00134396"/>
    <w:rsid w:val="0013451A"/>
    <w:rsid w:val="0013463A"/>
    <w:rsid w:val="00135E29"/>
    <w:rsid w:val="00137100"/>
    <w:rsid w:val="00140DA6"/>
    <w:rsid w:val="001412DD"/>
    <w:rsid w:val="00141D5C"/>
    <w:rsid w:val="00142646"/>
    <w:rsid w:val="0014391A"/>
    <w:rsid w:val="00144F79"/>
    <w:rsid w:val="00151FC2"/>
    <w:rsid w:val="00152114"/>
    <w:rsid w:val="00152940"/>
    <w:rsid w:val="00152C8D"/>
    <w:rsid w:val="001530D4"/>
    <w:rsid w:val="00153654"/>
    <w:rsid w:val="00153FEE"/>
    <w:rsid w:val="001557E4"/>
    <w:rsid w:val="00157F6A"/>
    <w:rsid w:val="00161DC8"/>
    <w:rsid w:val="00165B41"/>
    <w:rsid w:val="00167982"/>
    <w:rsid w:val="001701D5"/>
    <w:rsid w:val="00171C9C"/>
    <w:rsid w:val="001729E3"/>
    <w:rsid w:val="00172D6A"/>
    <w:rsid w:val="00172FC7"/>
    <w:rsid w:val="00174001"/>
    <w:rsid w:val="00175E67"/>
    <w:rsid w:val="001802BF"/>
    <w:rsid w:val="00180417"/>
    <w:rsid w:val="00181CD1"/>
    <w:rsid w:val="00182CAB"/>
    <w:rsid w:val="00183140"/>
    <w:rsid w:val="00190AA9"/>
    <w:rsid w:val="00191679"/>
    <w:rsid w:val="00193108"/>
    <w:rsid w:val="001950A2"/>
    <w:rsid w:val="00195EE7"/>
    <w:rsid w:val="001A10D0"/>
    <w:rsid w:val="001A1908"/>
    <w:rsid w:val="001A1E29"/>
    <w:rsid w:val="001A210F"/>
    <w:rsid w:val="001A2208"/>
    <w:rsid w:val="001A4A3B"/>
    <w:rsid w:val="001A6473"/>
    <w:rsid w:val="001A6BB4"/>
    <w:rsid w:val="001B21C3"/>
    <w:rsid w:val="001B2870"/>
    <w:rsid w:val="001B392D"/>
    <w:rsid w:val="001B4C48"/>
    <w:rsid w:val="001B5856"/>
    <w:rsid w:val="001B5D83"/>
    <w:rsid w:val="001B5FDC"/>
    <w:rsid w:val="001B6240"/>
    <w:rsid w:val="001B6293"/>
    <w:rsid w:val="001B6A61"/>
    <w:rsid w:val="001B6E2B"/>
    <w:rsid w:val="001B7814"/>
    <w:rsid w:val="001C0975"/>
    <w:rsid w:val="001C0BA2"/>
    <w:rsid w:val="001C269B"/>
    <w:rsid w:val="001C3777"/>
    <w:rsid w:val="001C3EAA"/>
    <w:rsid w:val="001C4D37"/>
    <w:rsid w:val="001C4DE2"/>
    <w:rsid w:val="001C5161"/>
    <w:rsid w:val="001C5F82"/>
    <w:rsid w:val="001C60C4"/>
    <w:rsid w:val="001C68D6"/>
    <w:rsid w:val="001D0C46"/>
    <w:rsid w:val="001D412A"/>
    <w:rsid w:val="001D456B"/>
    <w:rsid w:val="001E1310"/>
    <w:rsid w:val="001E148B"/>
    <w:rsid w:val="001E26A4"/>
    <w:rsid w:val="001E345B"/>
    <w:rsid w:val="001E4621"/>
    <w:rsid w:val="001E4D1F"/>
    <w:rsid w:val="001E4ED2"/>
    <w:rsid w:val="001E644B"/>
    <w:rsid w:val="001F0C2A"/>
    <w:rsid w:val="001F1481"/>
    <w:rsid w:val="001F218A"/>
    <w:rsid w:val="001F2A71"/>
    <w:rsid w:val="001F3576"/>
    <w:rsid w:val="001F4FE0"/>
    <w:rsid w:val="001F74C4"/>
    <w:rsid w:val="001F75AC"/>
    <w:rsid w:val="0020072E"/>
    <w:rsid w:val="00201AD4"/>
    <w:rsid w:val="0020341C"/>
    <w:rsid w:val="00204961"/>
    <w:rsid w:val="002053C6"/>
    <w:rsid w:val="0020758B"/>
    <w:rsid w:val="00211163"/>
    <w:rsid w:val="00214908"/>
    <w:rsid w:val="00215F18"/>
    <w:rsid w:val="00216BD0"/>
    <w:rsid w:val="00217EB9"/>
    <w:rsid w:val="0022057D"/>
    <w:rsid w:val="00222A57"/>
    <w:rsid w:val="00222B35"/>
    <w:rsid w:val="002235A0"/>
    <w:rsid w:val="00227DAD"/>
    <w:rsid w:val="00230A79"/>
    <w:rsid w:val="00230E85"/>
    <w:rsid w:val="00232632"/>
    <w:rsid w:val="00234082"/>
    <w:rsid w:val="00235F11"/>
    <w:rsid w:val="00240F93"/>
    <w:rsid w:val="00242CB5"/>
    <w:rsid w:val="00243E20"/>
    <w:rsid w:val="00244D8C"/>
    <w:rsid w:val="00245BC7"/>
    <w:rsid w:val="00246D2D"/>
    <w:rsid w:val="00246EA8"/>
    <w:rsid w:val="00246EAA"/>
    <w:rsid w:val="00252D81"/>
    <w:rsid w:val="00254E64"/>
    <w:rsid w:val="0025572C"/>
    <w:rsid w:val="00255C7B"/>
    <w:rsid w:val="00256826"/>
    <w:rsid w:val="0026076C"/>
    <w:rsid w:val="00260FE4"/>
    <w:rsid w:val="0026263C"/>
    <w:rsid w:val="00263193"/>
    <w:rsid w:val="0027017D"/>
    <w:rsid w:val="00270C59"/>
    <w:rsid w:val="002712D5"/>
    <w:rsid w:val="00271615"/>
    <w:rsid w:val="0027305E"/>
    <w:rsid w:val="002732F0"/>
    <w:rsid w:val="00273957"/>
    <w:rsid w:val="00274A89"/>
    <w:rsid w:val="0027627E"/>
    <w:rsid w:val="002763B3"/>
    <w:rsid w:val="00280851"/>
    <w:rsid w:val="00281968"/>
    <w:rsid w:val="00290917"/>
    <w:rsid w:val="00291166"/>
    <w:rsid w:val="0029157F"/>
    <w:rsid w:val="00291A17"/>
    <w:rsid w:val="00291C9C"/>
    <w:rsid w:val="002921FE"/>
    <w:rsid w:val="0029281B"/>
    <w:rsid w:val="002929C2"/>
    <w:rsid w:val="002931A8"/>
    <w:rsid w:val="0029347F"/>
    <w:rsid w:val="002934EF"/>
    <w:rsid w:val="0029353D"/>
    <w:rsid w:val="002949BC"/>
    <w:rsid w:val="00295986"/>
    <w:rsid w:val="002968EC"/>
    <w:rsid w:val="00297193"/>
    <w:rsid w:val="002A1A6E"/>
    <w:rsid w:val="002A1C48"/>
    <w:rsid w:val="002A1DAE"/>
    <w:rsid w:val="002A204E"/>
    <w:rsid w:val="002A2587"/>
    <w:rsid w:val="002A3666"/>
    <w:rsid w:val="002A38E4"/>
    <w:rsid w:val="002A4436"/>
    <w:rsid w:val="002A444D"/>
    <w:rsid w:val="002A5329"/>
    <w:rsid w:val="002A5AD1"/>
    <w:rsid w:val="002A5CAB"/>
    <w:rsid w:val="002A7018"/>
    <w:rsid w:val="002B0733"/>
    <w:rsid w:val="002B1A1B"/>
    <w:rsid w:val="002B1AD5"/>
    <w:rsid w:val="002B3644"/>
    <w:rsid w:val="002B5197"/>
    <w:rsid w:val="002B5CDB"/>
    <w:rsid w:val="002B6448"/>
    <w:rsid w:val="002B6532"/>
    <w:rsid w:val="002C0700"/>
    <w:rsid w:val="002C0AA0"/>
    <w:rsid w:val="002C2291"/>
    <w:rsid w:val="002C2F72"/>
    <w:rsid w:val="002C32C8"/>
    <w:rsid w:val="002C3392"/>
    <w:rsid w:val="002C3F2B"/>
    <w:rsid w:val="002C62A2"/>
    <w:rsid w:val="002C6B86"/>
    <w:rsid w:val="002C777D"/>
    <w:rsid w:val="002D11F4"/>
    <w:rsid w:val="002D1504"/>
    <w:rsid w:val="002D155D"/>
    <w:rsid w:val="002D3809"/>
    <w:rsid w:val="002D3C6D"/>
    <w:rsid w:val="002D3E37"/>
    <w:rsid w:val="002D6F93"/>
    <w:rsid w:val="002D78EF"/>
    <w:rsid w:val="002D7BA0"/>
    <w:rsid w:val="002E3DC2"/>
    <w:rsid w:val="002E4310"/>
    <w:rsid w:val="002E711E"/>
    <w:rsid w:val="002E734B"/>
    <w:rsid w:val="002E7B21"/>
    <w:rsid w:val="002F13DC"/>
    <w:rsid w:val="002F41F7"/>
    <w:rsid w:val="002F452D"/>
    <w:rsid w:val="002F4A15"/>
    <w:rsid w:val="002F6709"/>
    <w:rsid w:val="002F671B"/>
    <w:rsid w:val="002F7FE7"/>
    <w:rsid w:val="003002C2"/>
    <w:rsid w:val="00300905"/>
    <w:rsid w:val="0030146E"/>
    <w:rsid w:val="0030161B"/>
    <w:rsid w:val="003024EC"/>
    <w:rsid w:val="0030542A"/>
    <w:rsid w:val="003058ED"/>
    <w:rsid w:val="00310112"/>
    <w:rsid w:val="00311142"/>
    <w:rsid w:val="00313C26"/>
    <w:rsid w:val="00313E60"/>
    <w:rsid w:val="0031614F"/>
    <w:rsid w:val="003211CF"/>
    <w:rsid w:val="00321826"/>
    <w:rsid w:val="00323B9F"/>
    <w:rsid w:val="003260BB"/>
    <w:rsid w:val="00326BA9"/>
    <w:rsid w:val="00326BBD"/>
    <w:rsid w:val="0032794D"/>
    <w:rsid w:val="00333626"/>
    <w:rsid w:val="003353F6"/>
    <w:rsid w:val="00336A29"/>
    <w:rsid w:val="00336C70"/>
    <w:rsid w:val="003436EF"/>
    <w:rsid w:val="00344403"/>
    <w:rsid w:val="00344E8B"/>
    <w:rsid w:val="0034559A"/>
    <w:rsid w:val="00345747"/>
    <w:rsid w:val="0034584E"/>
    <w:rsid w:val="00352424"/>
    <w:rsid w:val="0035296D"/>
    <w:rsid w:val="00352D02"/>
    <w:rsid w:val="00353504"/>
    <w:rsid w:val="00353BCA"/>
    <w:rsid w:val="00356D1F"/>
    <w:rsid w:val="0036006C"/>
    <w:rsid w:val="00360394"/>
    <w:rsid w:val="003624D8"/>
    <w:rsid w:val="00363682"/>
    <w:rsid w:val="00364312"/>
    <w:rsid w:val="00364551"/>
    <w:rsid w:val="0036524A"/>
    <w:rsid w:val="0037262D"/>
    <w:rsid w:val="00374367"/>
    <w:rsid w:val="00374549"/>
    <w:rsid w:val="00374D72"/>
    <w:rsid w:val="003773C1"/>
    <w:rsid w:val="00377959"/>
    <w:rsid w:val="00380FF7"/>
    <w:rsid w:val="00382958"/>
    <w:rsid w:val="003841DD"/>
    <w:rsid w:val="003843EC"/>
    <w:rsid w:val="003863D0"/>
    <w:rsid w:val="00387481"/>
    <w:rsid w:val="00392DBB"/>
    <w:rsid w:val="00394D9F"/>
    <w:rsid w:val="00394F06"/>
    <w:rsid w:val="00396333"/>
    <w:rsid w:val="003A15A5"/>
    <w:rsid w:val="003A4849"/>
    <w:rsid w:val="003A55F2"/>
    <w:rsid w:val="003A5B2C"/>
    <w:rsid w:val="003A704C"/>
    <w:rsid w:val="003A7F05"/>
    <w:rsid w:val="003B42CA"/>
    <w:rsid w:val="003B5ECA"/>
    <w:rsid w:val="003B6C38"/>
    <w:rsid w:val="003B73CA"/>
    <w:rsid w:val="003B7460"/>
    <w:rsid w:val="003B7FA6"/>
    <w:rsid w:val="003C16E5"/>
    <w:rsid w:val="003C309E"/>
    <w:rsid w:val="003C67C4"/>
    <w:rsid w:val="003C73B5"/>
    <w:rsid w:val="003C752B"/>
    <w:rsid w:val="003D0FE9"/>
    <w:rsid w:val="003D2243"/>
    <w:rsid w:val="003D3ACA"/>
    <w:rsid w:val="003D6051"/>
    <w:rsid w:val="003D7576"/>
    <w:rsid w:val="003D79B5"/>
    <w:rsid w:val="003E1DCE"/>
    <w:rsid w:val="003E2719"/>
    <w:rsid w:val="003E2D74"/>
    <w:rsid w:val="003E45B1"/>
    <w:rsid w:val="003E47C6"/>
    <w:rsid w:val="003E4D6F"/>
    <w:rsid w:val="003E5B5B"/>
    <w:rsid w:val="003E5EC1"/>
    <w:rsid w:val="003E75E2"/>
    <w:rsid w:val="003E774E"/>
    <w:rsid w:val="003F03C9"/>
    <w:rsid w:val="003F046F"/>
    <w:rsid w:val="003F0AC7"/>
    <w:rsid w:val="003F30FE"/>
    <w:rsid w:val="003F5230"/>
    <w:rsid w:val="003F6C84"/>
    <w:rsid w:val="003F6F75"/>
    <w:rsid w:val="003F7F26"/>
    <w:rsid w:val="00401DDC"/>
    <w:rsid w:val="00402CA9"/>
    <w:rsid w:val="00402D06"/>
    <w:rsid w:val="0040444E"/>
    <w:rsid w:val="004053FE"/>
    <w:rsid w:val="00405C3D"/>
    <w:rsid w:val="00405C45"/>
    <w:rsid w:val="00410AD2"/>
    <w:rsid w:val="00410C22"/>
    <w:rsid w:val="004132F0"/>
    <w:rsid w:val="00415E23"/>
    <w:rsid w:val="00416175"/>
    <w:rsid w:val="00420B30"/>
    <w:rsid w:val="00422A33"/>
    <w:rsid w:val="0042327E"/>
    <w:rsid w:val="00423E4B"/>
    <w:rsid w:val="0042700F"/>
    <w:rsid w:val="004272FC"/>
    <w:rsid w:val="004273C8"/>
    <w:rsid w:val="004277EB"/>
    <w:rsid w:val="0043077B"/>
    <w:rsid w:val="00431EDA"/>
    <w:rsid w:val="004365E5"/>
    <w:rsid w:val="00440051"/>
    <w:rsid w:val="00440234"/>
    <w:rsid w:val="004402DA"/>
    <w:rsid w:val="004405BC"/>
    <w:rsid w:val="00443DF8"/>
    <w:rsid w:val="00444589"/>
    <w:rsid w:val="00444E90"/>
    <w:rsid w:val="004451FD"/>
    <w:rsid w:val="0045186D"/>
    <w:rsid w:val="00451EEA"/>
    <w:rsid w:val="00452259"/>
    <w:rsid w:val="004525F6"/>
    <w:rsid w:val="00452939"/>
    <w:rsid w:val="00452A8A"/>
    <w:rsid w:val="00455B26"/>
    <w:rsid w:val="00456375"/>
    <w:rsid w:val="0045664A"/>
    <w:rsid w:val="00456EA8"/>
    <w:rsid w:val="00457024"/>
    <w:rsid w:val="00461062"/>
    <w:rsid w:val="00461AC9"/>
    <w:rsid w:val="004635BC"/>
    <w:rsid w:val="0046382A"/>
    <w:rsid w:val="00464AB9"/>
    <w:rsid w:val="00471446"/>
    <w:rsid w:val="00473634"/>
    <w:rsid w:val="00475FFC"/>
    <w:rsid w:val="004777A0"/>
    <w:rsid w:val="00477BED"/>
    <w:rsid w:val="00480260"/>
    <w:rsid w:val="0048249F"/>
    <w:rsid w:val="0048406B"/>
    <w:rsid w:val="004845E1"/>
    <w:rsid w:val="00485F53"/>
    <w:rsid w:val="00486633"/>
    <w:rsid w:val="0048763E"/>
    <w:rsid w:val="00487EAC"/>
    <w:rsid w:val="004903E0"/>
    <w:rsid w:val="00490A1A"/>
    <w:rsid w:val="00490DE0"/>
    <w:rsid w:val="004911FC"/>
    <w:rsid w:val="00492130"/>
    <w:rsid w:val="00494350"/>
    <w:rsid w:val="004954D6"/>
    <w:rsid w:val="004956CC"/>
    <w:rsid w:val="0049597E"/>
    <w:rsid w:val="00495C8D"/>
    <w:rsid w:val="00496318"/>
    <w:rsid w:val="004A05C0"/>
    <w:rsid w:val="004A10CA"/>
    <w:rsid w:val="004A2B6A"/>
    <w:rsid w:val="004A2E5B"/>
    <w:rsid w:val="004A499E"/>
    <w:rsid w:val="004A4EBA"/>
    <w:rsid w:val="004B32AB"/>
    <w:rsid w:val="004B33CF"/>
    <w:rsid w:val="004B3C73"/>
    <w:rsid w:val="004B3F6A"/>
    <w:rsid w:val="004B4222"/>
    <w:rsid w:val="004B53B5"/>
    <w:rsid w:val="004B5CFD"/>
    <w:rsid w:val="004B7756"/>
    <w:rsid w:val="004B77F2"/>
    <w:rsid w:val="004C0B21"/>
    <w:rsid w:val="004C0CD5"/>
    <w:rsid w:val="004C352E"/>
    <w:rsid w:val="004C3F77"/>
    <w:rsid w:val="004C431F"/>
    <w:rsid w:val="004C486E"/>
    <w:rsid w:val="004C49A4"/>
    <w:rsid w:val="004C5870"/>
    <w:rsid w:val="004C6D38"/>
    <w:rsid w:val="004D0275"/>
    <w:rsid w:val="004D2199"/>
    <w:rsid w:val="004D2BF6"/>
    <w:rsid w:val="004D326F"/>
    <w:rsid w:val="004D3729"/>
    <w:rsid w:val="004D67D7"/>
    <w:rsid w:val="004D7385"/>
    <w:rsid w:val="004D76AE"/>
    <w:rsid w:val="004D76EF"/>
    <w:rsid w:val="004D7846"/>
    <w:rsid w:val="004E36D5"/>
    <w:rsid w:val="004E44BE"/>
    <w:rsid w:val="004E4E09"/>
    <w:rsid w:val="004E5E1D"/>
    <w:rsid w:val="004E5FA2"/>
    <w:rsid w:val="004E6113"/>
    <w:rsid w:val="004E6698"/>
    <w:rsid w:val="004E738B"/>
    <w:rsid w:val="004F0102"/>
    <w:rsid w:val="004F10CD"/>
    <w:rsid w:val="004F197E"/>
    <w:rsid w:val="004F1C09"/>
    <w:rsid w:val="004F1DCD"/>
    <w:rsid w:val="004F2C5C"/>
    <w:rsid w:val="004F56B3"/>
    <w:rsid w:val="004F5913"/>
    <w:rsid w:val="004F59F5"/>
    <w:rsid w:val="004F698F"/>
    <w:rsid w:val="004F6D88"/>
    <w:rsid w:val="004F7B1C"/>
    <w:rsid w:val="00500967"/>
    <w:rsid w:val="00500F83"/>
    <w:rsid w:val="0050130F"/>
    <w:rsid w:val="00503572"/>
    <w:rsid w:val="0051032C"/>
    <w:rsid w:val="0051444C"/>
    <w:rsid w:val="005157CE"/>
    <w:rsid w:val="0051652B"/>
    <w:rsid w:val="00516BE0"/>
    <w:rsid w:val="00520D6D"/>
    <w:rsid w:val="00521600"/>
    <w:rsid w:val="005225F9"/>
    <w:rsid w:val="00523C08"/>
    <w:rsid w:val="00525244"/>
    <w:rsid w:val="00531957"/>
    <w:rsid w:val="0053297F"/>
    <w:rsid w:val="00541A67"/>
    <w:rsid w:val="005435D7"/>
    <w:rsid w:val="00544265"/>
    <w:rsid w:val="005453FC"/>
    <w:rsid w:val="0054559C"/>
    <w:rsid w:val="00545FC8"/>
    <w:rsid w:val="0054635C"/>
    <w:rsid w:val="00546561"/>
    <w:rsid w:val="00547A19"/>
    <w:rsid w:val="005502E4"/>
    <w:rsid w:val="005517C1"/>
    <w:rsid w:val="00551842"/>
    <w:rsid w:val="00553135"/>
    <w:rsid w:val="0055413A"/>
    <w:rsid w:val="005542A5"/>
    <w:rsid w:val="00554F45"/>
    <w:rsid w:val="00555474"/>
    <w:rsid w:val="00556317"/>
    <w:rsid w:val="005614D8"/>
    <w:rsid w:val="00561535"/>
    <w:rsid w:val="00561BB7"/>
    <w:rsid w:val="00561EC4"/>
    <w:rsid w:val="005645E6"/>
    <w:rsid w:val="005662BC"/>
    <w:rsid w:val="00571104"/>
    <w:rsid w:val="00580FC7"/>
    <w:rsid w:val="005825FC"/>
    <w:rsid w:val="005835E4"/>
    <w:rsid w:val="005837FA"/>
    <w:rsid w:val="005838E4"/>
    <w:rsid w:val="005862BD"/>
    <w:rsid w:val="005902BC"/>
    <w:rsid w:val="00590F6B"/>
    <w:rsid w:val="00591736"/>
    <w:rsid w:val="0059233E"/>
    <w:rsid w:val="005949A9"/>
    <w:rsid w:val="00594BED"/>
    <w:rsid w:val="00595509"/>
    <w:rsid w:val="005958D9"/>
    <w:rsid w:val="00595CE0"/>
    <w:rsid w:val="0059722A"/>
    <w:rsid w:val="005A0192"/>
    <w:rsid w:val="005A07E0"/>
    <w:rsid w:val="005A6A93"/>
    <w:rsid w:val="005A7EB7"/>
    <w:rsid w:val="005B0253"/>
    <w:rsid w:val="005B2C37"/>
    <w:rsid w:val="005B30A2"/>
    <w:rsid w:val="005B36ED"/>
    <w:rsid w:val="005B3B68"/>
    <w:rsid w:val="005B5ED3"/>
    <w:rsid w:val="005B6F01"/>
    <w:rsid w:val="005C0EEA"/>
    <w:rsid w:val="005C3CAF"/>
    <w:rsid w:val="005C5145"/>
    <w:rsid w:val="005C5F8D"/>
    <w:rsid w:val="005C6917"/>
    <w:rsid w:val="005C7952"/>
    <w:rsid w:val="005D03CC"/>
    <w:rsid w:val="005D0F45"/>
    <w:rsid w:val="005D1CD9"/>
    <w:rsid w:val="005D3404"/>
    <w:rsid w:val="005D34E9"/>
    <w:rsid w:val="005D387C"/>
    <w:rsid w:val="005D48E8"/>
    <w:rsid w:val="005D6970"/>
    <w:rsid w:val="005E10B6"/>
    <w:rsid w:val="005E3635"/>
    <w:rsid w:val="005E3C2D"/>
    <w:rsid w:val="005E57E4"/>
    <w:rsid w:val="005E581C"/>
    <w:rsid w:val="005E5F05"/>
    <w:rsid w:val="005F14E2"/>
    <w:rsid w:val="005F1B83"/>
    <w:rsid w:val="005F1DAA"/>
    <w:rsid w:val="005F4636"/>
    <w:rsid w:val="005F4CD7"/>
    <w:rsid w:val="005F5355"/>
    <w:rsid w:val="005F5B0C"/>
    <w:rsid w:val="005F5C20"/>
    <w:rsid w:val="006005DF"/>
    <w:rsid w:val="006007F3"/>
    <w:rsid w:val="006008A6"/>
    <w:rsid w:val="006015C4"/>
    <w:rsid w:val="00602B6D"/>
    <w:rsid w:val="006042E4"/>
    <w:rsid w:val="00604523"/>
    <w:rsid w:val="006047A4"/>
    <w:rsid w:val="0060560E"/>
    <w:rsid w:val="006066D4"/>
    <w:rsid w:val="00606933"/>
    <w:rsid w:val="006079E4"/>
    <w:rsid w:val="00607F94"/>
    <w:rsid w:val="00610116"/>
    <w:rsid w:val="00610D5A"/>
    <w:rsid w:val="0061372E"/>
    <w:rsid w:val="006144A4"/>
    <w:rsid w:val="0061455E"/>
    <w:rsid w:val="00620FA8"/>
    <w:rsid w:val="00621006"/>
    <w:rsid w:val="006221C5"/>
    <w:rsid w:val="00622277"/>
    <w:rsid w:val="00627791"/>
    <w:rsid w:val="00635146"/>
    <w:rsid w:val="0064046B"/>
    <w:rsid w:val="00640B41"/>
    <w:rsid w:val="006414F6"/>
    <w:rsid w:val="00642CB2"/>
    <w:rsid w:val="006434C7"/>
    <w:rsid w:val="00643FB8"/>
    <w:rsid w:val="006463F4"/>
    <w:rsid w:val="00647935"/>
    <w:rsid w:val="00650662"/>
    <w:rsid w:val="00650737"/>
    <w:rsid w:val="00651A75"/>
    <w:rsid w:val="006524B1"/>
    <w:rsid w:val="006622D9"/>
    <w:rsid w:val="00663408"/>
    <w:rsid w:val="00663F23"/>
    <w:rsid w:val="006650E5"/>
    <w:rsid w:val="00666017"/>
    <w:rsid w:val="006664EA"/>
    <w:rsid w:val="00667737"/>
    <w:rsid w:val="00667C63"/>
    <w:rsid w:val="006706C1"/>
    <w:rsid w:val="006720B2"/>
    <w:rsid w:val="00672652"/>
    <w:rsid w:val="00672C11"/>
    <w:rsid w:val="00672E09"/>
    <w:rsid w:val="00673206"/>
    <w:rsid w:val="006744EE"/>
    <w:rsid w:val="006755FA"/>
    <w:rsid w:val="00677927"/>
    <w:rsid w:val="00681685"/>
    <w:rsid w:val="00682D1E"/>
    <w:rsid w:val="006838AD"/>
    <w:rsid w:val="0068492B"/>
    <w:rsid w:val="00684EEA"/>
    <w:rsid w:val="006901A3"/>
    <w:rsid w:val="00693CD1"/>
    <w:rsid w:val="0069593F"/>
    <w:rsid w:val="006959B2"/>
    <w:rsid w:val="0069613A"/>
    <w:rsid w:val="00696385"/>
    <w:rsid w:val="00696933"/>
    <w:rsid w:val="00697003"/>
    <w:rsid w:val="006A09D0"/>
    <w:rsid w:val="006A1CC6"/>
    <w:rsid w:val="006A61FD"/>
    <w:rsid w:val="006A6453"/>
    <w:rsid w:val="006A6491"/>
    <w:rsid w:val="006B1CAA"/>
    <w:rsid w:val="006B3272"/>
    <w:rsid w:val="006B3C68"/>
    <w:rsid w:val="006B5326"/>
    <w:rsid w:val="006B5BA5"/>
    <w:rsid w:val="006B6332"/>
    <w:rsid w:val="006B65C0"/>
    <w:rsid w:val="006B692A"/>
    <w:rsid w:val="006B6E2A"/>
    <w:rsid w:val="006C12F6"/>
    <w:rsid w:val="006C184C"/>
    <w:rsid w:val="006C2641"/>
    <w:rsid w:val="006C3E96"/>
    <w:rsid w:val="006C75A6"/>
    <w:rsid w:val="006C79F6"/>
    <w:rsid w:val="006D0D68"/>
    <w:rsid w:val="006D2AAE"/>
    <w:rsid w:val="006D4EB6"/>
    <w:rsid w:val="006D5FFD"/>
    <w:rsid w:val="006E0902"/>
    <w:rsid w:val="006E16A5"/>
    <w:rsid w:val="006E1F69"/>
    <w:rsid w:val="006E23DF"/>
    <w:rsid w:val="006E50FC"/>
    <w:rsid w:val="006E54AF"/>
    <w:rsid w:val="006E7E24"/>
    <w:rsid w:val="006F12A3"/>
    <w:rsid w:val="006F1F3B"/>
    <w:rsid w:val="006F2DD6"/>
    <w:rsid w:val="006F3EF7"/>
    <w:rsid w:val="006F5EA3"/>
    <w:rsid w:val="006F785F"/>
    <w:rsid w:val="00702852"/>
    <w:rsid w:val="00703139"/>
    <w:rsid w:val="00703729"/>
    <w:rsid w:val="00705438"/>
    <w:rsid w:val="00705BA8"/>
    <w:rsid w:val="00710D51"/>
    <w:rsid w:val="007114E1"/>
    <w:rsid w:val="00712413"/>
    <w:rsid w:val="007130E4"/>
    <w:rsid w:val="007158E2"/>
    <w:rsid w:val="00715A8E"/>
    <w:rsid w:val="00715D54"/>
    <w:rsid w:val="00716FEF"/>
    <w:rsid w:val="00720442"/>
    <w:rsid w:val="00721703"/>
    <w:rsid w:val="007228C7"/>
    <w:rsid w:val="00722B8C"/>
    <w:rsid w:val="00724F0B"/>
    <w:rsid w:val="00726A47"/>
    <w:rsid w:val="00726B89"/>
    <w:rsid w:val="00727E46"/>
    <w:rsid w:val="007319D2"/>
    <w:rsid w:val="00734BBD"/>
    <w:rsid w:val="00736A8D"/>
    <w:rsid w:val="007372F6"/>
    <w:rsid w:val="00742618"/>
    <w:rsid w:val="0074319D"/>
    <w:rsid w:val="0074368F"/>
    <w:rsid w:val="007438A6"/>
    <w:rsid w:val="007467E5"/>
    <w:rsid w:val="007468C0"/>
    <w:rsid w:val="007525DB"/>
    <w:rsid w:val="0075269C"/>
    <w:rsid w:val="00753EA5"/>
    <w:rsid w:val="00755023"/>
    <w:rsid w:val="00756824"/>
    <w:rsid w:val="007615FE"/>
    <w:rsid w:val="00761B4D"/>
    <w:rsid w:val="00762A3B"/>
    <w:rsid w:val="00763FF5"/>
    <w:rsid w:val="00765783"/>
    <w:rsid w:val="00765BFE"/>
    <w:rsid w:val="00767BC5"/>
    <w:rsid w:val="00770AA7"/>
    <w:rsid w:val="00771642"/>
    <w:rsid w:val="00771A01"/>
    <w:rsid w:val="00773BC8"/>
    <w:rsid w:val="007757CC"/>
    <w:rsid w:val="00775F67"/>
    <w:rsid w:val="007775A1"/>
    <w:rsid w:val="007776C2"/>
    <w:rsid w:val="00780874"/>
    <w:rsid w:val="00781580"/>
    <w:rsid w:val="007817C4"/>
    <w:rsid w:val="007828E4"/>
    <w:rsid w:val="00782CCB"/>
    <w:rsid w:val="00783055"/>
    <w:rsid w:val="00786F3F"/>
    <w:rsid w:val="007879EE"/>
    <w:rsid w:val="00790A33"/>
    <w:rsid w:val="007915C1"/>
    <w:rsid w:val="007919F5"/>
    <w:rsid w:val="00792EE5"/>
    <w:rsid w:val="0079455D"/>
    <w:rsid w:val="00794DAC"/>
    <w:rsid w:val="00795775"/>
    <w:rsid w:val="007A050A"/>
    <w:rsid w:val="007A27F4"/>
    <w:rsid w:val="007A3127"/>
    <w:rsid w:val="007A57CF"/>
    <w:rsid w:val="007A5DB0"/>
    <w:rsid w:val="007A7682"/>
    <w:rsid w:val="007A788A"/>
    <w:rsid w:val="007B046D"/>
    <w:rsid w:val="007B5219"/>
    <w:rsid w:val="007B5407"/>
    <w:rsid w:val="007B646A"/>
    <w:rsid w:val="007B6AF8"/>
    <w:rsid w:val="007B7B6D"/>
    <w:rsid w:val="007B7F19"/>
    <w:rsid w:val="007C01F1"/>
    <w:rsid w:val="007C228A"/>
    <w:rsid w:val="007C4114"/>
    <w:rsid w:val="007C420F"/>
    <w:rsid w:val="007C647E"/>
    <w:rsid w:val="007C76CC"/>
    <w:rsid w:val="007D2095"/>
    <w:rsid w:val="007D3396"/>
    <w:rsid w:val="007D3B8A"/>
    <w:rsid w:val="007D4ABE"/>
    <w:rsid w:val="007D543B"/>
    <w:rsid w:val="007D56AC"/>
    <w:rsid w:val="007D5EE6"/>
    <w:rsid w:val="007D7E3D"/>
    <w:rsid w:val="007E0180"/>
    <w:rsid w:val="007E0D46"/>
    <w:rsid w:val="007E130B"/>
    <w:rsid w:val="007E299F"/>
    <w:rsid w:val="007E2F05"/>
    <w:rsid w:val="007E55D5"/>
    <w:rsid w:val="007E6559"/>
    <w:rsid w:val="007E78EC"/>
    <w:rsid w:val="007F0A43"/>
    <w:rsid w:val="007F136F"/>
    <w:rsid w:val="007F1593"/>
    <w:rsid w:val="007F1DBA"/>
    <w:rsid w:val="007F2613"/>
    <w:rsid w:val="007F7A63"/>
    <w:rsid w:val="008019D4"/>
    <w:rsid w:val="00802C2B"/>
    <w:rsid w:val="00802FF2"/>
    <w:rsid w:val="00803330"/>
    <w:rsid w:val="00803EE9"/>
    <w:rsid w:val="008040C4"/>
    <w:rsid w:val="008047DF"/>
    <w:rsid w:val="00805B21"/>
    <w:rsid w:val="00805C68"/>
    <w:rsid w:val="008101D9"/>
    <w:rsid w:val="0081081B"/>
    <w:rsid w:val="008108C3"/>
    <w:rsid w:val="00811554"/>
    <w:rsid w:val="00811F3B"/>
    <w:rsid w:val="0081298A"/>
    <w:rsid w:val="008142B0"/>
    <w:rsid w:val="0081609F"/>
    <w:rsid w:val="00816127"/>
    <w:rsid w:val="0081683E"/>
    <w:rsid w:val="00820241"/>
    <w:rsid w:val="0082203E"/>
    <w:rsid w:val="0082663C"/>
    <w:rsid w:val="0082697C"/>
    <w:rsid w:val="00826EF9"/>
    <w:rsid w:val="008278E8"/>
    <w:rsid w:val="00831CCD"/>
    <w:rsid w:val="00831FCD"/>
    <w:rsid w:val="00833112"/>
    <w:rsid w:val="00834CBE"/>
    <w:rsid w:val="00835353"/>
    <w:rsid w:val="00836C14"/>
    <w:rsid w:val="0084271F"/>
    <w:rsid w:val="00847166"/>
    <w:rsid w:val="008539BD"/>
    <w:rsid w:val="00853AF3"/>
    <w:rsid w:val="008548F5"/>
    <w:rsid w:val="00856F73"/>
    <w:rsid w:val="00857021"/>
    <w:rsid w:val="008617E1"/>
    <w:rsid w:val="008618D4"/>
    <w:rsid w:val="008619C9"/>
    <w:rsid w:val="00862B9F"/>
    <w:rsid w:val="00862FEF"/>
    <w:rsid w:val="00863C7F"/>
    <w:rsid w:val="00864ECC"/>
    <w:rsid w:val="00865C8D"/>
    <w:rsid w:val="00866115"/>
    <w:rsid w:val="008676E4"/>
    <w:rsid w:val="00874635"/>
    <w:rsid w:val="00876B98"/>
    <w:rsid w:val="00876DC3"/>
    <w:rsid w:val="008776F1"/>
    <w:rsid w:val="00880515"/>
    <w:rsid w:val="00880FAF"/>
    <w:rsid w:val="00881024"/>
    <w:rsid w:val="00885C34"/>
    <w:rsid w:val="00887795"/>
    <w:rsid w:val="00890109"/>
    <w:rsid w:val="00891A25"/>
    <w:rsid w:val="00891B87"/>
    <w:rsid w:val="00892DC4"/>
    <w:rsid w:val="00894009"/>
    <w:rsid w:val="008A010E"/>
    <w:rsid w:val="008A043F"/>
    <w:rsid w:val="008A32C0"/>
    <w:rsid w:val="008A341D"/>
    <w:rsid w:val="008A4377"/>
    <w:rsid w:val="008A5999"/>
    <w:rsid w:val="008A5A77"/>
    <w:rsid w:val="008A5CA5"/>
    <w:rsid w:val="008A6A0F"/>
    <w:rsid w:val="008A6EA7"/>
    <w:rsid w:val="008B0A79"/>
    <w:rsid w:val="008B117C"/>
    <w:rsid w:val="008B1674"/>
    <w:rsid w:val="008B224C"/>
    <w:rsid w:val="008B292D"/>
    <w:rsid w:val="008B2B68"/>
    <w:rsid w:val="008B2D52"/>
    <w:rsid w:val="008B700A"/>
    <w:rsid w:val="008C240A"/>
    <w:rsid w:val="008C2673"/>
    <w:rsid w:val="008C294E"/>
    <w:rsid w:val="008C2D35"/>
    <w:rsid w:val="008C3845"/>
    <w:rsid w:val="008C4CC7"/>
    <w:rsid w:val="008C5BAD"/>
    <w:rsid w:val="008C5BE2"/>
    <w:rsid w:val="008C6894"/>
    <w:rsid w:val="008C7EF7"/>
    <w:rsid w:val="008D1382"/>
    <w:rsid w:val="008D2436"/>
    <w:rsid w:val="008D4476"/>
    <w:rsid w:val="008D50AD"/>
    <w:rsid w:val="008D657B"/>
    <w:rsid w:val="008E0E0C"/>
    <w:rsid w:val="008E343A"/>
    <w:rsid w:val="008E422A"/>
    <w:rsid w:val="008E4ACB"/>
    <w:rsid w:val="008E5032"/>
    <w:rsid w:val="008E798C"/>
    <w:rsid w:val="008F0083"/>
    <w:rsid w:val="008F166C"/>
    <w:rsid w:val="008F297D"/>
    <w:rsid w:val="008F2BFF"/>
    <w:rsid w:val="00900410"/>
    <w:rsid w:val="0090068C"/>
    <w:rsid w:val="00900C91"/>
    <w:rsid w:val="00901750"/>
    <w:rsid w:val="00901EB1"/>
    <w:rsid w:val="009027B2"/>
    <w:rsid w:val="009046F4"/>
    <w:rsid w:val="009047AA"/>
    <w:rsid w:val="00905969"/>
    <w:rsid w:val="0090599F"/>
    <w:rsid w:val="00906D39"/>
    <w:rsid w:val="00907CB5"/>
    <w:rsid w:val="00910CC2"/>
    <w:rsid w:val="00911397"/>
    <w:rsid w:val="00914768"/>
    <w:rsid w:val="00914980"/>
    <w:rsid w:val="00915A99"/>
    <w:rsid w:val="00916ADC"/>
    <w:rsid w:val="00916EE8"/>
    <w:rsid w:val="00921511"/>
    <w:rsid w:val="00923969"/>
    <w:rsid w:val="00925ED1"/>
    <w:rsid w:val="009267A2"/>
    <w:rsid w:val="00926829"/>
    <w:rsid w:val="009302E8"/>
    <w:rsid w:val="00932BC2"/>
    <w:rsid w:val="009333CD"/>
    <w:rsid w:val="009350ED"/>
    <w:rsid w:val="0093510B"/>
    <w:rsid w:val="00936516"/>
    <w:rsid w:val="00937C5F"/>
    <w:rsid w:val="009404AF"/>
    <w:rsid w:val="009431C5"/>
    <w:rsid w:val="00946026"/>
    <w:rsid w:val="00947745"/>
    <w:rsid w:val="0095075E"/>
    <w:rsid w:val="009518DD"/>
    <w:rsid w:val="00952B73"/>
    <w:rsid w:val="00955383"/>
    <w:rsid w:val="009555C8"/>
    <w:rsid w:val="00955613"/>
    <w:rsid w:val="009567A1"/>
    <w:rsid w:val="0096164A"/>
    <w:rsid w:val="00963762"/>
    <w:rsid w:val="00966B48"/>
    <w:rsid w:val="0097128A"/>
    <w:rsid w:val="0097169A"/>
    <w:rsid w:val="00973B5D"/>
    <w:rsid w:val="00974912"/>
    <w:rsid w:val="009764A8"/>
    <w:rsid w:val="0097688F"/>
    <w:rsid w:val="00980F90"/>
    <w:rsid w:val="00983AC1"/>
    <w:rsid w:val="00987600"/>
    <w:rsid w:val="0099042E"/>
    <w:rsid w:val="009915AC"/>
    <w:rsid w:val="009943F4"/>
    <w:rsid w:val="009946D8"/>
    <w:rsid w:val="0099546F"/>
    <w:rsid w:val="00997FF8"/>
    <w:rsid w:val="009A082D"/>
    <w:rsid w:val="009A3192"/>
    <w:rsid w:val="009A33C7"/>
    <w:rsid w:val="009A4504"/>
    <w:rsid w:val="009A491A"/>
    <w:rsid w:val="009A5AED"/>
    <w:rsid w:val="009A65CF"/>
    <w:rsid w:val="009A6A6C"/>
    <w:rsid w:val="009B0CEE"/>
    <w:rsid w:val="009B12C4"/>
    <w:rsid w:val="009B162C"/>
    <w:rsid w:val="009B24C1"/>
    <w:rsid w:val="009B3D5F"/>
    <w:rsid w:val="009C0692"/>
    <w:rsid w:val="009C0752"/>
    <w:rsid w:val="009C2151"/>
    <w:rsid w:val="009C2981"/>
    <w:rsid w:val="009C351A"/>
    <w:rsid w:val="009C4136"/>
    <w:rsid w:val="009C67E2"/>
    <w:rsid w:val="009C7274"/>
    <w:rsid w:val="009D5142"/>
    <w:rsid w:val="009D52B7"/>
    <w:rsid w:val="009E183B"/>
    <w:rsid w:val="009E2CF1"/>
    <w:rsid w:val="009E4344"/>
    <w:rsid w:val="009E5337"/>
    <w:rsid w:val="009F2BCD"/>
    <w:rsid w:val="009F338F"/>
    <w:rsid w:val="009F3FD1"/>
    <w:rsid w:val="009F4E61"/>
    <w:rsid w:val="009F6248"/>
    <w:rsid w:val="009F7740"/>
    <w:rsid w:val="00A01273"/>
    <w:rsid w:val="00A01C9D"/>
    <w:rsid w:val="00A03815"/>
    <w:rsid w:val="00A05AC4"/>
    <w:rsid w:val="00A10296"/>
    <w:rsid w:val="00A103AC"/>
    <w:rsid w:val="00A10550"/>
    <w:rsid w:val="00A10565"/>
    <w:rsid w:val="00A1304F"/>
    <w:rsid w:val="00A13C8A"/>
    <w:rsid w:val="00A1582A"/>
    <w:rsid w:val="00A15DA3"/>
    <w:rsid w:val="00A20248"/>
    <w:rsid w:val="00A2261E"/>
    <w:rsid w:val="00A24D33"/>
    <w:rsid w:val="00A2763D"/>
    <w:rsid w:val="00A30736"/>
    <w:rsid w:val="00A30D0D"/>
    <w:rsid w:val="00A33846"/>
    <w:rsid w:val="00A4020B"/>
    <w:rsid w:val="00A405FE"/>
    <w:rsid w:val="00A4127E"/>
    <w:rsid w:val="00A418EA"/>
    <w:rsid w:val="00A4234F"/>
    <w:rsid w:val="00A43438"/>
    <w:rsid w:val="00A449B9"/>
    <w:rsid w:val="00A45267"/>
    <w:rsid w:val="00A4611F"/>
    <w:rsid w:val="00A46BF5"/>
    <w:rsid w:val="00A50E08"/>
    <w:rsid w:val="00A561D3"/>
    <w:rsid w:val="00A56ABA"/>
    <w:rsid w:val="00A5783E"/>
    <w:rsid w:val="00A60E89"/>
    <w:rsid w:val="00A6109D"/>
    <w:rsid w:val="00A62331"/>
    <w:rsid w:val="00A62A9B"/>
    <w:rsid w:val="00A643AA"/>
    <w:rsid w:val="00A66B47"/>
    <w:rsid w:val="00A66C66"/>
    <w:rsid w:val="00A72846"/>
    <w:rsid w:val="00A72AFC"/>
    <w:rsid w:val="00A748A2"/>
    <w:rsid w:val="00A74C25"/>
    <w:rsid w:val="00A75697"/>
    <w:rsid w:val="00A76238"/>
    <w:rsid w:val="00A768BF"/>
    <w:rsid w:val="00A76EE4"/>
    <w:rsid w:val="00A83159"/>
    <w:rsid w:val="00A8537F"/>
    <w:rsid w:val="00A86689"/>
    <w:rsid w:val="00A87F9D"/>
    <w:rsid w:val="00A94D09"/>
    <w:rsid w:val="00A94D55"/>
    <w:rsid w:val="00A95F58"/>
    <w:rsid w:val="00A9652F"/>
    <w:rsid w:val="00A96A12"/>
    <w:rsid w:val="00A97049"/>
    <w:rsid w:val="00A9723F"/>
    <w:rsid w:val="00AA1673"/>
    <w:rsid w:val="00AA240C"/>
    <w:rsid w:val="00AA26A2"/>
    <w:rsid w:val="00AA3AC1"/>
    <w:rsid w:val="00AA453C"/>
    <w:rsid w:val="00AA4996"/>
    <w:rsid w:val="00AA513E"/>
    <w:rsid w:val="00AA5D22"/>
    <w:rsid w:val="00AB008E"/>
    <w:rsid w:val="00AB05CC"/>
    <w:rsid w:val="00AB1052"/>
    <w:rsid w:val="00AB22F3"/>
    <w:rsid w:val="00AB26C7"/>
    <w:rsid w:val="00AB317D"/>
    <w:rsid w:val="00AB3E85"/>
    <w:rsid w:val="00AB40E8"/>
    <w:rsid w:val="00AB7BDC"/>
    <w:rsid w:val="00AC106C"/>
    <w:rsid w:val="00AC1D4B"/>
    <w:rsid w:val="00AC39FD"/>
    <w:rsid w:val="00AC3D42"/>
    <w:rsid w:val="00AC4709"/>
    <w:rsid w:val="00AD02AA"/>
    <w:rsid w:val="00AD0B3B"/>
    <w:rsid w:val="00AD15D4"/>
    <w:rsid w:val="00AD169E"/>
    <w:rsid w:val="00AD40C4"/>
    <w:rsid w:val="00AD4219"/>
    <w:rsid w:val="00AD5FCF"/>
    <w:rsid w:val="00AD7FBD"/>
    <w:rsid w:val="00AE0BF4"/>
    <w:rsid w:val="00AE3570"/>
    <w:rsid w:val="00AE3DBB"/>
    <w:rsid w:val="00AE4163"/>
    <w:rsid w:val="00AE5EC6"/>
    <w:rsid w:val="00AE61A6"/>
    <w:rsid w:val="00AE6CED"/>
    <w:rsid w:val="00AE7AEC"/>
    <w:rsid w:val="00AF004D"/>
    <w:rsid w:val="00AF4AF8"/>
    <w:rsid w:val="00AF5351"/>
    <w:rsid w:val="00AF67A2"/>
    <w:rsid w:val="00B0156A"/>
    <w:rsid w:val="00B01E32"/>
    <w:rsid w:val="00B01F59"/>
    <w:rsid w:val="00B02232"/>
    <w:rsid w:val="00B03D2E"/>
    <w:rsid w:val="00B04F74"/>
    <w:rsid w:val="00B05CDC"/>
    <w:rsid w:val="00B1006B"/>
    <w:rsid w:val="00B10E42"/>
    <w:rsid w:val="00B11F0B"/>
    <w:rsid w:val="00B12D75"/>
    <w:rsid w:val="00B1336D"/>
    <w:rsid w:val="00B15D72"/>
    <w:rsid w:val="00B17449"/>
    <w:rsid w:val="00B17BCA"/>
    <w:rsid w:val="00B2001A"/>
    <w:rsid w:val="00B20CAC"/>
    <w:rsid w:val="00B21FE7"/>
    <w:rsid w:val="00B23439"/>
    <w:rsid w:val="00B2637E"/>
    <w:rsid w:val="00B26D6A"/>
    <w:rsid w:val="00B26F13"/>
    <w:rsid w:val="00B30F95"/>
    <w:rsid w:val="00B31E4D"/>
    <w:rsid w:val="00B326C0"/>
    <w:rsid w:val="00B330B3"/>
    <w:rsid w:val="00B34389"/>
    <w:rsid w:val="00B348B9"/>
    <w:rsid w:val="00B35B27"/>
    <w:rsid w:val="00B36636"/>
    <w:rsid w:val="00B40509"/>
    <w:rsid w:val="00B462D6"/>
    <w:rsid w:val="00B46371"/>
    <w:rsid w:val="00B52C3B"/>
    <w:rsid w:val="00B55341"/>
    <w:rsid w:val="00B57D90"/>
    <w:rsid w:val="00B60EB0"/>
    <w:rsid w:val="00B62577"/>
    <w:rsid w:val="00B63996"/>
    <w:rsid w:val="00B64F9E"/>
    <w:rsid w:val="00B651E9"/>
    <w:rsid w:val="00B717A5"/>
    <w:rsid w:val="00B76F17"/>
    <w:rsid w:val="00B77D6D"/>
    <w:rsid w:val="00B8435E"/>
    <w:rsid w:val="00B84472"/>
    <w:rsid w:val="00B878B0"/>
    <w:rsid w:val="00B93EB3"/>
    <w:rsid w:val="00B94DA7"/>
    <w:rsid w:val="00BA3C48"/>
    <w:rsid w:val="00BA417E"/>
    <w:rsid w:val="00BA47AD"/>
    <w:rsid w:val="00BA506F"/>
    <w:rsid w:val="00BA51E0"/>
    <w:rsid w:val="00BA60D1"/>
    <w:rsid w:val="00BA6D14"/>
    <w:rsid w:val="00BA7C90"/>
    <w:rsid w:val="00BA7CBC"/>
    <w:rsid w:val="00BB1549"/>
    <w:rsid w:val="00BB1E0A"/>
    <w:rsid w:val="00BB23FE"/>
    <w:rsid w:val="00BB2D80"/>
    <w:rsid w:val="00BB2F3D"/>
    <w:rsid w:val="00BB4D0F"/>
    <w:rsid w:val="00BB501B"/>
    <w:rsid w:val="00BB51A5"/>
    <w:rsid w:val="00BB5803"/>
    <w:rsid w:val="00BB7702"/>
    <w:rsid w:val="00BC26E5"/>
    <w:rsid w:val="00BC31E7"/>
    <w:rsid w:val="00BC3BF9"/>
    <w:rsid w:val="00BC48C7"/>
    <w:rsid w:val="00BC5BDF"/>
    <w:rsid w:val="00BC6A30"/>
    <w:rsid w:val="00BD0338"/>
    <w:rsid w:val="00BD4202"/>
    <w:rsid w:val="00BD43BB"/>
    <w:rsid w:val="00BD5FF5"/>
    <w:rsid w:val="00BE0D1E"/>
    <w:rsid w:val="00BE541C"/>
    <w:rsid w:val="00BE7C50"/>
    <w:rsid w:val="00BF1E5D"/>
    <w:rsid w:val="00BF43E7"/>
    <w:rsid w:val="00BF6C1E"/>
    <w:rsid w:val="00C00391"/>
    <w:rsid w:val="00C0066A"/>
    <w:rsid w:val="00C01936"/>
    <w:rsid w:val="00C03077"/>
    <w:rsid w:val="00C04C82"/>
    <w:rsid w:val="00C05070"/>
    <w:rsid w:val="00C05A4C"/>
    <w:rsid w:val="00C05CAE"/>
    <w:rsid w:val="00C06194"/>
    <w:rsid w:val="00C07B34"/>
    <w:rsid w:val="00C07C9A"/>
    <w:rsid w:val="00C07FA8"/>
    <w:rsid w:val="00C1062D"/>
    <w:rsid w:val="00C11AA0"/>
    <w:rsid w:val="00C11B94"/>
    <w:rsid w:val="00C12186"/>
    <w:rsid w:val="00C14929"/>
    <w:rsid w:val="00C1519B"/>
    <w:rsid w:val="00C1561B"/>
    <w:rsid w:val="00C16441"/>
    <w:rsid w:val="00C16D97"/>
    <w:rsid w:val="00C20563"/>
    <w:rsid w:val="00C2213B"/>
    <w:rsid w:val="00C22695"/>
    <w:rsid w:val="00C22B17"/>
    <w:rsid w:val="00C23546"/>
    <w:rsid w:val="00C2499A"/>
    <w:rsid w:val="00C24A59"/>
    <w:rsid w:val="00C24DDF"/>
    <w:rsid w:val="00C25BC1"/>
    <w:rsid w:val="00C2706D"/>
    <w:rsid w:val="00C277A3"/>
    <w:rsid w:val="00C2793A"/>
    <w:rsid w:val="00C30AF9"/>
    <w:rsid w:val="00C352F2"/>
    <w:rsid w:val="00C35EBD"/>
    <w:rsid w:val="00C3601F"/>
    <w:rsid w:val="00C36970"/>
    <w:rsid w:val="00C452C1"/>
    <w:rsid w:val="00C50F86"/>
    <w:rsid w:val="00C5136D"/>
    <w:rsid w:val="00C5264E"/>
    <w:rsid w:val="00C54A15"/>
    <w:rsid w:val="00C55B3C"/>
    <w:rsid w:val="00C55C33"/>
    <w:rsid w:val="00C5622C"/>
    <w:rsid w:val="00C57F63"/>
    <w:rsid w:val="00C61DEB"/>
    <w:rsid w:val="00C621F9"/>
    <w:rsid w:val="00C62D73"/>
    <w:rsid w:val="00C62EFA"/>
    <w:rsid w:val="00C64301"/>
    <w:rsid w:val="00C64CB0"/>
    <w:rsid w:val="00C64E44"/>
    <w:rsid w:val="00C65AA0"/>
    <w:rsid w:val="00C661B3"/>
    <w:rsid w:val="00C665CA"/>
    <w:rsid w:val="00C66B05"/>
    <w:rsid w:val="00C71CA0"/>
    <w:rsid w:val="00C74A73"/>
    <w:rsid w:val="00C7521C"/>
    <w:rsid w:val="00C774BA"/>
    <w:rsid w:val="00C84586"/>
    <w:rsid w:val="00C84BCE"/>
    <w:rsid w:val="00C85089"/>
    <w:rsid w:val="00C851C0"/>
    <w:rsid w:val="00C86BE1"/>
    <w:rsid w:val="00C86FE2"/>
    <w:rsid w:val="00C9133C"/>
    <w:rsid w:val="00C91DC2"/>
    <w:rsid w:val="00C91FC8"/>
    <w:rsid w:val="00C93D46"/>
    <w:rsid w:val="00C9408D"/>
    <w:rsid w:val="00C94610"/>
    <w:rsid w:val="00CA0118"/>
    <w:rsid w:val="00CA0481"/>
    <w:rsid w:val="00CA20ED"/>
    <w:rsid w:val="00CA3441"/>
    <w:rsid w:val="00CA396D"/>
    <w:rsid w:val="00CA4526"/>
    <w:rsid w:val="00CA4FCB"/>
    <w:rsid w:val="00CA587C"/>
    <w:rsid w:val="00CA618E"/>
    <w:rsid w:val="00CA7440"/>
    <w:rsid w:val="00CA76AC"/>
    <w:rsid w:val="00CB2B55"/>
    <w:rsid w:val="00CB3876"/>
    <w:rsid w:val="00CB439C"/>
    <w:rsid w:val="00CB44E8"/>
    <w:rsid w:val="00CB4DF9"/>
    <w:rsid w:val="00CB7C75"/>
    <w:rsid w:val="00CC0827"/>
    <w:rsid w:val="00CC181E"/>
    <w:rsid w:val="00CC2EEE"/>
    <w:rsid w:val="00CC4829"/>
    <w:rsid w:val="00CC52D3"/>
    <w:rsid w:val="00CC692A"/>
    <w:rsid w:val="00CC6961"/>
    <w:rsid w:val="00CC6BAA"/>
    <w:rsid w:val="00CC6E8F"/>
    <w:rsid w:val="00CD1F91"/>
    <w:rsid w:val="00CD227C"/>
    <w:rsid w:val="00CD2633"/>
    <w:rsid w:val="00CD2D76"/>
    <w:rsid w:val="00CD3BB8"/>
    <w:rsid w:val="00CD5B3B"/>
    <w:rsid w:val="00CD634B"/>
    <w:rsid w:val="00CD6655"/>
    <w:rsid w:val="00CE1405"/>
    <w:rsid w:val="00CE4162"/>
    <w:rsid w:val="00CE6797"/>
    <w:rsid w:val="00CE76DA"/>
    <w:rsid w:val="00CE7D3E"/>
    <w:rsid w:val="00CF01DC"/>
    <w:rsid w:val="00CF1864"/>
    <w:rsid w:val="00CF480F"/>
    <w:rsid w:val="00CF4D77"/>
    <w:rsid w:val="00CF50D9"/>
    <w:rsid w:val="00CF6D87"/>
    <w:rsid w:val="00D01184"/>
    <w:rsid w:val="00D01F96"/>
    <w:rsid w:val="00D01FF7"/>
    <w:rsid w:val="00D029A2"/>
    <w:rsid w:val="00D0352B"/>
    <w:rsid w:val="00D04CCC"/>
    <w:rsid w:val="00D067FE"/>
    <w:rsid w:val="00D104DC"/>
    <w:rsid w:val="00D10C03"/>
    <w:rsid w:val="00D1348E"/>
    <w:rsid w:val="00D1402E"/>
    <w:rsid w:val="00D14E4F"/>
    <w:rsid w:val="00D16B07"/>
    <w:rsid w:val="00D20E22"/>
    <w:rsid w:val="00D22627"/>
    <w:rsid w:val="00D22D98"/>
    <w:rsid w:val="00D24A9B"/>
    <w:rsid w:val="00D253E6"/>
    <w:rsid w:val="00D256E6"/>
    <w:rsid w:val="00D30DBB"/>
    <w:rsid w:val="00D315BF"/>
    <w:rsid w:val="00D31B1F"/>
    <w:rsid w:val="00D320D2"/>
    <w:rsid w:val="00D32240"/>
    <w:rsid w:val="00D324C2"/>
    <w:rsid w:val="00D3289E"/>
    <w:rsid w:val="00D32DCA"/>
    <w:rsid w:val="00D35B75"/>
    <w:rsid w:val="00D36738"/>
    <w:rsid w:val="00D37E75"/>
    <w:rsid w:val="00D40F07"/>
    <w:rsid w:val="00D45073"/>
    <w:rsid w:val="00D4565E"/>
    <w:rsid w:val="00D4652B"/>
    <w:rsid w:val="00D46E31"/>
    <w:rsid w:val="00D4729C"/>
    <w:rsid w:val="00D503C1"/>
    <w:rsid w:val="00D50C7E"/>
    <w:rsid w:val="00D51397"/>
    <w:rsid w:val="00D5305E"/>
    <w:rsid w:val="00D53DF3"/>
    <w:rsid w:val="00D54FC2"/>
    <w:rsid w:val="00D55B1C"/>
    <w:rsid w:val="00D60CAB"/>
    <w:rsid w:val="00D62466"/>
    <w:rsid w:val="00D63DFB"/>
    <w:rsid w:val="00D64346"/>
    <w:rsid w:val="00D64842"/>
    <w:rsid w:val="00D650C4"/>
    <w:rsid w:val="00D6682D"/>
    <w:rsid w:val="00D67979"/>
    <w:rsid w:val="00D70643"/>
    <w:rsid w:val="00D7413E"/>
    <w:rsid w:val="00D74A68"/>
    <w:rsid w:val="00D755AC"/>
    <w:rsid w:val="00D7616E"/>
    <w:rsid w:val="00D76D45"/>
    <w:rsid w:val="00D77829"/>
    <w:rsid w:val="00D77D48"/>
    <w:rsid w:val="00D80C58"/>
    <w:rsid w:val="00D860E8"/>
    <w:rsid w:val="00D92A83"/>
    <w:rsid w:val="00D95EA5"/>
    <w:rsid w:val="00D96839"/>
    <w:rsid w:val="00DA086A"/>
    <w:rsid w:val="00DA0910"/>
    <w:rsid w:val="00DA0F0C"/>
    <w:rsid w:val="00DA1DFF"/>
    <w:rsid w:val="00DA2E5C"/>
    <w:rsid w:val="00DA733E"/>
    <w:rsid w:val="00DA7BD1"/>
    <w:rsid w:val="00DA7E29"/>
    <w:rsid w:val="00DB0B38"/>
    <w:rsid w:val="00DB1525"/>
    <w:rsid w:val="00DB1D44"/>
    <w:rsid w:val="00DB247B"/>
    <w:rsid w:val="00DB263C"/>
    <w:rsid w:val="00DB3558"/>
    <w:rsid w:val="00DB40CA"/>
    <w:rsid w:val="00DB468E"/>
    <w:rsid w:val="00DB579E"/>
    <w:rsid w:val="00DB6004"/>
    <w:rsid w:val="00DC063E"/>
    <w:rsid w:val="00DC09B2"/>
    <w:rsid w:val="00DC0DC5"/>
    <w:rsid w:val="00DC1D82"/>
    <w:rsid w:val="00DC1DDB"/>
    <w:rsid w:val="00DC2151"/>
    <w:rsid w:val="00DC3312"/>
    <w:rsid w:val="00DC3893"/>
    <w:rsid w:val="00DC53D0"/>
    <w:rsid w:val="00DC5653"/>
    <w:rsid w:val="00DD01B8"/>
    <w:rsid w:val="00DD06EE"/>
    <w:rsid w:val="00DD1B9B"/>
    <w:rsid w:val="00DD1C44"/>
    <w:rsid w:val="00DD2BF6"/>
    <w:rsid w:val="00DD30D4"/>
    <w:rsid w:val="00DD3EF0"/>
    <w:rsid w:val="00DD6910"/>
    <w:rsid w:val="00DD6D9D"/>
    <w:rsid w:val="00DE06A9"/>
    <w:rsid w:val="00DE1877"/>
    <w:rsid w:val="00DE4D3E"/>
    <w:rsid w:val="00DE60D6"/>
    <w:rsid w:val="00DE7B0B"/>
    <w:rsid w:val="00DF1328"/>
    <w:rsid w:val="00DF1828"/>
    <w:rsid w:val="00DF3F48"/>
    <w:rsid w:val="00DF46BA"/>
    <w:rsid w:val="00DF56E0"/>
    <w:rsid w:val="00E01CE0"/>
    <w:rsid w:val="00E0243A"/>
    <w:rsid w:val="00E029BF"/>
    <w:rsid w:val="00E042CF"/>
    <w:rsid w:val="00E0596D"/>
    <w:rsid w:val="00E061DF"/>
    <w:rsid w:val="00E0764C"/>
    <w:rsid w:val="00E110F1"/>
    <w:rsid w:val="00E113A9"/>
    <w:rsid w:val="00E1206B"/>
    <w:rsid w:val="00E14F97"/>
    <w:rsid w:val="00E15835"/>
    <w:rsid w:val="00E15F23"/>
    <w:rsid w:val="00E17963"/>
    <w:rsid w:val="00E22444"/>
    <w:rsid w:val="00E227CF"/>
    <w:rsid w:val="00E26584"/>
    <w:rsid w:val="00E30588"/>
    <w:rsid w:val="00E30FA2"/>
    <w:rsid w:val="00E314D0"/>
    <w:rsid w:val="00E314E2"/>
    <w:rsid w:val="00E319D3"/>
    <w:rsid w:val="00E31FA8"/>
    <w:rsid w:val="00E33469"/>
    <w:rsid w:val="00E37294"/>
    <w:rsid w:val="00E40426"/>
    <w:rsid w:val="00E409C0"/>
    <w:rsid w:val="00E41318"/>
    <w:rsid w:val="00E435E9"/>
    <w:rsid w:val="00E44836"/>
    <w:rsid w:val="00E45EB2"/>
    <w:rsid w:val="00E50986"/>
    <w:rsid w:val="00E50BDB"/>
    <w:rsid w:val="00E5137E"/>
    <w:rsid w:val="00E51BDD"/>
    <w:rsid w:val="00E52693"/>
    <w:rsid w:val="00E53C70"/>
    <w:rsid w:val="00E57823"/>
    <w:rsid w:val="00E64572"/>
    <w:rsid w:val="00E646DA"/>
    <w:rsid w:val="00E64F90"/>
    <w:rsid w:val="00E65317"/>
    <w:rsid w:val="00E66602"/>
    <w:rsid w:val="00E66F96"/>
    <w:rsid w:val="00E676BE"/>
    <w:rsid w:val="00E72CDF"/>
    <w:rsid w:val="00E754A6"/>
    <w:rsid w:val="00E75522"/>
    <w:rsid w:val="00E76B9D"/>
    <w:rsid w:val="00E770F0"/>
    <w:rsid w:val="00E77B4C"/>
    <w:rsid w:val="00E80F64"/>
    <w:rsid w:val="00E83831"/>
    <w:rsid w:val="00E84298"/>
    <w:rsid w:val="00E8649B"/>
    <w:rsid w:val="00E904E1"/>
    <w:rsid w:val="00E914C7"/>
    <w:rsid w:val="00E92157"/>
    <w:rsid w:val="00E9345C"/>
    <w:rsid w:val="00E9488F"/>
    <w:rsid w:val="00E95B51"/>
    <w:rsid w:val="00E96A2C"/>
    <w:rsid w:val="00E97225"/>
    <w:rsid w:val="00EA0713"/>
    <w:rsid w:val="00EA072D"/>
    <w:rsid w:val="00EA4CE3"/>
    <w:rsid w:val="00EA5C37"/>
    <w:rsid w:val="00EA5D49"/>
    <w:rsid w:val="00EA61C7"/>
    <w:rsid w:val="00EA6FCE"/>
    <w:rsid w:val="00EA77CD"/>
    <w:rsid w:val="00EB29D2"/>
    <w:rsid w:val="00EB4293"/>
    <w:rsid w:val="00EB49A4"/>
    <w:rsid w:val="00EB6DA0"/>
    <w:rsid w:val="00EC0561"/>
    <w:rsid w:val="00EC064E"/>
    <w:rsid w:val="00EC0F6F"/>
    <w:rsid w:val="00EC217E"/>
    <w:rsid w:val="00EC50A3"/>
    <w:rsid w:val="00EC57E4"/>
    <w:rsid w:val="00EC6409"/>
    <w:rsid w:val="00EC7784"/>
    <w:rsid w:val="00ED04DC"/>
    <w:rsid w:val="00ED1AA7"/>
    <w:rsid w:val="00ED4575"/>
    <w:rsid w:val="00ED4CF1"/>
    <w:rsid w:val="00ED70A3"/>
    <w:rsid w:val="00ED757F"/>
    <w:rsid w:val="00EE0A27"/>
    <w:rsid w:val="00EE10AC"/>
    <w:rsid w:val="00EE27E5"/>
    <w:rsid w:val="00EE3C10"/>
    <w:rsid w:val="00EE3D92"/>
    <w:rsid w:val="00EE40C6"/>
    <w:rsid w:val="00EE4A5F"/>
    <w:rsid w:val="00EF06F5"/>
    <w:rsid w:val="00EF1289"/>
    <w:rsid w:val="00EF20A6"/>
    <w:rsid w:val="00EF216A"/>
    <w:rsid w:val="00EF5849"/>
    <w:rsid w:val="00EF5FA2"/>
    <w:rsid w:val="00EF6E4C"/>
    <w:rsid w:val="00F009D2"/>
    <w:rsid w:val="00F01B38"/>
    <w:rsid w:val="00F01DA4"/>
    <w:rsid w:val="00F02E63"/>
    <w:rsid w:val="00F04390"/>
    <w:rsid w:val="00F046F2"/>
    <w:rsid w:val="00F04E55"/>
    <w:rsid w:val="00F0655B"/>
    <w:rsid w:val="00F10159"/>
    <w:rsid w:val="00F1564C"/>
    <w:rsid w:val="00F15D84"/>
    <w:rsid w:val="00F25D13"/>
    <w:rsid w:val="00F27FA1"/>
    <w:rsid w:val="00F319EF"/>
    <w:rsid w:val="00F32F4B"/>
    <w:rsid w:val="00F34427"/>
    <w:rsid w:val="00F3536B"/>
    <w:rsid w:val="00F35732"/>
    <w:rsid w:val="00F35888"/>
    <w:rsid w:val="00F36005"/>
    <w:rsid w:val="00F36674"/>
    <w:rsid w:val="00F374D9"/>
    <w:rsid w:val="00F37AD1"/>
    <w:rsid w:val="00F40639"/>
    <w:rsid w:val="00F408C0"/>
    <w:rsid w:val="00F40F05"/>
    <w:rsid w:val="00F41AE3"/>
    <w:rsid w:val="00F41F2B"/>
    <w:rsid w:val="00F4509A"/>
    <w:rsid w:val="00F452D0"/>
    <w:rsid w:val="00F50A44"/>
    <w:rsid w:val="00F51909"/>
    <w:rsid w:val="00F52249"/>
    <w:rsid w:val="00F53167"/>
    <w:rsid w:val="00F54FE5"/>
    <w:rsid w:val="00F554A8"/>
    <w:rsid w:val="00F554E5"/>
    <w:rsid w:val="00F603E9"/>
    <w:rsid w:val="00F60410"/>
    <w:rsid w:val="00F611DD"/>
    <w:rsid w:val="00F64624"/>
    <w:rsid w:val="00F64B66"/>
    <w:rsid w:val="00F656BB"/>
    <w:rsid w:val="00F677B9"/>
    <w:rsid w:val="00F67BF0"/>
    <w:rsid w:val="00F701F7"/>
    <w:rsid w:val="00F703FC"/>
    <w:rsid w:val="00F71AD3"/>
    <w:rsid w:val="00F7211D"/>
    <w:rsid w:val="00F728EE"/>
    <w:rsid w:val="00F72E1F"/>
    <w:rsid w:val="00F74722"/>
    <w:rsid w:val="00F76428"/>
    <w:rsid w:val="00F77386"/>
    <w:rsid w:val="00F7740C"/>
    <w:rsid w:val="00F805B5"/>
    <w:rsid w:val="00F80B88"/>
    <w:rsid w:val="00F81C0A"/>
    <w:rsid w:val="00F82A73"/>
    <w:rsid w:val="00F831DB"/>
    <w:rsid w:val="00F8543C"/>
    <w:rsid w:val="00F8568F"/>
    <w:rsid w:val="00F85CD2"/>
    <w:rsid w:val="00F91FDA"/>
    <w:rsid w:val="00F929DE"/>
    <w:rsid w:val="00F92F43"/>
    <w:rsid w:val="00F94024"/>
    <w:rsid w:val="00F966A7"/>
    <w:rsid w:val="00F969E2"/>
    <w:rsid w:val="00FA1927"/>
    <w:rsid w:val="00FA1E24"/>
    <w:rsid w:val="00FA2076"/>
    <w:rsid w:val="00FA350A"/>
    <w:rsid w:val="00FA6621"/>
    <w:rsid w:val="00FB1CE1"/>
    <w:rsid w:val="00FB3504"/>
    <w:rsid w:val="00FB4A68"/>
    <w:rsid w:val="00FB5DF5"/>
    <w:rsid w:val="00FB6468"/>
    <w:rsid w:val="00FB68C1"/>
    <w:rsid w:val="00FB6972"/>
    <w:rsid w:val="00FB7BF6"/>
    <w:rsid w:val="00FC0328"/>
    <w:rsid w:val="00FC23B9"/>
    <w:rsid w:val="00FC6232"/>
    <w:rsid w:val="00FC637D"/>
    <w:rsid w:val="00FD0C7F"/>
    <w:rsid w:val="00FD2050"/>
    <w:rsid w:val="00FD3555"/>
    <w:rsid w:val="00FD6C21"/>
    <w:rsid w:val="00FD7999"/>
    <w:rsid w:val="00FE2300"/>
    <w:rsid w:val="00FE3AB5"/>
    <w:rsid w:val="00FE4ED8"/>
    <w:rsid w:val="00FE758C"/>
    <w:rsid w:val="00FF0A81"/>
    <w:rsid w:val="00FF1DDD"/>
    <w:rsid w:val="00FF523C"/>
    <w:rsid w:val="00FF6322"/>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09BD21"/>
  <w15:docId w15:val="{24C23852-3508-4A3D-A8C5-59FDC46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PA Footnote Text"/>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PA Footnote Text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 w:type="paragraph" w:customStyle="1" w:styleId="H12ndlevel">
    <w:name w:val="H1 2nd level"/>
    <w:basedOn w:val="Heading1"/>
    <w:next w:val="BodyText"/>
    <w:uiPriority w:val="6"/>
    <w:qFormat/>
    <w:rsid w:val="009C2981"/>
    <w:pPr>
      <w:keepLines/>
      <w:spacing w:before="0" w:after="240"/>
      <w:ind w:left="567"/>
    </w:pPr>
    <w:rPr>
      <w:rFonts w:ascii="Arial Bold" w:eastAsiaTheme="majorEastAsia" w:hAnsi="Arial Bold" w:cstheme="majorBidi"/>
      <w:caps w:val="0"/>
      <w:color w:val="7A91A6"/>
      <w:kern w:val="0"/>
      <w:sz w:val="36"/>
      <w:szCs w:val="32"/>
    </w:rPr>
  </w:style>
  <w:style w:type="paragraph" w:styleId="ListNumber">
    <w:name w:val="List Number"/>
    <w:basedOn w:val="Normal"/>
    <w:uiPriority w:val="10"/>
    <w:rsid w:val="00310112"/>
    <w:pPr>
      <w:numPr>
        <w:numId w:val="14"/>
      </w:numPr>
      <w:spacing w:before="100" w:after="100"/>
      <w:contextualSpacing/>
    </w:pPr>
    <w:rPr>
      <w:rFonts w:eastAsiaTheme="minorHAnsi" w:cstheme="minorBidi"/>
      <w:color w:val="000000" w:themeColor="text1"/>
      <w:sz w:val="20"/>
      <w:szCs w:val="22"/>
    </w:rPr>
  </w:style>
  <w:style w:type="paragraph" w:styleId="ListNumber2">
    <w:name w:val="List Number 2"/>
    <w:basedOn w:val="Normal"/>
    <w:uiPriority w:val="10"/>
    <w:rsid w:val="00310112"/>
    <w:pPr>
      <w:numPr>
        <w:ilvl w:val="1"/>
        <w:numId w:val="14"/>
      </w:numPr>
      <w:spacing w:before="100" w:after="100"/>
      <w:contextualSpacing/>
    </w:pPr>
    <w:rPr>
      <w:rFonts w:eastAsiaTheme="minorHAnsi" w:cstheme="minorBidi"/>
      <w:color w:val="000000" w:themeColor="text1"/>
      <w:sz w:val="20"/>
      <w:szCs w:val="22"/>
    </w:rPr>
  </w:style>
  <w:style w:type="paragraph" w:styleId="ListNumber3">
    <w:name w:val="List Number 3"/>
    <w:basedOn w:val="Normal"/>
    <w:uiPriority w:val="10"/>
    <w:rsid w:val="00310112"/>
    <w:pPr>
      <w:numPr>
        <w:ilvl w:val="2"/>
        <w:numId w:val="14"/>
      </w:numPr>
      <w:spacing w:before="100" w:after="100"/>
      <w:ind w:left="851" w:hanging="284"/>
      <w:contextualSpacing/>
    </w:pPr>
    <w:rPr>
      <w:rFonts w:eastAsiaTheme="minorHAnsi" w:cstheme="minorBidi"/>
      <w:color w:val="000000" w:themeColor="text1"/>
      <w:sz w:val="20"/>
      <w:szCs w:val="22"/>
    </w:rPr>
  </w:style>
  <w:style w:type="table" w:customStyle="1" w:styleId="TableGrid4">
    <w:name w:val="Table Grid4"/>
    <w:basedOn w:val="TableNormal"/>
    <w:next w:val="TableGrid"/>
    <w:uiPriority w:val="59"/>
    <w:unhideWhenUsed/>
    <w:rsid w:val="00900C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D457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55">
      <w:bodyDiv w:val="1"/>
      <w:marLeft w:val="0"/>
      <w:marRight w:val="0"/>
      <w:marTop w:val="0"/>
      <w:marBottom w:val="0"/>
      <w:divBdr>
        <w:top w:val="none" w:sz="0" w:space="0" w:color="auto"/>
        <w:left w:val="none" w:sz="0" w:space="0" w:color="auto"/>
        <w:bottom w:val="none" w:sz="0" w:space="0" w:color="auto"/>
        <w:right w:val="none" w:sz="0" w:space="0" w:color="auto"/>
      </w:divBdr>
      <w:divsChild>
        <w:div w:id="1225723057">
          <w:marLeft w:val="0"/>
          <w:marRight w:val="0"/>
          <w:marTop w:val="0"/>
          <w:marBottom w:val="0"/>
          <w:divBdr>
            <w:top w:val="none" w:sz="0" w:space="0" w:color="auto"/>
            <w:left w:val="none" w:sz="0" w:space="0" w:color="auto"/>
            <w:bottom w:val="none" w:sz="0" w:space="0" w:color="auto"/>
            <w:right w:val="none" w:sz="0" w:space="0" w:color="auto"/>
          </w:divBdr>
          <w:divsChild>
            <w:div w:id="2101026286">
              <w:marLeft w:val="0"/>
              <w:marRight w:val="0"/>
              <w:marTop w:val="0"/>
              <w:marBottom w:val="0"/>
              <w:divBdr>
                <w:top w:val="none" w:sz="0" w:space="0" w:color="auto"/>
                <w:left w:val="none" w:sz="0" w:space="0" w:color="auto"/>
                <w:bottom w:val="none" w:sz="0" w:space="0" w:color="auto"/>
                <w:right w:val="none" w:sz="0" w:space="0" w:color="auto"/>
              </w:divBdr>
              <w:divsChild>
                <w:div w:id="1500999544">
                  <w:marLeft w:val="0"/>
                  <w:marRight w:val="0"/>
                  <w:marTop w:val="225"/>
                  <w:marBottom w:val="225"/>
                  <w:divBdr>
                    <w:top w:val="none" w:sz="0" w:space="0" w:color="auto"/>
                    <w:left w:val="none" w:sz="0" w:space="0" w:color="auto"/>
                    <w:bottom w:val="none" w:sz="0" w:space="0" w:color="auto"/>
                    <w:right w:val="none" w:sz="0" w:space="0" w:color="auto"/>
                  </w:divBdr>
                  <w:divsChild>
                    <w:div w:id="196697630">
                      <w:marLeft w:val="0"/>
                      <w:marRight w:val="0"/>
                      <w:marTop w:val="0"/>
                      <w:marBottom w:val="0"/>
                      <w:divBdr>
                        <w:top w:val="none" w:sz="0" w:space="0" w:color="auto"/>
                        <w:left w:val="none" w:sz="0" w:space="0" w:color="auto"/>
                        <w:bottom w:val="none" w:sz="0" w:space="0" w:color="auto"/>
                        <w:right w:val="none" w:sz="0" w:space="0" w:color="auto"/>
                      </w:divBdr>
                    </w:div>
                    <w:div w:id="150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0507">
      <w:bodyDiv w:val="1"/>
      <w:marLeft w:val="0"/>
      <w:marRight w:val="0"/>
      <w:marTop w:val="0"/>
      <w:marBottom w:val="0"/>
      <w:divBdr>
        <w:top w:val="none" w:sz="0" w:space="0" w:color="auto"/>
        <w:left w:val="none" w:sz="0" w:space="0" w:color="auto"/>
        <w:bottom w:val="none" w:sz="0" w:space="0" w:color="auto"/>
        <w:right w:val="none" w:sz="0" w:space="0" w:color="auto"/>
      </w:divBdr>
    </w:div>
    <w:div w:id="85226072">
      <w:bodyDiv w:val="1"/>
      <w:marLeft w:val="0"/>
      <w:marRight w:val="0"/>
      <w:marTop w:val="0"/>
      <w:marBottom w:val="0"/>
      <w:divBdr>
        <w:top w:val="none" w:sz="0" w:space="0" w:color="auto"/>
        <w:left w:val="none" w:sz="0" w:space="0" w:color="auto"/>
        <w:bottom w:val="none" w:sz="0" w:space="0" w:color="auto"/>
        <w:right w:val="none" w:sz="0" w:space="0" w:color="auto"/>
      </w:divBdr>
    </w:div>
    <w:div w:id="105005765">
      <w:bodyDiv w:val="1"/>
      <w:marLeft w:val="0"/>
      <w:marRight w:val="0"/>
      <w:marTop w:val="0"/>
      <w:marBottom w:val="0"/>
      <w:divBdr>
        <w:top w:val="none" w:sz="0" w:space="0" w:color="auto"/>
        <w:left w:val="none" w:sz="0" w:space="0" w:color="auto"/>
        <w:bottom w:val="none" w:sz="0" w:space="0" w:color="auto"/>
        <w:right w:val="none" w:sz="0" w:space="0" w:color="auto"/>
      </w:divBdr>
      <w:divsChild>
        <w:div w:id="1497725067">
          <w:marLeft w:val="547"/>
          <w:marRight w:val="0"/>
          <w:marTop w:val="0"/>
          <w:marBottom w:val="0"/>
          <w:divBdr>
            <w:top w:val="none" w:sz="0" w:space="0" w:color="auto"/>
            <w:left w:val="none" w:sz="0" w:space="0" w:color="auto"/>
            <w:bottom w:val="none" w:sz="0" w:space="0" w:color="auto"/>
            <w:right w:val="none" w:sz="0" w:space="0" w:color="auto"/>
          </w:divBdr>
        </w:div>
        <w:div w:id="1863781010">
          <w:marLeft w:val="547"/>
          <w:marRight w:val="0"/>
          <w:marTop w:val="0"/>
          <w:marBottom w:val="0"/>
          <w:divBdr>
            <w:top w:val="none" w:sz="0" w:space="0" w:color="auto"/>
            <w:left w:val="none" w:sz="0" w:space="0" w:color="auto"/>
            <w:bottom w:val="none" w:sz="0" w:space="0" w:color="auto"/>
            <w:right w:val="none" w:sz="0" w:space="0" w:color="auto"/>
          </w:divBdr>
        </w:div>
        <w:div w:id="1879586065">
          <w:marLeft w:val="547"/>
          <w:marRight w:val="0"/>
          <w:marTop w:val="0"/>
          <w:marBottom w:val="0"/>
          <w:divBdr>
            <w:top w:val="none" w:sz="0" w:space="0" w:color="auto"/>
            <w:left w:val="none" w:sz="0" w:space="0" w:color="auto"/>
            <w:bottom w:val="none" w:sz="0" w:space="0" w:color="auto"/>
            <w:right w:val="none" w:sz="0" w:space="0" w:color="auto"/>
          </w:divBdr>
        </w:div>
        <w:div w:id="1917981311">
          <w:marLeft w:val="547"/>
          <w:marRight w:val="0"/>
          <w:marTop w:val="0"/>
          <w:marBottom w:val="0"/>
          <w:divBdr>
            <w:top w:val="none" w:sz="0" w:space="0" w:color="auto"/>
            <w:left w:val="none" w:sz="0" w:space="0" w:color="auto"/>
            <w:bottom w:val="none" w:sz="0" w:space="0" w:color="auto"/>
            <w:right w:val="none" w:sz="0" w:space="0" w:color="auto"/>
          </w:divBdr>
        </w:div>
        <w:div w:id="1080326232">
          <w:marLeft w:val="547"/>
          <w:marRight w:val="0"/>
          <w:marTop w:val="0"/>
          <w:marBottom w:val="0"/>
          <w:divBdr>
            <w:top w:val="none" w:sz="0" w:space="0" w:color="auto"/>
            <w:left w:val="none" w:sz="0" w:space="0" w:color="auto"/>
            <w:bottom w:val="none" w:sz="0" w:space="0" w:color="auto"/>
            <w:right w:val="none" w:sz="0" w:space="0" w:color="auto"/>
          </w:divBdr>
        </w:div>
        <w:div w:id="823201914">
          <w:marLeft w:val="547"/>
          <w:marRight w:val="0"/>
          <w:marTop w:val="0"/>
          <w:marBottom w:val="0"/>
          <w:divBdr>
            <w:top w:val="none" w:sz="0" w:space="0" w:color="auto"/>
            <w:left w:val="none" w:sz="0" w:space="0" w:color="auto"/>
            <w:bottom w:val="none" w:sz="0" w:space="0" w:color="auto"/>
            <w:right w:val="none" w:sz="0" w:space="0" w:color="auto"/>
          </w:divBdr>
        </w:div>
        <w:div w:id="747310618">
          <w:marLeft w:val="547"/>
          <w:marRight w:val="0"/>
          <w:marTop w:val="0"/>
          <w:marBottom w:val="0"/>
          <w:divBdr>
            <w:top w:val="none" w:sz="0" w:space="0" w:color="auto"/>
            <w:left w:val="none" w:sz="0" w:space="0" w:color="auto"/>
            <w:bottom w:val="none" w:sz="0" w:space="0" w:color="auto"/>
            <w:right w:val="none" w:sz="0" w:space="0" w:color="auto"/>
          </w:divBdr>
        </w:div>
        <w:div w:id="607347776">
          <w:marLeft w:val="547"/>
          <w:marRight w:val="0"/>
          <w:marTop w:val="0"/>
          <w:marBottom w:val="0"/>
          <w:divBdr>
            <w:top w:val="none" w:sz="0" w:space="0" w:color="auto"/>
            <w:left w:val="none" w:sz="0" w:space="0" w:color="auto"/>
            <w:bottom w:val="none" w:sz="0" w:space="0" w:color="auto"/>
            <w:right w:val="none" w:sz="0" w:space="0" w:color="auto"/>
          </w:divBdr>
        </w:div>
      </w:divsChild>
    </w:div>
    <w:div w:id="133956336">
      <w:bodyDiv w:val="1"/>
      <w:marLeft w:val="0"/>
      <w:marRight w:val="0"/>
      <w:marTop w:val="0"/>
      <w:marBottom w:val="0"/>
      <w:divBdr>
        <w:top w:val="none" w:sz="0" w:space="0" w:color="auto"/>
        <w:left w:val="none" w:sz="0" w:space="0" w:color="auto"/>
        <w:bottom w:val="none" w:sz="0" w:space="0" w:color="auto"/>
        <w:right w:val="none" w:sz="0" w:space="0" w:color="auto"/>
      </w:divBdr>
      <w:divsChild>
        <w:div w:id="489516617">
          <w:marLeft w:val="547"/>
          <w:marRight w:val="0"/>
          <w:marTop w:val="0"/>
          <w:marBottom w:val="0"/>
          <w:divBdr>
            <w:top w:val="none" w:sz="0" w:space="0" w:color="auto"/>
            <w:left w:val="none" w:sz="0" w:space="0" w:color="auto"/>
            <w:bottom w:val="none" w:sz="0" w:space="0" w:color="auto"/>
            <w:right w:val="none" w:sz="0" w:space="0" w:color="auto"/>
          </w:divBdr>
        </w:div>
        <w:div w:id="921714929">
          <w:marLeft w:val="547"/>
          <w:marRight w:val="0"/>
          <w:marTop w:val="0"/>
          <w:marBottom w:val="0"/>
          <w:divBdr>
            <w:top w:val="none" w:sz="0" w:space="0" w:color="auto"/>
            <w:left w:val="none" w:sz="0" w:space="0" w:color="auto"/>
            <w:bottom w:val="none" w:sz="0" w:space="0" w:color="auto"/>
            <w:right w:val="none" w:sz="0" w:space="0" w:color="auto"/>
          </w:divBdr>
        </w:div>
        <w:div w:id="1772356680">
          <w:marLeft w:val="547"/>
          <w:marRight w:val="0"/>
          <w:marTop w:val="0"/>
          <w:marBottom w:val="0"/>
          <w:divBdr>
            <w:top w:val="none" w:sz="0" w:space="0" w:color="auto"/>
            <w:left w:val="none" w:sz="0" w:space="0" w:color="auto"/>
            <w:bottom w:val="none" w:sz="0" w:space="0" w:color="auto"/>
            <w:right w:val="none" w:sz="0" w:space="0" w:color="auto"/>
          </w:divBdr>
        </w:div>
        <w:div w:id="1527792850">
          <w:marLeft w:val="547"/>
          <w:marRight w:val="0"/>
          <w:marTop w:val="0"/>
          <w:marBottom w:val="0"/>
          <w:divBdr>
            <w:top w:val="none" w:sz="0" w:space="0" w:color="auto"/>
            <w:left w:val="none" w:sz="0" w:space="0" w:color="auto"/>
            <w:bottom w:val="none" w:sz="0" w:space="0" w:color="auto"/>
            <w:right w:val="none" w:sz="0" w:space="0" w:color="auto"/>
          </w:divBdr>
        </w:div>
        <w:div w:id="1725640453">
          <w:marLeft w:val="547"/>
          <w:marRight w:val="0"/>
          <w:marTop w:val="0"/>
          <w:marBottom w:val="0"/>
          <w:divBdr>
            <w:top w:val="none" w:sz="0" w:space="0" w:color="auto"/>
            <w:left w:val="none" w:sz="0" w:space="0" w:color="auto"/>
            <w:bottom w:val="none" w:sz="0" w:space="0" w:color="auto"/>
            <w:right w:val="none" w:sz="0" w:space="0" w:color="auto"/>
          </w:divBdr>
        </w:div>
        <w:div w:id="687488986">
          <w:marLeft w:val="547"/>
          <w:marRight w:val="0"/>
          <w:marTop w:val="0"/>
          <w:marBottom w:val="0"/>
          <w:divBdr>
            <w:top w:val="none" w:sz="0" w:space="0" w:color="auto"/>
            <w:left w:val="none" w:sz="0" w:space="0" w:color="auto"/>
            <w:bottom w:val="none" w:sz="0" w:space="0" w:color="auto"/>
            <w:right w:val="none" w:sz="0" w:space="0" w:color="auto"/>
          </w:divBdr>
        </w:div>
        <w:div w:id="1839348798">
          <w:marLeft w:val="547"/>
          <w:marRight w:val="0"/>
          <w:marTop w:val="0"/>
          <w:marBottom w:val="0"/>
          <w:divBdr>
            <w:top w:val="none" w:sz="0" w:space="0" w:color="auto"/>
            <w:left w:val="none" w:sz="0" w:space="0" w:color="auto"/>
            <w:bottom w:val="none" w:sz="0" w:space="0" w:color="auto"/>
            <w:right w:val="none" w:sz="0" w:space="0" w:color="auto"/>
          </w:divBdr>
        </w:div>
        <w:div w:id="1469398337">
          <w:marLeft w:val="547"/>
          <w:marRight w:val="0"/>
          <w:marTop w:val="0"/>
          <w:marBottom w:val="0"/>
          <w:divBdr>
            <w:top w:val="none" w:sz="0" w:space="0" w:color="auto"/>
            <w:left w:val="none" w:sz="0" w:space="0" w:color="auto"/>
            <w:bottom w:val="none" w:sz="0" w:space="0" w:color="auto"/>
            <w:right w:val="none" w:sz="0" w:space="0" w:color="auto"/>
          </w:divBdr>
        </w:div>
        <w:div w:id="185993011">
          <w:marLeft w:val="547"/>
          <w:marRight w:val="0"/>
          <w:marTop w:val="0"/>
          <w:marBottom w:val="0"/>
          <w:divBdr>
            <w:top w:val="none" w:sz="0" w:space="0" w:color="auto"/>
            <w:left w:val="none" w:sz="0" w:space="0" w:color="auto"/>
            <w:bottom w:val="none" w:sz="0" w:space="0" w:color="auto"/>
            <w:right w:val="none" w:sz="0" w:space="0" w:color="auto"/>
          </w:divBdr>
        </w:div>
        <w:div w:id="1289513267">
          <w:marLeft w:val="547"/>
          <w:marRight w:val="0"/>
          <w:marTop w:val="0"/>
          <w:marBottom w:val="0"/>
          <w:divBdr>
            <w:top w:val="none" w:sz="0" w:space="0" w:color="auto"/>
            <w:left w:val="none" w:sz="0" w:space="0" w:color="auto"/>
            <w:bottom w:val="none" w:sz="0" w:space="0" w:color="auto"/>
            <w:right w:val="none" w:sz="0" w:space="0" w:color="auto"/>
          </w:divBdr>
        </w:div>
        <w:div w:id="446581813">
          <w:marLeft w:val="547"/>
          <w:marRight w:val="0"/>
          <w:marTop w:val="0"/>
          <w:marBottom w:val="0"/>
          <w:divBdr>
            <w:top w:val="none" w:sz="0" w:space="0" w:color="auto"/>
            <w:left w:val="none" w:sz="0" w:space="0" w:color="auto"/>
            <w:bottom w:val="none" w:sz="0" w:space="0" w:color="auto"/>
            <w:right w:val="none" w:sz="0" w:space="0" w:color="auto"/>
          </w:divBdr>
        </w:div>
        <w:div w:id="688871214">
          <w:marLeft w:val="547"/>
          <w:marRight w:val="0"/>
          <w:marTop w:val="0"/>
          <w:marBottom w:val="0"/>
          <w:divBdr>
            <w:top w:val="none" w:sz="0" w:space="0" w:color="auto"/>
            <w:left w:val="none" w:sz="0" w:space="0" w:color="auto"/>
            <w:bottom w:val="none" w:sz="0" w:space="0" w:color="auto"/>
            <w:right w:val="none" w:sz="0" w:space="0" w:color="auto"/>
          </w:divBdr>
        </w:div>
        <w:div w:id="809246330">
          <w:marLeft w:val="547"/>
          <w:marRight w:val="0"/>
          <w:marTop w:val="0"/>
          <w:marBottom w:val="0"/>
          <w:divBdr>
            <w:top w:val="none" w:sz="0" w:space="0" w:color="auto"/>
            <w:left w:val="none" w:sz="0" w:space="0" w:color="auto"/>
            <w:bottom w:val="none" w:sz="0" w:space="0" w:color="auto"/>
            <w:right w:val="none" w:sz="0" w:space="0" w:color="auto"/>
          </w:divBdr>
        </w:div>
        <w:div w:id="606696443">
          <w:marLeft w:val="547"/>
          <w:marRight w:val="0"/>
          <w:marTop w:val="0"/>
          <w:marBottom w:val="0"/>
          <w:divBdr>
            <w:top w:val="none" w:sz="0" w:space="0" w:color="auto"/>
            <w:left w:val="none" w:sz="0" w:space="0" w:color="auto"/>
            <w:bottom w:val="none" w:sz="0" w:space="0" w:color="auto"/>
            <w:right w:val="none" w:sz="0" w:space="0" w:color="auto"/>
          </w:divBdr>
        </w:div>
        <w:div w:id="1701124182">
          <w:marLeft w:val="547"/>
          <w:marRight w:val="0"/>
          <w:marTop w:val="0"/>
          <w:marBottom w:val="0"/>
          <w:divBdr>
            <w:top w:val="none" w:sz="0" w:space="0" w:color="auto"/>
            <w:left w:val="none" w:sz="0" w:space="0" w:color="auto"/>
            <w:bottom w:val="none" w:sz="0" w:space="0" w:color="auto"/>
            <w:right w:val="none" w:sz="0" w:space="0" w:color="auto"/>
          </w:divBdr>
        </w:div>
        <w:div w:id="1873610542">
          <w:marLeft w:val="547"/>
          <w:marRight w:val="0"/>
          <w:marTop w:val="0"/>
          <w:marBottom w:val="0"/>
          <w:divBdr>
            <w:top w:val="none" w:sz="0" w:space="0" w:color="auto"/>
            <w:left w:val="none" w:sz="0" w:space="0" w:color="auto"/>
            <w:bottom w:val="none" w:sz="0" w:space="0" w:color="auto"/>
            <w:right w:val="none" w:sz="0" w:space="0" w:color="auto"/>
          </w:divBdr>
        </w:div>
        <w:div w:id="1189028041">
          <w:marLeft w:val="547"/>
          <w:marRight w:val="0"/>
          <w:marTop w:val="0"/>
          <w:marBottom w:val="0"/>
          <w:divBdr>
            <w:top w:val="none" w:sz="0" w:space="0" w:color="auto"/>
            <w:left w:val="none" w:sz="0" w:space="0" w:color="auto"/>
            <w:bottom w:val="none" w:sz="0" w:space="0" w:color="auto"/>
            <w:right w:val="none" w:sz="0" w:space="0" w:color="auto"/>
          </w:divBdr>
        </w:div>
        <w:div w:id="140000364">
          <w:marLeft w:val="547"/>
          <w:marRight w:val="0"/>
          <w:marTop w:val="0"/>
          <w:marBottom w:val="0"/>
          <w:divBdr>
            <w:top w:val="none" w:sz="0" w:space="0" w:color="auto"/>
            <w:left w:val="none" w:sz="0" w:space="0" w:color="auto"/>
            <w:bottom w:val="none" w:sz="0" w:space="0" w:color="auto"/>
            <w:right w:val="none" w:sz="0" w:space="0" w:color="auto"/>
          </w:divBdr>
        </w:div>
      </w:divsChild>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965607">
      <w:bodyDiv w:val="1"/>
      <w:marLeft w:val="0"/>
      <w:marRight w:val="0"/>
      <w:marTop w:val="0"/>
      <w:marBottom w:val="0"/>
      <w:divBdr>
        <w:top w:val="none" w:sz="0" w:space="0" w:color="auto"/>
        <w:left w:val="none" w:sz="0" w:space="0" w:color="auto"/>
        <w:bottom w:val="none" w:sz="0" w:space="0" w:color="auto"/>
        <w:right w:val="none" w:sz="0" w:space="0" w:color="auto"/>
      </w:divBdr>
    </w:div>
    <w:div w:id="182519458">
      <w:bodyDiv w:val="1"/>
      <w:marLeft w:val="0"/>
      <w:marRight w:val="0"/>
      <w:marTop w:val="0"/>
      <w:marBottom w:val="0"/>
      <w:divBdr>
        <w:top w:val="none" w:sz="0" w:space="0" w:color="auto"/>
        <w:left w:val="none" w:sz="0" w:space="0" w:color="auto"/>
        <w:bottom w:val="none" w:sz="0" w:space="0" w:color="auto"/>
        <w:right w:val="none" w:sz="0" w:space="0" w:color="auto"/>
      </w:divBdr>
    </w:div>
    <w:div w:id="185801888">
      <w:bodyDiv w:val="1"/>
      <w:marLeft w:val="0"/>
      <w:marRight w:val="0"/>
      <w:marTop w:val="0"/>
      <w:marBottom w:val="0"/>
      <w:divBdr>
        <w:top w:val="none" w:sz="0" w:space="0" w:color="auto"/>
        <w:left w:val="none" w:sz="0" w:space="0" w:color="auto"/>
        <w:bottom w:val="none" w:sz="0" w:space="0" w:color="auto"/>
        <w:right w:val="none" w:sz="0" w:space="0" w:color="auto"/>
      </w:divBdr>
    </w:div>
    <w:div w:id="227882149">
      <w:bodyDiv w:val="1"/>
      <w:marLeft w:val="0"/>
      <w:marRight w:val="0"/>
      <w:marTop w:val="0"/>
      <w:marBottom w:val="0"/>
      <w:divBdr>
        <w:top w:val="none" w:sz="0" w:space="0" w:color="auto"/>
        <w:left w:val="none" w:sz="0" w:space="0" w:color="auto"/>
        <w:bottom w:val="none" w:sz="0" w:space="0" w:color="auto"/>
        <w:right w:val="none" w:sz="0" w:space="0" w:color="auto"/>
      </w:divBdr>
    </w:div>
    <w:div w:id="342318337">
      <w:bodyDiv w:val="1"/>
      <w:marLeft w:val="0"/>
      <w:marRight w:val="0"/>
      <w:marTop w:val="0"/>
      <w:marBottom w:val="0"/>
      <w:divBdr>
        <w:top w:val="none" w:sz="0" w:space="0" w:color="auto"/>
        <w:left w:val="none" w:sz="0" w:space="0" w:color="auto"/>
        <w:bottom w:val="none" w:sz="0" w:space="0" w:color="auto"/>
        <w:right w:val="none" w:sz="0" w:space="0" w:color="auto"/>
      </w:divBdr>
    </w:div>
    <w:div w:id="365109109">
      <w:bodyDiv w:val="1"/>
      <w:marLeft w:val="0"/>
      <w:marRight w:val="0"/>
      <w:marTop w:val="0"/>
      <w:marBottom w:val="0"/>
      <w:divBdr>
        <w:top w:val="none" w:sz="0" w:space="0" w:color="auto"/>
        <w:left w:val="none" w:sz="0" w:space="0" w:color="auto"/>
        <w:bottom w:val="none" w:sz="0" w:space="0" w:color="auto"/>
        <w:right w:val="none" w:sz="0" w:space="0" w:color="auto"/>
      </w:divBdr>
    </w:div>
    <w:div w:id="371347019">
      <w:bodyDiv w:val="1"/>
      <w:marLeft w:val="0"/>
      <w:marRight w:val="0"/>
      <w:marTop w:val="0"/>
      <w:marBottom w:val="0"/>
      <w:divBdr>
        <w:top w:val="none" w:sz="0" w:space="0" w:color="auto"/>
        <w:left w:val="none" w:sz="0" w:space="0" w:color="auto"/>
        <w:bottom w:val="none" w:sz="0" w:space="0" w:color="auto"/>
        <w:right w:val="none" w:sz="0" w:space="0" w:color="auto"/>
      </w:divBdr>
    </w:div>
    <w:div w:id="393049007">
      <w:bodyDiv w:val="1"/>
      <w:marLeft w:val="0"/>
      <w:marRight w:val="0"/>
      <w:marTop w:val="0"/>
      <w:marBottom w:val="0"/>
      <w:divBdr>
        <w:top w:val="none" w:sz="0" w:space="0" w:color="auto"/>
        <w:left w:val="none" w:sz="0" w:space="0" w:color="auto"/>
        <w:bottom w:val="none" w:sz="0" w:space="0" w:color="auto"/>
        <w:right w:val="none" w:sz="0" w:space="0" w:color="auto"/>
      </w:divBdr>
      <w:divsChild>
        <w:div w:id="372195953">
          <w:marLeft w:val="1714"/>
          <w:marRight w:val="0"/>
          <w:marTop w:val="86"/>
          <w:marBottom w:val="0"/>
          <w:divBdr>
            <w:top w:val="none" w:sz="0" w:space="0" w:color="auto"/>
            <w:left w:val="none" w:sz="0" w:space="0" w:color="auto"/>
            <w:bottom w:val="none" w:sz="0" w:space="0" w:color="auto"/>
            <w:right w:val="none" w:sz="0" w:space="0" w:color="auto"/>
          </w:divBdr>
        </w:div>
      </w:divsChild>
    </w:div>
    <w:div w:id="422149508">
      <w:bodyDiv w:val="1"/>
      <w:marLeft w:val="0"/>
      <w:marRight w:val="0"/>
      <w:marTop w:val="0"/>
      <w:marBottom w:val="0"/>
      <w:divBdr>
        <w:top w:val="none" w:sz="0" w:space="0" w:color="auto"/>
        <w:left w:val="none" w:sz="0" w:space="0" w:color="auto"/>
        <w:bottom w:val="none" w:sz="0" w:space="0" w:color="auto"/>
        <w:right w:val="none" w:sz="0" w:space="0" w:color="auto"/>
      </w:divBdr>
    </w:div>
    <w:div w:id="510335336">
      <w:bodyDiv w:val="1"/>
      <w:marLeft w:val="0"/>
      <w:marRight w:val="0"/>
      <w:marTop w:val="0"/>
      <w:marBottom w:val="0"/>
      <w:divBdr>
        <w:top w:val="none" w:sz="0" w:space="0" w:color="auto"/>
        <w:left w:val="none" w:sz="0" w:space="0" w:color="auto"/>
        <w:bottom w:val="none" w:sz="0" w:space="0" w:color="auto"/>
        <w:right w:val="none" w:sz="0" w:space="0" w:color="auto"/>
      </w:divBdr>
    </w:div>
    <w:div w:id="545721818">
      <w:bodyDiv w:val="1"/>
      <w:marLeft w:val="0"/>
      <w:marRight w:val="0"/>
      <w:marTop w:val="0"/>
      <w:marBottom w:val="0"/>
      <w:divBdr>
        <w:top w:val="none" w:sz="0" w:space="0" w:color="auto"/>
        <w:left w:val="none" w:sz="0" w:space="0" w:color="auto"/>
        <w:bottom w:val="none" w:sz="0" w:space="0" w:color="auto"/>
        <w:right w:val="none" w:sz="0" w:space="0" w:color="auto"/>
      </w:divBdr>
    </w:div>
    <w:div w:id="559639389">
      <w:bodyDiv w:val="1"/>
      <w:marLeft w:val="0"/>
      <w:marRight w:val="0"/>
      <w:marTop w:val="0"/>
      <w:marBottom w:val="0"/>
      <w:divBdr>
        <w:top w:val="none" w:sz="0" w:space="0" w:color="auto"/>
        <w:left w:val="none" w:sz="0" w:space="0" w:color="auto"/>
        <w:bottom w:val="none" w:sz="0" w:space="0" w:color="auto"/>
        <w:right w:val="none" w:sz="0" w:space="0" w:color="auto"/>
      </w:divBdr>
    </w:div>
    <w:div w:id="563492746">
      <w:bodyDiv w:val="1"/>
      <w:marLeft w:val="0"/>
      <w:marRight w:val="0"/>
      <w:marTop w:val="0"/>
      <w:marBottom w:val="0"/>
      <w:divBdr>
        <w:top w:val="none" w:sz="0" w:space="0" w:color="auto"/>
        <w:left w:val="none" w:sz="0" w:space="0" w:color="auto"/>
        <w:bottom w:val="none" w:sz="0" w:space="0" w:color="auto"/>
        <w:right w:val="none" w:sz="0" w:space="0" w:color="auto"/>
      </w:divBdr>
    </w:div>
    <w:div w:id="563879215">
      <w:bodyDiv w:val="1"/>
      <w:marLeft w:val="0"/>
      <w:marRight w:val="0"/>
      <w:marTop w:val="0"/>
      <w:marBottom w:val="0"/>
      <w:divBdr>
        <w:top w:val="none" w:sz="0" w:space="0" w:color="auto"/>
        <w:left w:val="none" w:sz="0" w:space="0" w:color="auto"/>
        <w:bottom w:val="none" w:sz="0" w:space="0" w:color="auto"/>
        <w:right w:val="none" w:sz="0" w:space="0" w:color="auto"/>
      </w:divBdr>
    </w:div>
    <w:div w:id="567960710">
      <w:bodyDiv w:val="1"/>
      <w:marLeft w:val="0"/>
      <w:marRight w:val="0"/>
      <w:marTop w:val="0"/>
      <w:marBottom w:val="0"/>
      <w:divBdr>
        <w:top w:val="none" w:sz="0" w:space="0" w:color="auto"/>
        <w:left w:val="none" w:sz="0" w:space="0" w:color="auto"/>
        <w:bottom w:val="none" w:sz="0" w:space="0" w:color="auto"/>
        <w:right w:val="none" w:sz="0" w:space="0" w:color="auto"/>
      </w:divBdr>
      <w:divsChild>
        <w:div w:id="1614706600">
          <w:marLeft w:val="0"/>
          <w:marRight w:val="0"/>
          <w:marTop w:val="0"/>
          <w:marBottom w:val="0"/>
          <w:divBdr>
            <w:top w:val="none" w:sz="0" w:space="0" w:color="auto"/>
            <w:left w:val="none" w:sz="0" w:space="0" w:color="auto"/>
            <w:bottom w:val="none" w:sz="0" w:space="0" w:color="auto"/>
            <w:right w:val="none" w:sz="0" w:space="0" w:color="auto"/>
          </w:divBdr>
          <w:divsChild>
            <w:div w:id="1453279967">
              <w:marLeft w:val="0"/>
              <w:marRight w:val="0"/>
              <w:marTop w:val="0"/>
              <w:marBottom w:val="0"/>
              <w:divBdr>
                <w:top w:val="none" w:sz="0" w:space="0" w:color="auto"/>
                <w:left w:val="none" w:sz="0" w:space="0" w:color="auto"/>
                <w:bottom w:val="none" w:sz="0" w:space="0" w:color="auto"/>
                <w:right w:val="none" w:sz="0" w:space="0" w:color="auto"/>
              </w:divBdr>
              <w:divsChild>
                <w:div w:id="1715615860">
                  <w:marLeft w:val="0"/>
                  <w:marRight w:val="0"/>
                  <w:marTop w:val="0"/>
                  <w:marBottom w:val="0"/>
                  <w:divBdr>
                    <w:top w:val="none" w:sz="0" w:space="0" w:color="auto"/>
                    <w:left w:val="none" w:sz="0" w:space="0" w:color="auto"/>
                    <w:bottom w:val="none" w:sz="0" w:space="0" w:color="auto"/>
                    <w:right w:val="none" w:sz="0" w:space="0" w:color="auto"/>
                  </w:divBdr>
                  <w:divsChild>
                    <w:div w:id="1187062195">
                      <w:marLeft w:val="0"/>
                      <w:marRight w:val="0"/>
                      <w:marTop w:val="0"/>
                      <w:marBottom w:val="0"/>
                      <w:divBdr>
                        <w:top w:val="none" w:sz="0" w:space="0" w:color="auto"/>
                        <w:left w:val="none" w:sz="0" w:space="0" w:color="auto"/>
                        <w:bottom w:val="none" w:sz="0" w:space="0" w:color="auto"/>
                        <w:right w:val="none" w:sz="0" w:space="0" w:color="auto"/>
                      </w:divBdr>
                      <w:divsChild>
                        <w:div w:id="1671714360">
                          <w:marLeft w:val="0"/>
                          <w:marRight w:val="0"/>
                          <w:marTop w:val="0"/>
                          <w:marBottom w:val="0"/>
                          <w:divBdr>
                            <w:top w:val="none" w:sz="0" w:space="0" w:color="auto"/>
                            <w:left w:val="none" w:sz="0" w:space="0" w:color="auto"/>
                            <w:bottom w:val="none" w:sz="0" w:space="0" w:color="auto"/>
                            <w:right w:val="none" w:sz="0" w:space="0" w:color="auto"/>
                          </w:divBdr>
                          <w:divsChild>
                            <w:div w:id="2050566249">
                              <w:marLeft w:val="0"/>
                              <w:marRight w:val="0"/>
                              <w:marTop w:val="0"/>
                              <w:marBottom w:val="0"/>
                              <w:divBdr>
                                <w:top w:val="none" w:sz="0" w:space="0" w:color="auto"/>
                                <w:left w:val="none" w:sz="0" w:space="0" w:color="auto"/>
                                <w:bottom w:val="none" w:sz="0" w:space="0" w:color="auto"/>
                                <w:right w:val="none" w:sz="0" w:space="0" w:color="auto"/>
                              </w:divBdr>
                              <w:divsChild>
                                <w:div w:id="151262803">
                                  <w:marLeft w:val="0"/>
                                  <w:marRight w:val="900"/>
                                  <w:marTop w:val="0"/>
                                  <w:marBottom w:val="0"/>
                                  <w:divBdr>
                                    <w:top w:val="none" w:sz="0" w:space="0" w:color="auto"/>
                                    <w:left w:val="none" w:sz="0" w:space="0" w:color="auto"/>
                                    <w:bottom w:val="none" w:sz="0" w:space="0" w:color="auto"/>
                                    <w:right w:val="none" w:sz="0" w:space="0" w:color="auto"/>
                                  </w:divBdr>
                                  <w:divsChild>
                                    <w:div w:id="385565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3271">
      <w:bodyDiv w:val="1"/>
      <w:marLeft w:val="0"/>
      <w:marRight w:val="0"/>
      <w:marTop w:val="0"/>
      <w:marBottom w:val="0"/>
      <w:divBdr>
        <w:top w:val="none" w:sz="0" w:space="0" w:color="auto"/>
        <w:left w:val="none" w:sz="0" w:space="0" w:color="auto"/>
        <w:bottom w:val="none" w:sz="0" w:space="0" w:color="auto"/>
        <w:right w:val="none" w:sz="0" w:space="0" w:color="auto"/>
      </w:divBdr>
    </w:div>
    <w:div w:id="641426932">
      <w:bodyDiv w:val="1"/>
      <w:marLeft w:val="0"/>
      <w:marRight w:val="0"/>
      <w:marTop w:val="0"/>
      <w:marBottom w:val="0"/>
      <w:divBdr>
        <w:top w:val="none" w:sz="0" w:space="0" w:color="auto"/>
        <w:left w:val="none" w:sz="0" w:space="0" w:color="auto"/>
        <w:bottom w:val="none" w:sz="0" w:space="0" w:color="auto"/>
        <w:right w:val="none" w:sz="0" w:space="0" w:color="auto"/>
      </w:divBdr>
    </w:div>
    <w:div w:id="689066432">
      <w:bodyDiv w:val="1"/>
      <w:marLeft w:val="0"/>
      <w:marRight w:val="0"/>
      <w:marTop w:val="0"/>
      <w:marBottom w:val="0"/>
      <w:divBdr>
        <w:top w:val="none" w:sz="0" w:space="0" w:color="auto"/>
        <w:left w:val="none" w:sz="0" w:space="0" w:color="auto"/>
        <w:bottom w:val="none" w:sz="0" w:space="0" w:color="auto"/>
        <w:right w:val="none" w:sz="0" w:space="0" w:color="auto"/>
      </w:divBdr>
    </w:div>
    <w:div w:id="705330039">
      <w:bodyDiv w:val="1"/>
      <w:marLeft w:val="0"/>
      <w:marRight w:val="0"/>
      <w:marTop w:val="0"/>
      <w:marBottom w:val="0"/>
      <w:divBdr>
        <w:top w:val="none" w:sz="0" w:space="0" w:color="auto"/>
        <w:left w:val="none" w:sz="0" w:space="0" w:color="auto"/>
        <w:bottom w:val="none" w:sz="0" w:space="0" w:color="auto"/>
        <w:right w:val="none" w:sz="0" w:space="0" w:color="auto"/>
      </w:divBdr>
    </w:div>
    <w:div w:id="707267018">
      <w:bodyDiv w:val="1"/>
      <w:marLeft w:val="0"/>
      <w:marRight w:val="0"/>
      <w:marTop w:val="0"/>
      <w:marBottom w:val="0"/>
      <w:divBdr>
        <w:top w:val="none" w:sz="0" w:space="0" w:color="auto"/>
        <w:left w:val="none" w:sz="0" w:space="0" w:color="auto"/>
        <w:bottom w:val="none" w:sz="0" w:space="0" w:color="auto"/>
        <w:right w:val="none" w:sz="0" w:space="0" w:color="auto"/>
      </w:divBdr>
    </w:div>
    <w:div w:id="723984505">
      <w:bodyDiv w:val="1"/>
      <w:marLeft w:val="0"/>
      <w:marRight w:val="0"/>
      <w:marTop w:val="0"/>
      <w:marBottom w:val="0"/>
      <w:divBdr>
        <w:top w:val="none" w:sz="0" w:space="0" w:color="auto"/>
        <w:left w:val="none" w:sz="0" w:space="0" w:color="auto"/>
        <w:bottom w:val="none" w:sz="0" w:space="0" w:color="auto"/>
        <w:right w:val="none" w:sz="0" w:space="0" w:color="auto"/>
      </w:divBdr>
    </w:div>
    <w:div w:id="881405121">
      <w:bodyDiv w:val="1"/>
      <w:marLeft w:val="0"/>
      <w:marRight w:val="0"/>
      <w:marTop w:val="0"/>
      <w:marBottom w:val="0"/>
      <w:divBdr>
        <w:top w:val="none" w:sz="0" w:space="0" w:color="auto"/>
        <w:left w:val="none" w:sz="0" w:space="0" w:color="auto"/>
        <w:bottom w:val="none" w:sz="0" w:space="0" w:color="auto"/>
        <w:right w:val="none" w:sz="0" w:space="0" w:color="auto"/>
      </w:divBdr>
    </w:div>
    <w:div w:id="986864914">
      <w:bodyDiv w:val="1"/>
      <w:marLeft w:val="0"/>
      <w:marRight w:val="0"/>
      <w:marTop w:val="0"/>
      <w:marBottom w:val="0"/>
      <w:divBdr>
        <w:top w:val="none" w:sz="0" w:space="0" w:color="auto"/>
        <w:left w:val="none" w:sz="0" w:space="0" w:color="auto"/>
        <w:bottom w:val="none" w:sz="0" w:space="0" w:color="auto"/>
        <w:right w:val="none" w:sz="0" w:space="0" w:color="auto"/>
      </w:divBdr>
    </w:div>
    <w:div w:id="1017274824">
      <w:bodyDiv w:val="1"/>
      <w:marLeft w:val="0"/>
      <w:marRight w:val="0"/>
      <w:marTop w:val="0"/>
      <w:marBottom w:val="0"/>
      <w:divBdr>
        <w:top w:val="none" w:sz="0" w:space="0" w:color="auto"/>
        <w:left w:val="none" w:sz="0" w:space="0" w:color="auto"/>
        <w:bottom w:val="none" w:sz="0" w:space="0" w:color="auto"/>
        <w:right w:val="none" w:sz="0" w:space="0" w:color="auto"/>
      </w:divBdr>
    </w:div>
    <w:div w:id="1018310147">
      <w:bodyDiv w:val="1"/>
      <w:marLeft w:val="0"/>
      <w:marRight w:val="0"/>
      <w:marTop w:val="0"/>
      <w:marBottom w:val="0"/>
      <w:divBdr>
        <w:top w:val="none" w:sz="0" w:space="0" w:color="auto"/>
        <w:left w:val="none" w:sz="0" w:space="0" w:color="auto"/>
        <w:bottom w:val="none" w:sz="0" w:space="0" w:color="auto"/>
        <w:right w:val="none" w:sz="0" w:space="0" w:color="auto"/>
      </w:divBdr>
    </w:div>
    <w:div w:id="1102335013">
      <w:bodyDiv w:val="1"/>
      <w:marLeft w:val="0"/>
      <w:marRight w:val="0"/>
      <w:marTop w:val="0"/>
      <w:marBottom w:val="0"/>
      <w:divBdr>
        <w:top w:val="none" w:sz="0" w:space="0" w:color="auto"/>
        <w:left w:val="none" w:sz="0" w:space="0" w:color="auto"/>
        <w:bottom w:val="none" w:sz="0" w:space="0" w:color="auto"/>
        <w:right w:val="none" w:sz="0" w:space="0" w:color="auto"/>
      </w:divBdr>
    </w:div>
    <w:div w:id="1122771360">
      <w:bodyDiv w:val="1"/>
      <w:marLeft w:val="0"/>
      <w:marRight w:val="0"/>
      <w:marTop w:val="0"/>
      <w:marBottom w:val="0"/>
      <w:divBdr>
        <w:top w:val="none" w:sz="0" w:space="0" w:color="auto"/>
        <w:left w:val="none" w:sz="0" w:space="0" w:color="auto"/>
        <w:bottom w:val="none" w:sz="0" w:space="0" w:color="auto"/>
        <w:right w:val="none" w:sz="0" w:space="0" w:color="auto"/>
      </w:divBdr>
    </w:div>
    <w:div w:id="1130974878">
      <w:bodyDiv w:val="1"/>
      <w:marLeft w:val="0"/>
      <w:marRight w:val="0"/>
      <w:marTop w:val="0"/>
      <w:marBottom w:val="0"/>
      <w:divBdr>
        <w:top w:val="none" w:sz="0" w:space="0" w:color="auto"/>
        <w:left w:val="none" w:sz="0" w:space="0" w:color="auto"/>
        <w:bottom w:val="none" w:sz="0" w:space="0" w:color="auto"/>
        <w:right w:val="none" w:sz="0" w:space="0" w:color="auto"/>
      </w:divBdr>
    </w:div>
    <w:div w:id="1133905994">
      <w:bodyDiv w:val="1"/>
      <w:marLeft w:val="0"/>
      <w:marRight w:val="0"/>
      <w:marTop w:val="0"/>
      <w:marBottom w:val="0"/>
      <w:divBdr>
        <w:top w:val="none" w:sz="0" w:space="0" w:color="auto"/>
        <w:left w:val="none" w:sz="0" w:space="0" w:color="auto"/>
        <w:bottom w:val="none" w:sz="0" w:space="0" w:color="auto"/>
        <w:right w:val="none" w:sz="0" w:space="0" w:color="auto"/>
      </w:divBdr>
    </w:div>
    <w:div w:id="1135175687">
      <w:bodyDiv w:val="1"/>
      <w:marLeft w:val="0"/>
      <w:marRight w:val="0"/>
      <w:marTop w:val="0"/>
      <w:marBottom w:val="0"/>
      <w:divBdr>
        <w:top w:val="none" w:sz="0" w:space="0" w:color="auto"/>
        <w:left w:val="none" w:sz="0" w:space="0" w:color="auto"/>
        <w:bottom w:val="none" w:sz="0" w:space="0" w:color="auto"/>
        <w:right w:val="none" w:sz="0" w:space="0" w:color="auto"/>
      </w:divBdr>
    </w:div>
    <w:div w:id="1150830835">
      <w:bodyDiv w:val="1"/>
      <w:marLeft w:val="0"/>
      <w:marRight w:val="0"/>
      <w:marTop w:val="0"/>
      <w:marBottom w:val="0"/>
      <w:divBdr>
        <w:top w:val="none" w:sz="0" w:space="0" w:color="auto"/>
        <w:left w:val="none" w:sz="0" w:space="0" w:color="auto"/>
        <w:bottom w:val="none" w:sz="0" w:space="0" w:color="auto"/>
        <w:right w:val="none" w:sz="0" w:space="0" w:color="auto"/>
      </w:divBdr>
    </w:div>
    <w:div w:id="1251234370">
      <w:bodyDiv w:val="1"/>
      <w:marLeft w:val="0"/>
      <w:marRight w:val="0"/>
      <w:marTop w:val="0"/>
      <w:marBottom w:val="0"/>
      <w:divBdr>
        <w:top w:val="none" w:sz="0" w:space="0" w:color="auto"/>
        <w:left w:val="none" w:sz="0" w:space="0" w:color="auto"/>
        <w:bottom w:val="none" w:sz="0" w:space="0" w:color="auto"/>
        <w:right w:val="none" w:sz="0" w:space="0" w:color="auto"/>
      </w:divBdr>
    </w:div>
    <w:div w:id="1262182428">
      <w:bodyDiv w:val="1"/>
      <w:marLeft w:val="0"/>
      <w:marRight w:val="0"/>
      <w:marTop w:val="0"/>
      <w:marBottom w:val="0"/>
      <w:divBdr>
        <w:top w:val="none" w:sz="0" w:space="0" w:color="auto"/>
        <w:left w:val="none" w:sz="0" w:space="0" w:color="auto"/>
        <w:bottom w:val="none" w:sz="0" w:space="0" w:color="auto"/>
        <w:right w:val="none" w:sz="0" w:space="0" w:color="auto"/>
      </w:divBdr>
    </w:div>
    <w:div w:id="1275284313">
      <w:bodyDiv w:val="1"/>
      <w:marLeft w:val="0"/>
      <w:marRight w:val="0"/>
      <w:marTop w:val="0"/>
      <w:marBottom w:val="0"/>
      <w:divBdr>
        <w:top w:val="none" w:sz="0" w:space="0" w:color="auto"/>
        <w:left w:val="none" w:sz="0" w:space="0" w:color="auto"/>
        <w:bottom w:val="none" w:sz="0" w:space="0" w:color="auto"/>
        <w:right w:val="none" w:sz="0" w:space="0" w:color="auto"/>
      </w:divBdr>
    </w:div>
    <w:div w:id="1294140187">
      <w:bodyDiv w:val="1"/>
      <w:marLeft w:val="0"/>
      <w:marRight w:val="0"/>
      <w:marTop w:val="0"/>
      <w:marBottom w:val="0"/>
      <w:divBdr>
        <w:top w:val="none" w:sz="0" w:space="0" w:color="auto"/>
        <w:left w:val="none" w:sz="0" w:space="0" w:color="auto"/>
        <w:bottom w:val="none" w:sz="0" w:space="0" w:color="auto"/>
        <w:right w:val="none" w:sz="0" w:space="0" w:color="auto"/>
      </w:divBdr>
      <w:divsChild>
        <w:div w:id="1621718016">
          <w:marLeft w:val="0"/>
          <w:marRight w:val="0"/>
          <w:marTop w:val="0"/>
          <w:marBottom w:val="0"/>
          <w:divBdr>
            <w:top w:val="none" w:sz="0" w:space="0" w:color="auto"/>
            <w:left w:val="none" w:sz="0" w:space="0" w:color="auto"/>
            <w:bottom w:val="none" w:sz="0" w:space="0" w:color="auto"/>
            <w:right w:val="none" w:sz="0" w:space="0" w:color="auto"/>
          </w:divBdr>
          <w:divsChild>
            <w:div w:id="16930778">
              <w:marLeft w:val="0"/>
              <w:marRight w:val="0"/>
              <w:marTop w:val="0"/>
              <w:marBottom w:val="0"/>
              <w:divBdr>
                <w:top w:val="none" w:sz="0" w:space="0" w:color="auto"/>
                <w:left w:val="none" w:sz="0" w:space="0" w:color="auto"/>
                <w:bottom w:val="none" w:sz="0" w:space="0" w:color="auto"/>
                <w:right w:val="none" w:sz="0" w:space="0" w:color="auto"/>
              </w:divBdr>
              <w:divsChild>
                <w:div w:id="1800958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14678809">
      <w:bodyDiv w:val="1"/>
      <w:marLeft w:val="0"/>
      <w:marRight w:val="0"/>
      <w:marTop w:val="0"/>
      <w:marBottom w:val="0"/>
      <w:divBdr>
        <w:top w:val="none" w:sz="0" w:space="0" w:color="auto"/>
        <w:left w:val="none" w:sz="0" w:space="0" w:color="auto"/>
        <w:bottom w:val="none" w:sz="0" w:space="0" w:color="auto"/>
        <w:right w:val="none" w:sz="0" w:space="0" w:color="auto"/>
      </w:divBdr>
    </w:div>
    <w:div w:id="1325161650">
      <w:bodyDiv w:val="1"/>
      <w:marLeft w:val="0"/>
      <w:marRight w:val="0"/>
      <w:marTop w:val="0"/>
      <w:marBottom w:val="0"/>
      <w:divBdr>
        <w:top w:val="none" w:sz="0" w:space="0" w:color="auto"/>
        <w:left w:val="none" w:sz="0" w:space="0" w:color="auto"/>
        <w:bottom w:val="none" w:sz="0" w:space="0" w:color="auto"/>
        <w:right w:val="none" w:sz="0" w:space="0" w:color="auto"/>
      </w:divBdr>
    </w:div>
    <w:div w:id="1343163404">
      <w:bodyDiv w:val="1"/>
      <w:marLeft w:val="0"/>
      <w:marRight w:val="0"/>
      <w:marTop w:val="0"/>
      <w:marBottom w:val="0"/>
      <w:divBdr>
        <w:top w:val="none" w:sz="0" w:space="0" w:color="auto"/>
        <w:left w:val="none" w:sz="0" w:space="0" w:color="auto"/>
        <w:bottom w:val="none" w:sz="0" w:space="0" w:color="auto"/>
        <w:right w:val="none" w:sz="0" w:space="0" w:color="auto"/>
      </w:divBdr>
    </w:div>
    <w:div w:id="1388454711">
      <w:bodyDiv w:val="1"/>
      <w:marLeft w:val="0"/>
      <w:marRight w:val="0"/>
      <w:marTop w:val="0"/>
      <w:marBottom w:val="0"/>
      <w:divBdr>
        <w:top w:val="none" w:sz="0" w:space="0" w:color="auto"/>
        <w:left w:val="none" w:sz="0" w:space="0" w:color="auto"/>
        <w:bottom w:val="none" w:sz="0" w:space="0" w:color="auto"/>
        <w:right w:val="none" w:sz="0" w:space="0" w:color="auto"/>
      </w:divBdr>
    </w:div>
    <w:div w:id="1476601010">
      <w:bodyDiv w:val="1"/>
      <w:marLeft w:val="0"/>
      <w:marRight w:val="0"/>
      <w:marTop w:val="0"/>
      <w:marBottom w:val="0"/>
      <w:divBdr>
        <w:top w:val="none" w:sz="0" w:space="0" w:color="auto"/>
        <w:left w:val="none" w:sz="0" w:space="0" w:color="auto"/>
        <w:bottom w:val="none" w:sz="0" w:space="0" w:color="auto"/>
        <w:right w:val="none" w:sz="0" w:space="0" w:color="auto"/>
      </w:divBdr>
    </w:div>
    <w:div w:id="1510097968">
      <w:bodyDiv w:val="1"/>
      <w:marLeft w:val="0"/>
      <w:marRight w:val="0"/>
      <w:marTop w:val="0"/>
      <w:marBottom w:val="0"/>
      <w:divBdr>
        <w:top w:val="none" w:sz="0" w:space="0" w:color="auto"/>
        <w:left w:val="none" w:sz="0" w:space="0" w:color="auto"/>
        <w:bottom w:val="none" w:sz="0" w:space="0" w:color="auto"/>
        <w:right w:val="none" w:sz="0" w:space="0" w:color="auto"/>
      </w:divBdr>
    </w:div>
    <w:div w:id="1532066316">
      <w:bodyDiv w:val="1"/>
      <w:marLeft w:val="0"/>
      <w:marRight w:val="0"/>
      <w:marTop w:val="0"/>
      <w:marBottom w:val="0"/>
      <w:divBdr>
        <w:top w:val="none" w:sz="0" w:space="0" w:color="auto"/>
        <w:left w:val="none" w:sz="0" w:space="0" w:color="auto"/>
        <w:bottom w:val="none" w:sz="0" w:space="0" w:color="auto"/>
        <w:right w:val="none" w:sz="0" w:space="0" w:color="auto"/>
      </w:divBdr>
    </w:div>
    <w:div w:id="1627077460">
      <w:bodyDiv w:val="1"/>
      <w:marLeft w:val="0"/>
      <w:marRight w:val="0"/>
      <w:marTop w:val="0"/>
      <w:marBottom w:val="0"/>
      <w:divBdr>
        <w:top w:val="none" w:sz="0" w:space="0" w:color="auto"/>
        <w:left w:val="none" w:sz="0" w:space="0" w:color="auto"/>
        <w:bottom w:val="none" w:sz="0" w:space="0" w:color="auto"/>
        <w:right w:val="none" w:sz="0" w:space="0" w:color="auto"/>
      </w:divBdr>
    </w:div>
    <w:div w:id="1640841425">
      <w:bodyDiv w:val="1"/>
      <w:marLeft w:val="0"/>
      <w:marRight w:val="0"/>
      <w:marTop w:val="0"/>
      <w:marBottom w:val="0"/>
      <w:divBdr>
        <w:top w:val="none" w:sz="0" w:space="0" w:color="auto"/>
        <w:left w:val="none" w:sz="0" w:space="0" w:color="auto"/>
        <w:bottom w:val="none" w:sz="0" w:space="0" w:color="auto"/>
        <w:right w:val="none" w:sz="0" w:space="0" w:color="auto"/>
      </w:divBdr>
    </w:div>
    <w:div w:id="1642467393">
      <w:bodyDiv w:val="1"/>
      <w:marLeft w:val="0"/>
      <w:marRight w:val="0"/>
      <w:marTop w:val="0"/>
      <w:marBottom w:val="0"/>
      <w:divBdr>
        <w:top w:val="none" w:sz="0" w:space="0" w:color="auto"/>
        <w:left w:val="none" w:sz="0" w:space="0" w:color="auto"/>
        <w:bottom w:val="none" w:sz="0" w:space="0" w:color="auto"/>
        <w:right w:val="none" w:sz="0" w:space="0" w:color="auto"/>
      </w:divBdr>
    </w:div>
    <w:div w:id="1676835770">
      <w:bodyDiv w:val="1"/>
      <w:marLeft w:val="0"/>
      <w:marRight w:val="0"/>
      <w:marTop w:val="0"/>
      <w:marBottom w:val="0"/>
      <w:divBdr>
        <w:top w:val="none" w:sz="0" w:space="0" w:color="auto"/>
        <w:left w:val="none" w:sz="0" w:space="0" w:color="auto"/>
        <w:bottom w:val="none" w:sz="0" w:space="0" w:color="auto"/>
        <w:right w:val="none" w:sz="0" w:space="0" w:color="auto"/>
      </w:divBdr>
    </w:div>
    <w:div w:id="1697736653">
      <w:bodyDiv w:val="1"/>
      <w:marLeft w:val="0"/>
      <w:marRight w:val="0"/>
      <w:marTop w:val="0"/>
      <w:marBottom w:val="0"/>
      <w:divBdr>
        <w:top w:val="none" w:sz="0" w:space="0" w:color="auto"/>
        <w:left w:val="none" w:sz="0" w:space="0" w:color="auto"/>
        <w:bottom w:val="none" w:sz="0" w:space="0" w:color="auto"/>
        <w:right w:val="none" w:sz="0" w:space="0" w:color="auto"/>
      </w:divBdr>
    </w:div>
    <w:div w:id="1783305800">
      <w:bodyDiv w:val="1"/>
      <w:marLeft w:val="0"/>
      <w:marRight w:val="0"/>
      <w:marTop w:val="0"/>
      <w:marBottom w:val="0"/>
      <w:divBdr>
        <w:top w:val="none" w:sz="0" w:space="0" w:color="auto"/>
        <w:left w:val="none" w:sz="0" w:space="0" w:color="auto"/>
        <w:bottom w:val="none" w:sz="0" w:space="0" w:color="auto"/>
        <w:right w:val="none" w:sz="0" w:space="0" w:color="auto"/>
      </w:divBdr>
    </w:div>
    <w:div w:id="1834182944">
      <w:bodyDiv w:val="1"/>
      <w:marLeft w:val="0"/>
      <w:marRight w:val="0"/>
      <w:marTop w:val="0"/>
      <w:marBottom w:val="0"/>
      <w:divBdr>
        <w:top w:val="none" w:sz="0" w:space="0" w:color="auto"/>
        <w:left w:val="none" w:sz="0" w:space="0" w:color="auto"/>
        <w:bottom w:val="none" w:sz="0" w:space="0" w:color="auto"/>
        <w:right w:val="none" w:sz="0" w:space="0" w:color="auto"/>
      </w:divBdr>
    </w:div>
    <w:div w:id="1858350409">
      <w:bodyDiv w:val="1"/>
      <w:marLeft w:val="0"/>
      <w:marRight w:val="0"/>
      <w:marTop w:val="0"/>
      <w:marBottom w:val="0"/>
      <w:divBdr>
        <w:top w:val="none" w:sz="0" w:space="0" w:color="auto"/>
        <w:left w:val="none" w:sz="0" w:space="0" w:color="auto"/>
        <w:bottom w:val="none" w:sz="0" w:space="0" w:color="auto"/>
        <w:right w:val="none" w:sz="0" w:space="0" w:color="auto"/>
      </w:divBdr>
    </w:div>
    <w:div w:id="1877311441">
      <w:bodyDiv w:val="1"/>
      <w:marLeft w:val="0"/>
      <w:marRight w:val="0"/>
      <w:marTop w:val="0"/>
      <w:marBottom w:val="0"/>
      <w:divBdr>
        <w:top w:val="none" w:sz="0" w:space="0" w:color="auto"/>
        <w:left w:val="none" w:sz="0" w:space="0" w:color="auto"/>
        <w:bottom w:val="none" w:sz="0" w:space="0" w:color="auto"/>
        <w:right w:val="none" w:sz="0" w:space="0" w:color="auto"/>
      </w:divBdr>
    </w:div>
    <w:div w:id="1942493429">
      <w:bodyDiv w:val="1"/>
      <w:marLeft w:val="0"/>
      <w:marRight w:val="0"/>
      <w:marTop w:val="0"/>
      <w:marBottom w:val="0"/>
      <w:divBdr>
        <w:top w:val="none" w:sz="0" w:space="0" w:color="auto"/>
        <w:left w:val="none" w:sz="0" w:space="0" w:color="auto"/>
        <w:bottom w:val="none" w:sz="0" w:space="0" w:color="auto"/>
        <w:right w:val="none" w:sz="0" w:space="0" w:color="auto"/>
      </w:divBdr>
    </w:div>
    <w:div w:id="1960991083">
      <w:bodyDiv w:val="1"/>
      <w:marLeft w:val="0"/>
      <w:marRight w:val="0"/>
      <w:marTop w:val="0"/>
      <w:marBottom w:val="0"/>
      <w:divBdr>
        <w:top w:val="none" w:sz="0" w:space="0" w:color="auto"/>
        <w:left w:val="none" w:sz="0" w:space="0" w:color="auto"/>
        <w:bottom w:val="none" w:sz="0" w:space="0" w:color="auto"/>
        <w:right w:val="none" w:sz="0" w:space="0" w:color="auto"/>
      </w:divBdr>
      <w:divsChild>
        <w:div w:id="840311759">
          <w:marLeft w:val="547"/>
          <w:marRight w:val="0"/>
          <w:marTop w:val="0"/>
          <w:marBottom w:val="0"/>
          <w:divBdr>
            <w:top w:val="none" w:sz="0" w:space="0" w:color="auto"/>
            <w:left w:val="none" w:sz="0" w:space="0" w:color="auto"/>
            <w:bottom w:val="none" w:sz="0" w:space="0" w:color="auto"/>
            <w:right w:val="none" w:sz="0" w:space="0" w:color="auto"/>
          </w:divBdr>
        </w:div>
        <w:div w:id="492065752">
          <w:marLeft w:val="547"/>
          <w:marRight w:val="0"/>
          <w:marTop w:val="0"/>
          <w:marBottom w:val="0"/>
          <w:divBdr>
            <w:top w:val="none" w:sz="0" w:space="0" w:color="auto"/>
            <w:left w:val="none" w:sz="0" w:space="0" w:color="auto"/>
            <w:bottom w:val="none" w:sz="0" w:space="0" w:color="auto"/>
            <w:right w:val="none" w:sz="0" w:space="0" w:color="auto"/>
          </w:divBdr>
        </w:div>
        <w:div w:id="79068224">
          <w:marLeft w:val="547"/>
          <w:marRight w:val="0"/>
          <w:marTop w:val="0"/>
          <w:marBottom w:val="0"/>
          <w:divBdr>
            <w:top w:val="none" w:sz="0" w:space="0" w:color="auto"/>
            <w:left w:val="none" w:sz="0" w:space="0" w:color="auto"/>
            <w:bottom w:val="none" w:sz="0" w:space="0" w:color="auto"/>
            <w:right w:val="none" w:sz="0" w:space="0" w:color="auto"/>
          </w:divBdr>
        </w:div>
        <w:div w:id="1900287585">
          <w:marLeft w:val="547"/>
          <w:marRight w:val="0"/>
          <w:marTop w:val="0"/>
          <w:marBottom w:val="0"/>
          <w:divBdr>
            <w:top w:val="none" w:sz="0" w:space="0" w:color="auto"/>
            <w:left w:val="none" w:sz="0" w:space="0" w:color="auto"/>
            <w:bottom w:val="none" w:sz="0" w:space="0" w:color="auto"/>
            <w:right w:val="none" w:sz="0" w:space="0" w:color="auto"/>
          </w:divBdr>
        </w:div>
        <w:div w:id="1532455353">
          <w:marLeft w:val="547"/>
          <w:marRight w:val="0"/>
          <w:marTop w:val="0"/>
          <w:marBottom w:val="0"/>
          <w:divBdr>
            <w:top w:val="none" w:sz="0" w:space="0" w:color="auto"/>
            <w:left w:val="none" w:sz="0" w:space="0" w:color="auto"/>
            <w:bottom w:val="none" w:sz="0" w:space="0" w:color="auto"/>
            <w:right w:val="none" w:sz="0" w:space="0" w:color="auto"/>
          </w:divBdr>
        </w:div>
        <w:div w:id="1230336937">
          <w:marLeft w:val="547"/>
          <w:marRight w:val="0"/>
          <w:marTop w:val="0"/>
          <w:marBottom w:val="0"/>
          <w:divBdr>
            <w:top w:val="none" w:sz="0" w:space="0" w:color="auto"/>
            <w:left w:val="none" w:sz="0" w:space="0" w:color="auto"/>
            <w:bottom w:val="none" w:sz="0" w:space="0" w:color="auto"/>
            <w:right w:val="none" w:sz="0" w:space="0" w:color="auto"/>
          </w:divBdr>
        </w:div>
        <w:div w:id="211503032">
          <w:marLeft w:val="547"/>
          <w:marRight w:val="0"/>
          <w:marTop w:val="0"/>
          <w:marBottom w:val="0"/>
          <w:divBdr>
            <w:top w:val="none" w:sz="0" w:space="0" w:color="auto"/>
            <w:left w:val="none" w:sz="0" w:space="0" w:color="auto"/>
            <w:bottom w:val="none" w:sz="0" w:space="0" w:color="auto"/>
            <w:right w:val="none" w:sz="0" w:space="0" w:color="auto"/>
          </w:divBdr>
        </w:div>
      </w:divsChild>
    </w:div>
    <w:div w:id="1961690502">
      <w:bodyDiv w:val="1"/>
      <w:marLeft w:val="0"/>
      <w:marRight w:val="0"/>
      <w:marTop w:val="0"/>
      <w:marBottom w:val="0"/>
      <w:divBdr>
        <w:top w:val="none" w:sz="0" w:space="0" w:color="auto"/>
        <w:left w:val="none" w:sz="0" w:space="0" w:color="auto"/>
        <w:bottom w:val="none" w:sz="0" w:space="0" w:color="auto"/>
        <w:right w:val="none" w:sz="0" w:space="0" w:color="auto"/>
      </w:divBdr>
    </w:div>
    <w:div w:id="1963800548">
      <w:bodyDiv w:val="1"/>
      <w:marLeft w:val="0"/>
      <w:marRight w:val="0"/>
      <w:marTop w:val="0"/>
      <w:marBottom w:val="0"/>
      <w:divBdr>
        <w:top w:val="none" w:sz="0" w:space="0" w:color="auto"/>
        <w:left w:val="none" w:sz="0" w:space="0" w:color="auto"/>
        <w:bottom w:val="none" w:sz="0" w:space="0" w:color="auto"/>
        <w:right w:val="none" w:sz="0" w:space="0" w:color="auto"/>
      </w:divBdr>
      <w:divsChild>
        <w:div w:id="1441141287">
          <w:marLeft w:val="0"/>
          <w:marRight w:val="0"/>
          <w:marTop w:val="0"/>
          <w:marBottom w:val="0"/>
          <w:divBdr>
            <w:top w:val="none" w:sz="0" w:space="0" w:color="auto"/>
            <w:left w:val="none" w:sz="0" w:space="0" w:color="auto"/>
            <w:bottom w:val="none" w:sz="0" w:space="0" w:color="auto"/>
            <w:right w:val="none" w:sz="0" w:space="0" w:color="auto"/>
          </w:divBdr>
          <w:divsChild>
            <w:div w:id="1867254306">
              <w:marLeft w:val="0"/>
              <w:marRight w:val="0"/>
              <w:marTop w:val="0"/>
              <w:marBottom w:val="0"/>
              <w:divBdr>
                <w:top w:val="none" w:sz="0" w:space="0" w:color="auto"/>
                <w:left w:val="none" w:sz="0" w:space="0" w:color="auto"/>
                <w:bottom w:val="none" w:sz="0" w:space="0" w:color="auto"/>
                <w:right w:val="none" w:sz="0" w:space="0" w:color="auto"/>
              </w:divBdr>
              <w:divsChild>
                <w:div w:id="1744372075">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sChild>
                        <w:div w:id="923690045">
                          <w:marLeft w:val="0"/>
                          <w:marRight w:val="0"/>
                          <w:marTop w:val="0"/>
                          <w:marBottom w:val="0"/>
                          <w:divBdr>
                            <w:top w:val="none" w:sz="0" w:space="0" w:color="auto"/>
                            <w:left w:val="none" w:sz="0" w:space="0" w:color="auto"/>
                            <w:bottom w:val="none" w:sz="0" w:space="0" w:color="auto"/>
                            <w:right w:val="none" w:sz="0" w:space="0" w:color="auto"/>
                          </w:divBdr>
                          <w:divsChild>
                            <w:div w:id="415322216">
                              <w:marLeft w:val="0"/>
                              <w:marRight w:val="0"/>
                              <w:marTop w:val="0"/>
                              <w:marBottom w:val="0"/>
                              <w:divBdr>
                                <w:top w:val="none" w:sz="0" w:space="0" w:color="auto"/>
                                <w:left w:val="none" w:sz="0" w:space="0" w:color="auto"/>
                                <w:bottom w:val="none" w:sz="0" w:space="0" w:color="auto"/>
                                <w:right w:val="none" w:sz="0" w:space="0" w:color="auto"/>
                              </w:divBdr>
                              <w:divsChild>
                                <w:div w:id="2067340020">
                                  <w:marLeft w:val="0"/>
                                  <w:marRight w:val="900"/>
                                  <w:marTop w:val="0"/>
                                  <w:marBottom w:val="0"/>
                                  <w:divBdr>
                                    <w:top w:val="none" w:sz="0" w:space="0" w:color="auto"/>
                                    <w:left w:val="none" w:sz="0" w:space="0" w:color="auto"/>
                                    <w:bottom w:val="none" w:sz="0" w:space="0" w:color="auto"/>
                                    <w:right w:val="none" w:sz="0" w:space="0" w:color="auto"/>
                                  </w:divBdr>
                                  <w:divsChild>
                                    <w:div w:id="1426418572">
                                      <w:marLeft w:val="0"/>
                                      <w:marRight w:val="0"/>
                                      <w:marTop w:val="0"/>
                                      <w:marBottom w:val="450"/>
                                      <w:divBdr>
                                        <w:top w:val="none" w:sz="0" w:space="0" w:color="auto"/>
                                        <w:left w:val="none" w:sz="0" w:space="0" w:color="auto"/>
                                        <w:bottom w:val="none" w:sz="0" w:space="0" w:color="auto"/>
                                        <w:right w:val="none" w:sz="0" w:space="0" w:color="auto"/>
                                      </w:divBdr>
                                      <w:divsChild>
                                        <w:div w:id="1296059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302487">
      <w:bodyDiv w:val="1"/>
      <w:marLeft w:val="0"/>
      <w:marRight w:val="0"/>
      <w:marTop w:val="0"/>
      <w:marBottom w:val="0"/>
      <w:divBdr>
        <w:top w:val="none" w:sz="0" w:space="0" w:color="auto"/>
        <w:left w:val="none" w:sz="0" w:space="0" w:color="auto"/>
        <w:bottom w:val="none" w:sz="0" w:space="0" w:color="auto"/>
        <w:right w:val="none" w:sz="0" w:space="0" w:color="auto"/>
      </w:divBdr>
    </w:div>
    <w:div w:id="2064258030">
      <w:bodyDiv w:val="1"/>
      <w:marLeft w:val="0"/>
      <w:marRight w:val="0"/>
      <w:marTop w:val="0"/>
      <w:marBottom w:val="0"/>
      <w:divBdr>
        <w:top w:val="none" w:sz="0" w:space="0" w:color="auto"/>
        <w:left w:val="none" w:sz="0" w:space="0" w:color="auto"/>
        <w:bottom w:val="none" w:sz="0" w:space="0" w:color="auto"/>
        <w:right w:val="none" w:sz="0" w:space="0" w:color="auto"/>
      </w:divBdr>
      <w:divsChild>
        <w:div w:id="524177382">
          <w:marLeft w:val="547"/>
          <w:marRight w:val="0"/>
          <w:marTop w:val="0"/>
          <w:marBottom w:val="0"/>
          <w:divBdr>
            <w:top w:val="none" w:sz="0" w:space="0" w:color="auto"/>
            <w:left w:val="none" w:sz="0" w:space="0" w:color="auto"/>
            <w:bottom w:val="none" w:sz="0" w:space="0" w:color="auto"/>
            <w:right w:val="none" w:sz="0" w:space="0" w:color="auto"/>
          </w:divBdr>
        </w:div>
        <w:div w:id="1807620119">
          <w:marLeft w:val="547"/>
          <w:marRight w:val="0"/>
          <w:marTop w:val="0"/>
          <w:marBottom w:val="0"/>
          <w:divBdr>
            <w:top w:val="none" w:sz="0" w:space="0" w:color="auto"/>
            <w:left w:val="none" w:sz="0" w:space="0" w:color="auto"/>
            <w:bottom w:val="none" w:sz="0" w:space="0" w:color="auto"/>
            <w:right w:val="none" w:sz="0" w:space="0" w:color="auto"/>
          </w:divBdr>
        </w:div>
        <w:div w:id="286662944">
          <w:marLeft w:val="547"/>
          <w:marRight w:val="0"/>
          <w:marTop w:val="0"/>
          <w:marBottom w:val="0"/>
          <w:divBdr>
            <w:top w:val="none" w:sz="0" w:space="0" w:color="auto"/>
            <w:left w:val="none" w:sz="0" w:space="0" w:color="auto"/>
            <w:bottom w:val="none" w:sz="0" w:space="0" w:color="auto"/>
            <w:right w:val="none" w:sz="0" w:space="0" w:color="auto"/>
          </w:divBdr>
        </w:div>
        <w:div w:id="1689720962">
          <w:marLeft w:val="547"/>
          <w:marRight w:val="0"/>
          <w:marTop w:val="0"/>
          <w:marBottom w:val="0"/>
          <w:divBdr>
            <w:top w:val="none" w:sz="0" w:space="0" w:color="auto"/>
            <w:left w:val="none" w:sz="0" w:space="0" w:color="auto"/>
            <w:bottom w:val="none" w:sz="0" w:space="0" w:color="auto"/>
            <w:right w:val="none" w:sz="0" w:space="0" w:color="auto"/>
          </w:divBdr>
        </w:div>
        <w:div w:id="137575899">
          <w:marLeft w:val="547"/>
          <w:marRight w:val="0"/>
          <w:marTop w:val="0"/>
          <w:marBottom w:val="0"/>
          <w:divBdr>
            <w:top w:val="none" w:sz="0" w:space="0" w:color="auto"/>
            <w:left w:val="none" w:sz="0" w:space="0" w:color="auto"/>
            <w:bottom w:val="none" w:sz="0" w:space="0" w:color="auto"/>
            <w:right w:val="none" w:sz="0" w:space="0" w:color="auto"/>
          </w:divBdr>
        </w:div>
        <w:div w:id="907694066">
          <w:marLeft w:val="547"/>
          <w:marRight w:val="0"/>
          <w:marTop w:val="0"/>
          <w:marBottom w:val="0"/>
          <w:divBdr>
            <w:top w:val="none" w:sz="0" w:space="0" w:color="auto"/>
            <w:left w:val="none" w:sz="0" w:space="0" w:color="auto"/>
            <w:bottom w:val="none" w:sz="0" w:space="0" w:color="auto"/>
            <w:right w:val="none" w:sz="0" w:space="0" w:color="auto"/>
          </w:divBdr>
        </w:div>
        <w:div w:id="1023359690">
          <w:marLeft w:val="547"/>
          <w:marRight w:val="0"/>
          <w:marTop w:val="0"/>
          <w:marBottom w:val="0"/>
          <w:divBdr>
            <w:top w:val="none" w:sz="0" w:space="0" w:color="auto"/>
            <w:left w:val="none" w:sz="0" w:space="0" w:color="auto"/>
            <w:bottom w:val="none" w:sz="0" w:space="0" w:color="auto"/>
            <w:right w:val="none" w:sz="0" w:space="0" w:color="auto"/>
          </w:divBdr>
        </w:div>
      </w:divsChild>
    </w:div>
    <w:div w:id="2104295993">
      <w:bodyDiv w:val="1"/>
      <w:marLeft w:val="0"/>
      <w:marRight w:val="0"/>
      <w:marTop w:val="0"/>
      <w:marBottom w:val="0"/>
      <w:divBdr>
        <w:top w:val="none" w:sz="0" w:space="0" w:color="auto"/>
        <w:left w:val="none" w:sz="0" w:space="0" w:color="auto"/>
        <w:bottom w:val="none" w:sz="0" w:space="0" w:color="auto"/>
        <w:right w:val="none" w:sz="0" w:space="0" w:color="auto"/>
      </w:divBdr>
    </w:div>
    <w:div w:id="2114938371">
      <w:bodyDiv w:val="1"/>
      <w:marLeft w:val="0"/>
      <w:marRight w:val="0"/>
      <w:marTop w:val="0"/>
      <w:marBottom w:val="0"/>
      <w:divBdr>
        <w:top w:val="none" w:sz="0" w:space="0" w:color="auto"/>
        <w:left w:val="none" w:sz="0" w:space="0" w:color="auto"/>
        <w:bottom w:val="none" w:sz="0" w:space="0" w:color="auto"/>
        <w:right w:val="none" w:sz="0" w:space="0" w:color="auto"/>
      </w:divBdr>
    </w:div>
    <w:div w:id="2123764921">
      <w:bodyDiv w:val="1"/>
      <w:marLeft w:val="1500"/>
      <w:marRight w:val="0"/>
      <w:marTop w:val="1575"/>
      <w:marBottom w:val="0"/>
      <w:divBdr>
        <w:top w:val="none" w:sz="0" w:space="0" w:color="auto"/>
        <w:left w:val="none" w:sz="0" w:space="0" w:color="auto"/>
        <w:bottom w:val="none" w:sz="0" w:space="0" w:color="auto"/>
        <w:right w:val="none" w:sz="0" w:space="0" w:color="auto"/>
      </w:divBdr>
      <w:divsChild>
        <w:div w:id="827285047">
          <w:marLeft w:val="0"/>
          <w:marRight w:val="0"/>
          <w:marTop w:val="0"/>
          <w:marBottom w:val="0"/>
          <w:divBdr>
            <w:top w:val="none" w:sz="0" w:space="0" w:color="auto"/>
            <w:left w:val="none" w:sz="0" w:space="0" w:color="auto"/>
            <w:bottom w:val="none" w:sz="0" w:space="0" w:color="auto"/>
            <w:right w:val="none" w:sz="0" w:space="0" w:color="auto"/>
          </w:divBdr>
          <w:divsChild>
            <w:div w:id="1084956595">
              <w:marLeft w:val="0"/>
              <w:marRight w:val="0"/>
              <w:marTop w:val="150"/>
              <w:marBottom w:val="0"/>
              <w:divBdr>
                <w:top w:val="single" w:sz="6" w:space="0" w:color="CCCCCC"/>
                <w:left w:val="single" w:sz="6" w:space="0" w:color="CCCCCC"/>
                <w:bottom w:val="single" w:sz="6" w:space="0" w:color="CCCCCC"/>
                <w:right w:val="single" w:sz="6" w:space="0" w:color="CCCCCC"/>
              </w:divBdr>
              <w:divsChild>
                <w:div w:id="2048750615">
                  <w:marLeft w:val="0"/>
                  <w:marRight w:val="0"/>
                  <w:marTop w:val="0"/>
                  <w:marBottom w:val="0"/>
                  <w:divBdr>
                    <w:top w:val="none" w:sz="0" w:space="0" w:color="auto"/>
                    <w:left w:val="none" w:sz="0" w:space="0" w:color="auto"/>
                    <w:bottom w:val="none" w:sz="0" w:space="0" w:color="auto"/>
                    <w:right w:val="none" w:sz="0" w:space="0" w:color="auto"/>
                  </w:divBdr>
                  <w:divsChild>
                    <w:div w:id="1250192181">
                      <w:marLeft w:val="0"/>
                      <w:marRight w:val="-5700"/>
                      <w:marTop w:val="0"/>
                      <w:marBottom w:val="0"/>
                      <w:divBdr>
                        <w:top w:val="none" w:sz="0" w:space="0" w:color="auto"/>
                        <w:left w:val="none" w:sz="0" w:space="0" w:color="auto"/>
                        <w:bottom w:val="none" w:sz="0" w:space="0" w:color="auto"/>
                        <w:right w:val="none" w:sz="0" w:space="0" w:color="auto"/>
                      </w:divBdr>
                      <w:divsChild>
                        <w:div w:id="66999971">
                          <w:marLeft w:val="300"/>
                          <w:marRight w:val="6000"/>
                          <w:marTop w:val="150"/>
                          <w:marBottom w:val="0"/>
                          <w:divBdr>
                            <w:top w:val="none" w:sz="0" w:space="0" w:color="auto"/>
                            <w:left w:val="none" w:sz="0" w:space="0" w:color="auto"/>
                            <w:bottom w:val="none" w:sz="0" w:space="0" w:color="auto"/>
                            <w:right w:val="none" w:sz="0" w:space="0" w:color="auto"/>
                          </w:divBdr>
                          <w:divsChild>
                            <w:div w:id="497690854">
                              <w:marLeft w:val="0"/>
                              <w:marRight w:val="0"/>
                              <w:marTop w:val="0"/>
                              <w:marBottom w:val="0"/>
                              <w:divBdr>
                                <w:top w:val="none" w:sz="0" w:space="0" w:color="auto"/>
                                <w:left w:val="none" w:sz="0" w:space="0" w:color="auto"/>
                                <w:bottom w:val="none" w:sz="0" w:space="0" w:color="auto"/>
                                <w:right w:val="none" w:sz="0" w:space="0" w:color="auto"/>
                              </w:divBdr>
                              <w:divsChild>
                                <w:div w:id="18626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428D2-53D6-44F5-A609-8D964D68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AEFC10-B7AA-4B6B-B94A-19BB7EC04020}">
  <ds:schemaRefs>
    <ds:schemaRef ds:uri="http://schemas.microsoft.com/sharepoint/v3/contenttype/forms"/>
  </ds:schemaRefs>
</ds:datastoreItem>
</file>

<file path=customXml/itemProps3.xml><?xml version="1.0" encoding="utf-8"?>
<ds:datastoreItem xmlns:ds="http://schemas.openxmlformats.org/officeDocument/2006/customXml" ds:itemID="{6EE8AAFB-B869-499D-AA6D-36258B3E7013}">
  <ds:schemaRefs>
    <ds:schemaRef ds:uri="http://schemas.openxmlformats.org/officeDocument/2006/bibliography"/>
  </ds:schemaRefs>
</ds:datastoreItem>
</file>

<file path=customXml/itemProps4.xml><?xml version="1.0" encoding="utf-8"?>
<ds:datastoreItem xmlns:ds="http://schemas.openxmlformats.org/officeDocument/2006/customXml" ds:itemID="{4DDC331E-CE4D-4E91-8A77-FA3B05EB0E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Croydon PCT</Company>
  <LinksUpToDate>false</LinksUpToDate>
  <CharactersWithSpaces>23816</CharactersWithSpaces>
  <SharedDoc>false</SharedDoc>
  <HLinks>
    <vt:vector size="96" baseType="variant">
      <vt:variant>
        <vt:i4>589895</vt:i4>
      </vt:variant>
      <vt:variant>
        <vt:i4>93</vt:i4>
      </vt:variant>
      <vt:variant>
        <vt:i4>0</vt:i4>
      </vt:variant>
      <vt:variant>
        <vt:i4>5</vt:i4>
      </vt:variant>
      <vt:variant>
        <vt:lpwstr>http://www.croydonccg.nhs.uk/Pages/home.aspx</vt:lpwstr>
      </vt:variant>
      <vt:variant>
        <vt:lpwstr/>
      </vt:variant>
      <vt:variant>
        <vt:i4>1376307</vt:i4>
      </vt:variant>
      <vt:variant>
        <vt:i4>86</vt:i4>
      </vt:variant>
      <vt:variant>
        <vt:i4>0</vt:i4>
      </vt:variant>
      <vt:variant>
        <vt:i4>5</vt:i4>
      </vt:variant>
      <vt:variant>
        <vt:lpwstr/>
      </vt:variant>
      <vt:variant>
        <vt:lpwstr>_Toc450055221</vt:lpwstr>
      </vt:variant>
      <vt:variant>
        <vt:i4>1376307</vt:i4>
      </vt:variant>
      <vt:variant>
        <vt:i4>80</vt:i4>
      </vt:variant>
      <vt:variant>
        <vt:i4>0</vt:i4>
      </vt:variant>
      <vt:variant>
        <vt:i4>5</vt:i4>
      </vt:variant>
      <vt:variant>
        <vt:lpwstr/>
      </vt:variant>
      <vt:variant>
        <vt:lpwstr>_Toc450055220</vt:lpwstr>
      </vt:variant>
      <vt:variant>
        <vt:i4>1441843</vt:i4>
      </vt:variant>
      <vt:variant>
        <vt:i4>74</vt:i4>
      </vt:variant>
      <vt:variant>
        <vt:i4>0</vt:i4>
      </vt:variant>
      <vt:variant>
        <vt:i4>5</vt:i4>
      </vt:variant>
      <vt:variant>
        <vt:lpwstr/>
      </vt:variant>
      <vt:variant>
        <vt:lpwstr>_Toc450055219</vt:lpwstr>
      </vt:variant>
      <vt:variant>
        <vt:i4>1441843</vt:i4>
      </vt:variant>
      <vt:variant>
        <vt:i4>68</vt:i4>
      </vt:variant>
      <vt:variant>
        <vt:i4>0</vt:i4>
      </vt:variant>
      <vt:variant>
        <vt:i4>5</vt:i4>
      </vt:variant>
      <vt:variant>
        <vt:lpwstr/>
      </vt:variant>
      <vt:variant>
        <vt:lpwstr>_Toc450055218</vt:lpwstr>
      </vt:variant>
      <vt:variant>
        <vt:i4>1441843</vt:i4>
      </vt:variant>
      <vt:variant>
        <vt:i4>62</vt:i4>
      </vt:variant>
      <vt:variant>
        <vt:i4>0</vt:i4>
      </vt:variant>
      <vt:variant>
        <vt:i4>5</vt:i4>
      </vt:variant>
      <vt:variant>
        <vt:lpwstr/>
      </vt:variant>
      <vt:variant>
        <vt:lpwstr>_Toc450055217</vt:lpwstr>
      </vt:variant>
      <vt:variant>
        <vt:i4>1441843</vt:i4>
      </vt:variant>
      <vt:variant>
        <vt:i4>56</vt:i4>
      </vt:variant>
      <vt:variant>
        <vt:i4>0</vt:i4>
      </vt:variant>
      <vt:variant>
        <vt:i4>5</vt:i4>
      </vt:variant>
      <vt:variant>
        <vt:lpwstr/>
      </vt:variant>
      <vt:variant>
        <vt:lpwstr>_Toc450055216</vt:lpwstr>
      </vt:variant>
      <vt:variant>
        <vt:i4>1441843</vt:i4>
      </vt:variant>
      <vt:variant>
        <vt:i4>50</vt:i4>
      </vt:variant>
      <vt:variant>
        <vt:i4>0</vt:i4>
      </vt:variant>
      <vt:variant>
        <vt:i4>5</vt:i4>
      </vt:variant>
      <vt:variant>
        <vt:lpwstr/>
      </vt:variant>
      <vt:variant>
        <vt:lpwstr>_Toc450055215</vt:lpwstr>
      </vt:variant>
      <vt:variant>
        <vt:i4>1441843</vt:i4>
      </vt:variant>
      <vt:variant>
        <vt:i4>44</vt:i4>
      </vt:variant>
      <vt:variant>
        <vt:i4>0</vt:i4>
      </vt:variant>
      <vt:variant>
        <vt:i4>5</vt:i4>
      </vt:variant>
      <vt:variant>
        <vt:lpwstr/>
      </vt:variant>
      <vt:variant>
        <vt:lpwstr>_Toc450055214</vt:lpwstr>
      </vt:variant>
      <vt:variant>
        <vt:i4>1441843</vt:i4>
      </vt:variant>
      <vt:variant>
        <vt:i4>38</vt:i4>
      </vt:variant>
      <vt:variant>
        <vt:i4>0</vt:i4>
      </vt:variant>
      <vt:variant>
        <vt:i4>5</vt:i4>
      </vt:variant>
      <vt:variant>
        <vt:lpwstr/>
      </vt:variant>
      <vt:variant>
        <vt:lpwstr>_Toc450055213</vt:lpwstr>
      </vt:variant>
      <vt:variant>
        <vt:i4>1441843</vt:i4>
      </vt:variant>
      <vt:variant>
        <vt:i4>32</vt:i4>
      </vt:variant>
      <vt:variant>
        <vt:i4>0</vt:i4>
      </vt:variant>
      <vt:variant>
        <vt:i4>5</vt:i4>
      </vt:variant>
      <vt:variant>
        <vt:lpwstr/>
      </vt:variant>
      <vt:variant>
        <vt:lpwstr>_Toc450055212</vt:lpwstr>
      </vt:variant>
      <vt:variant>
        <vt:i4>1441843</vt:i4>
      </vt:variant>
      <vt:variant>
        <vt:i4>26</vt:i4>
      </vt:variant>
      <vt:variant>
        <vt:i4>0</vt:i4>
      </vt:variant>
      <vt:variant>
        <vt:i4>5</vt:i4>
      </vt:variant>
      <vt:variant>
        <vt:lpwstr/>
      </vt:variant>
      <vt:variant>
        <vt:lpwstr>_Toc450055211</vt:lpwstr>
      </vt:variant>
      <vt:variant>
        <vt:i4>1441843</vt:i4>
      </vt:variant>
      <vt:variant>
        <vt:i4>20</vt:i4>
      </vt:variant>
      <vt:variant>
        <vt:i4>0</vt:i4>
      </vt:variant>
      <vt:variant>
        <vt:i4>5</vt:i4>
      </vt:variant>
      <vt:variant>
        <vt:lpwstr/>
      </vt:variant>
      <vt:variant>
        <vt:lpwstr>_Toc450055210</vt:lpwstr>
      </vt:variant>
      <vt:variant>
        <vt:i4>1507379</vt:i4>
      </vt:variant>
      <vt:variant>
        <vt:i4>14</vt:i4>
      </vt:variant>
      <vt:variant>
        <vt:i4>0</vt:i4>
      </vt:variant>
      <vt:variant>
        <vt:i4>5</vt:i4>
      </vt:variant>
      <vt:variant>
        <vt:lpwstr/>
      </vt:variant>
      <vt:variant>
        <vt:lpwstr>_Toc450055209</vt:lpwstr>
      </vt:variant>
      <vt:variant>
        <vt:i4>1507379</vt:i4>
      </vt:variant>
      <vt:variant>
        <vt:i4>8</vt:i4>
      </vt:variant>
      <vt:variant>
        <vt:i4>0</vt:i4>
      </vt:variant>
      <vt:variant>
        <vt:i4>5</vt:i4>
      </vt:variant>
      <vt:variant>
        <vt:lpwstr/>
      </vt:variant>
      <vt:variant>
        <vt:lpwstr>_Toc450055208</vt:lpwstr>
      </vt:variant>
      <vt:variant>
        <vt:i4>1507379</vt:i4>
      </vt:variant>
      <vt:variant>
        <vt:i4>2</vt:i4>
      </vt:variant>
      <vt:variant>
        <vt:i4>0</vt:i4>
      </vt:variant>
      <vt:variant>
        <vt:i4>5</vt:i4>
      </vt:variant>
      <vt:variant>
        <vt:lpwstr/>
      </vt:variant>
      <vt:variant>
        <vt:lpwstr>_Toc450055207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FouziaB</dc:creator>
  <cp:lastModifiedBy>BROWNLOW, David (NHS SHARED BUSINESS SERVICES (SALFORD))</cp:lastModifiedBy>
  <cp:revision>2</cp:revision>
  <cp:lastPrinted>2017-07-14T15:35:00Z</cp:lastPrinted>
  <dcterms:created xsi:type="dcterms:W3CDTF">2021-08-16T08:43:00Z</dcterms:created>
  <dcterms:modified xsi:type="dcterms:W3CDTF">2021-08-16T08:43:00Z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