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6E65" w14:textId="1B88604F" w:rsidR="000156A7" w:rsidRDefault="005077B0">
      <w:pPr>
        <w:pStyle w:val="paragraph"/>
        <w:spacing w:before="0" w:after="0"/>
        <w:ind w:left="705"/>
        <w:jc w:val="both"/>
        <w:textAlignment w:val="baseline"/>
      </w:pPr>
      <w:r>
        <w:rPr>
          <w:rStyle w:val="normaltextrun"/>
          <w:rFonts w:ascii="Arial" w:hAnsi="Arial" w:cs="Arial"/>
          <w:sz w:val="22"/>
          <w:szCs w:val="22"/>
        </w:rPr>
        <w:t xml:space="preserve">The Police and Crime Commissioner for </w:t>
      </w:r>
      <w:r w:rsidR="000F5F9B">
        <w:rPr>
          <w:rStyle w:val="normaltextrun"/>
          <w:rFonts w:ascii="Arial" w:hAnsi="Arial" w:cs="Arial"/>
          <w:sz w:val="22"/>
          <w:szCs w:val="22"/>
        </w:rPr>
        <w:t xml:space="preserve">Dyfed Powys </w:t>
      </w:r>
      <w:r w:rsidR="000F5F9B">
        <w:rPr>
          <w:rStyle w:val="normaltextrun"/>
          <w:rFonts w:ascii="Arial" w:hAnsi="Arial" w:cs="Arial"/>
          <w:sz w:val="22"/>
          <w:szCs w:val="22"/>
        </w:rPr>
        <w:t>(</w:t>
      </w:r>
      <w:r w:rsidR="000F5F9B">
        <w:rPr>
          <w:rStyle w:val="normaltextrun"/>
          <w:rFonts w:ascii="Arial" w:hAnsi="Arial" w:cs="Arial"/>
          <w:sz w:val="22"/>
          <w:szCs w:val="22"/>
        </w:rPr>
        <w:t xml:space="preserve">DPP) are inviting tenders from suitably qualified and experienced organisations for the support and maintenance of our </w:t>
      </w:r>
      <w:r>
        <w:rPr>
          <w:rStyle w:val="normaltextrun"/>
          <w:rFonts w:ascii="Arial" w:hAnsi="Arial" w:cs="Arial"/>
          <w:sz w:val="22"/>
          <w:szCs w:val="22"/>
        </w:rPr>
        <w:t xml:space="preserve">Public Space </w:t>
      </w:r>
      <w:r w:rsidR="000F5F9B">
        <w:rPr>
          <w:rStyle w:val="normaltextrun"/>
          <w:rFonts w:ascii="Arial" w:hAnsi="Arial" w:cs="Arial"/>
          <w:sz w:val="22"/>
          <w:szCs w:val="22"/>
        </w:rPr>
        <w:t xml:space="preserve">CCTV System covering the geographical areas of Carmarthenshire, </w:t>
      </w:r>
      <w:r w:rsidR="000F5F9B">
        <w:rPr>
          <w:rStyle w:val="normaltextrun"/>
          <w:rFonts w:ascii="Arial" w:hAnsi="Arial" w:cs="Arial"/>
          <w:sz w:val="22"/>
          <w:szCs w:val="22"/>
        </w:rPr>
        <w:t>Pembrokeshire, Ceredigion and Powys.</w:t>
      </w:r>
      <w:r w:rsidR="000F5F9B">
        <w:rPr>
          <w:rStyle w:val="eop"/>
          <w:rFonts w:ascii="Arial" w:hAnsi="Arial" w:cs="Arial"/>
          <w:sz w:val="22"/>
          <w:szCs w:val="22"/>
        </w:rPr>
        <w:t> </w:t>
      </w:r>
    </w:p>
    <w:p w14:paraId="31A4BBE9" w14:textId="77777777" w:rsidR="000156A7" w:rsidRDefault="000F5F9B">
      <w:pPr>
        <w:pStyle w:val="paragraph"/>
        <w:spacing w:before="0" w:after="0"/>
        <w:ind w:left="705" w:hanging="135"/>
        <w:jc w:val="both"/>
        <w:textAlignment w:val="baseline"/>
      </w:pPr>
      <w:r>
        <w:rPr>
          <w:rStyle w:val="eop"/>
          <w:rFonts w:ascii="Arial" w:hAnsi="Arial" w:cs="Arial"/>
          <w:sz w:val="22"/>
          <w:szCs w:val="22"/>
        </w:rPr>
        <w:t> </w:t>
      </w:r>
    </w:p>
    <w:p w14:paraId="17C99B5C" w14:textId="77777777" w:rsidR="000156A7" w:rsidRDefault="000156A7">
      <w:pPr>
        <w:pStyle w:val="paragraph"/>
        <w:spacing w:before="0" w:after="0"/>
        <w:ind w:left="705" w:hanging="135"/>
        <w:jc w:val="both"/>
        <w:textAlignment w:val="baseline"/>
      </w:pPr>
    </w:p>
    <w:p w14:paraId="2C59D75D" w14:textId="77777777" w:rsidR="000156A7" w:rsidRDefault="000F5F9B">
      <w:pPr>
        <w:pStyle w:val="paragraph"/>
        <w:spacing w:before="0" w:after="0"/>
        <w:ind w:left="705"/>
        <w:jc w:val="both"/>
        <w:textAlignment w:val="baseline"/>
      </w:pPr>
      <w:r>
        <w:rPr>
          <w:rStyle w:val="normaltextrun"/>
          <w:rFonts w:ascii="Arial" w:hAnsi="Arial" w:cs="Arial"/>
          <w:color w:val="000000"/>
          <w:sz w:val="22"/>
          <w:szCs w:val="22"/>
          <w:shd w:val="clear" w:color="auto" w:fill="FFFFFF"/>
        </w:rPr>
        <w:t>In total the HDPP public space CCTV infrastructure consists of 161 cameras, 381 wireless links, 231 switches, 27 NVRs, across 25 towns or villages. Cameras, wireless links and ancillary equipment are housed across a</w:t>
      </w:r>
      <w:r>
        <w:rPr>
          <w:rStyle w:val="normaltextrun"/>
          <w:rFonts w:ascii="Arial" w:hAnsi="Arial" w:cs="Arial"/>
          <w:color w:val="000000"/>
          <w:sz w:val="22"/>
          <w:szCs w:val="22"/>
          <w:shd w:val="clear" w:color="auto" w:fill="FFFFFF"/>
        </w:rPr>
        <w:t xml:space="preserve"> range of assets which are either privately owned or are owned and maintained by the relevant Local Authority and/or Welsh Government. </w:t>
      </w:r>
    </w:p>
    <w:p w14:paraId="0DA7D471" w14:textId="77777777" w:rsidR="000156A7" w:rsidRDefault="000156A7">
      <w:pPr>
        <w:pStyle w:val="paragraph"/>
        <w:spacing w:before="0" w:after="0"/>
        <w:jc w:val="both"/>
        <w:textAlignment w:val="baseline"/>
      </w:pPr>
    </w:p>
    <w:p w14:paraId="2A67D61E" w14:textId="77777777" w:rsidR="000156A7" w:rsidRDefault="000F5F9B">
      <w:pPr>
        <w:pStyle w:val="paragraph"/>
        <w:spacing w:before="0" w:after="0"/>
        <w:ind w:left="705"/>
        <w:jc w:val="both"/>
        <w:textAlignment w:val="baseline"/>
      </w:pPr>
      <w:r>
        <w:rPr>
          <w:rStyle w:val="normaltextrun"/>
          <w:rFonts w:ascii="Arial" w:hAnsi="Arial" w:cs="Arial"/>
          <w:color w:val="000000"/>
          <w:sz w:val="22"/>
          <w:szCs w:val="22"/>
          <w:shd w:val="clear" w:color="auto" w:fill="FFFFFF"/>
        </w:rPr>
        <w:t>The existing system also includes a monitoring provision within the Force Communication Centre (FCC), a multiscreen di</w:t>
      </w:r>
      <w:r>
        <w:rPr>
          <w:rStyle w:val="normaltextrun"/>
          <w:rFonts w:ascii="Arial" w:hAnsi="Arial" w:cs="Arial"/>
          <w:color w:val="000000"/>
          <w:sz w:val="22"/>
          <w:szCs w:val="22"/>
          <w:shd w:val="clear" w:color="auto" w:fill="FFFFFF"/>
        </w:rPr>
        <w:t>splay within the FCC and a VMS which allows the CCTV system to be viewed from any networked workstation.</w:t>
      </w:r>
    </w:p>
    <w:p w14:paraId="1FAF7D7E" w14:textId="77777777" w:rsidR="000156A7" w:rsidRDefault="000156A7">
      <w:pPr>
        <w:pStyle w:val="paragraph"/>
        <w:spacing w:before="0" w:after="0"/>
        <w:ind w:left="705" w:hanging="135"/>
        <w:jc w:val="both"/>
        <w:textAlignment w:val="baseline"/>
        <w:rPr>
          <w:rFonts w:ascii="Segoe UI" w:hAnsi="Segoe UI" w:cs="Segoe UI"/>
          <w:sz w:val="18"/>
          <w:szCs w:val="18"/>
        </w:rPr>
      </w:pPr>
    </w:p>
    <w:p w14:paraId="2A6E133B" w14:textId="77777777" w:rsidR="000156A7" w:rsidRDefault="000F5F9B">
      <w:pPr>
        <w:pStyle w:val="paragraph"/>
        <w:spacing w:before="0" w:after="0"/>
        <w:ind w:left="705"/>
        <w:jc w:val="both"/>
        <w:textAlignment w:val="baseline"/>
      </w:pPr>
      <w:r>
        <w:rPr>
          <w:rStyle w:val="normaltextrun"/>
          <w:rFonts w:ascii="Arial" w:hAnsi="Arial" w:cs="Arial"/>
          <w:sz w:val="22"/>
          <w:szCs w:val="22"/>
        </w:rPr>
        <w:t>The contract must include:</w:t>
      </w:r>
      <w:r>
        <w:rPr>
          <w:rStyle w:val="eop"/>
          <w:rFonts w:ascii="Arial" w:hAnsi="Arial" w:cs="Arial"/>
          <w:sz w:val="22"/>
          <w:szCs w:val="22"/>
        </w:rPr>
        <w:t> </w:t>
      </w:r>
    </w:p>
    <w:p w14:paraId="5BE48AB6" w14:textId="77777777" w:rsidR="000156A7" w:rsidRDefault="000F5F9B">
      <w:pPr>
        <w:pStyle w:val="paragraph"/>
        <w:spacing w:before="0" w:after="0"/>
        <w:jc w:val="both"/>
        <w:textAlignment w:val="baseline"/>
      </w:pPr>
      <w:r>
        <w:rPr>
          <w:rStyle w:val="eop"/>
          <w:rFonts w:ascii="Arial" w:hAnsi="Arial" w:cs="Arial"/>
          <w:sz w:val="22"/>
          <w:szCs w:val="22"/>
        </w:rPr>
        <w:t> </w:t>
      </w:r>
    </w:p>
    <w:p w14:paraId="69AA3E82" w14:textId="77777777" w:rsidR="000156A7" w:rsidRDefault="000F5F9B" w:rsidP="005077B0">
      <w:pPr>
        <w:pStyle w:val="paragraph"/>
        <w:numPr>
          <w:ilvl w:val="0"/>
          <w:numId w:val="1"/>
        </w:numPr>
        <w:tabs>
          <w:tab w:val="left" w:pos="720"/>
        </w:tabs>
        <w:spacing w:before="0" w:after="0"/>
        <w:ind w:hanging="720"/>
        <w:jc w:val="both"/>
        <w:textAlignment w:val="baseline"/>
      </w:pPr>
      <w:r>
        <w:rPr>
          <w:rStyle w:val="normaltextrun"/>
          <w:rFonts w:ascii="Arial" w:hAnsi="Arial" w:cs="Arial"/>
          <w:sz w:val="22"/>
          <w:szCs w:val="22"/>
        </w:rPr>
        <w:t xml:space="preserve">The replacement and installation of additional infrastructure and / or relocation of existing CCTV assets as and </w:t>
      </w:r>
      <w:r>
        <w:rPr>
          <w:rStyle w:val="normaltextrun"/>
          <w:rFonts w:ascii="Arial" w:hAnsi="Arial" w:cs="Arial"/>
          <w:sz w:val="22"/>
          <w:szCs w:val="22"/>
        </w:rPr>
        <w:t>when required.  </w:t>
      </w:r>
      <w:r>
        <w:rPr>
          <w:rStyle w:val="eop"/>
          <w:rFonts w:ascii="Arial" w:hAnsi="Arial" w:cs="Arial"/>
          <w:sz w:val="22"/>
          <w:szCs w:val="22"/>
        </w:rPr>
        <w:t> </w:t>
      </w:r>
    </w:p>
    <w:p w14:paraId="432CEBA0" w14:textId="77777777" w:rsidR="000156A7" w:rsidRDefault="000F5F9B" w:rsidP="005077B0">
      <w:pPr>
        <w:pStyle w:val="paragraph"/>
        <w:numPr>
          <w:ilvl w:val="0"/>
          <w:numId w:val="2"/>
        </w:numPr>
        <w:tabs>
          <w:tab w:val="left" w:pos="720"/>
        </w:tabs>
        <w:spacing w:before="0" w:after="0"/>
        <w:ind w:hanging="720"/>
        <w:jc w:val="both"/>
        <w:textAlignment w:val="baseline"/>
      </w:pPr>
      <w:r>
        <w:rPr>
          <w:rStyle w:val="normaltextrun"/>
          <w:rFonts w:ascii="Arial" w:hAnsi="Arial" w:cs="Arial"/>
          <w:sz w:val="22"/>
          <w:szCs w:val="22"/>
        </w:rPr>
        <w:t>The support and maintenance of all existing equipment, including Networked Video Recorders (NVRs), multi-screen monitoring wall, HiKCentral, as well as all public space CCTV cameras, wireless network links, switches and bracketry.</w:t>
      </w:r>
      <w:r>
        <w:rPr>
          <w:rStyle w:val="eop"/>
          <w:rFonts w:ascii="Arial" w:hAnsi="Arial" w:cs="Arial"/>
          <w:sz w:val="22"/>
          <w:szCs w:val="22"/>
        </w:rPr>
        <w:t> </w:t>
      </w:r>
    </w:p>
    <w:p w14:paraId="2D583045" w14:textId="77777777" w:rsidR="000156A7" w:rsidRDefault="000F5F9B" w:rsidP="005077B0">
      <w:pPr>
        <w:pStyle w:val="paragraph"/>
        <w:numPr>
          <w:ilvl w:val="0"/>
          <w:numId w:val="2"/>
        </w:numPr>
        <w:tabs>
          <w:tab w:val="left" w:pos="720"/>
        </w:tabs>
        <w:spacing w:before="0" w:after="0"/>
        <w:ind w:left="0" w:firstLine="0"/>
        <w:jc w:val="both"/>
        <w:textAlignment w:val="baseline"/>
      </w:pPr>
      <w:r>
        <w:rPr>
          <w:rStyle w:val="normaltextrun"/>
          <w:rFonts w:ascii="Arial" w:hAnsi="Arial" w:cs="Arial"/>
          <w:sz w:val="22"/>
          <w:szCs w:val="22"/>
        </w:rPr>
        <w:t>CCTV m</w:t>
      </w:r>
      <w:r>
        <w:rPr>
          <w:rStyle w:val="normaltextrun"/>
          <w:rFonts w:ascii="Arial" w:hAnsi="Arial" w:cs="Arial"/>
          <w:sz w:val="22"/>
          <w:szCs w:val="22"/>
        </w:rPr>
        <w:t>onitoring equipment, including the monitoring wall and joysticks</w:t>
      </w:r>
      <w:r>
        <w:rPr>
          <w:rStyle w:val="eop"/>
          <w:rFonts w:ascii="Arial" w:hAnsi="Arial" w:cs="Arial"/>
          <w:sz w:val="22"/>
          <w:szCs w:val="22"/>
        </w:rPr>
        <w:t> </w:t>
      </w:r>
    </w:p>
    <w:p w14:paraId="2B40840F" w14:textId="77777777" w:rsidR="000156A7" w:rsidRDefault="000F5F9B" w:rsidP="005077B0">
      <w:pPr>
        <w:pStyle w:val="paragraph"/>
        <w:numPr>
          <w:ilvl w:val="0"/>
          <w:numId w:val="2"/>
        </w:numPr>
        <w:tabs>
          <w:tab w:val="left" w:pos="720"/>
        </w:tabs>
        <w:spacing w:before="0" w:after="0"/>
        <w:ind w:hanging="720"/>
        <w:jc w:val="both"/>
        <w:textAlignment w:val="baseline"/>
      </w:pPr>
      <w:r>
        <w:rPr>
          <w:rStyle w:val="normaltextrun"/>
          <w:rFonts w:ascii="Arial" w:hAnsi="Arial" w:cs="Arial"/>
          <w:sz w:val="22"/>
          <w:szCs w:val="22"/>
        </w:rPr>
        <w:t>Annual Planned Preventative Maintenance (PPM) on all equipment, including an assessment of signage and bracketry, and where required replacement of the same and / or planned remediation</w:t>
      </w:r>
      <w:r>
        <w:rPr>
          <w:rStyle w:val="eop"/>
          <w:rFonts w:ascii="Arial" w:hAnsi="Arial" w:cs="Arial"/>
          <w:sz w:val="22"/>
          <w:szCs w:val="22"/>
        </w:rPr>
        <w:t> </w:t>
      </w:r>
    </w:p>
    <w:p w14:paraId="651707BE" w14:textId="77777777" w:rsidR="000156A7" w:rsidRDefault="000F5F9B" w:rsidP="005077B0">
      <w:pPr>
        <w:pStyle w:val="paragraph"/>
        <w:numPr>
          <w:ilvl w:val="0"/>
          <w:numId w:val="2"/>
        </w:numPr>
        <w:tabs>
          <w:tab w:val="left" w:pos="720"/>
        </w:tabs>
        <w:spacing w:before="0" w:after="0"/>
        <w:ind w:left="0" w:firstLine="0"/>
        <w:jc w:val="both"/>
        <w:textAlignment w:val="baseline"/>
      </w:pPr>
      <w:r>
        <w:rPr>
          <w:rStyle w:val="normaltextrun"/>
          <w:rFonts w:ascii="Arial" w:hAnsi="Arial" w:cs="Arial"/>
          <w:sz w:val="22"/>
          <w:szCs w:val="22"/>
        </w:rPr>
        <w:t>Tra</w:t>
      </w:r>
      <w:r>
        <w:rPr>
          <w:rStyle w:val="normaltextrun"/>
          <w:rFonts w:ascii="Arial" w:hAnsi="Arial" w:cs="Arial"/>
          <w:sz w:val="22"/>
          <w:szCs w:val="22"/>
        </w:rPr>
        <w:t>ffic Management (TM) considerations and costs</w:t>
      </w:r>
      <w:r>
        <w:rPr>
          <w:rStyle w:val="eop"/>
          <w:rFonts w:ascii="Arial" w:hAnsi="Arial" w:cs="Arial"/>
          <w:sz w:val="22"/>
          <w:szCs w:val="22"/>
        </w:rPr>
        <w:t> </w:t>
      </w:r>
    </w:p>
    <w:p w14:paraId="3F90EB20" w14:textId="77777777" w:rsidR="000156A7" w:rsidRDefault="000F5F9B" w:rsidP="005077B0">
      <w:pPr>
        <w:pStyle w:val="paragraph"/>
        <w:numPr>
          <w:ilvl w:val="0"/>
          <w:numId w:val="2"/>
        </w:numPr>
        <w:tabs>
          <w:tab w:val="left" w:pos="720"/>
        </w:tabs>
        <w:spacing w:before="0" w:after="0"/>
        <w:ind w:left="0" w:firstLine="0"/>
        <w:jc w:val="both"/>
        <w:textAlignment w:val="baseline"/>
      </w:pPr>
      <w:r>
        <w:rPr>
          <w:rStyle w:val="normaltextrun"/>
          <w:rFonts w:ascii="Arial" w:hAnsi="Arial" w:cs="Arial"/>
          <w:sz w:val="22"/>
          <w:szCs w:val="22"/>
        </w:rPr>
        <w:t>Costs associated with the instruction of Riggers at designated sites.</w:t>
      </w:r>
      <w:r>
        <w:rPr>
          <w:rStyle w:val="eop"/>
          <w:rFonts w:ascii="Arial" w:hAnsi="Arial" w:cs="Arial"/>
          <w:sz w:val="22"/>
          <w:szCs w:val="22"/>
        </w:rPr>
        <w:t> </w:t>
      </w:r>
    </w:p>
    <w:p w14:paraId="35990211" w14:textId="77777777" w:rsidR="000156A7" w:rsidRDefault="000F5F9B" w:rsidP="005077B0">
      <w:pPr>
        <w:pStyle w:val="paragraph"/>
        <w:numPr>
          <w:ilvl w:val="0"/>
          <w:numId w:val="2"/>
        </w:numPr>
        <w:tabs>
          <w:tab w:val="left" w:pos="720"/>
        </w:tabs>
        <w:spacing w:before="0" w:after="0"/>
        <w:ind w:left="0" w:firstLine="0"/>
        <w:jc w:val="both"/>
        <w:textAlignment w:val="baseline"/>
      </w:pPr>
      <w:r>
        <w:rPr>
          <w:rStyle w:val="normaltextrun"/>
          <w:rFonts w:ascii="Arial" w:hAnsi="Arial" w:cs="Arial"/>
          <w:sz w:val="22"/>
          <w:szCs w:val="22"/>
        </w:rPr>
        <w:t>Costed options for:</w:t>
      </w:r>
      <w:r>
        <w:rPr>
          <w:rStyle w:val="eop"/>
          <w:rFonts w:ascii="Arial" w:hAnsi="Arial" w:cs="Arial"/>
          <w:sz w:val="22"/>
          <w:szCs w:val="22"/>
        </w:rPr>
        <w:t> </w:t>
      </w:r>
    </w:p>
    <w:p w14:paraId="49F11F0A" w14:textId="34D4FDD6" w:rsidR="000156A7" w:rsidRDefault="005077B0" w:rsidP="005077B0">
      <w:pPr>
        <w:pStyle w:val="paragraph"/>
        <w:tabs>
          <w:tab w:val="left" w:pos="720"/>
        </w:tabs>
        <w:spacing w:before="0" w:after="0"/>
        <w:jc w:val="both"/>
        <w:textAlignment w:val="baseline"/>
      </w:pPr>
      <w:r>
        <w:rPr>
          <w:rStyle w:val="normaltextrun"/>
          <w:rFonts w:ascii="Arial" w:hAnsi="Arial" w:cs="Arial"/>
          <w:sz w:val="22"/>
          <w:szCs w:val="22"/>
        </w:rPr>
        <w:tab/>
      </w:r>
      <w:r w:rsidR="000F5F9B">
        <w:rPr>
          <w:rStyle w:val="normaltextrun"/>
          <w:rFonts w:ascii="Arial" w:hAnsi="Arial" w:cs="Arial"/>
          <w:sz w:val="22"/>
          <w:szCs w:val="22"/>
        </w:rPr>
        <w:t>replacing and upgrading wireless links across the entire estate</w:t>
      </w:r>
      <w:r w:rsidR="000F5F9B">
        <w:rPr>
          <w:rStyle w:val="eop"/>
          <w:rFonts w:ascii="Arial" w:hAnsi="Arial" w:cs="Arial"/>
          <w:sz w:val="22"/>
          <w:szCs w:val="22"/>
        </w:rPr>
        <w:t> </w:t>
      </w:r>
    </w:p>
    <w:p w14:paraId="4240ACCE" w14:textId="2251CE52" w:rsidR="000156A7" w:rsidRDefault="000F5F9B" w:rsidP="005077B0">
      <w:pPr>
        <w:pStyle w:val="paragraph"/>
        <w:tabs>
          <w:tab w:val="left" w:pos="720"/>
        </w:tabs>
        <w:spacing w:before="0" w:after="0"/>
        <w:ind w:left="720"/>
        <w:jc w:val="both"/>
        <w:textAlignment w:val="baseline"/>
      </w:pPr>
      <w:r>
        <w:rPr>
          <w:rStyle w:val="normaltextrun"/>
          <w:rFonts w:ascii="Arial" w:hAnsi="Arial" w:cs="Arial"/>
          <w:sz w:val="22"/>
          <w:szCs w:val="22"/>
        </w:rPr>
        <w:t>replacing and upgrading wireless links through fault</w:t>
      </w:r>
      <w:r>
        <w:rPr>
          <w:rStyle w:val="normaltextrun"/>
          <w:rFonts w:ascii="Arial" w:hAnsi="Arial" w:cs="Arial"/>
          <w:sz w:val="22"/>
          <w:szCs w:val="22"/>
        </w:rPr>
        <w:t xml:space="preserve"> resolution programme as and when defects and / or issues are reported.</w:t>
      </w:r>
      <w:r>
        <w:rPr>
          <w:rStyle w:val="eop"/>
          <w:rFonts w:ascii="Arial" w:hAnsi="Arial" w:cs="Arial"/>
          <w:sz w:val="22"/>
          <w:szCs w:val="22"/>
        </w:rPr>
        <w:t> </w:t>
      </w:r>
    </w:p>
    <w:p w14:paraId="46324370" w14:textId="77777777" w:rsidR="000156A7" w:rsidRDefault="000F5F9B">
      <w:pPr>
        <w:pStyle w:val="paragraph"/>
        <w:spacing w:before="0" w:after="0"/>
        <w:ind w:left="705" w:hanging="135"/>
        <w:jc w:val="both"/>
        <w:textAlignment w:val="baseline"/>
      </w:pPr>
      <w:r>
        <w:rPr>
          <w:rStyle w:val="eop"/>
          <w:rFonts w:ascii="Arial" w:hAnsi="Arial" w:cs="Arial"/>
          <w:sz w:val="22"/>
          <w:szCs w:val="22"/>
        </w:rPr>
        <w:t> </w:t>
      </w:r>
    </w:p>
    <w:p w14:paraId="1151E90C" w14:textId="77777777" w:rsidR="000156A7" w:rsidRDefault="000F5F9B">
      <w:pPr>
        <w:pStyle w:val="paragraph"/>
        <w:spacing w:before="0" w:after="0"/>
        <w:ind w:left="705"/>
        <w:jc w:val="both"/>
        <w:textAlignment w:val="baseline"/>
      </w:pPr>
      <w:r>
        <w:rPr>
          <w:rStyle w:val="normaltextrun"/>
          <w:rFonts w:ascii="Arial" w:hAnsi="Arial" w:cs="Arial"/>
          <w:sz w:val="22"/>
          <w:szCs w:val="22"/>
        </w:rPr>
        <w:t>Tenderers must demonstrate previous experience in ensuring compliance with the required legislation for working on public Highways. </w:t>
      </w:r>
      <w:r>
        <w:rPr>
          <w:rStyle w:val="eop"/>
          <w:rFonts w:ascii="Arial" w:hAnsi="Arial" w:cs="Arial"/>
          <w:sz w:val="22"/>
          <w:szCs w:val="22"/>
        </w:rPr>
        <w:t> </w:t>
      </w:r>
    </w:p>
    <w:p w14:paraId="0E661E2B" w14:textId="77777777" w:rsidR="000156A7" w:rsidRDefault="000F5F9B">
      <w:pPr>
        <w:pStyle w:val="paragraph"/>
        <w:spacing w:before="0" w:after="0"/>
        <w:ind w:left="705"/>
        <w:jc w:val="both"/>
        <w:textAlignment w:val="baseline"/>
      </w:pPr>
      <w:r>
        <w:rPr>
          <w:rStyle w:val="eop"/>
          <w:rFonts w:ascii="Arial" w:hAnsi="Arial" w:cs="Arial"/>
          <w:sz w:val="22"/>
          <w:szCs w:val="22"/>
        </w:rPr>
        <w:t> </w:t>
      </w:r>
    </w:p>
    <w:p w14:paraId="7EA022EC" w14:textId="77777777" w:rsidR="000156A7" w:rsidRDefault="000F5F9B">
      <w:pPr>
        <w:pStyle w:val="paragraph"/>
        <w:spacing w:before="0" w:after="0"/>
        <w:ind w:left="705"/>
        <w:jc w:val="both"/>
        <w:textAlignment w:val="baseline"/>
      </w:pPr>
      <w:r>
        <w:rPr>
          <w:rStyle w:val="normaltextrun"/>
          <w:rFonts w:ascii="Arial" w:hAnsi="Arial" w:cs="Arial"/>
          <w:sz w:val="22"/>
          <w:szCs w:val="22"/>
        </w:rPr>
        <w:t>Tenderers must be competent in undertaking th</w:t>
      </w:r>
      <w:r>
        <w:rPr>
          <w:rStyle w:val="normaltextrun"/>
          <w:rFonts w:ascii="Arial" w:hAnsi="Arial" w:cs="Arial"/>
          <w:sz w:val="22"/>
          <w:szCs w:val="22"/>
        </w:rPr>
        <w:t>e necessary on-going installation, maintenance and inspection in accordance with the relevant Highways Sector Scheme, and hold the relevant certification, including Highway Electrical Registration Scheme certification. </w:t>
      </w:r>
      <w:r>
        <w:rPr>
          <w:rStyle w:val="eop"/>
          <w:rFonts w:ascii="Arial" w:hAnsi="Arial" w:cs="Arial"/>
          <w:sz w:val="22"/>
          <w:szCs w:val="22"/>
        </w:rPr>
        <w:t> </w:t>
      </w:r>
    </w:p>
    <w:p w14:paraId="6068A6A0" w14:textId="77777777" w:rsidR="000156A7" w:rsidRDefault="000F5F9B">
      <w:pPr>
        <w:pStyle w:val="paragraph"/>
        <w:spacing w:before="0" w:after="0"/>
        <w:ind w:left="705"/>
        <w:jc w:val="both"/>
        <w:textAlignment w:val="baseline"/>
      </w:pPr>
      <w:r>
        <w:rPr>
          <w:rStyle w:val="eop"/>
          <w:rFonts w:ascii="Arial" w:hAnsi="Arial" w:cs="Arial"/>
          <w:sz w:val="22"/>
          <w:szCs w:val="22"/>
        </w:rPr>
        <w:t> </w:t>
      </w:r>
    </w:p>
    <w:p w14:paraId="29CD41BC" w14:textId="77777777" w:rsidR="000156A7" w:rsidRDefault="000F5F9B">
      <w:pPr>
        <w:pStyle w:val="paragraph"/>
        <w:spacing w:before="0" w:after="0"/>
        <w:ind w:left="705"/>
        <w:jc w:val="both"/>
        <w:textAlignment w:val="baseline"/>
      </w:pPr>
      <w:r>
        <w:rPr>
          <w:rStyle w:val="normaltextrun"/>
          <w:rFonts w:ascii="Arial" w:hAnsi="Arial" w:cs="Arial"/>
          <w:sz w:val="22"/>
          <w:szCs w:val="22"/>
        </w:rPr>
        <w:t>Tenderers should note that consid</w:t>
      </w:r>
      <w:r>
        <w:rPr>
          <w:rStyle w:val="normaltextrun"/>
          <w:rFonts w:ascii="Arial" w:hAnsi="Arial" w:cs="Arial"/>
          <w:sz w:val="22"/>
          <w:szCs w:val="22"/>
        </w:rPr>
        <w:t>eration will be given to the financial and technical aspects of the support and maintenance contract.  </w:t>
      </w:r>
      <w:r>
        <w:rPr>
          <w:rStyle w:val="eop"/>
          <w:rFonts w:ascii="Arial" w:hAnsi="Arial" w:cs="Arial"/>
          <w:sz w:val="22"/>
          <w:szCs w:val="22"/>
        </w:rPr>
        <w:t> </w:t>
      </w:r>
    </w:p>
    <w:p w14:paraId="425F9B91" w14:textId="77777777" w:rsidR="000156A7" w:rsidRDefault="000156A7"/>
    <w:sectPr w:rsidR="000156A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2ABA" w14:textId="77777777" w:rsidR="00000000" w:rsidRDefault="000F5F9B">
      <w:pPr>
        <w:spacing w:after="0" w:line="240" w:lineRule="auto"/>
      </w:pPr>
      <w:r>
        <w:separator/>
      </w:r>
    </w:p>
  </w:endnote>
  <w:endnote w:type="continuationSeparator" w:id="0">
    <w:p w14:paraId="61C332FC" w14:textId="77777777" w:rsidR="00000000" w:rsidRDefault="000F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F472" w14:textId="77777777" w:rsidR="00000000" w:rsidRDefault="000F5F9B">
      <w:pPr>
        <w:spacing w:after="0" w:line="240" w:lineRule="auto"/>
      </w:pPr>
      <w:r>
        <w:rPr>
          <w:color w:val="000000"/>
        </w:rPr>
        <w:separator/>
      </w:r>
    </w:p>
  </w:footnote>
  <w:footnote w:type="continuationSeparator" w:id="0">
    <w:p w14:paraId="263C1ECE" w14:textId="77777777" w:rsidR="00000000" w:rsidRDefault="000F5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D4D25"/>
    <w:multiLevelType w:val="multilevel"/>
    <w:tmpl w:val="70E2E9A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458A0EFC"/>
    <w:multiLevelType w:val="multilevel"/>
    <w:tmpl w:val="1FD23C9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4A6308DA"/>
    <w:multiLevelType w:val="multilevel"/>
    <w:tmpl w:val="9ACCF71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num w:numId="1" w16cid:durableId="1226791953">
    <w:abstractNumId w:val="0"/>
  </w:num>
  <w:num w:numId="2" w16cid:durableId="31615239">
    <w:abstractNumId w:val="1"/>
  </w:num>
  <w:num w:numId="3" w16cid:durableId="49233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156A7"/>
    <w:rsid w:val="000156A7"/>
    <w:rsid w:val="000F5F9B"/>
    <w:rsid w:val="005077B0"/>
    <w:rsid w:val="00E37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AE1A"/>
  <w15:docId w15:val="{747DB6E9-0FB8-4F14-9326-2D212C57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Ricky</dc:creator>
  <dc:description/>
  <cp:lastModifiedBy>Ryan Faye</cp:lastModifiedBy>
  <cp:revision>3</cp:revision>
  <dcterms:created xsi:type="dcterms:W3CDTF">2024-02-27T13:00:00Z</dcterms:created>
  <dcterms:modified xsi:type="dcterms:W3CDTF">2024-02-27T13:11:00Z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eefdff-6834-454f-be00-a68b5bc5f471_Enabled">
    <vt:lpwstr>true</vt:lpwstr>
  </property>
  <property fmtid="{D5CDD505-2E9C-101B-9397-08002B2CF9AE}" pid="3" name="MSIP_Label_7beefdff-6834-454f-be00-a68b5bc5f471_SetDate">
    <vt:lpwstr>2024-02-26T11:36:22Z</vt:lpwstr>
  </property>
  <property fmtid="{D5CDD505-2E9C-101B-9397-08002B2CF9AE}" pid="4" name="MSIP_Label_7beefdff-6834-454f-be00-a68b5bc5f471_Method">
    <vt:lpwstr>Standard</vt:lpwstr>
  </property>
  <property fmtid="{D5CDD505-2E9C-101B-9397-08002B2CF9AE}" pid="5" name="MSIP_Label_7beefdff-6834-454f-be00-a68b5bc5f471_Name">
    <vt:lpwstr>OFFICIAL</vt:lpwstr>
  </property>
  <property fmtid="{D5CDD505-2E9C-101B-9397-08002B2CF9AE}" pid="6" name="MSIP_Label_7beefdff-6834-454f-be00-a68b5bc5f471_SiteId">
    <vt:lpwstr>39683655-1d97-4b22-be8c-246da0f47a41</vt:lpwstr>
  </property>
  <property fmtid="{D5CDD505-2E9C-101B-9397-08002B2CF9AE}" pid="7" name="MSIP_Label_7beefdff-6834-454f-be00-a68b5bc5f471_ActionId">
    <vt:lpwstr>c21411db-7747-4931-a127-4e3cf6e4d877</vt:lpwstr>
  </property>
  <property fmtid="{D5CDD505-2E9C-101B-9397-08002B2CF9AE}" pid="8" name="MSIP_Label_7beefdff-6834-454f-be00-a68b5bc5f471_ContentBits">
    <vt:lpwstr>0</vt:lpwstr>
  </property>
</Properties>
</file>